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A83D">
      <w:pPr>
        <w:spacing w:line="360" w:lineRule="auto"/>
        <w:jc w:val="center"/>
        <w:rPr>
          <w:rFonts w:hint="default"/>
          <w:sz w:val="24"/>
        </w:rPr>
      </w:pPr>
    </w:p>
    <w:p w14:paraId="5C942F45">
      <w:pPr>
        <w:spacing w:beforeLines="50" w:line="360" w:lineRule="auto"/>
        <w:jc w:val="center"/>
        <w:rPr>
          <w:rFonts w:hint="default"/>
          <w:b/>
          <w:sz w:val="52"/>
          <w:szCs w:val="52"/>
        </w:rPr>
      </w:pPr>
    </w:p>
    <w:p w14:paraId="7C1A0504">
      <w:pPr>
        <w:spacing w:beforeLines="50" w:line="360" w:lineRule="auto"/>
        <w:jc w:val="center"/>
        <w:rPr>
          <w:rFonts w:hint="default"/>
          <w:b/>
          <w:sz w:val="52"/>
          <w:szCs w:val="52"/>
        </w:rPr>
      </w:pPr>
      <w:r>
        <w:rPr>
          <w:b/>
          <w:sz w:val="52"/>
          <w:szCs w:val="52"/>
        </w:rPr>
        <w:t>浙江省中医院医学整形美容科（西溪）运营服务</w:t>
      </w:r>
    </w:p>
    <w:p w14:paraId="64D9459C">
      <w:pPr>
        <w:spacing w:beforeLines="50" w:line="360" w:lineRule="auto"/>
        <w:jc w:val="center"/>
        <w:rPr>
          <w:rFonts w:hint="default"/>
          <w:b/>
          <w:sz w:val="36"/>
          <w:szCs w:val="36"/>
        </w:rPr>
      </w:pPr>
    </w:p>
    <w:p w14:paraId="4C4AAC30">
      <w:pPr>
        <w:pStyle w:val="40"/>
        <w:rPr>
          <w:rFonts w:hint="default"/>
        </w:rPr>
      </w:pPr>
    </w:p>
    <w:p w14:paraId="100A7735">
      <w:pPr>
        <w:pStyle w:val="40"/>
        <w:rPr>
          <w:rFonts w:hint="default"/>
        </w:rPr>
      </w:pPr>
    </w:p>
    <w:p w14:paraId="77EF8A16">
      <w:pPr>
        <w:spacing w:beforeLines="50" w:line="360" w:lineRule="auto"/>
        <w:jc w:val="center"/>
        <w:rPr>
          <w:rFonts w:hint="default"/>
          <w:b/>
          <w:szCs w:val="21"/>
        </w:rPr>
      </w:pPr>
    </w:p>
    <w:p w14:paraId="4B48FB09">
      <w:pPr>
        <w:spacing w:beforeLines="50" w:line="360" w:lineRule="auto"/>
        <w:jc w:val="center"/>
        <w:rPr>
          <w:rFonts w:hint="default"/>
          <w:b/>
          <w:sz w:val="72"/>
          <w:szCs w:val="72"/>
        </w:rPr>
      </w:pPr>
      <w:r>
        <w:rPr>
          <w:rFonts w:hint="default"/>
          <w:b/>
          <w:sz w:val="84"/>
          <w:szCs w:val="84"/>
        </w:rPr>
        <w:t>公开招标文件</w:t>
      </w:r>
    </w:p>
    <w:p w14:paraId="7EBC9C70">
      <w:pPr>
        <w:snapToGrid w:val="0"/>
        <w:spacing w:beforeLines="50" w:line="360" w:lineRule="auto"/>
        <w:jc w:val="center"/>
        <w:rPr>
          <w:rFonts w:hint="eastAsia" w:eastAsia="宋体"/>
          <w:sz w:val="32"/>
          <w:szCs w:val="32"/>
          <w:lang w:eastAsia="zh-CN"/>
        </w:rPr>
      </w:pPr>
      <w:r>
        <w:rPr>
          <w:rFonts w:hint="default"/>
          <w:b/>
          <w:bCs/>
          <w:sz w:val="32"/>
          <w:szCs w:val="32"/>
        </w:rPr>
        <w:t>项目编号：</w:t>
      </w:r>
      <w:r>
        <w:rPr>
          <w:rFonts w:hint="eastAsia"/>
          <w:b/>
          <w:bCs/>
          <w:sz w:val="32"/>
          <w:szCs w:val="32"/>
          <w:lang w:eastAsia="zh-CN"/>
        </w:rPr>
        <w:t>330000263210280000030-HSZB-2026-256</w:t>
      </w:r>
    </w:p>
    <w:p w14:paraId="288F1855">
      <w:pPr>
        <w:pStyle w:val="6"/>
        <w:snapToGrid w:val="0"/>
        <w:spacing w:before="120" w:after="120" w:line="360" w:lineRule="auto"/>
        <w:rPr>
          <w:rFonts w:hint="default" w:ascii="Times New Roman" w:hAnsi="Times New Roman"/>
          <w:b/>
          <w:bCs/>
          <w:sz w:val="30"/>
          <w:szCs w:val="30"/>
        </w:rPr>
      </w:pPr>
    </w:p>
    <w:p w14:paraId="6C2CF9C1">
      <w:pPr>
        <w:pStyle w:val="6"/>
        <w:snapToGrid w:val="0"/>
        <w:spacing w:before="120" w:after="120" w:line="360" w:lineRule="auto"/>
        <w:rPr>
          <w:rFonts w:hint="default" w:ascii="Times New Roman" w:hAnsi="Times New Roman"/>
          <w:b/>
          <w:bCs/>
          <w:sz w:val="30"/>
          <w:szCs w:val="30"/>
        </w:rPr>
      </w:pPr>
    </w:p>
    <w:p w14:paraId="3CFD2DFA">
      <w:pPr>
        <w:pStyle w:val="6"/>
        <w:snapToGrid w:val="0"/>
        <w:spacing w:beforeLines="100" w:after="120" w:line="240" w:lineRule="auto"/>
        <w:rPr>
          <w:rFonts w:hint="default" w:ascii="Times New Roman" w:hAnsi="Times New Roman"/>
          <w:b/>
          <w:bCs/>
          <w:sz w:val="32"/>
          <w:szCs w:val="32"/>
        </w:rPr>
      </w:pPr>
    </w:p>
    <w:p w14:paraId="6CA75D28">
      <w:pPr>
        <w:pStyle w:val="6"/>
        <w:snapToGrid w:val="0"/>
        <w:spacing w:beforeLines="100" w:after="120" w:line="240" w:lineRule="auto"/>
        <w:rPr>
          <w:rFonts w:hint="default" w:ascii="Times New Roman" w:hAnsi="Times New Roman"/>
          <w:b/>
          <w:bCs/>
          <w:sz w:val="32"/>
          <w:szCs w:val="32"/>
        </w:rPr>
      </w:pPr>
    </w:p>
    <w:p w14:paraId="41F2AA43">
      <w:pPr>
        <w:pStyle w:val="6"/>
        <w:snapToGrid w:val="0"/>
        <w:spacing w:before="120" w:after="120" w:line="360" w:lineRule="auto"/>
        <w:ind w:left="3283" w:leftChars="760" w:hanging="1687" w:hangingChars="525"/>
        <w:rPr>
          <w:rFonts w:hint="default" w:ascii="Times New Roman" w:hAnsi="Times New Roman"/>
          <w:b/>
          <w:sz w:val="32"/>
          <w:szCs w:val="32"/>
        </w:rPr>
      </w:pPr>
      <w:r>
        <w:rPr>
          <w:rFonts w:hint="default" w:ascii="Times New Roman" w:hAnsi="Times New Roman"/>
          <w:b/>
          <w:sz w:val="32"/>
          <w:szCs w:val="32"/>
        </w:rPr>
        <w:t>采购单位：</w:t>
      </w:r>
      <w:r>
        <w:rPr>
          <w:rFonts w:ascii="Times New Roman" w:hAnsi="Times New Roman"/>
          <w:b/>
          <w:sz w:val="32"/>
          <w:szCs w:val="32"/>
        </w:rPr>
        <w:t>浙江省中医院</w:t>
      </w:r>
    </w:p>
    <w:p w14:paraId="0A6A8E3F">
      <w:pPr>
        <w:pStyle w:val="6"/>
        <w:snapToGrid w:val="0"/>
        <w:spacing w:before="120" w:after="120" w:line="360" w:lineRule="auto"/>
        <w:ind w:firstLine="1536" w:firstLineChars="478"/>
        <w:rPr>
          <w:rFonts w:hint="default" w:ascii="Times New Roman" w:hAnsi="Times New Roman"/>
          <w:b/>
          <w:sz w:val="32"/>
          <w:szCs w:val="32"/>
        </w:rPr>
      </w:pPr>
      <w:r>
        <w:rPr>
          <w:rFonts w:hint="default" w:ascii="Times New Roman" w:hAnsi="Times New Roman"/>
          <w:b/>
          <w:sz w:val="32"/>
          <w:szCs w:val="32"/>
        </w:rPr>
        <w:t>代理机构：浙江豪圣建设项目管理有限公司</w:t>
      </w:r>
    </w:p>
    <w:p w14:paraId="13DB7772">
      <w:pPr>
        <w:snapToGrid w:val="0"/>
        <w:spacing w:beforeLines="50" w:after="50" w:line="360" w:lineRule="auto"/>
        <w:jc w:val="center"/>
        <w:rPr>
          <w:rFonts w:hint="default"/>
          <w:b/>
          <w:bCs/>
          <w:w w:val="95"/>
          <w:sz w:val="30"/>
          <w:szCs w:val="30"/>
        </w:rPr>
        <w:sectPr>
          <w:footerReference r:id="rId4" w:type="default"/>
          <w:footerReference r:id="rId5" w:type="even"/>
          <w:pgSz w:w="11906" w:h="16838"/>
          <w:pgMar w:top="1134" w:right="1247" w:bottom="1247" w:left="1304" w:header="794" w:footer="794" w:gutter="0"/>
          <w:cols w:space="720" w:num="1"/>
          <w:docGrid w:linePitch="312" w:charSpace="0"/>
        </w:sectPr>
      </w:pPr>
      <w:r>
        <w:rPr>
          <w:rFonts w:hint="default"/>
          <w:b/>
          <w:bCs/>
          <w:w w:val="95"/>
          <w:sz w:val="32"/>
          <w:szCs w:val="32"/>
        </w:rPr>
        <w:t>202</w:t>
      </w:r>
      <w:r>
        <w:rPr>
          <w:b/>
          <w:bCs/>
          <w:w w:val="95"/>
          <w:sz w:val="32"/>
          <w:szCs w:val="32"/>
        </w:rPr>
        <w:t>6</w:t>
      </w:r>
      <w:r>
        <w:rPr>
          <w:rFonts w:hint="default"/>
          <w:b/>
          <w:bCs/>
          <w:w w:val="95"/>
          <w:sz w:val="32"/>
          <w:szCs w:val="32"/>
        </w:rPr>
        <w:t>年</w:t>
      </w:r>
      <w:r>
        <w:rPr>
          <w:b/>
          <w:bCs/>
          <w:w w:val="95"/>
          <w:sz w:val="32"/>
          <w:szCs w:val="32"/>
        </w:rPr>
        <w:t>3</w:t>
      </w:r>
      <w:r>
        <w:rPr>
          <w:rFonts w:hint="default"/>
          <w:b/>
          <w:bCs/>
          <w:w w:val="95"/>
          <w:sz w:val="32"/>
          <w:szCs w:val="32"/>
        </w:rPr>
        <w:t>月</w:t>
      </w:r>
    </w:p>
    <w:p w14:paraId="6F8FC55C">
      <w:pPr>
        <w:pStyle w:val="6"/>
        <w:spacing w:before="120" w:after="120" w:line="360" w:lineRule="auto"/>
        <w:jc w:val="center"/>
        <w:rPr>
          <w:rFonts w:hint="default" w:ascii="Times New Roman" w:hAnsi="Times New Roman"/>
          <w:sz w:val="36"/>
          <w:szCs w:val="36"/>
        </w:rPr>
      </w:pPr>
    </w:p>
    <w:p w14:paraId="288BEC15">
      <w:pPr>
        <w:pStyle w:val="6"/>
        <w:spacing w:before="120" w:after="120" w:line="360" w:lineRule="auto"/>
        <w:jc w:val="center"/>
        <w:rPr>
          <w:rFonts w:hint="default" w:ascii="Times New Roman" w:hAnsi="Times New Roman"/>
          <w:b/>
          <w:sz w:val="36"/>
          <w:szCs w:val="36"/>
        </w:rPr>
      </w:pPr>
      <w:r>
        <w:rPr>
          <w:rFonts w:hint="default" w:ascii="Times New Roman" w:hAnsi="Times New Roman"/>
          <w:b/>
          <w:sz w:val="36"/>
          <w:szCs w:val="36"/>
        </w:rPr>
        <w:t>目录</w:t>
      </w:r>
    </w:p>
    <w:p w14:paraId="298FECDF">
      <w:pPr>
        <w:pStyle w:val="26"/>
        <w:tabs>
          <w:tab w:val="right" w:leader="dot" w:pos="9355"/>
        </w:tabs>
        <w:rPr>
          <w:rFonts w:hint="default"/>
        </w:rPr>
      </w:pPr>
      <w:r>
        <w:rPr>
          <w:rFonts w:hint="default"/>
          <w:sz w:val="28"/>
          <w:szCs w:val="28"/>
        </w:rPr>
        <w:fldChar w:fldCharType="begin"/>
      </w:r>
      <w:r>
        <w:rPr>
          <w:rFonts w:hint="default"/>
          <w:sz w:val="28"/>
          <w:szCs w:val="28"/>
        </w:rPr>
        <w:instrText xml:space="preserve">TOC \o "1-1" \h \u </w:instrText>
      </w:r>
      <w:r>
        <w:rPr>
          <w:rFonts w:hint="default"/>
          <w:sz w:val="28"/>
          <w:szCs w:val="28"/>
        </w:rPr>
        <w:fldChar w:fldCharType="separate"/>
      </w:r>
    </w:p>
    <w:p w14:paraId="3091359D">
      <w:pPr>
        <w:pStyle w:val="26"/>
        <w:tabs>
          <w:tab w:val="right" w:leader="dot" w:pos="9355"/>
        </w:tabs>
        <w:spacing w:line="360" w:lineRule="auto"/>
        <w:rPr>
          <w:rFonts w:hint="default"/>
          <w:sz w:val="24"/>
          <w:szCs w:val="24"/>
        </w:rPr>
      </w:pPr>
      <w:r>
        <w:fldChar w:fldCharType="begin"/>
      </w:r>
      <w:r>
        <w:instrText xml:space="preserve"> HYPERLINK \l "_Toc32733" </w:instrText>
      </w:r>
      <w:r>
        <w:fldChar w:fldCharType="separate"/>
      </w:r>
      <w:r>
        <w:rPr>
          <w:rFonts w:hint="default"/>
          <w:spacing w:val="-4"/>
          <w:sz w:val="24"/>
          <w:szCs w:val="24"/>
        </w:rPr>
        <w:t>第一章招标公告</w:t>
      </w:r>
      <w:r>
        <w:rPr>
          <w:sz w:val="24"/>
          <w:szCs w:val="24"/>
        </w:rPr>
        <w:tab/>
      </w:r>
      <w:r>
        <w:rPr>
          <w:sz w:val="24"/>
          <w:szCs w:val="24"/>
        </w:rPr>
        <w:fldChar w:fldCharType="begin"/>
      </w:r>
      <w:r>
        <w:rPr>
          <w:sz w:val="24"/>
          <w:szCs w:val="24"/>
        </w:rPr>
        <w:instrText xml:space="preserve"> PAGEREF _Toc32733 \h </w:instrText>
      </w:r>
      <w:r>
        <w:rPr>
          <w:sz w:val="24"/>
          <w:szCs w:val="24"/>
        </w:rPr>
        <w:fldChar w:fldCharType="separate"/>
      </w:r>
      <w:r>
        <w:rPr>
          <w:sz w:val="24"/>
          <w:szCs w:val="24"/>
        </w:rPr>
        <w:t>3</w:t>
      </w:r>
      <w:r>
        <w:rPr>
          <w:sz w:val="24"/>
          <w:szCs w:val="24"/>
        </w:rPr>
        <w:fldChar w:fldCharType="end"/>
      </w:r>
      <w:r>
        <w:rPr>
          <w:sz w:val="24"/>
          <w:szCs w:val="24"/>
        </w:rPr>
        <w:fldChar w:fldCharType="end"/>
      </w:r>
    </w:p>
    <w:p w14:paraId="7AE05920">
      <w:pPr>
        <w:pStyle w:val="26"/>
        <w:tabs>
          <w:tab w:val="right" w:leader="dot" w:pos="9355"/>
        </w:tabs>
        <w:spacing w:line="360" w:lineRule="auto"/>
        <w:rPr>
          <w:rFonts w:hint="default"/>
          <w:sz w:val="24"/>
          <w:szCs w:val="24"/>
        </w:rPr>
      </w:pPr>
      <w:r>
        <w:fldChar w:fldCharType="begin"/>
      </w:r>
      <w:r>
        <w:instrText xml:space="preserve"> HYPERLINK \l "_Toc22012" </w:instrText>
      </w:r>
      <w:r>
        <w:fldChar w:fldCharType="separate"/>
      </w:r>
      <w:r>
        <w:rPr>
          <w:rFonts w:hint="default"/>
          <w:sz w:val="24"/>
          <w:szCs w:val="24"/>
        </w:rPr>
        <w:t>第二章  投标人须知</w:t>
      </w:r>
      <w:r>
        <w:rPr>
          <w:sz w:val="24"/>
          <w:szCs w:val="24"/>
        </w:rPr>
        <w:tab/>
      </w:r>
      <w:r>
        <w:rPr>
          <w:sz w:val="24"/>
          <w:szCs w:val="24"/>
        </w:rPr>
        <w:fldChar w:fldCharType="begin"/>
      </w:r>
      <w:r>
        <w:rPr>
          <w:sz w:val="24"/>
          <w:szCs w:val="24"/>
        </w:rPr>
        <w:instrText xml:space="preserve"> PAGEREF _Toc22012 \h </w:instrText>
      </w:r>
      <w:r>
        <w:rPr>
          <w:sz w:val="24"/>
          <w:szCs w:val="24"/>
        </w:rPr>
        <w:fldChar w:fldCharType="separate"/>
      </w:r>
      <w:r>
        <w:rPr>
          <w:sz w:val="24"/>
          <w:szCs w:val="24"/>
        </w:rPr>
        <w:t>7</w:t>
      </w:r>
      <w:r>
        <w:rPr>
          <w:sz w:val="24"/>
          <w:szCs w:val="24"/>
        </w:rPr>
        <w:fldChar w:fldCharType="end"/>
      </w:r>
      <w:r>
        <w:rPr>
          <w:sz w:val="24"/>
          <w:szCs w:val="24"/>
        </w:rPr>
        <w:fldChar w:fldCharType="end"/>
      </w:r>
    </w:p>
    <w:p w14:paraId="55649DE8">
      <w:pPr>
        <w:pStyle w:val="26"/>
        <w:tabs>
          <w:tab w:val="right" w:leader="dot" w:pos="9355"/>
        </w:tabs>
        <w:spacing w:line="360" w:lineRule="auto"/>
        <w:rPr>
          <w:rFonts w:hint="default"/>
          <w:sz w:val="24"/>
          <w:szCs w:val="24"/>
        </w:rPr>
      </w:pPr>
      <w:r>
        <w:fldChar w:fldCharType="begin"/>
      </w:r>
      <w:r>
        <w:instrText xml:space="preserve"> HYPERLINK \l "_Toc11246" </w:instrText>
      </w:r>
      <w:r>
        <w:fldChar w:fldCharType="separate"/>
      </w:r>
      <w:r>
        <w:rPr>
          <w:rFonts w:hint="default"/>
          <w:spacing w:val="-4"/>
          <w:sz w:val="24"/>
          <w:szCs w:val="24"/>
        </w:rPr>
        <w:t>第三章评标办法</w:t>
      </w:r>
      <w:r>
        <w:rPr>
          <w:sz w:val="24"/>
          <w:szCs w:val="24"/>
        </w:rPr>
        <w:tab/>
      </w:r>
      <w:r>
        <w:rPr>
          <w:sz w:val="24"/>
          <w:szCs w:val="24"/>
        </w:rPr>
        <w:fldChar w:fldCharType="begin"/>
      </w:r>
      <w:r>
        <w:rPr>
          <w:sz w:val="24"/>
          <w:szCs w:val="24"/>
        </w:rPr>
        <w:instrText xml:space="preserve"> PAGEREF _Toc11246 \h </w:instrText>
      </w:r>
      <w:r>
        <w:rPr>
          <w:sz w:val="24"/>
          <w:szCs w:val="24"/>
        </w:rPr>
        <w:fldChar w:fldCharType="separate"/>
      </w:r>
      <w:r>
        <w:rPr>
          <w:sz w:val="24"/>
          <w:szCs w:val="24"/>
        </w:rPr>
        <w:t>27</w:t>
      </w:r>
      <w:r>
        <w:rPr>
          <w:sz w:val="24"/>
          <w:szCs w:val="24"/>
        </w:rPr>
        <w:fldChar w:fldCharType="end"/>
      </w:r>
      <w:r>
        <w:rPr>
          <w:sz w:val="24"/>
          <w:szCs w:val="24"/>
        </w:rPr>
        <w:fldChar w:fldCharType="end"/>
      </w:r>
    </w:p>
    <w:p w14:paraId="10FE329B">
      <w:pPr>
        <w:pStyle w:val="26"/>
        <w:tabs>
          <w:tab w:val="right" w:leader="dot" w:pos="9355"/>
        </w:tabs>
        <w:spacing w:line="360" w:lineRule="auto"/>
        <w:rPr>
          <w:rFonts w:hint="default"/>
          <w:sz w:val="24"/>
          <w:szCs w:val="24"/>
        </w:rPr>
      </w:pPr>
      <w:r>
        <w:fldChar w:fldCharType="begin"/>
      </w:r>
      <w:r>
        <w:instrText xml:space="preserve"> HYPERLINK \l "_Toc22004" </w:instrText>
      </w:r>
      <w:r>
        <w:fldChar w:fldCharType="separate"/>
      </w:r>
      <w:r>
        <w:rPr>
          <w:rFonts w:hint="default"/>
          <w:sz w:val="24"/>
          <w:szCs w:val="24"/>
        </w:rPr>
        <w:t>第四章采购内容及需求</w:t>
      </w:r>
      <w:r>
        <w:rPr>
          <w:sz w:val="24"/>
          <w:szCs w:val="24"/>
        </w:rPr>
        <w:tab/>
      </w:r>
      <w:r>
        <w:rPr>
          <w:sz w:val="24"/>
          <w:szCs w:val="24"/>
        </w:rPr>
        <w:fldChar w:fldCharType="begin"/>
      </w:r>
      <w:r>
        <w:rPr>
          <w:sz w:val="24"/>
          <w:szCs w:val="24"/>
        </w:rPr>
        <w:instrText xml:space="preserve"> PAGEREF _Toc22004 \h </w:instrText>
      </w:r>
      <w:r>
        <w:rPr>
          <w:sz w:val="24"/>
          <w:szCs w:val="24"/>
        </w:rPr>
        <w:fldChar w:fldCharType="separate"/>
      </w:r>
      <w:r>
        <w:rPr>
          <w:sz w:val="24"/>
          <w:szCs w:val="24"/>
        </w:rPr>
        <w:t>32</w:t>
      </w:r>
      <w:r>
        <w:rPr>
          <w:sz w:val="24"/>
          <w:szCs w:val="24"/>
        </w:rPr>
        <w:fldChar w:fldCharType="end"/>
      </w:r>
      <w:r>
        <w:rPr>
          <w:sz w:val="24"/>
          <w:szCs w:val="24"/>
        </w:rPr>
        <w:fldChar w:fldCharType="end"/>
      </w:r>
    </w:p>
    <w:p w14:paraId="12879F6D">
      <w:pPr>
        <w:pStyle w:val="26"/>
        <w:tabs>
          <w:tab w:val="right" w:leader="dot" w:pos="9355"/>
        </w:tabs>
        <w:spacing w:line="360" w:lineRule="auto"/>
        <w:rPr>
          <w:rFonts w:hint="default"/>
          <w:sz w:val="24"/>
          <w:szCs w:val="24"/>
        </w:rPr>
      </w:pPr>
      <w:r>
        <w:fldChar w:fldCharType="begin"/>
      </w:r>
      <w:r>
        <w:instrText xml:space="preserve"> HYPERLINK \l "_Toc6507" </w:instrText>
      </w:r>
      <w:r>
        <w:fldChar w:fldCharType="separate"/>
      </w:r>
      <w:r>
        <w:rPr>
          <w:sz w:val="24"/>
          <w:szCs w:val="24"/>
        </w:rPr>
        <w:t xml:space="preserve">第五章  </w:t>
      </w:r>
      <w:r>
        <w:rPr>
          <w:rFonts w:hint="default"/>
          <w:sz w:val="24"/>
          <w:szCs w:val="24"/>
        </w:rPr>
        <w:t>合同主要条款</w:t>
      </w:r>
      <w:r>
        <w:rPr>
          <w:sz w:val="24"/>
          <w:szCs w:val="24"/>
        </w:rPr>
        <w:tab/>
      </w:r>
      <w:r>
        <w:rPr>
          <w:sz w:val="24"/>
          <w:szCs w:val="24"/>
        </w:rPr>
        <w:fldChar w:fldCharType="begin"/>
      </w:r>
      <w:r>
        <w:rPr>
          <w:sz w:val="24"/>
          <w:szCs w:val="24"/>
        </w:rPr>
        <w:instrText xml:space="preserve"> PAGEREF _Toc6507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8C4A68A">
      <w:pPr>
        <w:pStyle w:val="26"/>
        <w:tabs>
          <w:tab w:val="right" w:leader="dot" w:pos="9355"/>
        </w:tabs>
        <w:spacing w:line="360" w:lineRule="auto"/>
        <w:rPr>
          <w:rFonts w:hint="default"/>
          <w:sz w:val="24"/>
          <w:szCs w:val="24"/>
        </w:rPr>
      </w:pPr>
      <w:r>
        <w:fldChar w:fldCharType="begin"/>
      </w:r>
      <w:r>
        <w:instrText xml:space="preserve"> HYPERLINK \l "_Toc2976" </w:instrText>
      </w:r>
      <w:r>
        <w:fldChar w:fldCharType="separate"/>
      </w:r>
      <w:r>
        <w:rPr>
          <w:rFonts w:hint="default"/>
          <w:sz w:val="24"/>
          <w:szCs w:val="24"/>
        </w:rPr>
        <w:t>第六章　投标文件格式</w:t>
      </w:r>
      <w:r>
        <w:rPr>
          <w:sz w:val="24"/>
          <w:szCs w:val="24"/>
        </w:rPr>
        <w:tab/>
      </w:r>
      <w:r>
        <w:rPr>
          <w:sz w:val="24"/>
          <w:szCs w:val="24"/>
        </w:rPr>
        <w:fldChar w:fldCharType="begin"/>
      </w:r>
      <w:r>
        <w:rPr>
          <w:sz w:val="24"/>
          <w:szCs w:val="24"/>
        </w:rPr>
        <w:instrText xml:space="preserve"> PAGEREF _Toc2976 \h </w:instrText>
      </w:r>
      <w:r>
        <w:rPr>
          <w:sz w:val="24"/>
          <w:szCs w:val="24"/>
        </w:rPr>
        <w:fldChar w:fldCharType="separate"/>
      </w:r>
      <w:r>
        <w:rPr>
          <w:sz w:val="24"/>
          <w:szCs w:val="24"/>
        </w:rPr>
        <w:t>48</w:t>
      </w:r>
      <w:r>
        <w:rPr>
          <w:sz w:val="24"/>
          <w:szCs w:val="24"/>
        </w:rPr>
        <w:fldChar w:fldCharType="end"/>
      </w:r>
      <w:r>
        <w:rPr>
          <w:sz w:val="24"/>
          <w:szCs w:val="24"/>
        </w:rPr>
        <w:fldChar w:fldCharType="end"/>
      </w:r>
    </w:p>
    <w:p w14:paraId="18301955">
      <w:pPr>
        <w:pStyle w:val="6"/>
        <w:spacing w:before="120" w:after="120" w:line="360" w:lineRule="auto"/>
        <w:jc w:val="center"/>
        <w:rPr>
          <w:rFonts w:hint="default" w:ascii="Times New Roman" w:hAnsi="Times New Roman"/>
          <w:sz w:val="28"/>
          <w:szCs w:val="28"/>
        </w:rPr>
      </w:pPr>
      <w:r>
        <w:rPr>
          <w:rFonts w:hint="default" w:ascii="Times New Roman" w:hAnsi="Times New Roman"/>
          <w:szCs w:val="28"/>
        </w:rPr>
        <w:fldChar w:fldCharType="end"/>
      </w:r>
    </w:p>
    <w:p w14:paraId="326599E1">
      <w:pPr>
        <w:pStyle w:val="6"/>
        <w:snapToGrid w:val="0"/>
        <w:spacing w:before="120" w:after="120" w:line="360" w:lineRule="auto"/>
        <w:jc w:val="center"/>
        <w:rPr>
          <w:rFonts w:hint="default" w:ascii="Times New Roman" w:hAnsi="Times New Roman"/>
        </w:rPr>
        <w:sectPr>
          <w:headerReference r:id="rId6" w:type="default"/>
          <w:footerReference r:id="rId7" w:type="default"/>
          <w:pgSz w:w="11906" w:h="16838"/>
          <w:pgMar w:top="1134" w:right="1247" w:bottom="1247" w:left="1304" w:header="794" w:footer="794" w:gutter="0"/>
          <w:pgNumType w:start="1"/>
          <w:cols w:space="720" w:num="1"/>
          <w:docGrid w:linePitch="312" w:charSpace="0"/>
        </w:sectPr>
      </w:pPr>
    </w:p>
    <w:p w14:paraId="68756142">
      <w:pPr>
        <w:snapToGrid w:val="0"/>
        <w:spacing w:line="360" w:lineRule="auto"/>
        <w:ind w:left="238"/>
        <w:jc w:val="center"/>
        <w:rPr>
          <w:rFonts w:hint="default"/>
          <w:sz w:val="24"/>
        </w:rPr>
      </w:pPr>
    </w:p>
    <w:p w14:paraId="29EBFB48">
      <w:pPr>
        <w:pStyle w:val="6"/>
        <w:spacing w:before="120" w:after="120" w:line="360" w:lineRule="auto"/>
        <w:jc w:val="center"/>
        <w:outlineLvl w:val="0"/>
        <w:rPr>
          <w:rFonts w:hint="default" w:ascii="Times New Roman" w:hAnsi="Times New Roman" w:eastAsia="黑体"/>
          <w:b/>
          <w:sz w:val="36"/>
          <w:szCs w:val="36"/>
        </w:rPr>
      </w:pPr>
      <w:bookmarkStart w:id="0" w:name="_Toc9198"/>
      <w:bookmarkStart w:id="1" w:name="_Toc32703"/>
      <w:bookmarkStart w:id="2" w:name="_Toc21716"/>
      <w:bookmarkStart w:id="3" w:name="_Toc11256"/>
      <w:bookmarkStart w:id="4" w:name="_Toc18184"/>
      <w:r>
        <w:rPr>
          <w:rFonts w:hint="default" w:ascii="Times New Roman" w:hAnsi="Times New Roman" w:eastAsia="黑体"/>
          <w:b/>
          <w:sz w:val="36"/>
          <w:szCs w:val="36"/>
        </w:rPr>
        <w:t>电子交易须知</w:t>
      </w:r>
      <w:bookmarkEnd w:id="0"/>
      <w:bookmarkEnd w:id="1"/>
      <w:bookmarkEnd w:id="2"/>
      <w:bookmarkEnd w:id="3"/>
      <w:bookmarkEnd w:id="4"/>
    </w:p>
    <w:p w14:paraId="0458A0F9">
      <w:pPr>
        <w:pStyle w:val="6"/>
        <w:spacing w:before="120" w:after="120" w:line="360" w:lineRule="auto"/>
        <w:jc w:val="center"/>
        <w:rPr>
          <w:rFonts w:hint="default" w:ascii="Times New Roman" w:hAnsi="Times New Roman" w:eastAsia="黑体"/>
          <w:b/>
        </w:rPr>
      </w:pPr>
    </w:p>
    <w:p w14:paraId="63D6D2E2">
      <w:pPr>
        <w:pStyle w:val="6"/>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投标文件前还需申领CA证书并绑定帐号，供应商应充分考虑完成登记、申领CA证书等所需的时间。</w:t>
      </w:r>
    </w:p>
    <w:p w14:paraId="431B6523">
      <w:pPr>
        <w:pStyle w:val="6"/>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14:paraId="46E055CD">
      <w:pPr>
        <w:pStyle w:val="6"/>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3、供应商应当在递交响应文件截止时间前，将“电子交易客户端”生成的“电子加密响应文件”上传电子交易平台。</w:t>
      </w:r>
    </w:p>
    <w:p w14:paraId="56725237">
      <w:pPr>
        <w:pStyle w:val="6"/>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14:paraId="38B85A81">
      <w:pPr>
        <w:pStyle w:val="6"/>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5、通过“政府采购云平台”递交的“电子加密响应文件”如无法按时解密，供应商提交了“电子备份响应文件”的，则由采购组织机构按“政府采购云平台”操作规范将“电子备份响应文件”上传至“政府采购云平台”，上传成功后，以“电子备份响应文件”参与评审，“电子加密响应文件”自动失效。供应商未按规定递交“电子备份响应文件”的，视为响应文件撤回。未上传“电子加密响应文件”，仅提交“电子备份响应文件”的，响应无效。</w:t>
      </w:r>
    </w:p>
    <w:p w14:paraId="28A04199">
      <w:pPr>
        <w:pStyle w:val="6"/>
        <w:snapToGrid w:val="0"/>
        <w:spacing w:before="120" w:after="120" w:line="360" w:lineRule="auto"/>
        <w:jc w:val="left"/>
        <w:outlineLvl w:val="0"/>
        <w:rPr>
          <w:rFonts w:hint="default" w:ascii="Times New Roman" w:hAnsi="Times New Roman"/>
          <w:b/>
          <w:sz w:val="36"/>
          <w:szCs w:val="36"/>
        </w:rPr>
      </w:pPr>
      <w:bookmarkStart w:id="5" w:name="_Toc20790"/>
      <w:bookmarkStart w:id="6" w:name="_Toc8609"/>
      <w:bookmarkStart w:id="7" w:name="_Toc20707"/>
      <w:bookmarkStart w:id="8" w:name="_Toc17785"/>
      <w:bookmarkStart w:id="9" w:name="_Toc9586"/>
      <w:bookmarkStart w:id="10" w:name="_Toc30331"/>
      <w:bookmarkStart w:id="11" w:name="_Toc17724"/>
      <w:r>
        <w:rPr>
          <w:rFonts w:hint="default" w:ascii="Times New Roman" w:hAnsi="Times New Roman" w:eastAsia="黑体"/>
          <w:b/>
        </w:rPr>
        <w:t>6、供应商在参加电子交易过程中，可登录电子交易平台“帮助文档”版面获取《电子交易管理操作指南》，或致电平台95763获取相关服务支持。</w:t>
      </w:r>
      <w:bookmarkEnd w:id="5"/>
      <w:bookmarkEnd w:id="6"/>
      <w:bookmarkEnd w:id="7"/>
      <w:bookmarkEnd w:id="8"/>
      <w:bookmarkEnd w:id="9"/>
      <w:bookmarkEnd w:id="10"/>
      <w:bookmarkEnd w:id="11"/>
    </w:p>
    <w:p w14:paraId="106AA1D6">
      <w:pPr>
        <w:pStyle w:val="6"/>
        <w:snapToGrid w:val="0"/>
        <w:spacing w:before="120" w:after="120" w:line="360" w:lineRule="auto"/>
        <w:jc w:val="center"/>
        <w:outlineLvl w:val="0"/>
        <w:rPr>
          <w:rFonts w:hint="default" w:ascii="Times New Roman" w:hAnsi="Times New Roman"/>
          <w:b/>
          <w:sz w:val="36"/>
          <w:szCs w:val="36"/>
        </w:rPr>
      </w:pPr>
    </w:p>
    <w:p w14:paraId="4D51331D">
      <w:pPr>
        <w:pStyle w:val="6"/>
        <w:snapToGrid w:val="0"/>
        <w:spacing w:before="120" w:after="120" w:line="360" w:lineRule="auto"/>
        <w:jc w:val="center"/>
        <w:outlineLvl w:val="0"/>
        <w:rPr>
          <w:rFonts w:hint="default" w:ascii="Times New Roman" w:hAnsi="Times New Roman"/>
          <w:b/>
          <w:sz w:val="36"/>
          <w:szCs w:val="36"/>
        </w:rPr>
      </w:pPr>
      <w:r>
        <w:rPr>
          <w:rFonts w:hint="default" w:ascii="Times New Roman" w:hAnsi="Times New Roman"/>
          <w:b/>
          <w:sz w:val="36"/>
          <w:szCs w:val="36"/>
        </w:rPr>
        <w:br w:type="page"/>
      </w:r>
    </w:p>
    <w:p w14:paraId="19317EF9">
      <w:pPr>
        <w:pStyle w:val="6"/>
        <w:snapToGrid w:val="0"/>
        <w:spacing w:before="120" w:after="120" w:line="360" w:lineRule="auto"/>
        <w:jc w:val="center"/>
        <w:outlineLvl w:val="0"/>
        <w:rPr>
          <w:rStyle w:val="143"/>
          <w:rFonts w:hint="default" w:ascii="Times New Roman" w:hAnsi="Times New Roman"/>
          <w:spacing w:val="-4"/>
          <w:sz w:val="32"/>
          <w:szCs w:val="32"/>
        </w:rPr>
      </w:pPr>
      <w:bookmarkStart w:id="12" w:name="_Toc31642"/>
      <w:bookmarkStart w:id="13" w:name="_Toc32733"/>
      <w:r>
        <w:rPr>
          <w:rStyle w:val="143"/>
          <w:rFonts w:hint="default" w:ascii="Times New Roman" w:hAnsi="Times New Roman"/>
          <w:spacing w:val="-4"/>
          <w:sz w:val="32"/>
          <w:szCs w:val="32"/>
        </w:rPr>
        <w:t>第一章招标公告</w:t>
      </w:r>
      <w:bookmarkEnd w:id="12"/>
      <w:bookmarkEnd w:id="13"/>
    </w:p>
    <w:p w14:paraId="6ABC9850">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rPr>
      </w:pPr>
      <w:r>
        <w:rPr>
          <w:rFonts w:hint="default"/>
          <w:sz w:val="24"/>
        </w:rPr>
        <w:t>项目概况</w:t>
      </w:r>
    </w:p>
    <w:p w14:paraId="16CCDE81">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rPr>
      </w:pPr>
      <w:r>
        <w:rPr>
          <w:sz w:val="24"/>
          <w:u w:val="single"/>
        </w:rPr>
        <w:t>浙江省中医院医学整形美容科（西溪）运营服务</w:t>
      </w:r>
      <w:r>
        <w:rPr>
          <w:sz w:val="24"/>
        </w:rPr>
        <w:t>招标项目</w:t>
      </w:r>
      <w:r>
        <w:rPr>
          <w:rFonts w:hint="default"/>
          <w:sz w:val="24"/>
        </w:rPr>
        <w:t>的潜在投标人</w:t>
      </w:r>
      <w:r>
        <w:rPr>
          <w:sz w:val="24"/>
        </w:rPr>
        <w:t>应</w:t>
      </w:r>
      <w:r>
        <w:rPr>
          <w:rFonts w:hint="default"/>
          <w:sz w:val="24"/>
        </w:rPr>
        <w:t>在</w:t>
      </w:r>
      <w:r>
        <w:rPr>
          <w:rFonts w:hint="default"/>
          <w:sz w:val="24"/>
          <w:u w:val="single"/>
        </w:rPr>
        <w:t>政采云平台线上</w:t>
      </w:r>
      <w:r>
        <w:rPr>
          <w:rFonts w:hint="default"/>
          <w:sz w:val="24"/>
        </w:rPr>
        <w:t>获取（下载）招标文件，并于</w:t>
      </w:r>
      <w:r>
        <w:rPr>
          <w:sz w:val="24"/>
        </w:rPr>
        <w:t>2026年0</w:t>
      </w:r>
      <w:r>
        <w:rPr>
          <w:rFonts w:hint="eastAsia"/>
          <w:sz w:val="24"/>
          <w:lang w:val="en-US" w:eastAsia="zh-CN"/>
        </w:rPr>
        <w:t>4</w:t>
      </w:r>
      <w:r>
        <w:rPr>
          <w:sz w:val="24"/>
        </w:rPr>
        <w:t>月</w:t>
      </w:r>
      <w:r>
        <w:rPr>
          <w:rFonts w:hint="eastAsia"/>
          <w:sz w:val="24"/>
          <w:lang w:val="en-US" w:eastAsia="zh-CN"/>
        </w:rPr>
        <w:t>17</w:t>
      </w:r>
      <w:r>
        <w:rPr>
          <w:sz w:val="24"/>
        </w:rPr>
        <w:t>日</w:t>
      </w:r>
      <w:r>
        <w:rPr>
          <w:rFonts w:hint="eastAsia"/>
          <w:sz w:val="24"/>
          <w:lang w:val="en-US" w:eastAsia="zh-CN"/>
        </w:rPr>
        <w:t>13</w:t>
      </w:r>
      <w:r>
        <w:rPr>
          <w:sz w:val="24"/>
        </w:rPr>
        <w:t>：</w:t>
      </w:r>
      <w:r>
        <w:rPr>
          <w:rFonts w:hint="eastAsia"/>
          <w:sz w:val="24"/>
          <w:lang w:val="en-US" w:eastAsia="zh-CN"/>
        </w:rPr>
        <w:t>3</w:t>
      </w:r>
      <w:r>
        <w:rPr>
          <w:sz w:val="24"/>
        </w:rPr>
        <w:t>0</w:t>
      </w:r>
      <w:r>
        <w:rPr>
          <w:rFonts w:hint="default"/>
          <w:bCs/>
          <w:sz w:val="24"/>
        </w:rPr>
        <w:t>（北京时间）前提交（上传）投标文件</w:t>
      </w:r>
      <w:r>
        <w:rPr>
          <w:rFonts w:hint="default"/>
          <w:sz w:val="24"/>
        </w:rPr>
        <w:t>。</w:t>
      </w:r>
    </w:p>
    <w:p w14:paraId="3F23F986">
      <w:pPr>
        <w:pStyle w:val="15"/>
        <w:spacing w:line="360" w:lineRule="auto"/>
        <w:ind w:firstLine="0"/>
        <w:rPr>
          <w:rFonts w:hint="default" w:ascii="Times New Roman" w:hAnsi="Times New Roman"/>
          <w:spacing w:val="0"/>
          <w:sz w:val="24"/>
          <w:szCs w:val="22"/>
        </w:rPr>
      </w:pPr>
      <w:bookmarkStart w:id="14" w:name="_Toc28359002"/>
      <w:bookmarkStart w:id="15" w:name="_Toc35393790"/>
      <w:bookmarkStart w:id="16" w:name="_Toc35393621"/>
      <w:bookmarkStart w:id="17" w:name="_Toc28359079"/>
      <w:r>
        <w:rPr>
          <w:rFonts w:hint="default" w:ascii="Times New Roman" w:hAnsi="Times New Roman"/>
          <w:spacing w:val="0"/>
          <w:sz w:val="24"/>
          <w:szCs w:val="22"/>
        </w:rPr>
        <w:t>一、项目基本情况</w:t>
      </w:r>
      <w:bookmarkEnd w:id="14"/>
      <w:bookmarkEnd w:id="15"/>
      <w:bookmarkEnd w:id="16"/>
      <w:bookmarkEnd w:id="17"/>
    </w:p>
    <w:p w14:paraId="26C4D501">
      <w:pPr>
        <w:pStyle w:val="37"/>
        <w:spacing w:before="0" w:beforeAutospacing="0" w:after="0" w:afterAutospacing="0" w:line="360" w:lineRule="auto"/>
        <w:ind w:firstLine="480" w:firstLineChars="200"/>
        <w:rPr>
          <w:rFonts w:hint="eastAsia" w:ascii="Times New Roman" w:hAnsi="Times New Roman" w:eastAsia="宋体"/>
          <w:color w:val="auto"/>
          <w:kern w:val="2"/>
          <w:szCs w:val="22"/>
          <w:lang w:eastAsia="zh-CN"/>
        </w:rPr>
      </w:pPr>
      <w:r>
        <w:rPr>
          <w:rFonts w:hint="default" w:ascii="Times New Roman" w:hAnsi="Times New Roman"/>
          <w:color w:val="auto"/>
          <w:kern w:val="2"/>
          <w:szCs w:val="22"/>
        </w:rPr>
        <w:t>项目编号：</w:t>
      </w:r>
      <w:r>
        <w:rPr>
          <w:rFonts w:hint="eastAsia" w:ascii="Times New Roman" w:hAnsi="Times New Roman"/>
          <w:color w:val="auto"/>
          <w:kern w:val="2"/>
          <w:szCs w:val="22"/>
          <w:lang w:eastAsia="zh-CN"/>
        </w:rPr>
        <w:t>330000263210280000030-HSZB-2026-256</w:t>
      </w:r>
    </w:p>
    <w:p w14:paraId="0D00716F">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项目名称：</w:t>
      </w:r>
      <w:r>
        <w:rPr>
          <w:rFonts w:ascii="Times New Roman" w:hAnsi="Times New Roman"/>
          <w:color w:val="auto"/>
          <w:kern w:val="2"/>
          <w:szCs w:val="22"/>
        </w:rPr>
        <w:t>浙江省中医院医学整形美容科（西溪）运营服务</w:t>
      </w:r>
    </w:p>
    <w:p w14:paraId="3272DE20">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预算金额（元）：</w:t>
      </w:r>
      <w:r>
        <w:rPr>
          <w:rFonts w:ascii="Times New Roman" w:hAnsi="Times New Roman"/>
          <w:color w:val="auto"/>
          <w:kern w:val="2"/>
          <w:szCs w:val="22"/>
        </w:rPr>
        <w:t>9600000.00</w:t>
      </w:r>
    </w:p>
    <w:p w14:paraId="4CE12841">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最高限价（折扣</w:t>
      </w:r>
      <w:r>
        <w:rPr>
          <w:rFonts w:ascii="Times New Roman" w:hAnsi="Times New Roman"/>
          <w:color w:val="auto"/>
          <w:kern w:val="2"/>
          <w:szCs w:val="22"/>
        </w:rPr>
        <w:t>率</w:t>
      </w:r>
      <w:r>
        <w:rPr>
          <w:rFonts w:hint="default" w:ascii="Times New Roman" w:hAnsi="Times New Roman"/>
          <w:color w:val="auto"/>
          <w:kern w:val="2"/>
          <w:szCs w:val="22"/>
        </w:rPr>
        <w:t>）：</w:t>
      </w:r>
      <w:r>
        <w:rPr>
          <w:rFonts w:ascii="Times New Roman" w:hAnsi="Times New Roman"/>
          <w:color w:val="auto"/>
          <w:kern w:val="2"/>
          <w:szCs w:val="22"/>
        </w:rPr>
        <w:t>30</w:t>
      </w:r>
      <w:r>
        <w:rPr>
          <w:rFonts w:hint="default" w:ascii="Times New Roman" w:hAnsi="Times New Roman"/>
          <w:color w:val="auto"/>
          <w:kern w:val="2"/>
          <w:szCs w:val="22"/>
        </w:rPr>
        <w:t>%</w:t>
      </w:r>
    </w:p>
    <w:p w14:paraId="6E5230A0">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采购需求：</w:t>
      </w:r>
      <w:bookmarkStart w:id="179" w:name="_GoBack"/>
      <w:bookmarkEnd w:id="179"/>
    </w:p>
    <w:p w14:paraId="78C6E556">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标项名称：</w:t>
      </w:r>
      <w:r>
        <w:rPr>
          <w:rFonts w:ascii="Times New Roman" w:hAnsi="Times New Roman"/>
          <w:color w:val="auto"/>
          <w:kern w:val="2"/>
          <w:szCs w:val="22"/>
        </w:rPr>
        <w:t>浙江省中医院医学整形美容科（西溪）运营服务</w:t>
      </w:r>
    </w:p>
    <w:p w14:paraId="42E5CA0A">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数量：1</w:t>
      </w:r>
    </w:p>
    <w:p w14:paraId="57DDDA7E">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预算金额（元）：</w:t>
      </w:r>
      <w:r>
        <w:rPr>
          <w:rFonts w:ascii="Times New Roman" w:hAnsi="Times New Roman"/>
          <w:color w:val="auto"/>
          <w:kern w:val="2"/>
          <w:szCs w:val="22"/>
        </w:rPr>
        <w:t>9600000</w:t>
      </w:r>
    </w:p>
    <w:p w14:paraId="0C5306A9">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简要规格描述或项目基本概况介绍、用途：详见第四章采购内容及需求。</w:t>
      </w:r>
    </w:p>
    <w:p w14:paraId="3EEEA893">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备注：</w:t>
      </w:r>
      <w:r>
        <w:rPr>
          <w:rFonts w:ascii="Times New Roman" w:hAnsi="Times New Roman"/>
          <w:color w:val="auto"/>
          <w:kern w:val="2"/>
          <w:szCs w:val="22"/>
        </w:rPr>
        <w:t>/</w:t>
      </w:r>
    </w:p>
    <w:p w14:paraId="2071987A">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合同履约期限：</w:t>
      </w:r>
      <w:r>
        <w:rPr>
          <w:rFonts w:cs="宋体"/>
          <w:color w:val="auto"/>
        </w:rPr>
        <w:t>服务期2年</w:t>
      </w:r>
      <w:r>
        <w:rPr>
          <w:rFonts w:ascii="Times New Roman" w:hAnsi="Times New Roman"/>
          <w:color w:val="auto"/>
          <w:kern w:val="2"/>
          <w:szCs w:val="22"/>
        </w:rPr>
        <w:t>。</w:t>
      </w:r>
    </w:p>
    <w:p w14:paraId="3B318E18">
      <w:pPr>
        <w:pStyle w:val="37"/>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本项目（</w:t>
      </w:r>
      <w:r>
        <w:rPr>
          <w:rFonts w:ascii="Times New Roman" w:hAnsi="Times New Roman"/>
          <w:color w:val="auto"/>
          <w:kern w:val="2"/>
          <w:szCs w:val="22"/>
        </w:rPr>
        <w:t>是</w:t>
      </w:r>
      <w:r>
        <w:rPr>
          <w:rFonts w:hint="default" w:ascii="Times New Roman" w:hAnsi="Times New Roman"/>
          <w:color w:val="auto"/>
          <w:kern w:val="2"/>
          <w:szCs w:val="22"/>
        </w:rPr>
        <w:t>）接受联合体投标。</w:t>
      </w:r>
    </w:p>
    <w:p w14:paraId="27C8FEBB">
      <w:pPr>
        <w:pStyle w:val="15"/>
        <w:spacing w:line="360" w:lineRule="auto"/>
        <w:ind w:firstLine="0"/>
        <w:rPr>
          <w:rFonts w:hint="default" w:ascii="Times New Roman" w:hAnsi="Times New Roman"/>
          <w:sz w:val="24"/>
          <w:szCs w:val="24"/>
        </w:rPr>
      </w:pPr>
      <w:r>
        <w:rPr>
          <w:rFonts w:hint="default" w:ascii="Times New Roman" w:hAnsi="Times New Roman"/>
          <w:sz w:val="24"/>
          <w:szCs w:val="24"/>
        </w:rPr>
        <w:t>二、申请人的资格要求：</w:t>
      </w:r>
    </w:p>
    <w:p w14:paraId="66044A5D">
      <w:pPr>
        <w:spacing w:line="360" w:lineRule="auto"/>
        <w:ind w:firstLine="480" w:firstLineChars="200"/>
        <w:rPr>
          <w:rFonts w:hint="default"/>
          <w:sz w:val="24"/>
        </w:rPr>
      </w:pPr>
      <w:r>
        <w:rPr>
          <w:rFonts w:hint="default"/>
          <w:sz w:val="24"/>
        </w:rPr>
        <w:t>1.满足《中华人民共和国政府采购法》第二十二条规定；未被“信用中国”（www.creditchina.gov.cn)、中国政府采购网（www.ccgp.gov.cn）列入失信被执行人、</w:t>
      </w:r>
      <w:r>
        <w:rPr>
          <w:sz w:val="24"/>
        </w:rPr>
        <w:t>重大税收违法失信主体</w:t>
      </w:r>
      <w:r>
        <w:rPr>
          <w:rFonts w:hint="default"/>
          <w:sz w:val="24"/>
        </w:rPr>
        <w:t>、政府采购严重违法失信行为记录名单。</w:t>
      </w:r>
    </w:p>
    <w:p w14:paraId="1D5AB2C7">
      <w:pPr>
        <w:spacing w:line="360" w:lineRule="auto"/>
        <w:ind w:firstLine="480" w:firstLineChars="200"/>
        <w:rPr>
          <w:rFonts w:hint="default"/>
          <w:sz w:val="24"/>
        </w:rPr>
      </w:pPr>
      <w:r>
        <w:rPr>
          <w:rFonts w:hint="default"/>
          <w:sz w:val="24"/>
        </w:rPr>
        <w:t>2.落实政府采购政策需满足的资格要求：</w:t>
      </w:r>
      <w:r>
        <w:rPr>
          <w:sz w:val="24"/>
        </w:rPr>
        <w:t>本项目属于专门面向中小企业采购的项目，提供服务的供应商应为中小微企业（监狱企业、残疾人福利性单位视同小微企业）</w:t>
      </w:r>
      <w:r>
        <w:rPr>
          <w:rFonts w:ascii="宋体" w:hAnsi="宋体" w:cs="宋体"/>
          <w:sz w:val="24"/>
        </w:rPr>
        <w:t>。</w:t>
      </w:r>
    </w:p>
    <w:p w14:paraId="291A018C">
      <w:pPr>
        <w:spacing w:line="360" w:lineRule="auto"/>
        <w:ind w:firstLine="480" w:firstLineChars="200"/>
        <w:rPr>
          <w:rFonts w:hint="default"/>
          <w:i/>
          <w:iCs/>
          <w:sz w:val="24"/>
          <w:szCs w:val="24"/>
          <w:u w:val="single"/>
        </w:rPr>
      </w:pPr>
      <w:r>
        <w:rPr>
          <w:rFonts w:hint="default"/>
          <w:sz w:val="24"/>
        </w:rPr>
        <w:t>3.本项目的特定资格要求：</w:t>
      </w:r>
      <w:r>
        <w:rPr>
          <w:rFonts w:ascii="宋体" w:hAnsi="宋体" w:cs="宋体"/>
          <w:sz w:val="24"/>
        </w:rPr>
        <w:t>无</w:t>
      </w:r>
      <w:r>
        <w:rPr>
          <w:rFonts w:hint="default"/>
          <w:b/>
          <w:sz w:val="24"/>
          <w:szCs w:val="24"/>
        </w:rPr>
        <w:t>。</w:t>
      </w:r>
    </w:p>
    <w:p w14:paraId="3710EBBC">
      <w:pPr>
        <w:pStyle w:val="3"/>
        <w:spacing w:before="0" w:after="0" w:line="360" w:lineRule="auto"/>
        <w:rPr>
          <w:rFonts w:hint="default" w:ascii="Times New Roman" w:hAnsi="Times New Roman" w:eastAsia="宋体"/>
          <w:b w:val="0"/>
          <w:sz w:val="24"/>
          <w:szCs w:val="24"/>
        </w:rPr>
      </w:pPr>
      <w:bookmarkStart w:id="18" w:name="_Toc35393623"/>
      <w:bookmarkStart w:id="19" w:name="_Toc35393792"/>
      <w:r>
        <w:rPr>
          <w:rFonts w:hint="default" w:ascii="Times New Roman" w:hAnsi="Times New Roman" w:eastAsia="宋体"/>
          <w:b w:val="0"/>
          <w:sz w:val="24"/>
          <w:szCs w:val="24"/>
        </w:rPr>
        <w:t>三、获取（下载）招标文件</w:t>
      </w:r>
      <w:bookmarkEnd w:id="18"/>
      <w:bookmarkEnd w:id="19"/>
    </w:p>
    <w:p w14:paraId="09D4C148">
      <w:pPr>
        <w:spacing w:line="360" w:lineRule="auto"/>
        <w:ind w:firstLine="540"/>
        <w:rPr>
          <w:rFonts w:hint="default"/>
          <w:sz w:val="24"/>
        </w:rPr>
      </w:pPr>
      <w:r>
        <w:rPr>
          <w:rFonts w:hint="default"/>
          <w:sz w:val="24"/>
        </w:rPr>
        <w:t>1.时间：/至</w:t>
      </w:r>
      <w:r>
        <w:rPr>
          <w:sz w:val="24"/>
        </w:rPr>
        <w:t>2026年0</w:t>
      </w:r>
      <w:r>
        <w:rPr>
          <w:rFonts w:hint="eastAsia"/>
          <w:sz w:val="24"/>
          <w:lang w:val="en-US" w:eastAsia="zh-CN"/>
        </w:rPr>
        <w:t>4</w:t>
      </w:r>
      <w:r>
        <w:rPr>
          <w:sz w:val="24"/>
        </w:rPr>
        <w:t>月</w:t>
      </w:r>
      <w:r>
        <w:rPr>
          <w:rFonts w:hint="eastAsia"/>
          <w:sz w:val="24"/>
          <w:lang w:val="en-US" w:eastAsia="zh-CN"/>
        </w:rPr>
        <w:t>17</w:t>
      </w:r>
      <w:r>
        <w:rPr>
          <w:sz w:val="24"/>
        </w:rPr>
        <w:t>日</w:t>
      </w:r>
      <w:r>
        <w:rPr>
          <w:rFonts w:hint="default"/>
          <w:sz w:val="24"/>
        </w:rPr>
        <w:t>，每天上午00:00至12:00，下午12:00至23:59（北京时间，线上获取法定节假日均可，线下获取文件法定节假日除外）。</w:t>
      </w:r>
    </w:p>
    <w:p w14:paraId="2EFAEFD3">
      <w:pPr>
        <w:spacing w:line="360" w:lineRule="auto"/>
        <w:ind w:firstLine="540"/>
        <w:rPr>
          <w:rFonts w:hint="default"/>
          <w:sz w:val="24"/>
        </w:rPr>
      </w:pPr>
      <w:r>
        <w:rPr>
          <w:rFonts w:hint="default"/>
          <w:sz w:val="24"/>
        </w:rPr>
        <w:t>2.地点（网址）：政采云平台线上获取</w:t>
      </w:r>
    </w:p>
    <w:p w14:paraId="20DE6844">
      <w:pPr>
        <w:spacing w:line="360" w:lineRule="auto"/>
        <w:ind w:firstLine="540"/>
        <w:rPr>
          <w:rFonts w:hint="default"/>
          <w:sz w:val="24"/>
        </w:rPr>
      </w:pPr>
      <w:r>
        <w:rPr>
          <w:rFonts w:hint="default"/>
          <w:sz w:val="24"/>
        </w:rPr>
        <w:t>3.方式：（1）线上获取（登录政府采购云平台 → 项目采购 → 获取采购文件 → 申请，审核通过后可下载招标文件）。本次招标不提供纸质版招标文件。（2）供应商获取招标文件前应通过浙江政府采购网“浙江政府采购供应商信息登记管理系统”进行信息登记，获得线上政府采购活动操作权限。</w:t>
      </w:r>
    </w:p>
    <w:p w14:paraId="2DC1452E">
      <w:pPr>
        <w:spacing w:line="360" w:lineRule="auto"/>
        <w:ind w:firstLine="540"/>
        <w:rPr>
          <w:rFonts w:hint="default"/>
          <w:sz w:val="24"/>
        </w:rPr>
      </w:pPr>
      <w:r>
        <w:rPr>
          <w:rFonts w:hint="default"/>
          <w:sz w:val="24"/>
        </w:rPr>
        <w:t>4.售价（元）：0</w:t>
      </w:r>
    </w:p>
    <w:p w14:paraId="351DF6F6">
      <w:pPr>
        <w:pStyle w:val="3"/>
        <w:spacing w:before="0" w:after="0" w:line="360" w:lineRule="auto"/>
        <w:rPr>
          <w:rFonts w:hint="default" w:ascii="Times New Roman" w:hAnsi="Times New Roman" w:eastAsia="宋体"/>
          <w:b w:val="0"/>
          <w:sz w:val="24"/>
          <w:szCs w:val="24"/>
        </w:rPr>
      </w:pPr>
      <w:bookmarkStart w:id="20" w:name="_Toc28359005"/>
      <w:bookmarkStart w:id="21" w:name="_Toc28359082"/>
      <w:bookmarkStart w:id="22" w:name="_Toc35393793"/>
      <w:bookmarkStart w:id="23" w:name="_Toc35393624"/>
      <w:r>
        <w:rPr>
          <w:rFonts w:hint="default" w:ascii="Times New Roman" w:hAnsi="Times New Roman" w:eastAsia="宋体"/>
          <w:b w:val="0"/>
          <w:sz w:val="24"/>
          <w:szCs w:val="24"/>
        </w:rPr>
        <w:t>四、提交投标文件</w:t>
      </w:r>
      <w:bookmarkEnd w:id="20"/>
      <w:bookmarkEnd w:id="21"/>
      <w:r>
        <w:rPr>
          <w:rFonts w:hint="default" w:ascii="Times New Roman" w:hAnsi="Times New Roman" w:eastAsia="宋体"/>
          <w:b w:val="0"/>
          <w:sz w:val="24"/>
          <w:szCs w:val="24"/>
        </w:rPr>
        <w:t>截止时间、开标时间和地点</w:t>
      </w:r>
      <w:bookmarkEnd w:id="22"/>
      <w:bookmarkEnd w:id="23"/>
    </w:p>
    <w:p w14:paraId="04E18561">
      <w:pPr>
        <w:spacing w:line="360" w:lineRule="auto"/>
        <w:ind w:firstLine="480" w:firstLineChars="200"/>
        <w:rPr>
          <w:rFonts w:hint="default"/>
          <w:bCs/>
          <w:sz w:val="24"/>
        </w:rPr>
      </w:pPr>
      <w:r>
        <w:rPr>
          <w:rFonts w:hint="default"/>
          <w:bCs/>
          <w:sz w:val="24"/>
        </w:rPr>
        <w:t>提交投标文件截止时间：</w:t>
      </w:r>
      <w:r>
        <w:rPr>
          <w:sz w:val="24"/>
        </w:rPr>
        <w:t>2026年0</w:t>
      </w:r>
      <w:r>
        <w:rPr>
          <w:rFonts w:hint="eastAsia"/>
          <w:sz w:val="24"/>
          <w:lang w:val="en-US" w:eastAsia="zh-CN"/>
        </w:rPr>
        <w:t>4</w:t>
      </w:r>
      <w:r>
        <w:rPr>
          <w:sz w:val="24"/>
        </w:rPr>
        <w:t>月</w:t>
      </w:r>
      <w:r>
        <w:rPr>
          <w:rFonts w:hint="eastAsia"/>
          <w:sz w:val="24"/>
          <w:lang w:val="en-US" w:eastAsia="zh-CN"/>
        </w:rPr>
        <w:t>17</w:t>
      </w:r>
      <w:r>
        <w:rPr>
          <w:sz w:val="24"/>
        </w:rPr>
        <w:t>日</w:t>
      </w:r>
      <w:r>
        <w:rPr>
          <w:rFonts w:hint="eastAsia"/>
          <w:sz w:val="24"/>
          <w:lang w:val="en-US" w:eastAsia="zh-CN"/>
        </w:rPr>
        <w:t>13</w:t>
      </w:r>
      <w:r>
        <w:rPr>
          <w:sz w:val="24"/>
        </w:rPr>
        <w:t>:</w:t>
      </w:r>
      <w:r>
        <w:rPr>
          <w:rFonts w:hint="eastAsia"/>
          <w:sz w:val="24"/>
          <w:lang w:val="en-US" w:eastAsia="zh-CN"/>
        </w:rPr>
        <w:t>3</w:t>
      </w:r>
      <w:r>
        <w:rPr>
          <w:sz w:val="24"/>
        </w:rPr>
        <w:t>0</w:t>
      </w:r>
      <w:r>
        <w:rPr>
          <w:rFonts w:hint="default"/>
          <w:sz w:val="24"/>
        </w:rPr>
        <w:t>（北京时间）</w:t>
      </w:r>
    </w:p>
    <w:p w14:paraId="32866C7E">
      <w:pPr>
        <w:spacing w:line="360" w:lineRule="auto"/>
        <w:ind w:firstLine="480" w:firstLineChars="200"/>
        <w:rPr>
          <w:rFonts w:hint="default"/>
          <w:bCs/>
          <w:sz w:val="24"/>
        </w:rPr>
      </w:pPr>
      <w:r>
        <w:rPr>
          <w:rFonts w:hint="default"/>
          <w:bCs/>
          <w:sz w:val="24"/>
        </w:rPr>
        <w:t>投标地点（网址）：（1）“电子加密投标文件”：https://www.zcygov.cn在线投标；（2）“电子备份投标文件”：杭州市拱墅区大关路179号远洋国际中心A座17楼1706室。</w:t>
      </w:r>
    </w:p>
    <w:p w14:paraId="28A20FEF">
      <w:pPr>
        <w:spacing w:line="360" w:lineRule="auto"/>
        <w:ind w:firstLine="480" w:firstLineChars="200"/>
        <w:rPr>
          <w:rFonts w:hint="default"/>
          <w:bCs/>
          <w:sz w:val="24"/>
        </w:rPr>
      </w:pPr>
      <w:r>
        <w:rPr>
          <w:rFonts w:hint="default"/>
          <w:bCs/>
          <w:sz w:val="24"/>
        </w:rPr>
        <w:t>开标时间：</w:t>
      </w:r>
      <w:r>
        <w:rPr>
          <w:sz w:val="24"/>
        </w:rPr>
        <w:t>2026年0</w:t>
      </w:r>
      <w:r>
        <w:rPr>
          <w:rFonts w:hint="eastAsia"/>
          <w:sz w:val="24"/>
          <w:lang w:val="en-US" w:eastAsia="zh-CN"/>
        </w:rPr>
        <w:t>4</w:t>
      </w:r>
      <w:r>
        <w:rPr>
          <w:sz w:val="24"/>
        </w:rPr>
        <w:t>月</w:t>
      </w:r>
      <w:r>
        <w:rPr>
          <w:rFonts w:hint="eastAsia"/>
          <w:sz w:val="24"/>
          <w:lang w:val="en-US" w:eastAsia="zh-CN"/>
        </w:rPr>
        <w:t>17</w:t>
      </w:r>
      <w:r>
        <w:rPr>
          <w:sz w:val="24"/>
        </w:rPr>
        <w:t>日</w:t>
      </w:r>
      <w:r>
        <w:rPr>
          <w:rFonts w:hint="eastAsia"/>
          <w:sz w:val="24"/>
          <w:lang w:val="en-US" w:eastAsia="zh-CN"/>
        </w:rPr>
        <w:t>13</w:t>
      </w:r>
      <w:r>
        <w:rPr>
          <w:sz w:val="24"/>
        </w:rPr>
        <w:t>:</w:t>
      </w:r>
      <w:r>
        <w:rPr>
          <w:rFonts w:hint="eastAsia"/>
          <w:sz w:val="24"/>
          <w:lang w:val="en-US" w:eastAsia="zh-CN"/>
        </w:rPr>
        <w:t>3</w:t>
      </w:r>
      <w:r>
        <w:rPr>
          <w:sz w:val="24"/>
        </w:rPr>
        <w:t>0</w:t>
      </w:r>
    </w:p>
    <w:p w14:paraId="6D52C5D0">
      <w:pPr>
        <w:spacing w:line="360" w:lineRule="auto"/>
        <w:ind w:firstLine="480" w:firstLineChars="200"/>
        <w:rPr>
          <w:rFonts w:hint="default"/>
          <w:bCs/>
          <w:sz w:val="24"/>
        </w:rPr>
      </w:pPr>
      <w:r>
        <w:rPr>
          <w:rFonts w:hint="default"/>
          <w:bCs/>
          <w:sz w:val="24"/>
        </w:rPr>
        <w:t>开标地点（网址）：https://www.zcygov.cn</w:t>
      </w:r>
    </w:p>
    <w:p w14:paraId="6E494EEC">
      <w:pPr>
        <w:pStyle w:val="3"/>
        <w:spacing w:before="0" w:after="0" w:line="360" w:lineRule="auto"/>
        <w:rPr>
          <w:rFonts w:hint="default" w:ascii="Times New Roman" w:hAnsi="Times New Roman" w:eastAsia="宋体"/>
          <w:b w:val="0"/>
          <w:sz w:val="24"/>
          <w:szCs w:val="24"/>
        </w:rPr>
      </w:pPr>
      <w:bookmarkStart w:id="24" w:name="_Toc28359084"/>
      <w:bookmarkStart w:id="25" w:name="_Toc35393625"/>
      <w:bookmarkStart w:id="26" w:name="_Toc28359007"/>
      <w:bookmarkStart w:id="27" w:name="_Toc35393794"/>
      <w:r>
        <w:rPr>
          <w:rFonts w:hint="default" w:ascii="Times New Roman" w:hAnsi="Times New Roman" w:eastAsia="宋体"/>
          <w:b w:val="0"/>
          <w:sz w:val="24"/>
          <w:szCs w:val="24"/>
        </w:rPr>
        <w:t>五、公告期限</w:t>
      </w:r>
      <w:bookmarkEnd w:id="24"/>
      <w:bookmarkEnd w:id="25"/>
      <w:bookmarkEnd w:id="26"/>
      <w:bookmarkEnd w:id="27"/>
    </w:p>
    <w:p w14:paraId="4C79A66F">
      <w:pPr>
        <w:spacing w:line="360" w:lineRule="auto"/>
        <w:ind w:firstLine="480" w:firstLineChars="200"/>
        <w:rPr>
          <w:rFonts w:hint="default"/>
          <w:kern w:val="0"/>
          <w:sz w:val="24"/>
        </w:rPr>
      </w:pPr>
      <w:r>
        <w:rPr>
          <w:rFonts w:hint="default"/>
          <w:kern w:val="0"/>
          <w:sz w:val="24"/>
        </w:rPr>
        <w:t>自本公告发布之日起5个工作日。</w:t>
      </w:r>
    </w:p>
    <w:p w14:paraId="3D82D301">
      <w:pPr>
        <w:pStyle w:val="3"/>
        <w:spacing w:before="0" w:after="0" w:line="360" w:lineRule="auto"/>
        <w:rPr>
          <w:rFonts w:hint="default" w:ascii="Times New Roman" w:hAnsi="Times New Roman" w:eastAsia="宋体"/>
          <w:b w:val="0"/>
          <w:sz w:val="24"/>
          <w:szCs w:val="24"/>
        </w:rPr>
      </w:pPr>
      <w:bookmarkStart w:id="28" w:name="_Toc35393795"/>
      <w:bookmarkStart w:id="29" w:name="_Toc35393626"/>
      <w:r>
        <w:rPr>
          <w:rFonts w:hint="default" w:ascii="Times New Roman" w:hAnsi="Times New Roman" w:eastAsia="宋体"/>
          <w:b w:val="0"/>
          <w:sz w:val="24"/>
          <w:szCs w:val="24"/>
        </w:rPr>
        <w:t>六、其他补充事宜</w:t>
      </w:r>
      <w:bookmarkEnd w:id="28"/>
      <w:bookmarkEnd w:id="29"/>
    </w:p>
    <w:p w14:paraId="6D2C0D3B">
      <w:pPr>
        <w:spacing w:line="360" w:lineRule="auto"/>
        <w:ind w:firstLine="480" w:firstLineChars="200"/>
        <w:rPr>
          <w:rFonts w:hint="default"/>
          <w:kern w:val="0"/>
          <w:sz w:val="24"/>
        </w:rPr>
      </w:pPr>
      <w:r>
        <w:rPr>
          <w:rFonts w:hint="default"/>
          <w:kern w:val="0"/>
          <w:sz w:val="24"/>
        </w:rPr>
        <w:t> </w:t>
      </w:r>
      <w:r>
        <w:rPr>
          <w:kern w:val="0"/>
          <w:sz w:val="24"/>
        </w:rPr>
        <w:t>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kern w:val="0"/>
          <w:sz w:val="24"/>
        </w:rPr>
        <w:t>。</w:t>
      </w:r>
    </w:p>
    <w:p w14:paraId="46A61E01">
      <w:pPr>
        <w:spacing w:line="360" w:lineRule="auto"/>
        <w:ind w:firstLine="480" w:firstLineChars="200"/>
        <w:rPr>
          <w:rFonts w:hint="default"/>
          <w:kern w:val="0"/>
          <w:sz w:val="24"/>
        </w:rPr>
      </w:pPr>
      <w:r>
        <w:rPr>
          <w:kern w:val="0"/>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0DEBAF0">
      <w:pPr>
        <w:spacing w:line="360" w:lineRule="auto"/>
        <w:ind w:firstLine="480" w:firstLineChars="200"/>
        <w:rPr>
          <w:rFonts w:hint="default"/>
          <w:kern w:val="0"/>
          <w:sz w:val="24"/>
        </w:rPr>
      </w:pPr>
      <w:r>
        <w:rPr>
          <w:kern w:val="0"/>
          <w:sz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25B6DE">
      <w:pPr>
        <w:spacing w:line="360" w:lineRule="auto"/>
        <w:ind w:firstLine="480" w:firstLineChars="200"/>
        <w:rPr>
          <w:rFonts w:hint="default"/>
          <w:kern w:val="0"/>
          <w:sz w:val="24"/>
        </w:rPr>
      </w:pPr>
      <w:r>
        <w:rPr>
          <w:kern w:val="0"/>
          <w:sz w:val="24"/>
        </w:rPr>
        <w:t>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单位负责人为同一人或者存在直接控股、管理关系的不同供应商，不得同时参加同一合同项下的投标。（3）为项目提供整体设计、规范编制或者项目管理、监理、检测等服务的供应商，不得再参加该采购项目的其他采购活动。（4）本项目不收取投标保证金。（5）招标文件公告期限与招标公告的公告期限一致。</w:t>
      </w:r>
    </w:p>
    <w:p w14:paraId="4E0376FB">
      <w:pPr>
        <w:pStyle w:val="15"/>
        <w:spacing w:line="360" w:lineRule="auto"/>
        <w:ind w:firstLine="0"/>
        <w:rPr>
          <w:rFonts w:hint="default" w:ascii="Times New Roman" w:hAnsi="Times New Roman"/>
          <w:sz w:val="24"/>
          <w:szCs w:val="24"/>
        </w:rPr>
      </w:pPr>
      <w:r>
        <w:rPr>
          <w:rFonts w:hint="default" w:ascii="Times New Roman" w:hAnsi="Times New Roman"/>
          <w:sz w:val="24"/>
          <w:szCs w:val="24"/>
        </w:rPr>
        <w:t>七、对本次招标提出询问、质疑、投诉，请按以下方式联系。</w:t>
      </w:r>
    </w:p>
    <w:p w14:paraId="517200B2">
      <w:pPr>
        <w:spacing w:line="360" w:lineRule="auto"/>
        <w:ind w:firstLine="480" w:firstLineChars="200"/>
        <w:rPr>
          <w:rFonts w:hint="default"/>
          <w:kern w:val="0"/>
          <w:sz w:val="24"/>
        </w:rPr>
      </w:pPr>
      <w:r>
        <w:rPr>
          <w:rFonts w:hint="default"/>
          <w:sz w:val="24"/>
        </w:rPr>
        <w:t>1.</w:t>
      </w:r>
      <w:r>
        <w:rPr>
          <w:kern w:val="0"/>
          <w:sz w:val="24"/>
        </w:rPr>
        <w:t>采购人信息</w:t>
      </w:r>
    </w:p>
    <w:p w14:paraId="6181B0E3">
      <w:pPr>
        <w:spacing w:line="360" w:lineRule="auto"/>
        <w:ind w:firstLine="480" w:firstLineChars="200"/>
        <w:rPr>
          <w:rFonts w:hint="default"/>
          <w:kern w:val="0"/>
          <w:sz w:val="24"/>
        </w:rPr>
      </w:pPr>
      <w:r>
        <w:rPr>
          <w:kern w:val="0"/>
          <w:sz w:val="24"/>
        </w:rPr>
        <w:t>名称：浙江省中医院</w:t>
      </w:r>
    </w:p>
    <w:p w14:paraId="78666BB2">
      <w:pPr>
        <w:pStyle w:val="15"/>
        <w:spacing w:line="360" w:lineRule="auto"/>
        <w:ind w:firstLine="464" w:firstLineChars="200"/>
        <w:rPr>
          <w:rFonts w:hint="default" w:ascii="Times New Roman" w:hAnsi="Times New Roman"/>
          <w:kern w:val="0"/>
          <w:sz w:val="24"/>
        </w:rPr>
      </w:pPr>
      <w:r>
        <w:rPr>
          <w:rFonts w:ascii="Times New Roman" w:hAnsi="Times New Roman"/>
          <w:kern w:val="0"/>
          <w:sz w:val="24"/>
        </w:rPr>
        <w:t>地址：浙江省杭州市钱塘区9号大街9号</w:t>
      </w:r>
    </w:p>
    <w:p w14:paraId="0642BD72">
      <w:pPr>
        <w:spacing w:line="360" w:lineRule="auto"/>
        <w:ind w:firstLine="480" w:firstLineChars="200"/>
        <w:rPr>
          <w:rFonts w:hint="default"/>
          <w:kern w:val="0"/>
          <w:sz w:val="24"/>
        </w:rPr>
      </w:pPr>
      <w:r>
        <w:rPr>
          <w:kern w:val="0"/>
          <w:sz w:val="24"/>
        </w:rPr>
        <w:t>传  真：/</w:t>
      </w:r>
    </w:p>
    <w:p w14:paraId="2AACB3B3">
      <w:pPr>
        <w:spacing w:line="360" w:lineRule="auto"/>
        <w:ind w:firstLine="480" w:firstLineChars="200"/>
        <w:rPr>
          <w:rFonts w:hint="default"/>
          <w:kern w:val="0"/>
          <w:sz w:val="24"/>
        </w:rPr>
      </w:pPr>
      <w:r>
        <w:rPr>
          <w:kern w:val="0"/>
          <w:sz w:val="24"/>
        </w:rPr>
        <w:t>项目联系人（询问）：</w:t>
      </w:r>
      <w:r>
        <w:rPr>
          <w:spacing w:val="-4"/>
          <w:kern w:val="0"/>
          <w:sz w:val="24"/>
          <w:szCs w:val="24"/>
        </w:rPr>
        <w:t>张老师</w:t>
      </w:r>
    </w:p>
    <w:p w14:paraId="2FD3D25B">
      <w:pPr>
        <w:spacing w:line="360" w:lineRule="auto"/>
        <w:ind w:firstLine="480" w:firstLineChars="200"/>
        <w:rPr>
          <w:rFonts w:hint="default"/>
          <w:kern w:val="0"/>
          <w:sz w:val="24"/>
        </w:rPr>
      </w:pPr>
      <w:r>
        <w:rPr>
          <w:kern w:val="0"/>
          <w:sz w:val="24"/>
        </w:rPr>
        <w:t>项目联系方式（询问）：</w:t>
      </w:r>
      <w:r>
        <w:rPr>
          <w:spacing w:val="-4"/>
          <w:kern w:val="0"/>
          <w:sz w:val="24"/>
          <w:szCs w:val="24"/>
        </w:rPr>
        <w:t>0571-87070502</w:t>
      </w:r>
    </w:p>
    <w:p w14:paraId="569F398E">
      <w:pPr>
        <w:pStyle w:val="15"/>
        <w:spacing w:line="360" w:lineRule="auto"/>
        <w:ind w:firstLine="464" w:firstLineChars="200"/>
        <w:rPr>
          <w:rFonts w:hint="default" w:ascii="Times New Roman" w:hAnsi="Times New Roman"/>
          <w:kern w:val="0"/>
          <w:sz w:val="24"/>
        </w:rPr>
      </w:pPr>
      <w:r>
        <w:rPr>
          <w:rFonts w:hint="default" w:ascii="Times New Roman" w:hAnsi="Times New Roman"/>
          <w:kern w:val="0"/>
          <w:sz w:val="24"/>
        </w:rPr>
        <w:t>质疑联系人：</w:t>
      </w:r>
      <w:r>
        <w:rPr>
          <w:rFonts w:ascii="Times New Roman" w:hAnsi="Times New Roman"/>
          <w:kern w:val="0"/>
          <w:sz w:val="24"/>
        </w:rPr>
        <w:t>唐老师</w:t>
      </w:r>
    </w:p>
    <w:p w14:paraId="16FF171F">
      <w:pPr>
        <w:pStyle w:val="15"/>
        <w:spacing w:line="360" w:lineRule="auto"/>
        <w:ind w:firstLine="464" w:firstLineChars="200"/>
        <w:rPr>
          <w:rFonts w:hint="default" w:ascii="Times New Roman" w:hAnsi="Times New Roman"/>
          <w:kern w:val="0"/>
          <w:sz w:val="24"/>
        </w:rPr>
      </w:pPr>
      <w:r>
        <w:rPr>
          <w:rFonts w:hint="default" w:ascii="Times New Roman" w:hAnsi="Times New Roman"/>
          <w:kern w:val="0"/>
          <w:sz w:val="24"/>
        </w:rPr>
        <w:t>质疑联系方式：0571- 87073699</w:t>
      </w:r>
    </w:p>
    <w:p w14:paraId="32FC7FA2">
      <w:pPr>
        <w:spacing w:line="360" w:lineRule="auto"/>
        <w:ind w:firstLine="480" w:firstLineChars="200"/>
        <w:rPr>
          <w:rFonts w:hint="default"/>
          <w:kern w:val="0"/>
          <w:sz w:val="24"/>
        </w:rPr>
      </w:pPr>
      <w:r>
        <w:rPr>
          <w:kern w:val="0"/>
          <w:sz w:val="24"/>
        </w:rPr>
        <w:t>2.采购代理机构信息</w:t>
      </w:r>
    </w:p>
    <w:p w14:paraId="1E4B4FF9">
      <w:pPr>
        <w:spacing w:line="360" w:lineRule="auto"/>
        <w:ind w:firstLine="480" w:firstLineChars="200"/>
        <w:rPr>
          <w:rFonts w:hint="default"/>
          <w:kern w:val="0"/>
          <w:sz w:val="24"/>
        </w:rPr>
      </w:pPr>
      <w:r>
        <w:rPr>
          <w:kern w:val="0"/>
          <w:sz w:val="24"/>
        </w:rPr>
        <w:t>名  称：浙江豪圣建设项目管理有限公司</w:t>
      </w:r>
    </w:p>
    <w:p w14:paraId="5B368EEC">
      <w:pPr>
        <w:spacing w:line="360" w:lineRule="auto"/>
        <w:ind w:firstLine="480" w:firstLineChars="200"/>
        <w:rPr>
          <w:rFonts w:hint="default"/>
          <w:kern w:val="0"/>
          <w:sz w:val="24"/>
        </w:rPr>
      </w:pPr>
      <w:r>
        <w:rPr>
          <w:kern w:val="0"/>
          <w:sz w:val="24"/>
        </w:rPr>
        <w:t>地  址：杭州市拱墅区大关路179号远洋国际中心A座17楼1706室</w:t>
      </w:r>
    </w:p>
    <w:p w14:paraId="28AA5D3F">
      <w:pPr>
        <w:spacing w:line="360" w:lineRule="auto"/>
        <w:ind w:firstLine="480" w:firstLineChars="200"/>
        <w:rPr>
          <w:rFonts w:hint="default"/>
          <w:kern w:val="0"/>
          <w:sz w:val="24"/>
        </w:rPr>
      </w:pPr>
      <w:r>
        <w:rPr>
          <w:kern w:val="0"/>
          <w:sz w:val="24"/>
        </w:rPr>
        <w:t>传  真：/</w:t>
      </w:r>
    </w:p>
    <w:p w14:paraId="337F3AD1">
      <w:pPr>
        <w:spacing w:line="360" w:lineRule="auto"/>
        <w:ind w:firstLine="480" w:firstLineChars="200"/>
        <w:rPr>
          <w:rFonts w:hint="default"/>
          <w:kern w:val="0"/>
          <w:sz w:val="24"/>
        </w:rPr>
      </w:pPr>
      <w:r>
        <w:rPr>
          <w:kern w:val="0"/>
          <w:sz w:val="24"/>
        </w:rPr>
        <w:t>项目联系人（询问）：</w:t>
      </w:r>
      <w:r>
        <w:rPr>
          <w:spacing w:val="-4"/>
          <w:kern w:val="0"/>
          <w:sz w:val="24"/>
          <w:szCs w:val="24"/>
        </w:rPr>
        <w:t>桑国坚、曹剑斌、陈敏娇</w:t>
      </w:r>
    </w:p>
    <w:p w14:paraId="69472903">
      <w:pPr>
        <w:spacing w:line="360" w:lineRule="auto"/>
        <w:ind w:firstLine="480" w:firstLineChars="200"/>
        <w:rPr>
          <w:rFonts w:hint="default"/>
          <w:kern w:val="0"/>
          <w:sz w:val="24"/>
        </w:rPr>
      </w:pPr>
      <w:r>
        <w:rPr>
          <w:kern w:val="0"/>
          <w:sz w:val="24"/>
        </w:rPr>
        <w:t>项目联系方式（询问）：</w:t>
      </w:r>
      <w:r>
        <w:rPr>
          <w:spacing w:val="-4"/>
          <w:kern w:val="0"/>
          <w:sz w:val="24"/>
          <w:szCs w:val="24"/>
        </w:rPr>
        <w:t>13064714752</w:t>
      </w:r>
    </w:p>
    <w:p w14:paraId="0CAE7946">
      <w:pPr>
        <w:spacing w:line="360" w:lineRule="auto"/>
        <w:ind w:firstLine="480" w:firstLineChars="200"/>
        <w:rPr>
          <w:rFonts w:hint="default"/>
          <w:kern w:val="0"/>
          <w:sz w:val="24"/>
        </w:rPr>
      </w:pPr>
      <w:r>
        <w:rPr>
          <w:kern w:val="0"/>
          <w:sz w:val="24"/>
        </w:rPr>
        <w:t>质疑联系人：陶传林</w:t>
      </w:r>
    </w:p>
    <w:p w14:paraId="6FCF3CB1">
      <w:pPr>
        <w:spacing w:line="360" w:lineRule="auto"/>
        <w:ind w:firstLine="480" w:firstLineChars="200"/>
        <w:rPr>
          <w:rFonts w:hint="default"/>
          <w:kern w:val="0"/>
          <w:sz w:val="24"/>
        </w:rPr>
      </w:pPr>
      <w:r>
        <w:rPr>
          <w:kern w:val="0"/>
          <w:sz w:val="24"/>
        </w:rPr>
        <w:t>质疑联系方式：0571-56386096</w:t>
      </w:r>
    </w:p>
    <w:p w14:paraId="2F9A5B34">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3.同级政府采购监督管理部门</w:t>
      </w:r>
    </w:p>
    <w:p w14:paraId="497676DF">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名称：浙江省政府采购行政裁决服务中心（杭州市上城区清泰街549号城建综合大楼11楼）</w:t>
      </w:r>
    </w:p>
    <w:p w14:paraId="60619C6D">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地址：杭州市上城区清泰街549号城建综合大楼11楼</w:t>
      </w:r>
    </w:p>
    <w:p w14:paraId="55897CD9">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传真：/</w:t>
      </w:r>
    </w:p>
    <w:p w14:paraId="21C1512B">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联系人：匡老师</w:t>
      </w:r>
    </w:p>
    <w:p w14:paraId="6245E8AC">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监督投诉电话：0571-87807798</w:t>
      </w:r>
    </w:p>
    <w:p w14:paraId="76CCFA8C">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政策咨询：何一平、冯华，0571-87058424、87055741   </w:t>
      </w:r>
    </w:p>
    <w:p w14:paraId="15DB335E">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预算金额未达100万元的采购项目，由采购人处理采购争议。</w:t>
      </w:r>
    </w:p>
    <w:p w14:paraId="7F3853DD">
      <w:pPr>
        <w:autoSpaceDN w:val="0"/>
        <w:adjustRightInd w:val="0"/>
        <w:snapToGrid w:val="0"/>
        <w:spacing w:line="360" w:lineRule="auto"/>
        <w:ind w:firstLine="464" w:firstLineChars="200"/>
        <w:rPr>
          <w:rFonts w:hint="default"/>
        </w:rPr>
      </w:pPr>
      <w:r>
        <w:rPr>
          <w:spacing w:val="-4"/>
          <w:kern w:val="0"/>
          <w:sz w:val="24"/>
          <w:szCs w:val="24"/>
        </w:rPr>
        <w:t>若对项目采购电子交易系统操作有疑问，可登录政采云（https://www.zcygov.cn/），点击右侧咨询小采，获取采小蜜智能服务管家帮助，或拨打政采云服务热线95763获取热线服务帮助。 </w:t>
      </w:r>
    </w:p>
    <w:p w14:paraId="62361493">
      <w:pPr>
        <w:pStyle w:val="37"/>
        <w:ind w:firstLine="480" w:firstLineChars="200"/>
        <w:rPr>
          <w:rFonts w:hint="default" w:ascii="Times New Roman" w:hAnsi="Times New Roman"/>
          <w:color w:val="auto"/>
        </w:rPr>
      </w:pPr>
      <w:r>
        <w:rPr>
          <w:rFonts w:ascii="Times New Roman" w:hAnsi="Times New Roman"/>
          <w:color w:val="auto"/>
        </w:rPr>
        <w:t>CA问题联系电话（人工）：汇信CA 400-888-4636；天谷CA 400-087-8198。</w:t>
      </w:r>
    </w:p>
    <w:p w14:paraId="0F56818E">
      <w:pPr>
        <w:pStyle w:val="15"/>
        <w:spacing w:line="360" w:lineRule="auto"/>
        <w:ind w:firstLine="344" w:firstLineChars="200"/>
        <w:jc w:val="center"/>
        <w:rPr>
          <w:rFonts w:hint="default" w:ascii="Times New Roman" w:hAnsi="Times New Roman"/>
          <w:b/>
          <w:sz w:val="36"/>
          <w:szCs w:val="36"/>
        </w:rPr>
      </w:pPr>
      <w:r>
        <w:rPr>
          <w:rFonts w:hint="default" w:ascii="Times New Roman" w:hAnsi="Times New Roman"/>
        </w:rPr>
        <w:br w:type="page"/>
      </w:r>
      <w:bookmarkStart w:id="30" w:name="_Toc18629"/>
      <w:bookmarkStart w:id="31" w:name="_Toc22012"/>
      <w:r>
        <w:rPr>
          <w:rStyle w:val="143"/>
          <w:rFonts w:hint="default"/>
          <w:sz w:val="32"/>
          <w:szCs w:val="32"/>
        </w:rPr>
        <w:t>第二章  投标人须知</w:t>
      </w:r>
      <w:bookmarkEnd w:id="30"/>
      <w:bookmarkEnd w:id="31"/>
    </w:p>
    <w:p w14:paraId="5A4B2A10">
      <w:pPr>
        <w:snapToGrid w:val="0"/>
        <w:spacing w:beforeLines="50" w:afterLines="50" w:line="360" w:lineRule="auto"/>
        <w:jc w:val="center"/>
        <w:outlineLvl w:val="1"/>
        <w:rPr>
          <w:rFonts w:hint="default"/>
          <w:b/>
          <w:sz w:val="30"/>
          <w:szCs w:val="30"/>
        </w:rPr>
      </w:pPr>
      <w:r>
        <w:rPr>
          <w:rFonts w:hint="default"/>
          <w:b/>
          <w:sz w:val="30"/>
          <w:szCs w:val="30"/>
        </w:rPr>
        <w:t>前附表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7142"/>
      </w:tblGrid>
      <w:tr w14:paraId="1D2F5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C25BE89">
            <w:pPr>
              <w:snapToGrid w:val="0"/>
              <w:jc w:val="center"/>
              <w:rPr>
                <w:rFonts w:hint="default"/>
                <w:sz w:val="24"/>
                <w:szCs w:val="24"/>
              </w:rPr>
            </w:pPr>
            <w:r>
              <w:rPr>
                <w:rFonts w:hint="default"/>
                <w:sz w:val="24"/>
                <w:szCs w:val="24"/>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16DD96B5">
            <w:pPr>
              <w:snapToGrid w:val="0"/>
              <w:jc w:val="center"/>
              <w:rPr>
                <w:rFonts w:hint="default"/>
                <w:sz w:val="24"/>
                <w:szCs w:val="24"/>
              </w:rPr>
            </w:pPr>
            <w:r>
              <w:rPr>
                <w:rFonts w:hint="default"/>
                <w:sz w:val="24"/>
                <w:szCs w:val="24"/>
              </w:rPr>
              <w:t>名称</w:t>
            </w:r>
          </w:p>
        </w:tc>
        <w:tc>
          <w:tcPr>
            <w:tcW w:w="7142" w:type="dxa"/>
            <w:tcBorders>
              <w:top w:val="single" w:color="auto" w:sz="4" w:space="0"/>
              <w:left w:val="single" w:color="auto" w:sz="4" w:space="0"/>
              <w:bottom w:val="single" w:color="auto" w:sz="4" w:space="0"/>
              <w:right w:val="single" w:color="auto" w:sz="4" w:space="0"/>
            </w:tcBorders>
            <w:vAlign w:val="center"/>
          </w:tcPr>
          <w:p w14:paraId="24BBED1D">
            <w:pPr>
              <w:snapToGrid w:val="0"/>
              <w:jc w:val="center"/>
              <w:rPr>
                <w:rFonts w:hint="default"/>
                <w:sz w:val="24"/>
                <w:szCs w:val="24"/>
              </w:rPr>
            </w:pPr>
            <w:r>
              <w:rPr>
                <w:rFonts w:hint="default"/>
                <w:sz w:val="24"/>
                <w:szCs w:val="24"/>
              </w:rPr>
              <w:t>内容</w:t>
            </w:r>
          </w:p>
        </w:tc>
      </w:tr>
      <w:tr w14:paraId="1D6E4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E34F096">
            <w:pPr>
              <w:snapToGrid w:val="0"/>
              <w:jc w:val="center"/>
              <w:rPr>
                <w:rFonts w:hint="default"/>
                <w:sz w:val="24"/>
                <w:szCs w:val="24"/>
              </w:rPr>
            </w:pPr>
            <w:r>
              <w:rPr>
                <w:rFonts w:hint="default"/>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14:paraId="55A39294">
            <w:pPr>
              <w:snapToGrid w:val="0"/>
              <w:jc w:val="center"/>
              <w:rPr>
                <w:rFonts w:hint="default"/>
                <w:sz w:val="24"/>
                <w:szCs w:val="24"/>
              </w:rPr>
            </w:pPr>
            <w:r>
              <w:rPr>
                <w:rFonts w:hint="default"/>
                <w:sz w:val="24"/>
                <w:szCs w:val="24"/>
              </w:rPr>
              <w:t>项目名称</w:t>
            </w:r>
          </w:p>
        </w:tc>
        <w:tc>
          <w:tcPr>
            <w:tcW w:w="7142" w:type="dxa"/>
            <w:tcBorders>
              <w:top w:val="single" w:color="auto" w:sz="4" w:space="0"/>
              <w:left w:val="single" w:color="auto" w:sz="4" w:space="0"/>
              <w:bottom w:val="single" w:color="auto" w:sz="4" w:space="0"/>
              <w:right w:val="single" w:color="auto" w:sz="4" w:space="0"/>
            </w:tcBorders>
            <w:vAlign w:val="center"/>
          </w:tcPr>
          <w:p w14:paraId="51C9BD2B">
            <w:pPr>
              <w:snapToGrid w:val="0"/>
              <w:rPr>
                <w:rFonts w:hint="default"/>
                <w:sz w:val="24"/>
                <w:szCs w:val="24"/>
              </w:rPr>
            </w:pPr>
            <w:r>
              <w:rPr>
                <w:sz w:val="24"/>
                <w:szCs w:val="24"/>
              </w:rPr>
              <w:t>浙江省中医院医学整形美容科（西溪）运营服务</w:t>
            </w:r>
          </w:p>
        </w:tc>
      </w:tr>
      <w:tr w14:paraId="2ADAA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8F5CEFE">
            <w:pPr>
              <w:snapToGrid w:val="0"/>
              <w:jc w:val="center"/>
              <w:rPr>
                <w:rFonts w:hint="default"/>
                <w:sz w:val="24"/>
                <w:szCs w:val="24"/>
              </w:rPr>
            </w:pPr>
            <w:r>
              <w:rPr>
                <w:rFonts w:hint="default"/>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64F44BE5">
            <w:pPr>
              <w:snapToGrid w:val="0"/>
              <w:jc w:val="center"/>
              <w:rPr>
                <w:rFonts w:hint="default"/>
                <w:sz w:val="24"/>
                <w:szCs w:val="24"/>
              </w:rPr>
            </w:pPr>
            <w:r>
              <w:rPr>
                <w:rFonts w:hint="default"/>
                <w:sz w:val="24"/>
                <w:szCs w:val="24"/>
              </w:rPr>
              <w:t>采购内</w:t>
            </w:r>
          </w:p>
          <w:p w14:paraId="6DDBC9AC">
            <w:pPr>
              <w:snapToGrid w:val="0"/>
              <w:jc w:val="center"/>
              <w:rPr>
                <w:rFonts w:hint="default"/>
                <w:sz w:val="24"/>
                <w:szCs w:val="24"/>
              </w:rPr>
            </w:pPr>
            <w:r>
              <w:rPr>
                <w:rFonts w:hint="default"/>
                <w:sz w:val="24"/>
                <w:szCs w:val="24"/>
              </w:rPr>
              <w:t>容及数量</w:t>
            </w:r>
          </w:p>
        </w:tc>
        <w:tc>
          <w:tcPr>
            <w:tcW w:w="7142" w:type="dxa"/>
            <w:tcBorders>
              <w:top w:val="single" w:color="auto" w:sz="4" w:space="0"/>
              <w:left w:val="single" w:color="auto" w:sz="4" w:space="0"/>
              <w:bottom w:val="single" w:color="auto" w:sz="4" w:space="0"/>
              <w:right w:val="single" w:color="auto" w:sz="4" w:space="0"/>
            </w:tcBorders>
            <w:vAlign w:val="center"/>
          </w:tcPr>
          <w:p w14:paraId="385B877F">
            <w:pPr>
              <w:adjustRightInd w:val="0"/>
              <w:snapToGrid w:val="0"/>
              <w:spacing w:line="320" w:lineRule="exact"/>
              <w:rPr>
                <w:rFonts w:hint="default" w:ascii="宋体" w:hAnsi="宋体" w:cs="宋体"/>
                <w:sz w:val="24"/>
                <w:szCs w:val="24"/>
              </w:rPr>
            </w:pPr>
            <w:r>
              <w:rPr>
                <w:rFonts w:ascii="宋体" w:hAnsi="宋体" w:cs="宋体"/>
                <w:sz w:val="24"/>
                <w:szCs w:val="24"/>
              </w:rPr>
              <w:t>采购内容：详见招标文件“第四章采购内容及需求”部分</w:t>
            </w:r>
          </w:p>
          <w:p w14:paraId="2995CC20">
            <w:pPr>
              <w:snapToGrid w:val="0"/>
              <w:rPr>
                <w:rFonts w:hint="default"/>
                <w:sz w:val="24"/>
                <w:szCs w:val="24"/>
              </w:rPr>
            </w:pPr>
            <w:r>
              <w:rPr>
                <w:rFonts w:hAnsi="宋体"/>
                <w:sz w:val="24"/>
              </w:rPr>
              <w:t>数量：1项</w:t>
            </w:r>
          </w:p>
        </w:tc>
      </w:tr>
      <w:tr w14:paraId="1EA0C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CE389F0">
            <w:pPr>
              <w:snapToGrid w:val="0"/>
              <w:jc w:val="center"/>
              <w:rPr>
                <w:rFonts w:hint="default"/>
                <w:sz w:val="24"/>
                <w:szCs w:val="24"/>
              </w:rPr>
            </w:pPr>
            <w:r>
              <w:rPr>
                <w:rFonts w:hint="default"/>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7DA4F502">
            <w:pPr>
              <w:snapToGrid w:val="0"/>
              <w:jc w:val="center"/>
              <w:rPr>
                <w:rFonts w:hint="default"/>
                <w:sz w:val="24"/>
                <w:szCs w:val="24"/>
              </w:rPr>
            </w:pPr>
            <w:r>
              <w:rPr>
                <w:rFonts w:hint="default"/>
                <w:sz w:val="24"/>
                <w:szCs w:val="24"/>
              </w:rPr>
              <w:t>预算金额</w:t>
            </w:r>
          </w:p>
        </w:tc>
        <w:tc>
          <w:tcPr>
            <w:tcW w:w="7142" w:type="dxa"/>
            <w:tcBorders>
              <w:top w:val="single" w:color="auto" w:sz="4" w:space="0"/>
              <w:left w:val="single" w:color="auto" w:sz="4" w:space="0"/>
              <w:bottom w:val="single" w:color="auto" w:sz="4" w:space="0"/>
              <w:right w:val="single" w:color="auto" w:sz="4" w:space="0"/>
            </w:tcBorders>
            <w:vAlign w:val="center"/>
          </w:tcPr>
          <w:p w14:paraId="777601BD">
            <w:pPr>
              <w:snapToGrid w:val="0"/>
              <w:rPr>
                <w:rFonts w:hint="default"/>
                <w:sz w:val="24"/>
                <w:szCs w:val="24"/>
              </w:rPr>
            </w:pPr>
            <w:r>
              <w:rPr>
                <w:rFonts w:hint="default"/>
                <w:sz w:val="24"/>
                <w:szCs w:val="24"/>
              </w:rPr>
              <w:t>详见招标公告</w:t>
            </w:r>
          </w:p>
        </w:tc>
      </w:tr>
      <w:tr w14:paraId="0BC3F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8131958">
            <w:pPr>
              <w:snapToGrid w:val="0"/>
              <w:jc w:val="center"/>
              <w:rPr>
                <w:rFonts w:hint="default"/>
                <w:sz w:val="24"/>
                <w:szCs w:val="24"/>
              </w:rPr>
            </w:pPr>
            <w:r>
              <w:rPr>
                <w:rFonts w:hint="default"/>
                <w:sz w:val="24"/>
                <w:szCs w:val="24"/>
              </w:rPr>
              <w:t>4</w:t>
            </w:r>
          </w:p>
        </w:tc>
        <w:tc>
          <w:tcPr>
            <w:tcW w:w="1440" w:type="dxa"/>
            <w:tcBorders>
              <w:top w:val="single" w:color="auto" w:sz="4" w:space="0"/>
              <w:left w:val="single" w:color="auto" w:sz="4" w:space="0"/>
              <w:bottom w:val="single" w:color="auto" w:sz="4" w:space="0"/>
              <w:right w:val="single" w:color="auto" w:sz="4" w:space="0"/>
            </w:tcBorders>
            <w:vAlign w:val="center"/>
          </w:tcPr>
          <w:p w14:paraId="18FBC3F6">
            <w:pPr>
              <w:snapToGrid w:val="0"/>
              <w:jc w:val="center"/>
              <w:rPr>
                <w:rFonts w:hint="default"/>
                <w:sz w:val="24"/>
                <w:szCs w:val="24"/>
              </w:rPr>
            </w:pPr>
            <w:r>
              <w:rPr>
                <w:rFonts w:hint="default"/>
                <w:sz w:val="24"/>
                <w:szCs w:val="24"/>
              </w:rPr>
              <w:t>公告媒体</w:t>
            </w:r>
          </w:p>
        </w:tc>
        <w:tc>
          <w:tcPr>
            <w:tcW w:w="7142" w:type="dxa"/>
            <w:tcBorders>
              <w:top w:val="single" w:color="auto" w:sz="4" w:space="0"/>
              <w:left w:val="single" w:color="auto" w:sz="4" w:space="0"/>
              <w:bottom w:val="single" w:color="auto" w:sz="4" w:space="0"/>
              <w:right w:val="single" w:color="auto" w:sz="4" w:space="0"/>
            </w:tcBorders>
            <w:vAlign w:val="center"/>
          </w:tcPr>
          <w:p w14:paraId="4430A2F7">
            <w:pPr>
              <w:autoSpaceDE w:val="0"/>
              <w:autoSpaceDN w:val="0"/>
              <w:snapToGrid w:val="0"/>
              <w:textAlignment w:val="bottom"/>
              <w:rPr>
                <w:rFonts w:hint="default"/>
                <w:sz w:val="24"/>
                <w:szCs w:val="24"/>
              </w:rPr>
            </w:pPr>
            <w:r>
              <w:rPr>
                <w:rFonts w:hint="default"/>
                <w:sz w:val="24"/>
                <w:szCs w:val="24"/>
              </w:rPr>
              <w:t>浙江政府采购网</w:t>
            </w:r>
          </w:p>
        </w:tc>
      </w:tr>
      <w:tr w14:paraId="5086E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7591218">
            <w:pPr>
              <w:snapToGrid w:val="0"/>
              <w:jc w:val="center"/>
              <w:rPr>
                <w:rFonts w:hint="default"/>
                <w:sz w:val="24"/>
                <w:szCs w:val="24"/>
              </w:rPr>
            </w:pPr>
            <w:r>
              <w:rPr>
                <w:rFonts w:hint="default"/>
                <w:sz w:val="24"/>
                <w:szCs w:val="24"/>
              </w:rPr>
              <w:t>5</w:t>
            </w:r>
          </w:p>
        </w:tc>
        <w:tc>
          <w:tcPr>
            <w:tcW w:w="1440" w:type="dxa"/>
            <w:tcBorders>
              <w:top w:val="single" w:color="auto" w:sz="4" w:space="0"/>
              <w:left w:val="single" w:color="auto" w:sz="4" w:space="0"/>
              <w:bottom w:val="single" w:color="auto" w:sz="4" w:space="0"/>
              <w:right w:val="single" w:color="auto" w:sz="4" w:space="0"/>
            </w:tcBorders>
            <w:vAlign w:val="center"/>
          </w:tcPr>
          <w:p w14:paraId="7BA89250">
            <w:pPr>
              <w:snapToGrid w:val="0"/>
              <w:jc w:val="center"/>
              <w:rPr>
                <w:rFonts w:hint="default"/>
                <w:sz w:val="24"/>
                <w:szCs w:val="24"/>
              </w:rPr>
            </w:pPr>
            <w:r>
              <w:rPr>
                <w:rFonts w:hint="default"/>
                <w:sz w:val="24"/>
                <w:szCs w:val="24"/>
              </w:rPr>
              <w:t>电子交</w:t>
            </w:r>
          </w:p>
          <w:p w14:paraId="467D6C9F">
            <w:pPr>
              <w:snapToGrid w:val="0"/>
              <w:jc w:val="center"/>
              <w:rPr>
                <w:rFonts w:hint="default"/>
                <w:sz w:val="24"/>
                <w:szCs w:val="24"/>
              </w:rPr>
            </w:pPr>
            <w:r>
              <w:rPr>
                <w:rFonts w:hint="default"/>
                <w:sz w:val="24"/>
                <w:szCs w:val="24"/>
              </w:rPr>
              <w:t>易平台</w:t>
            </w:r>
          </w:p>
        </w:tc>
        <w:tc>
          <w:tcPr>
            <w:tcW w:w="7142" w:type="dxa"/>
            <w:tcBorders>
              <w:top w:val="single" w:color="auto" w:sz="4" w:space="0"/>
              <w:left w:val="single" w:color="auto" w:sz="4" w:space="0"/>
              <w:bottom w:val="single" w:color="auto" w:sz="4" w:space="0"/>
              <w:right w:val="single" w:color="auto" w:sz="4" w:space="0"/>
            </w:tcBorders>
            <w:vAlign w:val="center"/>
          </w:tcPr>
          <w:p w14:paraId="0BC8A195">
            <w:pPr>
              <w:snapToGrid w:val="0"/>
              <w:rPr>
                <w:rFonts w:hint="default"/>
                <w:sz w:val="24"/>
                <w:szCs w:val="24"/>
              </w:rPr>
            </w:pPr>
            <w:r>
              <w:rPr>
                <w:rFonts w:hint="default"/>
                <w:sz w:val="24"/>
                <w:szCs w:val="24"/>
              </w:rPr>
              <w:t>政府采购云平台（www.zcygov.cn）</w:t>
            </w:r>
          </w:p>
        </w:tc>
      </w:tr>
      <w:tr w14:paraId="62A86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65A288B">
            <w:pPr>
              <w:snapToGrid w:val="0"/>
              <w:jc w:val="center"/>
              <w:rPr>
                <w:rFonts w:hint="default"/>
                <w:sz w:val="24"/>
                <w:szCs w:val="24"/>
              </w:rPr>
            </w:pPr>
            <w:r>
              <w:rPr>
                <w:rFonts w:hint="default"/>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tcPr>
          <w:p w14:paraId="3D300F55">
            <w:pPr>
              <w:snapToGrid w:val="0"/>
              <w:jc w:val="center"/>
              <w:rPr>
                <w:rFonts w:hint="default"/>
                <w:sz w:val="24"/>
                <w:szCs w:val="24"/>
              </w:rPr>
            </w:pPr>
            <w:r>
              <w:rPr>
                <w:rFonts w:ascii="宋体" w:hAnsi="宋体" w:cs="宋体"/>
                <w:sz w:val="24"/>
                <w:szCs w:val="24"/>
              </w:rPr>
              <w:t>▲</w:t>
            </w:r>
            <w:r>
              <w:rPr>
                <w:rFonts w:hint="default"/>
                <w:sz w:val="24"/>
                <w:szCs w:val="24"/>
              </w:rPr>
              <w:t>投标报价</w:t>
            </w:r>
          </w:p>
        </w:tc>
        <w:tc>
          <w:tcPr>
            <w:tcW w:w="7142" w:type="dxa"/>
            <w:tcBorders>
              <w:top w:val="single" w:color="auto" w:sz="4" w:space="0"/>
              <w:left w:val="single" w:color="auto" w:sz="4" w:space="0"/>
              <w:bottom w:val="single" w:color="auto" w:sz="4" w:space="0"/>
              <w:right w:val="single" w:color="auto" w:sz="4" w:space="0"/>
            </w:tcBorders>
            <w:vAlign w:val="center"/>
          </w:tcPr>
          <w:p w14:paraId="3DA27E4A">
            <w:pPr>
              <w:snapToGrid w:val="0"/>
              <w:ind w:left="360" w:hanging="360" w:hangingChars="150"/>
              <w:rPr>
                <w:rFonts w:hint="default"/>
                <w:sz w:val="24"/>
                <w:szCs w:val="24"/>
              </w:rPr>
            </w:pPr>
            <w:r>
              <w:rPr>
                <w:rFonts w:hint="default"/>
                <w:sz w:val="24"/>
                <w:szCs w:val="24"/>
              </w:rPr>
              <w:t>1、本项目应以</w:t>
            </w:r>
            <w:r>
              <w:rPr>
                <w:sz w:val="24"/>
                <w:szCs w:val="24"/>
              </w:rPr>
              <w:t>折扣率</w:t>
            </w:r>
            <w:r>
              <w:rPr>
                <w:rFonts w:hint="default"/>
                <w:sz w:val="24"/>
                <w:szCs w:val="24"/>
              </w:rPr>
              <w:t>报价</w:t>
            </w:r>
            <w:r>
              <w:rPr>
                <w:sz w:val="24"/>
                <w:szCs w:val="24"/>
              </w:rPr>
              <w:t>，最高限价为30%；</w:t>
            </w:r>
          </w:p>
          <w:p w14:paraId="67A28A01">
            <w:pPr>
              <w:snapToGrid w:val="0"/>
              <w:ind w:left="360" w:hanging="360" w:hangingChars="150"/>
              <w:rPr>
                <w:rFonts w:hint="default"/>
              </w:rPr>
            </w:pPr>
            <w:r>
              <w:rPr>
                <w:sz w:val="24"/>
                <w:szCs w:val="24"/>
              </w:rPr>
              <w:t>2、不论采购结果如何，投</w:t>
            </w:r>
            <w:r>
              <w:rPr>
                <w:rFonts w:ascii="宋体" w:hAnsi="宋体" w:cs="宋体"/>
                <w:sz w:val="24"/>
              </w:rPr>
              <w:t>标人均应自行承担所有与采购有关的全部费用。</w:t>
            </w:r>
          </w:p>
        </w:tc>
      </w:tr>
      <w:tr w14:paraId="7C949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D43CEB8">
            <w:pPr>
              <w:snapToGrid w:val="0"/>
              <w:jc w:val="center"/>
              <w:rPr>
                <w:rFonts w:hint="default"/>
                <w:sz w:val="24"/>
                <w:szCs w:val="24"/>
              </w:rPr>
            </w:pPr>
            <w:r>
              <w:rPr>
                <w:rFonts w:hint="default"/>
                <w:sz w:val="24"/>
                <w:szCs w:val="24"/>
              </w:rPr>
              <w:t>7</w:t>
            </w:r>
          </w:p>
        </w:tc>
        <w:tc>
          <w:tcPr>
            <w:tcW w:w="1440" w:type="dxa"/>
            <w:tcBorders>
              <w:top w:val="single" w:color="auto" w:sz="4" w:space="0"/>
              <w:left w:val="single" w:color="auto" w:sz="4" w:space="0"/>
              <w:bottom w:val="single" w:color="auto" w:sz="4" w:space="0"/>
              <w:right w:val="single" w:color="auto" w:sz="4" w:space="0"/>
            </w:tcBorders>
            <w:vAlign w:val="center"/>
          </w:tcPr>
          <w:p w14:paraId="2D7B9E0B">
            <w:pPr>
              <w:snapToGrid w:val="0"/>
              <w:jc w:val="center"/>
              <w:rPr>
                <w:rFonts w:hint="default"/>
                <w:sz w:val="24"/>
                <w:szCs w:val="24"/>
              </w:rPr>
            </w:pPr>
            <w:r>
              <w:rPr>
                <w:rFonts w:hint="default"/>
                <w:sz w:val="24"/>
                <w:szCs w:val="24"/>
              </w:rPr>
              <w:t>投标保证金</w:t>
            </w:r>
          </w:p>
        </w:tc>
        <w:tc>
          <w:tcPr>
            <w:tcW w:w="7142" w:type="dxa"/>
            <w:tcBorders>
              <w:top w:val="single" w:color="auto" w:sz="4" w:space="0"/>
              <w:left w:val="single" w:color="auto" w:sz="4" w:space="0"/>
              <w:bottom w:val="single" w:color="auto" w:sz="4" w:space="0"/>
              <w:right w:val="single" w:color="auto" w:sz="4" w:space="0"/>
            </w:tcBorders>
            <w:vAlign w:val="center"/>
          </w:tcPr>
          <w:p w14:paraId="0D6B2DEE">
            <w:pPr>
              <w:snapToGrid w:val="0"/>
              <w:ind w:left="360" w:hanging="360" w:hangingChars="150"/>
              <w:rPr>
                <w:rFonts w:hint="default"/>
                <w:b/>
                <w:sz w:val="24"/>
                <w:szCs w:val="24"/>
              </w:rPr>
            </w:pPr>
            <w:r>
              <w:rPr>
                <w:rFonts w:hint="default"/>
                <w:sz w:val="24"/>
                <w:szCs w:val="24"/>
              </w:rPr>
              <w:t>不收取</w:t>
            </w:r>
          </w:p>
        </w:tc>
      </w:tr>
      <w:tr w14:paraId="3C482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04A004E">
            <w:pPr>
              <w:snapToGrid w:val="0"/>
              <w:jc w:val="center"/>
              <w:rPr>
                <w:rFonts w:hint="default"/>
                <w:sz w:val="24"/>
                <w:szCs w:val="24"/>
              </w:rPr>
            </w:pPr>
            <w:r>
              <w:rPr>
                <w:rFonts w:hint="default"/>
                <w:sz w:val="24"/>
                <w:szCs w:val="24"/>
              </w:rPr>
              <w:t>8</w:t>
            </w:r>
          </w:p>
        </w:tc>
        <w:tc>
          <w:tcPr>
            <w:tcW w:w="1440" w:type="dxa"/>
            <w:tcBorders>
              <w:top w:val="single" w:color="auto" w:sz="4" w:space="0"/>
              <w:left w:val="single" w:color="auto" w:sz="4" w:space="0"/>
              <w:bottom w:val="single" w:color="auto" w:sz="4" w:space="0"/>
              <w:right w:val="single" w:color="auto" w:sz="4" w:space="0"/>
            </w:tcBorders>
            <w:vAlign w:val="center"/>
          </w:tcPr>
          <w:p w14:paraId="0071E628">
            <w:pPr>
              <w:snapToGrid w:val="0"/>
              <w:jc w:val="center"/>
              <w:rPr>
                <w:rFonts w:hint="default"/>
                <w:sz w:val="24"/>
                <w:szCs w:val="24"/>
              </w:rPr>
            </w:pPr>
            <w:r>
              <w:rPr>
                <w:rFonts w:hint="default"/>
                <w:sz w:val="24"/>
                <w:szCs w:val="24"/>
              </w:rPr>
              <w:t>踏勘现场</w:t>
            </w:r>
          </w:p>
        </w:tc>
        <w:tc>
          <w:tcPr>
            <w:tcW w:w="7142" w:type="dxa"/>
            <w:tcBorders>
              <w:top w:val="single" w:color="auto" w:sz="4" w:space="0"/>
              <w:left w:val="single" w:color="auto" w:sz="4" w:space="0"/>
              <w:bottom w:val="single" w:color="auto" w:sz="4" w:space="0"/>
              <w:right w:val="single" w:color="auto" w:sz="4" w:space="0"/>
            </w:tcBorders>
            <w:vAlign w:val="center"/>
          </w:tcPr>
          <w:p w14:paraId="54D06562">
            <w:pPr>
              <w:snapToGrid w:val="0"/>
              <w:rPr>
                <w:rFonts w:hint="default"/>
                <w:sz w:val="24"/>
                <w:szCs w:val="24"/>
              </w:rPr>
            </w:pPr>
            <w:r>
              <w:rPr>
                <w:rFonts w:hint="default"/>
                <w:sz w:val="24"/>
                <w:szCs w:val="24"/>
              </w:rPr>
              <w:sym w:font="Wingdings 2" w:char="00A3"/>
            </w:r>
            <w:r>
              <w:rPr>
                <w:rFonts w:hint="default"/>
                <w:sz w:val="24"/>
                <w:szCs w:val="24"/>
              </w:rPr>
              <w:t>组织（详细内容）</w:t>
            </w:r>
          </w:p>
          <w:p w14:paraId="0617EDC7">
            <w:pPr>
              <w:snapToGrid w:val="0"/>
              <w:rPr>
                <w:rFonts w:hint="default"/>
                <w:sz w:val="24"/>
                <w:szCs w:val="24"/>
              </w:rPr>
            </w:pPr>
            <w:r>
              <w:rPr>
                <w:rFonts w:hint="default"/>
                <w:sz w:val="24"/>
                <w:szCs w:val="24"/>
              </w:rPr>
              <w:sym w:font="Wingdings 2" w:char="0052"/>
            </w:r>
            <w:r>
              <w:rPr>
                <w:rFonts w:hint="default"/>
                <w:sz w:val="24"/>
                <w:szCs w:val="24"/>
              </w:rPr>
              <w:t>不组织</w:t>
            </w:r>
            <w:r>
              <w:rPr>
                <w:sz w:val="24"/>
                <w:szCs w:val="24"/>
              </w:rPr>
              <w:t>，投标人</w:t>
            </w:r>
            <w:r>
              <w:rPr>
                <w:rFonts w:hint="default"/>
                <w:sz w:val="24"/>
                <w:szCs w:val="24"/>
              </w:rPr>
              <w:t>自行现场踏勘</w:t>
            </w:r>
          </w:p>
        </w:tc>
      </w:tr>
      <w:tr w14:paraId="195C2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1B649A4">
            <w:pPr>
              <w:snapToGrid w:val="0"/>
              <w:jc w:val="center"/>
              <w:rPr>
                <w:rFonts w:hint="default"/>
                <w:sz w:val="24"/>
                <w:szCs w:val="24"/>
              </w:rPr>
            </w:pPr>
            <w:r>
              <w:rPr>
                <w:rFonts w:hint="default"/>
                <w:sz w:val="24"/>
                <w:szCs w:val="24"/>
              </w:rPr>
              <w:t>9</w:t>
            </w:r>
          </w:p>
        </w:tc>
        <w:tc>
          <w:tcPr>
            <w:tcW w:w="1440" w:type="dxa"/>
            <w:tcBorders>
              <w:top w:val="single" w:color="auto" w:sz="4" w:space="0"/>
              <w:left w:val="single" w:color="auto" w:sz="4" w:space="0"/>
              <w:bottom w:val="single" w:color="auto" w:sz="4" w:space="0"/>
              <w:right w:val="single" w:color="auto" w:sz="4" w:space="0"/>
            </w:tcBorders>
            <w:vAlign w:val="center"/>
          </w:tcPr>
          <w:p w14:paraId="2047EFD8">
            <w:pPr>
              <w:snapToGrid w:val="0"/>
              <w:jc w:val="center"/>
              <w:rPr>
                <w:rFonts w:hint="default"/>
                <w:sz w:val="24"/>
                <w:szCs w:val="24"/>
              </w:rPr>
            </w:pPr>
            <w:r>
              <w:rPr>
                <w:rFonts w:hint="default"/>
                <w:sz w:val="24"/>
                <w:szCs w:val="24"/>
              </w:rPr>
              <w:t>样品</w:t>
            </w:r>
          </w:p>
        </w:tc>
        <w:tc>
          <w:tcPr>
            <w:tcW w:w="7142" w:type="dxa"/>
            <w:tcBorders>
              <w:top w:val="single" w:color="auto" w:sz="4" w:space="0"/>
              <w:left w:val="single" w:color="auto" w:sz="4" w:space="0"/>
              <w:bottom w:val="single" w:color="auto" w:sz="4" w:space="0"/>
              <w:right w:val="single" w:color="auto" w:sz="4" w:space="0"/>
            </w:tcBorders>
            <w:vAlign w:val="center"/>
          </w:tcPr>
          <w:p w14:paraId="1F158DA3">
            <w:pPr>
              <w:snapToGrid w:val="0"/>
              <w:rPr>
                <w:rFonts w:hint="default"/>
                <w:sz w:val="24"/>
                <w:szCs w:val="24"/>
              </w:rPr>
            </w:pPr>
            <w:r>
              <w:rPr>
                <w:rFonts w:hint="default"/>
                <w:sz w:val="24"/>
                <w:szCs w:val="24"/>
              </w:rPr>
              <w:sym w:font="Wingdings 2" w:char="00A3"/>
            </w:r>
            <w:r>
              <w:rPr>
                <w:sz w:val="24"/>
                <w:szCs w:val="24"/>
              </w:rPr>
              <w:t>提供（</w:t>
            </w:r>
            <w:r>
              <w:rPr>
                <w:rFonts w:hint="default"/>
                <w:sz w:val="24"/>
                <w:szCs w:val="24"/>
              </w:rPr>
              <w:t>详细内容）</w:t>
            </w:r>
          </w:p>
          <w:p w14:paraId="3C1939F2">
            <w:pPr>
              <w:snapToGrid w:val="0"/>
              <w:rPr>
                <w:rFonts w:hint="default"/>
                <w:sz w:val="24"/>
                <w:szCs w:val="24"/>
              </w:rPr>
            </w:pPr>
            <w:r>
              <w:rPr>
                <w:rFonts w:hint="default"/>
                <w:sz w:val="24"/>
                <w:szCs w:val="24"/>
              </w:rPr>
              <w:sym w:font="Wingdings 2" w:char="0052"/>
            </w:r>
            <w:r>
              <w:rPr>
                <w:rFonts w:hint="default"/>
                <w:sz w:val="24"/>
                <w:szCs w:val="24"/>
              </w:rPr>
              <w:t>不提供</w:t>
            </w:r>
          </w:p>
        </w:tc>
      </w:tr>
      <w:tr w14:paraId="129BE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54A2C0C">
            <w:pPr>
              <w:snapToGrid w:val="0"/>
              <w:jc w:val="center"/>
              <w:rPr>
                <w:rFonts w:hint="default"/>
                <w:sz w:val="24"/>
                <w:szCs w:val="24"/>
              </w:rPr>
            </w:pPr>
            <w:r>
              <w:rPr>
                <w:rFonts w:hint="default"/>
                <w:sz w:val="24"/>
                <w:szCs w:val="24"/>
              </w:rPr>
              <w:t>10</w:t>
            </w:r>
          </w:p>
        </w:tc>
        <w:tc>
          <w:tcPr>
            <w:tcW w:w="1440" w:type="dxa"/>
            <w:tcBorders>
              <w:top w:val="single" w:color="auto" w:sz="4" w:space="0"/>
              <w:left w:val="single" w:color="auto" w:sz="4" w:space="0"/>
              <w:bottom w:val="single" w:color="auto" w:sz="4" w:space="0"/>
              <w:right w:val="single" w:color="auto" w:sz="4" w:space="0"/>
            </w:tcBorders>
            <w:vAlign w:val="center"/>
          </w:tcPr>
          <w:p w14:paraId="2FE11747">
            <w:pPr>
              <w:snapToGrid w:val="0"/>
              <w:jc w:val="center"/>
              <w:rPr>
                <w:rFonts w:hint="default"/>
                <w:sz w:val="24"/>
                <w:szCs w:val="24"/>
              </w:rPr>
            </w:pPr>
            <w:r>
              <w:rPr>
                <w:rFonts w:hint="default"/>
                <w:sz w:val="24"/>
                <w:szCs w:val="24"/>
              </w:rPr>
              <w:t>演示</w:t>
            </w:r>
          </w:p>
        </w:tc>
        <w:tc>
          <w:tcPr>
            <w:tcW w:w="7142" w:type="dxa"/>
            <w:tcBorders>
              <w:top w:val="single" w:color="auto" w:sz="4" w:space="0"/>
              <w:left w:val="single" w:color="auto" w:sz="4" w:space="0"/>
              <w:bottom w:val="single" w:color="auto" w:sz="4" w:space="0"/>
              <w:right w:val="single" w:color="auto" w:sz="4" w:space="0"/>
            </w:tcBorders>
            <w:vAlign w:val="center"/>
          </w:tcPr>
          <w:p w14:paraId="0053D4EE">
            <w:pPr>
              <w:snapToGrid w:val="0"/>
              <w:rPr>
                <w:rFonts w:hint="default" w:ascii="宋体" w:hAnsi="宋体" w:cs="宋体"/>
                <w:sz w:val="24"/>
                <w:szCs w:val="24"/>
              </w:rPr>
            </w:pPr>
            <w:r>
              <w:rPr>
                <w:rFonts w:hint="default"/>
                <w:sz w:val="24"/>
                <w:szCs w:val="24"/>
              </w:rPr>
              <w:sym w:font="Wingdings 2" w:char="00A3"/>
            </w:r>
            <w:r>
              <w:rPr>
                <w:rFonts w:hint="default"/>
                <w:sz w:val="24"/>
                <w:szCs w:val="24"/>
              </w:rPr>
              <w:t>要求</w:t>
            </w:r>
            <w:r>
              <w:rPr>
                <w:sz w:val="24"/>
                <w:szCs w:val="24"/>
              </w:rPr>
              <w:t>（详细内容）</w:t>
            </w:r>
          </w:p>
          <w:p w14:paraId="5D0F7175">
            <w:pPr>
              <w:snapToGrid w:val="0"/>
              <w:rPr>
                <w:rFonts w:hint="default"/>
                <w:sz w:val="24"/>
                <w:szCs w:val="24"/>
              </w:rPr>
            </w:pPr>
            <w:r>
              <w:rPr>
                <w:rFonts w:hint="default"/>
                <w:sz w:val="24"/>
                <w:szCs w:val="24"/>
              </w:rPr>
              <w:sym w:font="Wingdings 2" w:char="0052"/>
            </w:r>
            <w:r>
              <w:rPr>
                <w:rFonts w:hint="default"/>
                <w:sz w:val="24"/>
                <w:szCs w:val="24"/>
              </w:rPr>
              <w:t>不要求</w:t>
            </w:r>
          </w:p>
        </w:tc>
      </w:tr>
      <w:tr w14:paraId="4EB60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925344E">
            <w:pPr>
              <w:snapToGrid w:val="0"/>
              <w:jc w:val="center"/>
              <w:rPr>
                <w:rFonts w:hint="default"/>
                <w:sz w:val="24"/>
                <w:szCs w:val="24"/>
              </w:rPr>
            </w:pPr>
            <w:r>
              <w:rPr>
                <w:rFonts w:hint="default"/>
                <w:sz w:val="24"/>
                <w:szCs w:val="24"/>
              </w:rPr>
              <w:t>1</w:t>
            </w:r>
            <w:r>
              <w:rPr>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14:paraId="26B43D8F">
            <w:pPr>
              <w:snapToGrid w:val="0"/>
              <w:jc w:val="center"/>
              <w:rPr>
                <w:rFonts w:hint="default"/>
                <w:sz w:val="24"/>
                <w:szCs w:val="24"/>
              </w:rPr>
            </w:pPr>
            <w:r>
              <w:rPr>
                <w:rFonts w:hint="default"/>
                <w:sz w:val="24"/>
                <w:szCs w:val="24"/>
              </w:rPr>
              <w:t>投标文</w:t>
            </w:r>
          </w:p>
          <w:p w14:paraId="1E8F7DB5">
            <w:pPr>
              <w:snapToGrid w:val="0"/>
              <w:jc w:val="center"/>
              <w:rPr>
                <w:rFonts w:hint="default"/>
                <w:sz w:val="24"/>
                <w:szCs w:val="24"/>
              </w:rPr>
            </w:pPr>
            <w:r>
              <w:rPr>
                <w:rFonts w:hint="default"/>
                <w:sz w:val="24"/>
                <w:szCs w:val="24"/>
              </w:rPr>
              <w:t>件组成</w:t>
            </w:r>
          </w:p>
        </w:tc>
        <w:tc>
          <w:tcPr>
            <w:tcW w:w="7142" w:type="dxa"/>
            <w:tcBorders>
              <w:top w:val="single" w:color="auto" w:sz="4" w:space="0"/>
              <w:left w:val="single" w:color="auto" w:sz="4" w:space="0"/>
              <w:bottom w:val="single" w:color="auto" w:sz="4" w:space="0"/>
              <w:right w:val="single" w:color="auto" w:sz="4" w:space="0"/>
            </w:tcBorders>
            <w:vAlign w:val="center"/>
          </w:tcPr>
          <w:p w14:paraId="3059443C">
            <w:pPr>
              <w:autoSpaceDE w:val="0"/>
              <w:autoSpaceDN w:val="0"/>
              <w:snapToGrid w:val="0"/>
              <w:textAlignment w:val="bottom"/>
              <w:rPr>
                <w:rFonts w:hint="default"/>
                <w:sz w:val="24"/>
                <w:szCs w:val="24"/>
              </w:rPr>
            </w:pPr>
            <w:r>
              <w:rPr>
                <w:rFonts w:hint="default"/>
                <w:sz w:val="24"/>
                <w:szCs w:val="24"/>
              </w:rPr>
              <w:t>投标文件由资格证明文件、商务技术文件、报价文件三部分组成。</w:t>
            </w:r>
          </w:p>
        </w:tc>
      </w:tr>
      <w:tr w14:paraId="6A0CA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1BA1006">
            <w:pPr>
              <w:snapToGrid w:val="0"/>
              <w:jc w:val="center"/>
              <w:rPr>
                <w:rFonts w:hint="default"/>
                <w:sz w:val="24"/>
                <w:szCs w:val="24"/>
              </w:rPr>
            </w:pPr>
            <w:r>
              <w:rPr>
                <w:rFonts w:hint="default"/>
                <w:sz w:val="24"/>
                <w:szCs w:val="24"/>
              </w:rPr>
              <w:t>1</w:t>
            </w:r>
            <w:r>
              <w:rPr>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5F43C8A5">
            <w:pPr>
              <w:snapToGrid w:val="0"/>
              <w:jc w:val="center"/>
              <w:rPr>
                <w:rFonts w:hint="default"/>
                <w:sz w:val="24"/>
                <w:szCs w:val="24"/>
              </w:rPr>
            </w:pPr>
            <w:r>
              <w:rPr>
                <w:rFonts w:hint="default"/>
                <w:sz w:val="24"/>
                <w:szCs w:val="24"/>
              </w:rPr>
              <w:t>投标文件</w:t>
            </w:r>
          </w:p>
          <w:p w14:paraId="3E3B6534">
            <w:pPr>
              <w:snapToGrid w:val="0"/>
              <w:jc w:val="center"/>
              <w:rPr>
                <w:rFonts w:hint="default"/>
                <w:sz w:val="24"/>
                <w:szCs w:val="24"/>
              </w:rPr>
            </w:pPr>
            <w:r>
              <w:rPr>
                <w:rFonts w:hint="default"/>
                <w:sz w:val="24"/>
                <w:szCs w:val="24"/>
              </w:rPr>
              <w:t>的编制</w:t>
            </w:r>
          </w:p>
        </w:tc>
        <w:tc>
          <w:tcPr>
            <w:tcW w:w="7142" w:type="dxa"/>
            <w:tcBorders>
              <w:top w:val="single" w:color="auto" w:sz="4" w:space="0"/>
              <w:left w:val="single" w:color="auto" w:sz="4" w:space="0"/>
              <w:bottom w:val="single" w:color="auto" w:sz="4" w:space="0"/>
              <w:right w:val="single" w:color="auto" w:sz="4" w:space="0"/>
            </w:tcBorders>
            <w:vAlign w:val="center"/>
          </w:tcPr>
          <w:p w14:paraId="6DE71603">
            <w:pPr>
              <w:autoSpaceDE w:val="0"/>
              <w:autoSpaceDN w:val="0"/>
              <w:adjustRightInd w:val="0"/>
              <w:ind w:left="361" w:hanging="361" w:hangingChars="150"/>
              <w:jc w:val="left"/>
              <w:rPr>
                <w:rFonts w:hint="default"/>
                <w:b/>
                <w:bCs/>
                <w:sz w:val="24"/>
                <w:szCs w:val="24"/>
              </w:rPr>
            </w:pPr>
            <w:r>
              <w:rPr>
                <w:rFonts w:hint="default"/>
                <w:b/>
                <w:bCs/>
                <w:sz w:val="24"/>
                <w:szCs w:val="24"/>
              </w:rPr>
              <w:t>1、“电子加密投标文件”：</w:t>
            </w:r>
          </w:p>
          <w:p w14:paraId="03EE4D01">
            <w:pPr>
              <w:autoSpaceDE w:val="0"/>
              <w:autoSpaceDN w:val="0"/>
              <w:adjustRightInd w:val="0"/>
              <w:jc w:val="left"/>
              <w:rPr>
                <w:rFonts w:hint="default"/>
                <w:b/>
                <w:bCs/>
                <w:sz w:val="24"/>
                <w:szCs w:val="24"/>
              </w:rPr>
            </w:pPr>
            <w:r>
              <w:rPr>
                <w:rFonts w:hint="default"/>
                <w:b/>
                <w:bCs/>
                <w:sz w:val="24"/>
                <w:szCs w:val="24"/>
              </w:rPr>
              <w:t>（1）“电子加密投标文件”是指通过“政采云电子交易客户端”完成投标文件编制后生成并加密的数据电文形式的投标文件。</w:t>
            </w:r>
          </w:p>
          <w:p w14:paraId="3517A3AB">
            <w:pPr>
              <w:rPr>
                <w:rFonts w:hint="default"/>
                <w:b/>
                <w:bCs/>
                <w:sz w:val="24"/>
                <w:szCs w:val="24"/>
              </w:rPr>
            </w:pPr>
            <w:r>
              <w:rPr>
                <w:rFonts w:hint="default"/>
                <w:b/>
                <w:bCs/>
                <w:sz w:val="24"/>
                <w:szCs w:val="24"/>
              </w:rPr>
              <w:t>（2）供应商应先安装“政采云电子交易客户端”，并按照本招标文件和“政府采购云平台”的要求，通过“政采云电子交易客户端”编制并加密投标文件。</w:t>
            </w:r>
          </w:p>
          <w:p w14:paraId="2629D6CE">
            <w:pPr>
              <w:ind w:left="361" w:hanging="361" w:hangingChars="150"/>
              <w:rPr>
                <w:rFonts w:hint="default"/>
                <w:b/>
                <w:bCs/>
                <w:sz w:val="24"/>
                <w:szCs w:val="24"/>
              </w:rPr>
            </w:pPr>
            <w:r>
              <w:rPr>
                <w:rFonts w:hint="default"/>
                <w:b/>
                <w:bCs/>
                <w:sz w:val="24"/>
                <w:szCs w:val="24"/>
              </w:rPr>
              <w:t>2、“电子备份投标文件”：</w:t>
            </w:r>
          </w:p>
          <w:p w14:paraId="172BF6A7">
            <w:pPr>
              <w:rPr>
                <w:rFonts w:hint="default"/>
                <w:b/>
                <w:bCs/>
                <w:sz w:val="24"/>
                <w:szCs w:val="24"/>
              </w:rPr>
            </w:pPr>
            <w:r>
              <w:rPr>
                <w:rFonts w:hint="default"/>
                <w:b/>
                <w:bCs/>
                <w:sz w:val="24"/>
                <w:szCs w:val="24"/>
              </w:rPr>
              <w:t>（1）“电子备份投标文件”是指与“电子加密投标文件”同时生成的数据电文形式的电子文件。</w:t>
            </w:r>
          </w:p>
          <w:p w14:paraId="410B47F7">
            <w:pPr>
              <w:ind w:left="361" w:hanging="361" w:hangingChars="150"/>
              <w:rPr>
                <w:rFonts w:hint="default"/>
                <w:b/>
                <w:bCs/>
                <w:sz w:val="24"/>
                <w:szCs w:val="24"/>
              </w:rPr>
            </w:pPr>
            <w:r>
              <w:rPr>
                <w:rFonts w:hint="default"/>
                <w:b/>
                <w:bCs/>
                <w:sz w:val="24"/>
                <w:szCs w:val="24"/>
              </w:rPr>
              <w:t>（2）供应商可自主选择是否编制“电子备份投标文件”。</w:t>
            </w:r>
          </w:p>
          <w:p w14:paraId="3B6305D5">
            <w:pPr>
              <w:rPr>
                <w:rFonts w:hint="default"/>
                <w:sz w:val="24"/>
                <w:szCs w:val="24"/>
              </w:rPr>
            </w:pPr>
            <w:r>
              <w:rPr>
                <w:rFonts w:hint="default"/>
                <w:b/>
                <w:bCs/>
                <w:sz w:val="24"/>
                <w:szCs w:val="24"/>
              </w:rPr>
              <w:t>（3）其他方式编制的备份投标文件视为无效备份投标文件</w:t>
            </w:r>
            <w:r>
              <w:rPr>
                <w:rFonts w:hint="default"/>
                <w:sz w:val="24"/>
                <w:szCs w:val="24"/>
              </w:rPr>
              <w:t>。</w:t>
            </w:r>
          </w:p>
        </w:tc>
      </w:tr>
      <w:tr w14:paraId="35CF8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2C0A85D">
            <w:pPr>
              <w:snapToGrid w:val="0"/>
              <w:jc w:val="center"/>
              <w:rPr>
                <w:rFonts w:hint="default"/>
                <w:sz w:val="24"/>
                <w:szCs w:val="24"/>
              </w:rPr>
            </w:pPr>
            <w:r>
              <w:rPr>
                <w:rFonts w:hint="default"/>
                <w:sz w:val="24"/>
                <w:szCs w:val="24"/>
              </w:rPr>
              <w:t>1</w:t>
            </w:r>
            <w:r>
              <w:rPr>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10932B7F">
            <w:pPr>
              <w:snapToGrid w:val="0"/>
              <w:jc w:val="center"/>
              <w:rPr>
                <w:rFonts w:hint="default"/>
                <w:sz w:val="24"/>
                <w:szCs w:val="24"/>
              </w:rPr>
            </w:pPr>
            <w:r>
              <w:rPr>
                <w:rFonts w:hint="default"/>
                <w:sz w:val="24"/>
                <w:szCs w:val="24"/>
              </w:rPr>
              <w:t>投标文件</w:t>
            </w:r>
          </w:p>
          <w:p w14:paraId="6ADA7A07">
            <w:pPr>
              <w:snapToGrid w:val="0"/>
              <w:jc w:val="center"/>
              <w:rPr>
                <w:rFonts w:hint="default"/>
                <w:sz w:val="24"/>
                <w:szCs w:val="24"/>
              </w:rPr>
            </w:pPr>
            <w:r>
              <w:rPr>
                <w:rFonts w:hint="default"/>
                <w:sz w:val="24"/>
                <w:szCs w:val="24"/>
              </w:rPr>
              <w:t>的签章</w:t>
            </w:r>
          </w:p>
        </w:tc>
        <w:tc>
          <w:tcPr>
            <w:tcW w:w="7142" w:type="dxa"/>
            <w:tcBorders>
              <w:top w:val="single" w:color="auto" w:sz="4" w:space="0"/>
              <w:left w:val="single" w:color="auto" w:sz="4" w:space="0"/>
              <w:bottom w:val="single" w:color="auto" w:sz="4" w:space="0"/>
              <w:right w:val="single" w:color="auto" w:sz="4" w:space="0"/>
            </w:tcBorders>
            <w:vAlign w:val="center"/>
          </w:tcPr>
          <w:p w14:paraId="6CA19811">
            <w:pPr>
              <w:autoSpaceDE w:val="0"/>
              <w:autoSpaceDN w:val="0"/>
              <w:adjustRightInd w:val="0"/>
              <w:jc w:val="left"/>
              <w:rPr>
                <w:rFonts w:hint="default"/>
                <w:sz w:val="24"/>
                <w:szCs w:val="24"/>
              </w:rPr>
            </w:pPr>
            <w:r>
              <w:rPr>
                <w:rFonts w:hint="default"/>
                <w:sz w:val="24"/>
                <w:szCs w:val="24"/>
              </w:rPr>
              <w:t>采用电子签章。</w:t>
            </w:r>
          </w:p>
        </w:tc>
      </w:tr>
      <w:tr w14:paraId="1B978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9002237">
            <w:pPr>
              <w:snapToGrid w:val="0"/>
              <w:jc w:val="center"/>
              <w:rPr>
                <w:rFonts w:hint="default"/>
                <w:sz w:val="24"/>
                <w:szCs w:val="24"/>
              </w:rPr>
            </w:pPr>
            <w:r>
              <w:rPr>
                <w:rFonts w:hint="default"/>
                <w:sz w:val="24"/>
                <w:szCs w:val="24"/>
              </w:rPr>
              <w:t>1</w:t>
            </w:r>
            <w:r>
              <w:rPr>
                <w:sz w:val="24"/>
                <w:szCs w:val="24"/>
              </w:rPr>
              <w:t>4</w:t>
            </w:r>
          </w:p>
        </w:tc>
        <w:tc>
          <w:tcPr>
            <w:tcW w:w="1440" w:type="dxa"/>
            <w:tcBorders>
              <w:top w:val="single" w:color="auto" w:sz="4" w:space="0"/>
              <w:left w:val="single" w:color="auto" w:sz="4" w:space="0"/>
              <w:bottom w:val="single" w:color="auto" w:sz="4" w:space="0"/>
              <w:right w:val="single" w:color="auto" w:sz="4" w:space="0"/>
            </w:tcBorders>
            <w:vAlign w:val="center"/>
          </w:tcPr>
          <w:p w14:paraId="6BF4C0D6">
            <w:pPr>
              <w:snapToGrid w:val="0"/>
              <w:jc w:val="center"/>
              <w:rPr>
                <w:rFonts w:hint="default"/>
                <w:sz w:val="24"/>
                <w:szCs w:val="24"/>
              </w:rPr>
            </w:pPr>
            <w:r>
              <w:rPr>
                <w:rFonts w:hint="default"/>
                <w:sz w:val="24"/>
                <w:szCs w:val="24"/>
              </w:rPr>
              <w:t>投标文件</w:t>
            </w:r>
          </w:p>
          <w:p w14:paraId="54E4D614">
            <w:pPr>
              <w:snapToGrid w:val="0"/>
              <w:jc w:val="center"/>
              <w:rPr>
                <w:rFonts w:hint="default"/>
                <w:sz w:val="24"/>
                <w:szCs w:val="24"/>
              </w:rPr>
            </w:pPr>
            <w:r>
              <w:rPr>
                <w:rFonts w:hint="default"/>
                <w:sz w:val="24"/>
                <w:szCs w:val="24"/>
              </w:rPr>
              <w:t>的包装、密封和递交</w:t>
            </w:r>
          </w:p>
        </w:tc>
        <w:tc>
          <w:tcPr>
            <w:tcW w:w="7142" w:type="dxa"/>
            <w:tcBorders>
              <w:top w:val="single" w:color="auto" w:sz="4" w:space="0"/>
              <w:left w:val="single" w:color="auto" w:sz="4" w:space="0"/>
              <w:bottom w:val="single" w:color="auto" w:sz="4" w:space="0"/>
              <w:right w:val="single" w:color="auto" w:sz="4" w:space="0"/>
            </w:tcBorders>
            <w:vAlign w:val="center"/>
          </w:tcPr>
          <w:p w14:paraId="2430F755">
            <w:pPr>
              <w:autoSpaceDE w:val="0"/>
              <w:autoSpaceDN w:val="0"/>
              <w:snapToGrid w:val="0"/>
              <w:textAlignment w:val="bottom"/>
              <w:rPr>
                <w:rFonts w:hint="default"/>
                <w:sz w:val="24"/>
                <w:szCs w:val="24"/>
              </w:rPr>
            </w:pPr>
            <w:r>
              <w:rPr>
                <w:rFonts w:hint="default"/>
                <w:sz w:val="24"/>
                <w:szCs w:val="24"/>
              </w:rPr>
              <w:t>1、“电子加密投标文件”的递交：在线上传递交。</w:t>
            </w:r>
          </w:p>
          <w:p w14:paraId="3AC442AE">
            <w:pPr>
              <w:rPr>
                <w:rFonts w:hint="default"/>
                <w:b/>
                <w:bCs/>
                <w:sz w:val="24"/>
                <w:szCs w:val="24"/>
              </w:rPr>
            </w:pPr>
            <w:r>
              <w:rPr>
                <w:rFonts w:hint="default"/>
                <w:b/>
                <w:bCs/>
                <w:sz w:val="24"/>
                <w:szCs w:val="24"/>
              </w:rPr>
              <w:t>（1）供应商应在投标截止时间前将“电子加密投标文件”成功上传递交至“政府采购云平台”，否则投标无效。</w:t>
            </w:r>
          </w:p>
          <w:p w14:paraId="1B3FC1CE">
            <w:pPr>
              <w:rPr>
                <w:rFonts w:hint="default"/>
                <w:sz w:val="24"/>
                <w:szCs w:val="24"/>
              </w:rPr>
            </w:pPr>
            <w:r>
              <w:rPr>
                <w:rFonts w:hint="default"/>
                <w:sz w:val="24"/>
                <w:szCs w:val="24"/>
              </w:rPr>
              <w:t>（2）“电子加密投标文件”成功上传递交后，供应商可自行打印投标文件接收回执。</w:t>
            </w:r>
          </w:p>
          <w:p w14:paraId="622EF2C9">
            <w:pPr>
              <w:rPr>
                <w:rFonts w:hint="default"/>
                <w:sz w:val="24"/>
                <w:szCs w:val="24"/>
              </w:rPr>
            </w:pPr>
            <w:r>
              <w:rPr>
                <w:rFonts w:hint="default"/>
                <w:sz w:val="24"/>
                <w:szCs w:val="24"/>
              </w:rPr>
              <w:t>2、“电子备份投标文件”的密封、包装和递交：</w:t>
            </w:r>
          </w:p>
          <w:p w14:paraId="4F62D60E">
            <w:pPr>
              <w:rPr>
                <w:rFonts w:hint="default"/>
                <w:sz w:val="24"/>
                <w:szCs w:val="24"/>
              </w:rPr>
            </w:pPr>
            <w:r>
              <w:rPr>
                <w:rFonts w:hint="default"/>
                <w:sz w:val="24"/>
                <w:szCs w:val="24"/>
              </w:rPr>
              <w:t>（1）供应商可自主选择是否递交“电子备份投标文件”。</w:t>
            </w:r>
          </w:p>
          <w:p w14:paraId="1ABA30B3">
            <w:pPr>
              <w:rPr>
                <w:rFonts w:hint="default"/>
                <w:sz w:val="24"/>
                <w:szCs w:val="24"/>
              </w:rPr>
            </w:pPr>
            <w:r>
              <w:rPr>
                <w:rFonts w:hint="default"/>
                <w:sz w:val="24"/>
                <w:szCs w:val="24"/>
              </w:rPr>
              <w:t>（2）“电子备份投标文件”存入U盘（一份）。</w:t>
            </w:r>
          </w:p>
          <w:p w14:paraId="3C9ABF13">
            <w:pPr>
              <w:rPr>
                <w:rFonts w:hint="default"/>
                <w:sz w:val="24"/>
                <w:szCs w:val="24"/>
              </w:rPr>
            </w:pPr>
            <w:r>
              <w:rPr>
                <w:rFonts w:hint="default"/>
                <w:sz w:val="24"/>
                <w:szCs w:val="24"/>
              </w:rPr>
              <w:t>（3）“电子备份投标文件” 应在投标截止时间前以邮寄或送达方式递交：邮寄或送达地址：杭州市拱墅区大关路179号远洋国际中心A座17楼170</w:t>
            </w:r>
            <w:r>
              <w:rPr>
                <w:sz w:val="24"/>
                <w:szCs w:val="24"/>
              </w:rPr>
              <w:t>5</w:t>
            </w:r>
            <w:r>
              <w:rPr>
                <w:rFonts w:hint="default"/>
                <w:sz w:val="24"/>
                <w:szCs w:val="24"/>
              </w:rPr>
              <w:t>室，收件人：</w:t>
            </w:r>
            <w:r>
              <w:rPr>
                <w:sz w:val="24"/>
                <w:szCs w:val="24"/>
              </w:rPr>
              <w:t>桑国坚</w:t>
            </w:r>
            <w:r>
              <w:rPr>
                <w:rFonts w:hint="default"/>
                <w:sz w:val="24"/>
                <w:szCs w:val="24"/>
              </w:rPr>
              <w:t>，</w:t>
            </w:r>
            <w:r>
              <w:rPr>
                <w:sz w:val="24"/>
                <w:szCs w:val="24"/>
              </w:rPr>
              <w:t>13064714752</w:t>
            </w:r>
            <w:r>
              <w:rPr>
                <w:rFonts w:hint="default"/>
                <w:sz w:val="24"/>
                <w:szCs w:val="24"/>
              </w:rPr>
              <w:t>。</w:t>
            </w:r>
          </w:p>
          <w:p w14:paraId="20FE4D0D">
            <w:pPr>
              <w:rPr>
                <w:rFonts w:hint="default"/>
                <w:sz w:val="24"/>
                <w:szCs w:val="24"/>
              </w:rPr>
            </w:pPr>
            <w:r>
              <w:rPr>
                <w:rFonts w:hint="default"/>
                <w:sz w:val="24"/>
                <w:szCs w:val="24"/>
              </w:rPr>
              <w:t>（4）“电子备份投标文件”应当密封包装，并在包装上标注投标项目编号、项目名称、投标单位名称等并加盖公章（详见第六章投标文件格式）。没有密封包装或者逾期送达至指定地点的“电子备份投标文件”将不予接收。</w:t>
            </w:r>
          </w:p>
        </w:tc>
      </w:tr>
      <w:tr w14:paraId="3F5CF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6C68985">
            <w:pPr>
              <w:snapToGrid w:val="0"/>
              <w:jc w:val="center"/>
              <w:rPr>
                <w:rFonts w:hint="default"/>
                <w:sz w:val="24"/>
                <w:szCs w:val="24"/>
              </w:rPr>
            </w:pPr>
            <w:r>
              <w:rPr>
                <w:rFonts w:hint="default"/>
                <w:sz w:val="24"/>
                <w:szCs w:val="24"/>
              </w:rPr>
              <w:t>1</w:t>
            </w:r>
            <w:r>
              <w:rPr>
                <w:sz w:val="24"/>
                <w:szCs w:val="24"/>
              </w:rPr>
              <w:t>5</w:t>
            </w:r>
          </w:p>
        </w:tc>
        <w:tc>
          <w:tcPr>
            <w:tcW w:w="1440" w:type="dxa"/>
            <w:tcBorders>
              <w:top w:val="single" w:color="auto" w:sz="4" w:space="0"/>
              <w:left w:val="single" w:color="auto" w:sz="4" w:space="0"/>
              <w:bottom w:val="single" w:color="auto" w:sz="4" w:space="0"/>
              <w:right w:val="single" w:color="auto" w:sz="4" w:space="0"/>
            </w:tcBorders>
            <w:vAlign w:val="center"/>
          </w:tcPr>
          <w:p w14:paraId="6BC249C9">
            <w:pPr>
              <w:snapToGrid w:val="0"/>
              <w:jc w:val="center"/>
              <w:rPr>
                <w:rFonts w:hint="default"/>
                <w:sz w:val="24"/>
                <w:szCs w:val="24"/>
              </w:rPr>
            </w:pPr>
            <w:r>
              <w:rPr>
                <w:rFonts w:hint="default"/>
                <w:sz w:val="24"/>
                <w:szCs w:val="24"/>
              </w:rPr>
              <w:t>投标截止</w:t>
            </w:r>
          </w:p>
          <w:p w14:paraId="2BA486E2">
            <w:pPr>
              <w:snapToGrid w:val="0"/>
              <w:jc w:val="center"/>
              <w:rPr>
                <w:rFonts w:hint="default"/>
                <w:sz w:val="24"/>
                <w:szCs w:val="24"/>
              </w:rPr>
            </w:pPr>
            <w:r>
              <w:rPr>
                <w:rFonts w:hint="default"/>
                <w:sz w:val="24"/>
                <w:szCs w:val="24"/>
              </w:rPr>
              <w:t>时间和地址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4DB5FD4F">
            <w:pPr>
              <w:snapToGrid w:val="0"/>
              <w:rPr>
                <w:rFonts w:hint="default"/>
                <w:sz w:val="24"/>
                <w:szCs w:val="24"/>
              </w:rPr>
            </w:pPr>
            <w:r>
              <w:rPr>
                <w:sz w:val="24"/>
                <w:szCs w:val="24"/>
              </w:rPr>
              <w:t>详见招标公告</w:t>
            </w:r>
          </w:p>
        </w:tc>
      </w:tr>
      <w:tr w14:paraId="54786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C8D5285">
            <w:pPr>
              <w:snapToGrid w:val="0"/>
              <w:jc w:val="center"/>
              <w:rPr>
                <w:rFonts w:hint="default"/>
                <w:sz w:val="24"/>
                <w:szCs w:val="24"/>
              </w:rPr>
            </w:pPr>
            <w:r>
              <w:rPr>
                <w:rFonts w:hint="default"/>
                <w:sz w:val="24"/>
                <w:szCs w:val="24"/>
              </w:rPr>
              <w:t>1</w:t>
            </w:r>
            <w:r>
              <w:rPr>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tcPr>
          <w:p w14:paraId="7A8E4CFE">
            <w:pPr>
              <w:snapToGrid w:val="0"/>
              <w:jc w:val="center"/>
              <w:rPr>
                <w:rFonts w:hint="default"/>
                <w:sz w:val="24"/>
                <w:szCs w:val="24"/>
              </w:rPr>
            </w:pPr>
            <w:r>
              <w:rPr>
                <w:rFonts w:hint="default"/>
                <w:sz w:val="24"/>
                <w:szCs w:val="24"/>
              </w:rPr>
              <w:t>开标时</w:t>
            </w:r>
          </w:p>
          <w:p w14:paraId="655FD287">
            <w:pPr>
              <w:snapToGrid w:val="0"/>
              <w:jc w:val="center"/>
              <w:rPr>
                <w:rFonts w:hint="default"/>
                <w:sz w:val="24"/>
                <w:szCs w:val="24"/>
              </w:rPr>
            </w:pPr>
            <w:r>
              <w:rPr>
                <w:rFonts w:hint="default"/>
                <w:sz w:val="24"/>
                <w:szCs w:val="24"/>
              </w:rPr>
              <w:t>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3EB3E36A">
            <w:pPr>
              <w:snapToGrid w:val="0"/>
              <w:rPr>
                <w:rFonts w:hint="default"/>
                <w:sz w:val="24"/>
                <w:szCs w:val="24"/>
              </w:rPr>
            </w:pPr>
            <w:r>
              <w:rPr>
                <w:sz w:val="24"/>
                <w:szCs w:val="24"/>
              </w:rPr>
              <w:t>详见招标公告</w:t>
            </w:r>
          </w:p>
        </w:tc>
      </w:tr>
      <w:tr w14:paraId="51BCE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2A5840B">
            <w:pPr>
              <w:snapToGrid w:val="0"/>
              <w:jc w:val="center"/>
              <w:rPr>
                <w:rFonts w:hint="default"/>
                <w:sz w:val="24"/>
                <w:szCs w:val="24"/>
              </w:rPr>
            </w:pPr>
            <w:r>
              <w:rPr>
                <w:rFonts w:hint="default"/>
                <w:sz w:val="24"/>
                <w:szCs w:val="24"/>
              </w:rPr>
              <w:t>1</w:t>
            </w:r>
            <w:r>
              <w:rPr>
                <w:sz w:val="24"/>
                <w:szCs w:val="24"/>
              </w:rPr>
              <w:t>7</w:t>
            </w:r>
          </w:p>
        </w:tc>
        <w:tc>
          <w:tcPr>
            <w:tcW w:w="1440" w:type="dxa"/>
            <w:tcBorders>
              <w:top w:val="single" w:color="auto" w:sz="4" w:space="0"/>
              <w:left w:val="single" w:color="auto" w:sz="4" w:space="0"/>
              <w:bottom w:val="single" w:color="auto" w:sz="4" w:space="0"/>
              <w:right w:val="single" w:color="auto" w:sz="4" w:space="0"/>
            </w:tcBorders>
            <w:vAlign w:val="center"/>
          </w:tcPr>
          <w:p w14:paraId="6B30432D">
            <w:pPr>
              <w:snapToGrid w:val="0"/>
              <w:jc w:val="center"/>
              <w:rPr>
                <w:rFonts w:hint="default"/>
                <w:sz w:val="24"/>
                <w:szCs w:val="24"/>
              </w:rPr>
            </w:pPr>
            <w:r>
              <w:rPr>
                <w:rFonts w:hint="default"/>
                <w:sz w:val="24"/>
                <w:szCs w:val="24"/>
              </w:rPr>
              <w:t>开标</w:t>
            </w:r>
          </w:p>
        </w:tc>
        <w:tc>
          <w:tcPr>
            <w:tcW w:w="7142" w:type="dxa"/>
            <w:tcBorders>
              <w:top w:val="single" w:color="auto" w:sz="4" w:space="0"/>
              <w:left w:val="single" w:color="auto" w:sz="4" w:space="0"/>
              <w:bottom w:val="single" w:color="auto" w:sz="4" w:space="0"/>
              <w:right w:val="single" w:color="auto" w:sz="4" w:space="0"/>
            </w:tcBorders>
            <w:vAlign w:val="center"/>
          </w:tcPr>
          <w:p w14:paraId="53A29D8C">
            <w:pPr>
              <w:rPr>
                <w:rFonts w:hint="default"/>
                <w:sz w:val="24"/>
                <w:szCs w:val="24"/>
              </w:rPr>
            </w:pPr>
            <w:r>
              <w:rPr>
                <w:rFonts w:hint="default"/>
                <w:sz w:val="24"/>
                <w:szCs w:val="24"/>
              </w:rPr>
              <w:t>1、采购组织机构（即代理机构）按照招标文件规定的时间通过电子交易平台组织开标，所有投标供应商均应当准时在线参加。</w:t>
            </w:r>
          </w:p>
          <w:p w14:paraId="4D9668DB">
            <w:pPr>
              <w:rPr>
                <w:rFonts w:hint="default"/>
                <w:sz w:val="24"/>
                <w:szCs w:val="24"/>
              </w:rPr>
            </w:pPr>
            <w:r>
              <w:rPr>
                <w:rFonts w:hint="default"/>
                <w:sz w:val="24"/>
                <w:szCs w:val="24"/>
              </w:rPr>
              <w:t>2、开标时间后，采购组织机构将向各投标供应商发出“电子加密投标文件”的解密通知，各投标供应商代表应当在接到解密通知后</w:t>
            </w:r>
            <w:r>
              <w:rPr>
                <w:rFonts w:hint="default"/>
                <w:i/>
                <w:sz w:val="24"/>
                <w:szCs w:val="24"/>
                <w:u w:val="single"/>
              </w:rPr>
              <w:t>30</w:t>
            </w:r>
            <w:r>
              <w:rPr>
                <w:rFonts w:hint="default"/>
                <w:sz w:val="24"/>
                <w:szCs w:val="24"/>
              </w:rPr>
              <w:t>分钟内自行完成“电子加密投标文件”的在线解密。</w:t>
            </w:r>
          </w:p>
          <w:p w14:paraId="4EF39749">
            <w:pPr>
              <w:rPr>
                <w:rFonts w:hint="default"/>
                <w:sz w:val="24"/>
                <w:szCs w:val="24"/>
              </w:rPr>
            </w:pPr>
            <w:r>
              <w:rPr>
                <w:rFonts w:hint="default"/>
                <w:sz w:val="24"/>
                <w:szCs w:val="24"/>
              </w:rPr>
              <w:t>3、通过“政府采购云平台”上传递交的“电子加密投标文件”已按时解密的，“电子备份投标文件”自动失效。</w:t>
            </w:r>
          </w:p>
          <w:p w14:paraId="506B0600">
            <w:pPr>
              <w:rPr>
                <w:rFonts w:hint="default"/>
                <w:sz w:val="24"/>
                <w:szCs w:val="24"/>
              </w:rPr>
            </w:pPr>
            <w:r>
              <w:rPr>
                <w:rFonts w:hint="default"/>
                <w:sz w:val="24"/>
                <w:szCs w:val="24"/>
              </w:rPr>
              <w:t>4、通过“政府采购云平台”上传递交的“电子加密投标文件”无法按时解密的，如投标供应商按规定递交“电子备份投标文件”的，则由采购组织机构按“政府采购云平台”操作规范将“电子备份投标文件”上传至“政府采购云平台”。上传成功后，以“电子备份投标文件”参与评标，“电子加密投标文件”自动失效。如投标供应商未按规定递交“电子备份投标文件”的，视为投标文件撤回。</w:t>
            </w:r>
          </w:p>
          <w:p w14:paraId="1B451744">
            <w:pPr>
              <w:snapToGrid w:val="0"/>
              <w:rPr>
                <w:rFonts w:hint="default"/>
                <w:sz w:val="24"/>
                <w:szCs w:val="24"/>
              </w:rPr>
            </w:pPr>
            <w:r>
              <w:rPr>
                <w:rFonts w:hint="default"/>
                <w:sz w:val="24"/>
                <w:szCs w:val="24"/>
              </w:rPr>
              <w:t>5</w:t>
            </w:r>
            <w:r>
              <w:rPr>
                <w:rFonts w:hint="default"/>
                <w:b/>
                <w:bCs/>
                <w:sz w:val="24"/>
                <w:szCs w:val="24"/>
              </w:rPr>
              <w:t>、投标截止时间前，投标供应商仅递交了“电子备份投标文件”而未将“电子加密投标文件”上传至“政府采购云平台”的，投标无效。</w:t>
            </w:r>
          </w:p>
        </w:tc>
      </w:tr>
      <w:tr w14:paraId="5F57C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3FF50A0">
            <w:pPr>
              <w:snapToGrid w:val="0"/>
              <w:jc w:val="center"/>
              <w:rPr>
                <w:rFonts w:hint="default"/>
                <w:sz w:val="24"/>
                <w:szCs w:val="24"/>
              </w:rPr>
            </w:pPr>
            <w:r>
              <w:rPr>
                <w:rFonts w:hint="default"/>
                <w:sz w:val="24"/>
                <w:szCs w:val="24"/>
              </w:rPr>
              <w:t>1</w:t>
            </w:r>
            <w:r>
              <w:rPr>
                <w:sz w:val="24"/>
                <w:szCs w:val="24"/>
              </w:rPr>
              <w:t>8</w:t>
            </w:r>
          </w:p>
        </w:tc>
        <w:tc>
          <w:tcPr>
            <w:tcW w:w="1440" w:type="dxa"/>
            <w:tcBorders>
              <w:top w:val="single" w:color="auto" w:sz="4" w:space="0"/>
              <w:left w:val="single" w:color="auto" w:sz="4" w:space="0"/>
              <w:bottom w:val="single" w:color="auto" w:sz="4" w:space="0"/>
              <w:right w:val="single" w:color="auto" w:sz="4" w:space="0"/>
            </w:tcBorders>
            <w:vAlign w:val="center"/>
          </w:tcPr>
          <w:p w14:paraId="30E9156C">
            <w:pPr>
              <w:snapToGrid w:val="0"/>
              <w:jc w:val="center"/>
              <w:rPr>
                <w:rFonts w:hint="default"/>
                <w:sz w:val="24"/>
                <w:szCs w:val="24"/>
              </w:rPr>
            </w:pPr>
            <w:r>
              <w:rPr>
                <w:rFonts w:hint="default"/>
                <w:sz w:val="24"/>
                <w:szCs w:val="24"/>
              </w:rPr>
              <w:t>评标办法</w:t>
            </w:r>
          </w:p>
        </w:tc>
        <w:tc>
          <w:tcPr>
            <w:tcW w:w="7142" w:type="dxa"/>
            <w:tcBorders>
              <w:top w:val="single" w:color="auto" w:sz="4" w:space="0"/>
              <w:left w:val="single" w:color="auto" w:sz="4" w:space="0"/>
              <w:bottom w:val="single" w:color="auto" w:sz="4" w:space="0"/>
              <w:right w:val="single" w:color="auto" w:sz="4" w:space="0"/>
            </w:tcBorders>
            <w:vAlign w:val="center"/>
          </w:tcPr>
          <w:p w14:paraId="1521A562">
            <w:pPr>
              <w:autoSpaceDE w:val="0"/>
              <w:autoSpaceDN w:val="0"/>
              <w:snapToGrid w:val="0"/>
              <w:textAlignment w:val="bottom"/>
              <w:rPr>
                <w:rFonts w:hint="default"/>
                <w:sz w:val="24"/>
                <w:szCs w:val="24"/>
              </w:rPr>
            </w:pPr>
            <w:r>
              <w:rPr>
                <w:rFonts w:hint="default"/>
                <w:sz w:val="24"/>
                <w:szCs w:val="24"/>
              </w:rPr>
              <w:t>综合评分法</w:t>
            </w:r>
          </w:p>
        </w:tc>
      </w:tr>
      <w:tr w14:paraId="17970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55A9825">
            <w:pPr>
              <w:snapToGrid w:val="0"/>
              <w:jc w:val="center"/>
              <w:rPr>
                <w:rFonts w:hint="default"/>
                <w:sz w:val="24"/>
                <w:szCs w:val="24"/>
              </w:rPr>
            </w:pPr>
            <w:r>
              <w:rPr>
                <w:sz w:val="24"/>
                <w:szCs w:val="24"/>
              </w:rPr>
              <w:t>19</w:t>
            </w:r>
          </w:p>
        </w:tc>
        <w:tc>
          <w:tcPr>
            <w:tcW w:w="1440" w:type="dxa"/>
            <w:tcBorders>
              <w:top w:val="single" w:color="auto" w:sz="4" w:space="0"/>
              <w:left w:val="single" w:color="auto" w:sz="4" w:space="0"/>
              <w:bottom w:val="single" w:color="auto" w:sz="4" w:space="0"/>
              <w:right w:val="single" w:color="auto" w:sz="4" w:space="0"/>
            </w:tcBorders>
            <w:vAlign w:val="center"/>
          </w:tcPr>
          <w:p w14:paraId="0532D10D">
            <w:pPr>
              <w:snapToGrid w:val="0"/>
              <w:jc w:val="center"/>
              <w:rPr>
                <w:rFonts w:hint="default"/>
                <w:sz w:val="24"/>
                <w:szCs w:val="24"/>
              </w:rPr>
            </w:pPr>
            <w:r>
              <w:rPr>
                <w:rFonts w:hint="default"/>
                <w:sz w:val="24"/>
                <w:szCs w:val="24"/>
              </w:rPr>
              <w:t>投标文件</w:t>
            </w:r>
          </w:p>
          <w:p w14:paraId="3FF4E627">
            <w:pPr>
              <w:snapToGrid w:val="0"/>
              <w:jc w:val="center"/>
              <w:rPr>
                <w:rFonts w:hint="default"/>
                <w:sz w:val="24"/>
                <w:szCs w:val="24"/>
              </w:rPr>
            </w:pPr>
            <w:r>
              <w:rPr>
                <w:rFonts w:hint="default"/>
                <w:sz w:val="24"/>
                <w:szCs w:val="24"/>
              </w:rPr>
              <w:t>有效期</w:t>
            </w:r>
          </w:p>
        </w:tc>
        <w:tc>
          <w:tcPr>
            <w:tcW w:w="7142" w:type="dxa"/>
            <w:tcBorders>
              <w:top w:val="single" w:color="auto" w:sz="4" w:space="0"/>
              <w:left w:val="single" w:color="auto" w:sz="4" w:space="0"/>
              <w:bottom w:val="single" w:color="auto" w:sz="4" w:space="0"/>
              <w:right w:val="single" w:color="auto" w:sz="4" w:space="0"/>
            </w:tcBorders>
            <w:vAlign w:val="center"/>
          </w:tcPr>
          <w:p w14:paraId="134ACE05">
            <w:pPr>
              <w:autoSpaceDE w:val="0"/>
              <w:autoSpaceDN w:val="0"/>
              <w:snapToGrid w:val="0"/>
              <w:textAlignment w:val="bottom"/>
              <w:rPr>
                <w:rFonts w:hint="default"/>
                <w:sz w:val="24"/>
                <w:szCs w:val="24"/>
              </w:rPr>
            </w:pPr>
            <w:r>
              <w:rPr>
                <w:rFonts w:hint="default"/>
                <w:sz w:val="24"/>
                <w:szCs w:val="24"/>
              </w:rPr>
              <w:t>90天</w:t>
            </w:r>
          </w:p>
        </w:tc>
      </w:tr>
      <w:tr w14:paraId="6D3DB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CABC5DD">
            <w:pPr>
              <w:snapToGrid w:val="0"/>
              <w:jc w:val="center"/>
              <w:rPr>
                <w:rFonts w:hint="default"/>
                <w:sz w:val="24"/>
                <w:szCs w:val="24"/>
              </w:rPr>
            </w:pPr>
            <w:r>
              <w:rPr>
                <w:rFonts w:hint="default"/>
                <w:sz w:val="24"/>
                <w:szCs w:val="24"/>
              </w:rPr>
              <w:t>2</w:t>
            </w:r>
            <w:r>
              <w:rPr>
                <w:sz w:val="24"/>
                <w:szCs w:val="24"/>
              </w:rPr>
              <w:t>0</w:t>
            </w:r>
          </w:p>
        </w:tc>
        <w:tc>
          <w:tcPr>
            <w:tcW w:w="1440" w:type="dxa"/>
            <w:tcBorders>
              <w:top w:val="single" w:color="auto" w:sz="4" w:space="0"/>
              <w:left w:val="single" w:color="auto" w:sz="4" w:space="0"/>
              <w:bottom w:val="single" w:color="auto" w:sz="4" w:space="0"/>
              <w:right w:val="single" w:color="auto" w:sz="4" w:space="0"/>
            </w:tcBorders>
            <w:vAlign w:val="center"/>
          </w:tcPr>
          <w:p w14:paraId="642428DC">
            <w:pPr>
              <w:snapToGrid w:val="0"/>
              <w:jc w:val="center"/>
              <w:rPr>
                <w:rFonts w:hint="default"/>
                <w:sz w:val="24"/>
                <w:szCs w:val="24"/>
              </w:rPr>
            </w:pPr>
            <w:r>
              <w:rPr>
                <w:rFonts w:hint="default"/>
                <w:sz w:val="24"/>
                <w:szCs w:val="24"/>
              </w:rPr>
              <w:t>采购进</w:t>
            </w:r>
          </w:p>
          <w:p w14:paraId="42AE75AF">
            <w:pPr>
              <w:snapToGrid w:val="0"/>
              <w:jc w:val="center"/>
              <w:rPr>
                <w:rFonts w:hint="default"/>
                <w:sz w:val="24"/>
                <w:szCs w:val="24"/>
              </w:rPr>
            </w:pPr>
            <w:r>
              <w:rPr>
                <w:rFonts w:hint="default"/>
                <w:sz w:val="24"/>
                <w:szCs w:val="24"/>
              </w:rPr>
              <w:t>口</w:t>
            </w:r>
          </w:p>
        </w:tc>
        <w:tc>
          <w:tcPr>
            <w:tcW w:w="7142" w:type="dxa"/>
            <w:tcBorders>
              <w:top w:val="single" w:color="auto" w:sz="4" w:space="0"/>
              <w:left w:val="single" w:color="auto" w:sz="4" w:space="0"/>
              <w:bottom w:val="single" w:color="auto" w:sz="4" w:space="0"/>
              <w:right w:val="single" w:color="auto" w:sz="4" w:space="0"/>
            </w:tcBorders>
            <w:vAlign w:val="center"/>
          </w:tcPr>
          <w:p w14:paraId="44B8B5C6">
            <w:pPr>
              <w:pStyle w:val="6"/>
              <w:adjustRightInd w:val="0"/>
              <w:snapToGrid w:val="0"/>
              <w:spacing w:beforeLines="0" w:afterLines="0" w:line="320" w:lineRule="exact"/>
              <w:jc w:val="left"/>
              <w:rPr>
                <w:rFonts w:hint="default" w:hAnsi="宋体" w:cs="宋体"/>
                <w:szCs w:val="24"/>
              </w:rPr>
            </w:pPr>
            <w:r>
              <w:rPr>
                <w:rFonts w:hAnsi="宋体" w:cs="宋体"/>
                <w:szCs w:val="24"/>
              </w:rPr>
              <w:sym w:font="Wingdings 2" w:char="0052"/>
            </w:r>
            <w:r>
              <w:rPr>
                <w:rFonts w:hAnsi="宋体" w:cs="宋体"/>
                <w:szCs w:val="24"/>
              </w:rPr>
              <w:t>本项目不允许进口</w:t>
            </w:r>
          </w:p>
          <w:p w14:paraId="5C21A9CB">
            <w:pPr>
              <w:pStyle w:val="6"/>
              <w:adjustRightInd w:val="0"/>
              <w:snapToGrid w:val="0"/>
              <w:spacing w:beforeLines="0" w:afterLines="0" w:line="240" w:lineRule="auto"/>
              <w:jc w:val="left"/>
              <w:rPr>
                <w:rFonts w:hint="default" w:ascii="Times New Roman" w:hAnsi="Times New Roman"/>
                <w:szCs w:val="24"/>
              </w:rPr>
            </w:pPr>
            <w:r>
              <w:rPr>
                <w:rFonts w:hAnsi="宋体" w:cs="宋体"/>
                <w:szCs w:val="24"/>
              </w:rPr>
              <w:sym w:font="Wingdings 2" w:char="00A3"/>
            </w:r>
            <w:r>
              <w:rPr>
                <w:rFonts w:hAnsi="宋体" w:cs="宋体"/>
                <w:szCs w:val="24"/>
              </w:rPr>
              <w:t>本项目允许进口</w:t>
            </w:r>
          </w:p>
        </w:tc>
      </w:tr>
      <w:tr w14:paraId="65BED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E529085">
            <w:pPr>
              <w:snapToGrid w:val="0"/>
              <w:jc w:val="center"/>
              <w:rPr>
                <w:rFonts w:hint="default"/>
                <w:sz w:val="24"/>
                <w:szCs w:val="24"/>
              </w:rPr>
            </w:pPr>
            <w:r>
              <w:rPr>
                <w:rFonts w:hint="default"/>
                <w:sz w:val="24"/>
                <w:szCs w:val="24"/>
              </w:rPr>
              <w:t>2</w:t>
            </w:r>
            <w:r>
              <w:rPr>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14:paraId="3FD78F4B">
            <w:pPr>
              <w:snapToGrid w:val="0"/>
              <w:jc w:val="center"/>
              <w:rPr>
                <w:rFonts w:hint="default"/>
                <w:sz w:val="24"/>
                <w:szCs w:val="24"/>
              </w:rPr>
            </w:pPr>
            <w:r>
              <w:rPr>
                <w:rFonts w:hint="default"/>
                <w:sz w:val="24"/>
                <w:szCs w:val="24"/>
              </w:rPr>
              <w:t>节能产品、环境标志产品</w:t>
            </w:r>
          </w:p>
        </w:tc>
        <w:tc>
          <w:tcPr>
            <w:tcW w:w="7142" w:type="dxa"/>
            <w:tcBorders>
              <w:top w:val="single" w:color="auto" w:sz="4" w:space="0"/>
              <w:left w:val="single" w:color="auto" w:sz="4" w:space="0"/>
              <w:bottom w:val="single" w:color="auto" w:sz="4" w:space="0"/>
              <w:right w:val="single" w:color="auto" w:sz="4" w:space="0"/>
            </w:tcBorders>
            <w:vAlign w:val="center"/>
          </w:tcPr>
          <w:p w14:paraId="4355C818">
            <w:pPr>
              <w:pStyle w:val="6"/>
              <w:adjustRightInd w:val="0"/>
              <w:snapToGrid w:val="0"/>
              <w:spacing w:beforeLines="0" w:afterLines="0" w:line="240" w:lineRule="auto"/>
              <w:jc w:val="left"/>
              <w:rPr>
                <w:rFonts w:hint="default" w:ascii="Times New Roman" w:hAnsi="Times New Roman"/>
                <w:szCs w:val="24"/>
              </w:rPr>
            </w:pPr>
            <w:r>
              <w:rPr>
                <w:rFonts w:ascii="Times New Roman" w:hAnsi="Times New Roman"/>
                <w:szCs w:val="24"/>
              </w:rPr>
              <w:sym w:font="Wingdings 2" w:char="00A3"/>
            </w:r>
            <w:r>
              <w:rPr>
                <w:rFonts w:ascii="Times New Roman" w:hAnsi="Times New Roman"/>
                <w:szCs w:val="24"/>
              </w:rPr>
              <w:t>适用</w:t>
            </w:r>
            <w:r>
              <w:rPr>
                <w:rFonts w:hAnsi="宋体" w:cs="宋体"/>
                <w:szCs w:val="24"/>
              </w:rPr>
              <w:sym w:font="Wingdings 2" w:char="0052"/>
            </w:r>
            <w:r>
              <w:rPr>
                <w:rFonts w:hAnsi="宋体" w:cs="宋体"/>
                <w:szCs w:val="24"/>
              </w:rPr>
              <w:t>不适用</w:t>
            </w:r>
          </w:p>
          <w:p w14:paraId="17F1E255">
            <w:pPr>
              <w:pStyle w:val="6"/>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szCs w:val="24"/>
              </w:rPr>
              <w:t>（1）严格执行《财政部发展改革委生态环境部市场监管总局关于调整优化节能产品、环境标志产品政府采购执行机制的通知》（财库〔2019〕9号）。</w:t>
            </w:r>
          </w:p>
          <w:p w14:paraId="19E22E00">
            <w:pPr>
              <w:pStyle w:val="6"/>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szCs w:val="24"/>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3D3B7401">
            <w:pPr>
              <w:pStyle w:val="6"/>
              <w:adjustRightInd w:val="0"/>
              <w:snapToGrid w:val="0"/>
              <w:spacing w:beforeLines="0" w:afterLines="0" w:line="240" w:lineRule="auto"/>
              <w:jc w:val="left"/>
              <w:rPr>
                <w:rFonts w:hint="default" w:ascii="Times New Roman" w:hAnsi="Times New Roman"/>
                <w:b/>
                <w:bCs/>
                <w:szCs w:val="24"/>
              </w:rPr>
            </w:pPr>
            <w:r>
              <w:rPr>
                <w:rFonts w:hint="default" w:ascii="Times New Roman" w:hAnsi="Times New Roman"/>
                <w:szCs w:val="24"/>
              </w:rPr>
              <w:t>▲</w:t>
            </w:r>
            <w:r>
              <w:rPr>
                <w:rFonts w:hint="default" w:ascii="Times New Roman" w:hAnsi="Times New Roman"/>
                <w:b/>
                <w:bCs/>
                <w:szCs w:val="24"/>
              </w:rPr>
              <w:t>（3）采购人拟采购的产品属于政府强制采购的节能产品品目清单范围的，供应商未按采购文件要求提供国家确定的认证机构出具的、处于有效期之内的节能产品认证证书，投标无效。</w:t>
            </w:r>
          </w:p>
          <w:p w14:paraId="280D7103">
            <w:pPr>
              <w:pStyle w:val="6"/>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b/>
                <w:bCs/>
                <w:szCs w:val="24"/>
              </w:rPr>
              <w:t>属于政府优先采购产品类别的，须按照要求提供依据国家确定的认证机构出具的、处于有效期之内的节能产品或环境标志产品认证证书，否则不予认定。</w:t>
            </w:r>
          </w:p>
        </w:tc>
      </w:tr>
      <w:tr w14:paraId="249D7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D66CF11">
            <w:pPr>
              <w:snapToGrid w:val="0"/>
              <w:jc w:val="center"/>
              <w:rPr>
                <w:rFonts w:hint="default"/>
                <w:sz w:val="24"/>
                <w:szCs w:val="24"/>
              </w:rPr>
            </w:pPr>
            <w:r>
              <w:rPr>
                <w:sz w:val="24"/>
                <w:szCs w:val="24"/>
              </w:rPr>
              <w:t>22</w:t>
            </w:r>
          </w:p>
        </w:tc>
        <w:tc>
          <w:tcPr>
            <w:tcW w:w="1440" w:type="dxa"/>
            <w:tcBorders>
              <w:top w:val="single" w:color="auto" w:sz="4" w:space="0"/>
              <w:left w:val="single" w:color="auto" w:sz="4" w:space="0"/>
              <w:bottom w:val="single" w:color="auto" w:sz="4" w:space="0"/>
              <w:right w:val="single" w:color="auto" w:sz="4" w:space="0"/>
            </w:tcBorders>
            <w:vAlign w:val="center"/>
          </w:tcPr>
          <w:p w14:paraId="688F45FB">
            <w:pPr>
              <w:adjustRightInd w:val="0"/>
              <w:snapToGrid w:val="0"/>
              <w:spacing w:line="320" w:lineRule="exact"/>
              <w:jc w:val="center"/>
              <w:rPr>
                <w:rFonts w:hint="default"/>
                <w:sz w:val="24"/>
                <w:szCs w:val="24"/>
              </w:rPr>
            </w:pPr>
            <w:r>
              <w:rPr>
                <w:rFonts w:ascii="宋体" w:hAnsi="宋体" w:cs="宋体"/>
                <w:sz w:val="24"/>
                <w:szCs w:val="24"/>
              </w:rPr>
              <w:t>采购标的及所属行业</w:t>
            </w:r>
          </w:p>
        </w:tc>
        <w:tc>
          <w:tcPr>
            <w:tcW w:w="7142" w:type="dxa"/>
            <w:tcBorders>
              <w:top w:val="single" w:color="auto" w:sz="4" w:space="0"/>
              <w:left w:val="single" w:color="auto" w:sz="4" w:space="0"/>
              <w:bottom w:val="single" w:color="auto" w:sz="4" w:space="0"/>
              <w:right w:val="single" w:color="auto" w:sz="4" w:space="0"/>
            </w:tcBorders>
            <w:vAlign w:val="center"/>
          </w:tcPr>
          <w:p w14:paraId="66808FB7">
            <w:pPr>
              <w:autoSpaceDE w:val="0"/>
              <w:autoSpaceDN w:val="0"/>
              <w:adjustRightInd w:val="0"/>
              <w:snapToGrid w:val="0"/>
              <w:spacing w:line="320" w:lineRule="exact"/>
              <w:textAlignment w:val="bottom"/>
              <w:rPr>
                <w:rFonts w:hint="default" w:ascii="宋体" w:hAnsi="宋体" w:cs="宋体"/>
                <w:b/>
                <w:bCs/>
                <w:sz w:val="24"/>
                <w:szCs w:val="24"/>
                <w:u w:val="single"/>
              </w:rPr>
            </w:pPr>
            <w:r>
              <w:rPr>
                <w:rFonts w:ascii="宋体" w:hAnsi="宋体" w:cs="宋体"/>
                <w:sz w:val="24"/>
                <w:szCs w:val="24"/>
              </w:rPr>
              <w:t>1</w:t>
            </w:r>
            <w:r>
              <w:rPr>
                <w:rFonts w:ascii="宋体" w:hAnsi="宋体" w:cs="宋体"/>
                <w:b/>
                <w:bCs/>
                <w:sz w:val="24"/>
                <w:szCs w:val="24"/>
              </w:rPr>
              <w:t>.本次采购标的为</w:t>
            </w:r>
            <w:r>
              <w:rPr>
                <w:rFonts w:ascii="宋体" w:hAnsi="宋体" w:cs="宋体"/>
                <w:b/>
                <w:bCs/>
                <w:sz w:val="24"/>
                <w:szCs w:val="24"/>
                <w:u w:val="single"/>
              </w:rPr>
              <w:t>浙江省中医院三院区（湖滨、钱塘、西溪）健康</w:t>
            </w:r>
          </w:p>
          <w:p w14:paraId="0207851E">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b/>
                <w:bCs/>
                <w:sz w:val="24"/>
                <w:szCs w:val="24"/>
                <w:u w:val="single"/>
              </w:rPr>
              <w:t>管理中心检后管理服务</w:t>
            </w:r>
            <w:r>
              <w:rPr>
                <w:rFonts w:ascii="宋体" w:hAnsi="宋体" w:cs="宋体"/>
                <w:b/>
                <w:bCs/>
                <w:sz w:val="24"/>
                <w:szCs w:val="24"/>
              </w:rPr>
              <w:t>，对应的中小企业划分标准所属行业是：</w:t>
            </w:r>
            <w:r>
              <w:rPr>
                <w:rFonts w:ascii="宋体" w:hAnsi="宋体" w:cs="宋体"/>
                <w:b/>
                <w:bCs/>
                <w:sz w:val="24"/>
                <w:u w:val="single"/>
              </w:rPr>
              <w:t>其他未列明行业</w:t>
            </w:r>
            <w:r>
              <w:rPr>
                <w:rFonts w:ascii="宋体" w:hAnsi="宋体" w:cs="宋体"/>
                <w:b/>
                <w:bCs/>
                <w:sz w:val="24"/>
                <w:szCs w:val="24"/>
              </w:rPr>
              <w:t>。</w:t>
            </w:r>
            <w:r>
              <w:rPr>
                <w:rFonts w:ascii="宋体" w:hAnsi="宋体" w:cs="宋体"/>
                <w:sz w:val="24"/>
                <w:szCs w:val="24"/>
              </w:rPr>
              <w:t>（从业人员300人以下的为中小微型企业。其中，从业人员100人及以上的为中型企业；从业人员10人及以上的为小型企业；从业人员10人以下的为微型企业）</w:t>
            </w:r>
          </w:p>
          <w:p w14:paraId="15CF9C28">
            <w:pPr>
              <w:pStyle w:val="6"/>
              <w:adjustRightInd w:val="0"/>
              <w:snapToGrid w:val="0"/>
              <w:spacing w:beforeLines="0" w:afterLines="0" w:line="320" w:lineRule="exact"/>
              <w:rPr>
                <w:rFonts w:hint="default" w:hAnsi="宋体" w:cs="宋体"/>
                <w:szCs w:val="24"/>
              </w:rPr>
            </w:pPr>
            <w:r>
              <w:rPr>
                <w:rFonts w:hAnsi="宋体" w:cs="宋体"/>
              </w:rPr>
              <w:t>2.采购标的对应的采购类型：</w:t>
            </w:r>
            <w:r>
              <w:rPr>
                <w:rFonts w:hAnsi="宋体" w:cs="宋体"/>
                <w:b/>
                <w:bCs/>
                <w:u w:val="single"/>
              </w:rPr>
              <w:t>服务类</w:t>
            </w:r>
            <w:r>
              <w:rPr>
                <w:rFonts w:hAnsi="宋体" w:cs="宋体"/>
              </w:rPr>
              <w:t>。</w:t>
            </w:r>
          </w:p>
        </w:tc>
      </w:tr>
      <w:tr w14:paraId="3289C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25429A3">
            <w:pPr>
              <w:snapToGrid w:val="0"/>
              <w:jc w:val="center"/>
              <w:rPr>
                <w:rFonts w:hint="default"/>
                <w:sz w:val="24"/>
                <w:szCs w:val="24"/>
              </w:rPr>
            </w:pPr>
            <w:r>
              <w:rPr>
                <w:sz w:val="24"/>
                <w:szCs w:val="24"/>
              </w:rPr>
              <w:t>23</w:t>
            </w:r>
          </w:p>
        </w:tc>
        <w:tc>
          <w:tcPr>
            <w:tcW w:w="1440" w:type="dxa"/>
            <w:tcBorders>
              <w:top w:val="single" w:color="auto" w:sz="4" w:space="0"/>
              <w:left w:val="single" w:color="auto" w:sz="4" w:space="0"/>
              <w:bottom w:val="single" w:color="auto" w:sz="4" w:space="0"/>
              <w:right w:val="single" w:color="auto" w:sz="4" w:space="0"/>
            </w:tcBorders>
            <w:vAlign w:val="center"/>
          </w:tcPr>
          <w:p w14:paraId="2E316DF9">
            <w:pPr>
              <w:snapToGrid w:val="0"/>
              <w:jc w:val="center"/>
              <w:rPr>
                <w:rFonts w:hint="default"/>
                <w:sz w:val="24"/>
                <w:szCs w:val="24"/>
              </w:rPr>
            </w:pPr>
            <w:r>
              <w:rPr>
                <w:rFonts w:hint="default"/>
                <w:sz w:val="24"/>
                <w:szCs w:val="24"/>
              </w:rPr>
              <w:t>促进中小</w:t>
            </w:r>
          </w:p>
          <w:p w14:paraId="5C03CAEA">
            <w:pPr>
              <w:snapToGrid w:val="0"/>
              <w:jc w:val="center"/>
              <w:rPr>
                <w:rFonts w:hint="default"/>
                <w:sz w:val="24"/>
                <w:szCs w:val="24"/>
              </w:rPr>
            </w:pPr>
            <w:r>
              <w:rPr>
                <w:rFonts w:hint="default"/>
                <w:sz w:val="24"/>
                <w:szCs w:val="24"/>
              </w:rPr>
              <w:t>企业发展</w:t>
            </w:r>
          </w:p>
        </w:tc>
        <w:tc>
          <w:tcPr>
            <w:tcW w:w="7142" w:type="dxa"/>
            <w:tcBorders>
              <w:top w:val="single" w:color="auto" w:sz="4" w:space="0"/>
              <w:left w:val="single" w:color="auto" w:sz="4" w:space="0"/>
              <w:bottom w:val="single" w:color="auto" w:sz="4" w:space="0"/>
              <w:right w:val="single" w:color="auto" w:sz="4" w:space="0"/>
            </w:tcBorders>
            <w:vAlign w:val="center"/>
          </w:tcPr>
          <w:p w14:paraId="50F284CC">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1.本次采购为专门面向中小企业预留采购份额的采购项目。</w:t>
            </w:r>
          </w:p>
          <w:p w14:paraId="06C92BC0">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2BE8025">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3.以联合体形式参加政府采购活动，联合体各方均为小微企业的，联合体视同小微企业。</w:t>
            </w:r>
          </w:p>
          <w:p w14:paraId="31D8BF12">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4.符合小微企业划分标准的个体工商户，视同小微企业。</w:t>
            </w:r>
          </w:p>
          <w:p w14:paraId="677F2646">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5.本次采购的服务要求全部由中小企业承接。</w:t>
            </w:r>
          </w:p>
          <w:p w14:paraId="062E1307">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6.承接的服务由中小企业提供的，供应商应当出具《中小企业声明函》。</w:t>
            </w:r>
          </w:p>
          <w:p w14:paraId="5CFBD61B">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7.残疾人福利性单位视同小微企业，享受小微企业同等的价格扣除。残疾人福利性单位参加政府采购活动时，应当提供《残疾人福利性单位声明函》。</w:t>
            </w:r>
          </w:p>
          <w:p w14:paraId="01EEAB88">
            <w:pPr>
              <w:autoSpaceDE w:val="0"/>
              <w:autoSpaceDN w:val="0"/>
              <w:snapToGrid w:val="0"/>
              <w:textAlignment w:val="bottom"/>
              <w:rPr>
                <w:rFonts w:hint="default"/>
                <w:sz w:val="24"/>
                <w:szCs w:val="24"/>
              </w:rPr>
            </w:pPr>
            <w:r>
              <w:rPr>
                <w:rFonts w:ascii="宋体" w:hAnsi="宋体" w:cs="宋体"/>
                <w:sz w:val="24"/>
                <w:szCs w:val="24"/>
              </w:rPr>
              <w:t>8.监狱企业视同小微企业，享受小微企业同等的价格扣除。监狱企业参加政府采购活动时，应当出具省级以上监狱管理局、戒毒管理局（含新疆生产建设兵团）提供的属于监狱企业的证明文件。</w:t>
            </w:r>
          </w:p>
        </w:tc>
      </w:tr>
      <w:tr w14:paraId="6BCD9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C54E39E">
            <w:pPr>
              <w:snapToGrid w:val="0"/>
              <w:jc w:val="center"/>
              <w:rPr>
                <w:rFonts w:hint="default"/>
                <w:sz w:val="24"/>
                <w:szCs w:val="24"/>
              </w:rPr>
            </w:pPr>
            <w:r>
              <w:rPr>
                <w:sz w:val="24"/>
                <w:szCs w:val="24"/>
              </w:rPr>
              <w:t>24</w:t>
            </w:r>
          </w:p>
        </w:tc>
        <w:tc>
          <w:tcPr>
            <w:tcW w:w="1440" w:type="dxa"/>
            <w:tcBorders>
              <w:top w:val="single" w:color="auto" w:sz="4" w:space="0"/>
              <w:left w:val="single" w:color="auto" w:sz="4" w:space="0"/>
              <w:bottom w:val="single" w:color="auto" w:sz="4" w:space="0"/>
              <w:right w:val="single" w:color="auto" w:sz="4" w:space="0"/>
            </w:tcBorders>
            <w:vAlign w:val="center"/>
          </w:tcPr>
          <w:p w14:paraId="078DB9D4">
            <w:pPr>
              <w:snapToGrid w:val="0"/>
              <w:jc w:val="center"/>
              <w:rPr>
                <w:rFonts w:hint="default"/>
                <w:b/>
                <w:bCs/>
                <w:sz w:val="24"/>
                <w:szCs w:val="24"/>
              </w:rPr>
            </w:pPr>
            <w:r>
              <w:rPr>
                <w:b/>
                <w:bCs/>
                <w:sz w:val="24"/>
                <w:szCs w:val="24"/>
              </w:rPr>
              <w:t>联合体</w:t>
            </w:r>
          </w:p>
        </w:tc>
        <w:tc>
          <w:tcPr>
            <w:tcW w:w="7142" w:type="dxa"/>
            <w:tcBorders>
              <w:top w:val="single" w:color="auto" w:sz="4" w:space="0"/>
              <w:left w:val="single" w:color="auto" w:sz="4" w:space="0"/>
              <w:bottom w:val="single" w:color="auto" w:sz="4" w:space="0"/>
              <w:right w:val="single" w:color="auto" w:sz="4" w:space="0"/>
            </w:tcBorders>
            <w:vAlign w:val="center"/>
          </w:tcPr>
          <w:p w14:paraId="1087A688">
            <w:pPr>
              <w:rPr>
                <w:rFonts w:hint="default" w:ascii="宋体" w:hAnsi="宋体" w:cs="宋体"/>
                <w:b/>
                <w:bCs/>
                <w:sz w:val="24"/>
                <w:szCs w:val="24"/>
              </w:rPr>
            </w:pPr>
            <w:r>
              <w:rPr>
                <w:rFonts w:hint="default" w:ascii="Wingdings" w:hAnsi="Wingdings" w:cs="宋体"/>
                <w:b/>
                <w:bCs/>
                <w:kern w:val="0"/>
                <w:sz w:val="24"/>
                <w:szCs w:val="24"/>
              </w:rPr>
              <w:t>详见招标公告</w:t>
            </w:r>
          </w:p>
        </w:tc>
      </w:tr>
      <w:tr w14:paraId="7316A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3D0DC81">
            <w:pPr>
              <w:adjustRightInd w:val="0"/>
              <w:snapToGrid w:val="0"/>
              <w:spacing w:line="320" w:lineRule="exact"/>
              <w:jc w:val="center"/>
              <w:rPr>
                <w:rFonts w:hint="default"/>
                <w:sz w:val="24"/>
                <w:szCs w:val="24"/>
              </w:rPr>
            </w:pPr>
            <w:r>
              <w:rPr>
                <w:rFonts w:ascii="宋体" w:hAnsi="宋体" w:cs="宋体"/>
                <w:sz w:val="24"/>
                <w:szCs w:val="24"/>
              </w:rPr>
              <w:t>25</w:t>
            </w:r>
          </w:p>
        </w:tc>
        <w:tc>
          <w:tcPr>
            <w:tcW w:w="1440" w:type="dxa"/>
            <w:tcBorders>
              <w:top w:val="single" w:color="auto" w:sz="4" w:space="0"/>
              <w:left w:val="single" w:color="auto" w:sz="4" w:space="0"/>
              <w:bottom w:val="single" w:color="auto" w:sz="4" w:space="0"/>
              <w:right w:val="single" w:color="auto" w:sz="4" w:space="0"/>
            </w:tcBorders>
            <w:vAlign w:val="center"/>
          </w:tcPr>
          <w:p w14:paraId="35FD6B1C">
            <w:pPr>
              <w:adjustRightInd w:val="0"/>
              <w:snapToGrid w:val="0"/>
              <w:spacing w:line="320" w:lineRule="exact"/>
              <w:jc w:val="center"/>
              <w:rPr>
                <w:rFonts w:hint="default"/>
                <w:sz w:val="24"/>
                <w:szCs w:val="24"/>
              </w:rPr>
            </w:pPr>
            <w:r>
              <w:rPr>
                <w:rFonts w:ascii="宋体" w:hAnsi="宋体" w:cs="宋体"/>
                <w:sz w:val="24"/>
                <w:szCs w:val="24"/>
              </w:rPr>
              <w:t>转包</w:t>
            </w:r>
          </w:p>
        </w:tc>
        <w:tc>
          <w:tcPr>
            <w:tcW w:w="7142" w:type="dxa"/>
            <w:tcBorders>
              <w:top w:val="single" w:color="auto" w:sz="4" w:space="0"/>
              <w:left w:val="single" w:color="auto" w:sz="4" w:space="0"/>
              <w:bottom w:val="single" w:color="auto" w:sz="4" w:space="0"/>
              <w:right w:val="single" w:color="auto" w:sz="4" w:space="0"/>
            </w:tcBorders>
            <w:vAlign w:val="center"/>
          </w:tcPr>
          <w:p w14:paraId="096B96BE">
            <w:pPr>
              <w:autoSpaceDE w:val="0"/>
              <w:autoSpaceDN w:val="0"/>
              <w:adjustRightInd w:val="0"/>
              <w:snapToGrid w:val="0"/>
              <w:spacing w:line="320" w:lineRule="exact"/>
              <w:textAlignment w:val="bottom"/>
              <w:rPr>
                <w:rFonts w:hint="default"/>
                <w:sz w:val="24"/>
                <w:szCs w:val="24"/>
              </w:rPr>
            </w:pPr>
            <w:r>
              <w:rPr>
                <w:rFonts w:ascii="宋体" w:hAnsi="宋体" w:cs="宋体"/>
                <w:sz w:val="24"/>
                <w:szCs w:val="24"/>
              </w:rPr>
              <w:t>本项目不允许转包</w:t>
            </w:r>
          </w:p>
        </w:tc>
      </w:tr>
      <w:tr w14:paraId="4CCAE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3C85F58">
            <w:pPr>
              <w:adjustRightInd w:val="0"/>
              <w:snapToGrid w:val="0"/>
              <w:spacing w:line="320" w:lineRule="exact"/>
              <w:jc w:val="center"/>
              <w:rPr>
                <w:rFonts w:hint="default"/>
                <w:sz w:val="24"/>
                <w:szCs w:val="24"/>
              </w:rPr>
            </w:pPr>
            <w:r>
              <w:rPr>
                <w:rFonts w:ascii="宋体" w:hAnsi="宋体" w:cs="宋体"/>
                <w:sz w:val="24"/>
                <w:szCs w:val="24"/>
              </w:rPr>
              <w:t>26</w:t>
            </w:r>
          </w:p>
        </w:tc>
        <w:tc>
          <w:tcPr>
            <w:tcW w:w="1440" w:type="dxa"/>
            <w:tcBorders>
              <w:top w:val="single" w:color="auto" w:sz="4" w:space="0"/>
              <w:left w:val="single" w:color="auto" w:sz="4" w:space="0"/>
              <w:bottom w:val="single" w:color="auto" w:sz="4" w:space="0"/>
              <w:right w:val="single" w:color="auto" w:sz="4" w:space="0"/>
            </w:tcBorders>
            <w:vAlign w:val="center"/>
          </w:tcPr>
          <w:p w14:paraId="4473DE98">
            <w:pPr>
              <w:adjustRightInd w:val="0"/>
              <w:snapToGrid w:val="0"/>
              <w:spacing w:line="320" w:lineRule="exact"/>
              <w:jc w:val="center"/>
              <w:rPr>
                <w:rFonts w:hint="default"/>
                <w:sz w:val="24"/>
                <w:szCs w:val="24"/>
              </w:rPr>
            </w:pPr>
            <w:r>
              <w:rPr>
                <w:rFonts w:ascii="宋体" w:hAnsi="宋体" w:cs="宋体"/>
                <w:sz w:val="24"/>
                <w:szCs w:val="24"/>
              </w:rPr>
              <w:t>分包</w:t>
            </w:r>
          </w:p>
        </w:tc>
        <w:tc>
          <w:tcPr>
            <w:tcW w:w="7142" w:type="dxa"/>
            <w:tcBorders>
              <w:top w:val="single" w:color="auto" w:sz="4" w:space="0"/>
              <w:left w:val="single" w:color="auto" w:sz="4" w:space="0"/>
              <w:bottom w:val="single" w:color="auto" w:sz="4" w:space="0"/>
              <w:right w:val="single" w:color="auto" w:sz="4" w:space="0"/>
            </w:tcBorders>
            <w:vAlign w:val="center"/>
          </w:tcPr>
          <w:p w14:paraId="1F192C01">
            <w:pPr>
              <w:rPr>
                <w:rFonts w:hint="default"/>
                <w:sz w:val="24"/>
                <w:szCs w:val="24"/>
              </w:rPr>
            </w:pPr>
            <w:r>
              <w:rPr>
                <w:rFonts w:ascii="宋体" w:hAnsi="宋体" w:cs="宋体"/>
                <w:kern w:val="0"/>
                <w:sz w:val="24"/>
              </w:rPr>
              <w:t>投标人根据招标文件载明的项目实际情况，拟在中标后将中标项目的部分非主体、非关键性工作进行分包的，应当在投标文件中载明。</w:t>
            </w:r>
          </w:p>
        </w:tc>
      </w:tr>
      <w:tr w14:paraId="6E811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3FF797C">
            <w:pPr>
              <w:snapToGrid w:val="0"/>
              <w:jc w:val="center"/>
              <w:rPr>
                <w:rFonts w:hint="default"/>
                <w:sz w:val="24"/>
                <w:szCs w:val="24"/>
              </w:rPr>
            </w:pPr>
            <w:r>
              <w:rPr>
                <w:sz w:val="24"/>
                <w:szCs w:val="24"/>
              </w:rPr>
              <w:t>27</w:t>
            </w:r>
          </w:p>
        </w:tc>
        <w:tc>
          <w:tcPr>
            <w:tcW w:w="1440" w:type="dxa"/>
            <w:tcBorders>
              <w:top w:val="single" w:color="auto" w:sz="4" w:space="0"/>
              <w:left w:val="single" w:color="auto" w:sz="4" w:space="0"/>
              <w:bottom w:val="single" w:color="auto" w:sz="4" w:space="0"/>
              <w:right w:val="single" w:color="auto" w:sz="4" w:space="0"/>
            </w:tcBorders>
            <w:vAlign w:val="center"/>
          </w:tcPr>
          <w:p w14:paraId="2687DBC5">
            <w:pPr>
              <w:snapToGrid w:val="0"/>
              <w:jc w:val="center"/>
              <w:rPr>
                <w:rFonts w:hint="default"/>
                <w:sz w:val="24"/>
                <w:szCs w:val="24"/>
              </w:rPr>
            </w:pPr>
            <w:r>
              <w:rPr>
                <w:rFonts w:hint="default"/>
                <w:sz w:val="24"/>
                <w:szCs w:val="24"/>
              </w:rPr>
              <w:t>代理服务费</w:t>
            </w:r>
          </w:p>
        </w:tc>
        <w:tc>
          <w:tcPr>
            <w:tcW w:w="7142" w:type="dxa"/>
            <w:tcBorders>
              <w:top w:val="single" w:color="auto" w:sz="4" w:space="0"/>
              <w:left w:val="single" w:color="auto" w:sz="4" w:space="0"/>
              <w:bottom w:val="single" w:color="auto" w:sz="4" w:space="0"/>
              <w:right w:val="single" w:color="auto" w:sz="4" w:space="0"/>
            </w:tcBorders>
            <w:vAlign w:val="center"/>
          </w:tcPr>
          <w:p w14:paraId="5FA89712">
            <w:pPr>
              <w:adjustRightInd w:val="0"/>
              <w:snapToGrid w:val="0"/>
              <w:rPr>
                <w:rFonts w:hint="default"/>
                <w:sz w:val="24"/>
                <w:szCs w:val="24"/>
              </w:rPr>
            </w:pPr>
            <w:r>
              <w:rPr>
                <w:rFonts w:hint="default"/>
                <w:sz w:val="24"/>
                <w:szCs w:val="24"/>
              </w:rPr>
              <w:t>本次代理服务费按国家发改委(原国家计委计价格2002)1980号文《招标代理服务收费管理暂行办法》规定收费标准的60%计取，</w:t>
            </w:r>
            <w:r>
              <w:rPr>
                <w:sz w:val="24"/>
                <w:szCs w:val="24"/>
              </w:rPr>
              <w:t>以预算价为计费基数。</w:t>
            </w:r>
            <w:r>
              <w:rPr>
                <w:rFonts w:hint="default"/>
                <w:sz w:val="24"/>
                <w:szCs w:val="24"/>
              </w:rPr>
              <w:t>代理服务费单个项目不足5000元，按5000元收取。由</w:t>
            </w:r>
            <w:r>
              <w:rPr>
                <w:sz w:val="24"/>
                <w:szCs w:val="24"/>
              </w:rPr>
              <w:t>中标人</w:t>
            </w:r>
            <w:r>
              <w:rPr>
                <w:rFonts w:hint="default"/>
                <w:sz w:val="24"/>
                <w:szCs w:val="24"/>
              </w:rPr>
              <w:t>在接到</w:t>
            </w:r>
            <w:r>
              <w:rPr>
                <w:sz w:val="24"/>
                <w:szCs w:val="24"/>
              </w:rPr>
              <w:t>中标</w:t>
            </w:r>
            <w:r>
              <w:rPr>
                <w:rFonts w:hint="default"/>
                <w:sz w:val="24"/>
                <w:szCs w:val="24"/>
              </w:rPr>
              <w:t>通知书时支付给代理机构。</w:t>
            </w:r>
          </w:p>
          <w:p w14:paraId="54AB391B">
            <w:pPr>
              <w:autoSpaceDE w:val="0"/>
              <w:autoSpaceDN w:val="0"/>
              <w:snapToGrid w:val="0"/>
              <w:spacing w:line="276" w:lineRule="auto"/>
              <w:rPr>
                <w:rFonts w:hint="default"/>
                <w:sz w:val="24"/>
                <w:szCs w:val="24"/>
              </w:rPr>
            </w:pPr>
            <w:r>
              <w:rPr>
                <w:sz w:val="24"/>
                <w:szCs w:val="24"/>
              </w:rPr>
              <w:t>收款单位（户名）：浙江豪圣建设项目管理有限公司</w:t>
            </w:r>
          </w:p>
          <w:p w14:paraId="1A318126">
            <w:pPr>
              <w:autoSpaceDE w:val="0"/>
              <w:autoSpaceDN w:val="0"/>
              <w:snapToGrid w:val="0"/>
              <w:spacing w:line="276" w:lineRule="auto"/>
              <w:rPr>
                <w:rFonts w:hint="default"/>
                <w:sz w:val="24"/>
                <w:szCs w:val="24"/>
              </w:rPr>
            </w:pPr>
            <w:r>
              <w:rPr>
                <w:sz w:val="24"/>
                <w:szCs w:val="24"/>
              </w:rPr>
              <w:t>开  户：上海浦东发展银行股份有限公司杭州和睦支行</w:t>
            </w:r>
          </w:p>
          <w:p w14:paraId="3FCDEAEA">
            <w:pPr>
              <w:autoSpaceDE w:val="0"/>
              <w:autoSpaceDN w:val="0"/>
              <w:snapToGrid w:val="0"/>
              <w:spacing w:line="276" w:lineRule="auto"/>
              <w:rPr>
                <w:rFonts w:hint="default"/>
                <w:sz w:val="24"/>
                <w:szCs w:val="24"/>
              </w:rPr>
            </w:pPr>
            <w:r>
              <w:rPr>
                <w:sz w:val="24"/>
                <w:szCs w:val="24"/>
              </w:rPr>
              <w:t>账  号：95160154800000653</w:t>
            </w:r>
          </w:p>
        </w:tc>
      </w:tr>
      <w:tr w14:paraId="0870D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4C404AC">
            <w:pPr>
              <w:snapToGrid w:val="0"/>
              <w:jc w:val="center"/>
              <w:rPr>
                <w:rFonts w:hint="default"/>
                <w:sz w:val="24"/>
                <w:szCs w:val="24"/>
              </w:rPr>
            </w:pPr>
            <w:r>
              <w:rPr>
                <w:sz w:val="24"/>
                <w:szCs w:val="24"/>
              </w:rPr>
              <w:t>28</w:t>
            </w:r>
          </w:p>
        </w:tc>
        <w:tc>
          <w:tcPr>
            <w:tcW w:w="1440" w:type="dxa"/>
            <w:tcBorders>
              <w:top w:val="single" w:color="auto" w:sz="4" w:space="0"/>
              <w:left w:val="single" w:color="auto" w:sz="4" w:space="0"/>
              <w:bottom w:val="single" w:color="auto" w:sz="4" w:space="0"/>
              <w:right w:val="single" w:color="auto" w:sz="4" w:space="0"/>
            </w:tcBorders>
            <w:vAlign w:val="center"/>
          </w:tcPr>
          <w:p w14:paraId="4DDD5A2C">
            <w:pPr>
              <w:snapToGrid w:val="0"/>
              <w:jc w:val="center"/>
              <w:rPr>
                <w:rFonts w:hint="default"/>
                <w:sz w:val="24"/>
                <w:szCs w:val="24"/>
              </w:rPr>
            </w:pPr>
            <w:r>
              <w:rPr>
                <w:sz w:val="24"/>
                <w:szCs w:val="24"/>
              </w:rPr>
              <w:t>其他</w:t>
            </w:r>
          </w:p>
        </w:tc>
        <w:tc>
          <w:tcPr>
            <w:tcW w:w="7142" w:type="dxa"/>
            <w:tcBorders>
              <w:top w:val="single" w:color="auto" w:sz="4" w:space="0"/>
              <w:left w:val="single" w:color="auto" w:sz="4" w:space="0"/>
              <w:bottom w:val="single" w:color="auto" w:sz="4" w:space="0"/>
              <w:right w:val="single" w:color="auto" w:sz="4" w:space="0"/>
            </w:tcBorders>
            <w:vAlign w:val="center"/>
          </w:tcPr>
          <w:p w14:paraId="4252A492">
            <w:pPr>
              <w:autoSpaceDE w:val="0"/>
              <w:autoSpaceDN w:val="0"/>
              <w:snapToGrid w:val="0"/>
              <w:spacing w:line="276" w:lineRule="auto"/>
              <w:rPr>
                <w:rFonts w:hint="default"/>
                <w:sz w:val="24"/>
                <w:szCs w:val="24"/>
              </w:rPr>
            </w:pPr>
            <w:r>
              <w:rPr>
                <w:b/>
                <w:bCs/>
                <w:sz w:val="24"/>
                <w:szCs w:val="24"/>
              </w:rPr>
              <w:t>根据《</w:t>
            </w:r>
            <w:r>
              <w:rPr>
                <w:rFonts w:hint="default"/>
                <w:b/>
                <w:bCs/>
                <w:sz w:val="24"/>
                <w:szCs w:val="24"/>
              </w:rPr>
              <w:t>浙江省财政厅浙江省机关事务管理局关于进一步加强全省预算单位政府采购工作管理的通知</w:t>
            </w:r>
            <w:r>
              <w:rPr>
                <w:b/>
                <w:bCs/>
                <w:sz w:val="24"/>
                <w:szCs w:val="24"/>
              </w:rPr>
              <w:t>》（浙财采监〔2025〕10号），在确认采购结果前，采购代理机构将对投标人在投标（响应）文件中涉及客观分评审内容的业绩、证书等资料的真实性进行复核。采购代理机构认为有必要的，中标人须在接到采购代理机构通知后按要求将资料原件送至指定地点进行复核。</w:t>
            </w:r>
          </w:p>
        </w:tc>
      </w:tr>
      <w:tr w14:paraId="19C24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674C903">
            <w:pPr>
              <w:snapToGrid w:val="0"/>
              <w:jc w:val="center"/>
              <w:rPr>
                <w:rFonts w:hint="default"/>
                <w:sz w:val="24"/>
                <w:szCs w:val="24"/>
              </w:rPr>
            </w:pPr>
            <w:r>
              <w:rPr>
                <w:sz w:val="24"/>
                <w:szCs w:val="24"/>
              </w:rPr>
              <w:t>29</w:t>
            </w:r>
          </w:p>
        </w:tc>
        <w:tc>
          <w:tcPr>
            <w:tcW w:w="1440" w:type="dxa"/>
            <w:tcBorders>
              <w:top w:val="single" w:color="auto" w:sz="4" w:space="0"/>
              <w:left w:val="single" w:color="auto" w:sz="4" w:space="0"/>
              <w:bottom w:val="single" w:color="auto" w:sz="4" w:space="0"/>
              <w:right w:val="single" w:color="auto" w:sz="4" w:space="0"/>
            </w:tcBorders>
            <w:vAlign w:val="center"/>
          </w:tcPr>
          <w:p w14:paraId="48FDB1B8">
            <w:pPr>
              <w:snapToGrid w:val="0"/>
              <w:jc w:val="center"/>
              <w:rPr>
                <w:rFonts w:hint="default"/>
                <w:sz w:val="24"/>
                <w:szCs w:val="24"/>
              </w:rPr>
            </w:pPr>
            <w:r>
              <w:rPr>
                <w:rFonts w:hint="default"/>
                <w:sz w:val="24"/>
                <w:szCs w:val="24"/>
              </w:rPr>
              <w:t>解释权</w:t>
            </w:r>
          </w:p>
        </w:tc>
        <w:tc>
          <w:tcPr>
            <w:tcW w:w="7142" w:type="dxa"/>
            <w:tcBorders>
              <w:top w:val="single" w:color="auto" w:sz="4" w:space="0"/>
              <w:left w:val="single" w:color="auto" w:sz="4" w:space="0"/>
              <w:bottom w:val="single" w:color="auto" w:sz="4" w:space="0"/>
              <w:right w:val="single" w:color="auto" w:sz="4" w:space="0"/>
            </w:tcBorders>
            <w:vAlign w:val="center"/>
          </w:tcPr>
          <w:p w14:paraId="09679FC5">
            <w:pPr>
              <w:autoSpaceDE w:val="0"/>
              <w:autoSpaceDN w:val="0"/>
              <w:snapToGrid w:val="0"/>
              <w:textAlignment w:val="bottom"/>
              <w:rPr>
                <w:rFonts w:hint="default"/>
                <w:sz w:val="24"/>
                <w:szCs w:val="24"/>
              </w:rPr>
            </w:pPr>
            <w:r>
              <w:rPr>
                <w:rFonts w:hint="default"/>
                <w:sz w:val="24"/>
                <w:szCs w:val="24"/>
              </w:rPr>
              <w:t>本招标文件的解释权属于采购人和采购代理机构。</w:t>
            </w:r>
          </w:p>
        </w:tc>
      </w:tr>
    </w:tbl>
    <w:p w14:paraId="456864B9">
      <w:pPr>
        <w:pStyle w:val="6"/>
        <w:adjustRightInd w:val="0"/>
        <w:snapToGrid w:val="0"/>
        <w:spacing w:beforeLines="0" w:afterLines="0" w:line="360" w:lineRule="auto"/>
        <w:rPr>
          <w:rFonts w:hint="default" w:ascii="Times New Roman" w:hAnsi="Times New Roman"/>
          <w:b/>
          <w:sz w:val="28"/>
          <w:szCs w:val="28"/>
        </w:rPr>
      </w:pPr>
      <w:r>
        <w:rPr>
          <w:rFonts w:hint="default" w:ascii="Times New Roman" w:hAnsi="Times New Roman"/>
        </w:rPr>
        <w:br w:type="page"/>
      </w:r>
      <w:r>
        <w:rPr>
          <w:rFonts w:hint="default" w:ascii="Times New Roman" w:hAnsi="Times New Roman"/>
          <w:b/>
          <w:sz w:val="28"/>
          <w:szCs w:val="28"/>
        </w:rPr>
        <w:t>一、总则</w:t>
      </w:r>
    </w:p>
    <w:p w14:paraId="7A93123C">
      <w:pPr>
        <w:adjustRightInd w:val="0"/>
        <w:snapToGrid w:val="0"/>
        <w:spacing w:line="360" w:lineRule="auto"/>
        <w:ind w:firstLine="354" w:firstLineChars="147"/>
        <w:jc w:val="left"/>
        <w:outlineLvl w:val="1"/>
        <w:rPr>
          <w:rFonts w:hint="default"/>
          <w:b/>
          <w:sz w:val="24"/>
        </w:rPr>
      </w:pPr>
      <w:r>
        <w:rPr>
          <w:rFonts w:hint="default"/>
          <w:b/>
          <w:sz w:val="24"/>
        </w:rPr>
        <w:t>（一）适用范围</w:t>
      </w:r>
    </w:p>
    <w:p w14:paraId="44536272">
      <w:pPr>
        <w:adjustRightInd w:val="0"/>
        <w:snapToGrid w:val="0"/>
        <w:spacing w:line="360" w:lineRule="auto"/>
        <w:ind w:firstLine="480" w:firstLineChars="200"/>
        <w:jc w:val="left"/>
        <w:rPr>
          <w:rFonts w:hint="default"/>
          <w:sz w:val="24"/>
        </w:rPr>
      </w:pPr>
      <w:r>
        <w:rPr>
          <w:rFonts w:hint="default"/>
          <w:sz w:val="24"/>
        </w:rPr>
        <w:t>本招标文件适用于本次采购项目的招标、投标、评标、定标、验收、合同履约、付款等行为（法律、法规另有规定的，从其规定）。</w:t>
      </w:r>
    </w:p>
    <w:p w14:paraId="34080383">
      <w:pPr>
        <w:adjustRightInd w:val="0"/>
        <w:snapToGrid w:val="0"/>
        <w:spacing w:line="360" w:lineRule="auto"/>
        <w:ind w:firstLine="354" w:firstLineChars="147"/>
        <w:jc w:val="left"/>
        <w:outlineLvl w:val="1"/>
        <w:rPr>
          <w:rFonts w:hint="default"/>
          <w:b/>
          <w:sz w:val="24"/>
        </w:rPr>
      </w:pPr>
      <w:r>
        <w:rPr>
          <w:rFonts w:hint="default"/>
          <w:b/>
          <w:sz w:val="24"/>
        </w:rPr>
        <w:t>（二）定义</w:t>
      </w:r>
    </w:p>
    <w:p w14:paraId="5CE94EB4">
      <w:pPr>
        <w:adjustRightInd w:val="0"/>
        <w:snapToGrid w:val="0"/>
        <w:spacing w:line="360" w:lineRule="auto"/>
        <w:ind w:firstLine="480" w:firstLineChars="200"/>
        <w:jc w:val="left"/>
        <w:rPr>
          <w:rFonts w:hint="default"/>
          <w:sz w:val="24"/>
        </w:rPr>
      </w:pPr>
      <w:r>
        <w:rPr>
          <w:rFonts w:hint="default"/>
          <w:sz w:val="24"/>
        </w:rPr>
        <w:t>1.招标采购单位：系指组织本次招标的代理机构和采购人。</w:t>
      </w:r>
    </w:p>
    <w:p w14:paraId="17B503C9">
      <w:pPr>
        <w:adjustRightInd w:val="0"/>
        <w:snapToGrid w:val="0"/>
        <w:spacing w:line="360" w:lineRule="auto"/>
        <w:ind w:firstLine="480" w:firstLineChars="200"/>
        <w:jc w:val="left"/>
        <w:rPr>
          <w:rFonts w:hint="default"/>
          <w:sz w:val="24"/>
        </w:rPr>
      </w:pPr>
      <w:r>
        <w:rPr>
          <w:rFonts w:hint="default"/>
          <w:sz w:val="24"/>
        </w:rPr>
        <w:t>2.投标人：系指向招标方提交投标文件的单位或个人，也称作供应商。</w:t>
      </w:r>
    </w:p>
    <w:p w14:paraId="3DECD8DF">
      <w:pPr>
        <w:adjustRightInd w:val="0"/>
        <w:snapToGrid w:val="0"/>
        <w:spacing w:line="360" w:lineRule="auto"/>
        <w:ind w:firstLine="480" w:firstLineChars="200"/>
        <w:jc w:val="left"/>
        <w:rPr>
          <w:rFonts w:hint="default"/>
          <w:sz w:val="24"/>
        </w:rPr>
      </w:pPr>
      <w:r>
        <w:rPr>
          <w:rFonts w:hint="default"/>
          <w:sz w:val="24"/>
        </w:rPr>
        <w:t>3.投标人代表：是指参加本项目投标活动的供应商法定代表人或法定代表人授权代表。</w:t>
      </w:r>
    </w:p>
    <w:p w14:paraId="083223D5">
      <w:pPr>
        <w:adjustRightInd w:val="0"/>
        <w:snapToGrid w:val="0"/>
        <w:spacing w:line="360" w:lineRule="auto"/>
        <w:ind w:firstLine="480" w:firstLineChars="200"/>
        <w:jc w:val="left"/>
        <w:rPr>
          <w:rFonts w:hint="default"/>
          <w:sz w:val="24"/>
        </w:rPr>
      </w:pPr>
      <w:r>
        <w:rPr>
          <w:rFonts w:hint="default"/>
          <w:sz w:val="24"/>
        </w:rPr>
        <w:t>4.联合体：是指两个以上供应商组成联合体，以一个供应商的身份参加投标。</w:t>
      </w:r>
    </w:p>
    <w:p w14:paraId="7D37B8E1">
      <w:pPr>
        <w:adjustRightInd w:val="0"/>
        <w:snapToGrid w:val="0"/>
        <w:spacing w:line="360" w:lineRule="auto"/>
        <w:ind w:firstLine="480" w:firstLineChars="200"/>
        <w:jc w:val="left"/>
        <w:rPr>
          <w:rFonts w:hint="default"/>
          <w:sz w:val="24"/>
        </w:rPr>
      </w:pPr>
      <w:r>
        <w:rPr>
          <w:rFonts w:hint="default"/>
          <w:sz w:val="24"/>
        </w:rPr>
        <w:t>5.甲方：是指合同签订的一方，一般与采购人、</w:t>
      </w:r>
      <w:r>
        <w:rPr>
          <w:sz w:val="24"/>
        </w:rPr>
        <w:t>招标人</w:t>
      </w:r>
      <w:r>
        <w:rPr>
          <w:rFonts w:hint="default"/>
          <w:sz w:val="24"/>
        </w:rPr>
        <w:t>、用户相同。</w:t>
      </w:r>
    </w:p>
    <w:p w14:paraId="1925880D">
      <w:pPr>
        <w:adjustRightInd w:val="0"/>
        <w:snapToGrid w:val="0"/>
        <w:spacing w:line="360" w:lineRule="auto"/>
        <w:ind w:firstLine="480" w:firstLineChars="200"/>
        <w:jc w:val="left"/>
        <w:rPr>
          <w:rFonts w:hint="default"/>
          <w:sz w:val="24"/>
        </w:rPr>
      </w:pPr>
      <w:r>
        <w:rPr>
          <w:rFonts w:hint="default"/>
          <w:sz w:val="24"/>
        </w:rPr>
        <w:t>6.乙方：是指合同签订的另一方，与中标人相同。</w:t>
      </w:r>
    </w:p>
    <w:p w14:paraId="096B51E9">
      <w:pPr>
        <w:adjustRightInd w:val="0"/>
        <w:snapToGrid w:val="0"/>
        <w:spacing w:line="360" w:lineRule="auto"/>
        <w:ind w:firstLine="480" w:firstLineChars="200"/>
        <w:jc w:val="left"/>
        <w:rPr>
          <w:rFonts w:hint="default"/>
          <w:sz w:val="24"/>
        </w:rPr>
      </w:pPr>
      <w:r>
        <w:rPr>
          <w:rFonts w:hint="default"/>
          <w:sz w:val="24"/>
        </w:rPr>
        <w:t>7.“产品”系指供方按招标文件规定，须向采购人提供的一切设备、保险、税金、备品备件、工具、手册及其它有关技术资料和材料。</w:t>
      </w:r>
    </w:p>
    <w:p w14:paraId="56ECE162">
      <w:pPr>
        <w:adjustRightInd w:val="0"/>
        <w:snapToGrid w:val="0"/>
        <w:spacing w:line="360" w:lineRule="auto"/>
        <w:ind w:firstLine="480" w:firstLineChars="200"/>
        <w:jc w:val="left"/>
        <w:rPr>
          <w:rFonts w:hint="default"/>
          <w:sz w:val="24"/>
        </w:rPr>
      </w:pPr>
      <w:r>
        <w:rPr>
          <w:rFonts w:hint="default"/>
          <w:sz w:val="24"/>
        </w:rPr>
        <w:t>8.“服务”系指招标文件规定投标人须承担的</w:t>
      </w:r>
      <w:r>
        <w:rPr>
          <w:sz w:val="24"/>
        </w:rPr>
        <w:t>本项目相关</w:t>
      </w:r>
      <w:r>
        <w:rPr>
          <w:rFonts w:hint="default"/>
          <w:sz w:val="24"/>
        </w:rPr>
        <w:t>服务以及其他类似的义务。</w:t>
      </w:r>
    </w:p>
    <w:p w14:paraId="4C2C1E90">
      <w:pPr>
        <w:adjustRightInd w:val="0"/>
        <w:snapToGrid w:val="0"/>
        <w:spacing w:line="360" w:lineRule="auto"/>
        <w:ind w:firstLine="480" w:firstLineChars="200"/>
        <w:jc w:val="left"/>
        <w:rPr>
          <w:rFonts w:hint="default"/>
          <w:sz w:val="24"/>
        </w:rPr>
      </w:pPr>
      <w:r>
        <w:rPr>
          <w:rFonts w:hint="default"/>
          <w:sz w:val="24"/>
        </w:rPr>
        <w:t>9.“项目”系指投标人按招标文件规定向采购人提供的产品和服务。</w:t>
      </w:r>
    </w:p>
    <w:p w14:paraId="4A9C3E93">
      <w:pPr>
        <w:adjustRightInd w:val="0"/>
        <w:snapToGrid w:val="0"/>
        <w:spacing w:line="360" w:lineRule="auto"/>
        <w:ind w:firstLine="480" w:firstLineChars="200"/>
        <w:jc w:val="left"/>
        <w:rPr>
          <w:rFonts w:hint="default"/>
          <w:sz w:val="24"/>
        </w:rPr>
      </w:pPr>
      <w:r>
        <w:rPr>
          <w:rFonts w:hint="default"/>
          <w:sz w:val="24"/>
        </w:rPr>
        <w:t>10.“书面形式”包括信函、传真、电报等。</w:t>
      </w:r>
    </w:p>
    <w:p w14:paraId="29D0AD0C">
      <w:pPr>
        <w:snapToGrid w:val="0"/>
        <w:spacing w:line="360" w:lineRule="auto"/>
        <w:ind w:firstLine="480" w:firstLineChars="200"/>
        <w:rPr>
          <w:rFonts w:hint="default" w:ascii="宋体" w:hAnsi="宋体" w:cs="宋体"/>
          <w:sz w:val="24"/>
        </w:rPr>
      </w:pPr>
      <w:r>
        <w:rPr>
          <w:rFonts w:ascii="宋体" w:hAnsi="宋体" w:cs="宋体"/>
          <w:sz w:val="24"/>
        </w:rPr>
        <w:t>11.“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106DB3C6">
      <w:pPr>
        <w:snapToGrid w:val="0"/>
        <w:spacing w:line="360" w:lineRule="auto"/>
        <w:ind w:firstLine="480" w:firstLineChars="200"/>
        <w:rPr>
          <w:rFonts w:hint="default" w:ascii="宋体" w:hAnsi="宋体" w:cs="宋体"/>
          <w:sz w:val="24"/>
        </w:rPr>
      </w:pPr>
      <w:r>
        <w:rPr>
          <w:rFonts w:ascii="宋体" w:hAnsi="宋体" w:cs="宋体"/>
          <w:sz w:val="24"/>
        </w:rPr>
        <w:t>12.“电子交易平台”系指本项目政府采购活动所依托的政府采购云平台（https://www.zcygov.cn/）。</w:t>
      </w:r>
    </w:p>
    <w:p w14:paraId="5358716A">
      <w:pPr>
        <w:snapToGrid w:val="0"/>
        <w:spacing w:line="360" w:lineRule="auto"/>
        <w:ind w:firstLine="482" w:firstLineChars="200"/>
        <w:rPr>
          <w:rFonts w:hint="default" w:ascii="宋体" w:hAnsi="宋体" w:cs="宋体"/>
          <w:b/>
          <w:bCs/>
          <w:sz w:val="24"/>
          <w:szCs w:val="22"/>
        </w:rPr>
      </w:pPr>
      <w:r>
        <w:rPr>
          <w:rFonts w:ascii="宋体" w:hAnsi="宋体" w:cs="宋体"/>
          <w:b/>
          <w:bCs/>
          <w:sz w:val="24"/>
          <w:szCs w:val="22"/>
        </w:rPr>
        <w:t>13.“▲”系指实质性要求条款。“</w:t>
      </w:r>
      <w:r>
        <w:rPr>
          <w:rFonts w:ascii="宋体" w:hAnsi="宋体" w:cs="宋体"/>
          <w:sz w:val="24"/>
          <w:szCs w:val="24"/>
        </w:rPr>
        <w:sym w:font="Wingdings 2" w:char="0052"/>
      </w:r>
      <w:r>
        <w:rPr>
          <w:rFonts w:ascii="宋体" w:hAnsi="宋体" w:cs="宋体"/>
          <w:b/>
          <w:bCs/>
          <w:sz w:val="24"/>
          <w:szCs w:val="22"/>
        </w:rPr>
        <w:t>” 系指适用本项目的要求，“☐” 系指不适用本项目的要求。</w:t>
      </w:r>
    </w:p>
    <w:p w14:paraId="5CF87ADD">
      <w:pPr>
        <w:adjustRightInd w:val="0"/>
        <w:snapToGrid w:val="0"/>
        <w:spacing w:line="360" w:lineRule="auto"/>
        <w:ind w:firstLine="472" w:firstLineChars="196"/>
        <w:jc w:val="left"/>
        <w:outlineLvl w:val="1"/>
        <w:rPr>
          <w:rFonts w:hint="default"/>
          <w:b/>
          <w:sz w:val="24"/>
        </w:rPr>
      </w:pPr>
      <w:r>
        <w:rPr>
          <w:rFonts w:hint="default"/>
          <w:b/>
          <w:sz w:val="24"/>
        </w:rPr>
        <w:t>（三）招标方式</w:t>
      </w:r>
    </w:p>
    <w:p w14:paraId="73C79C10">
      <w:pPr>
        <w:adjustRightInd w:val="0"/>
        <w:snapToGrid w:val="0"/>
        <w:spacing w:line="360" w:lineRule="auto"/>
        <w:ind w:firstLine="480" w:firstLineChars="200"/>
        <w:jc w:val="left"/>
        <w:rPr>
          <w:rFonts w:hint="default"/>
          <w:sz w:val="24"/>
        </w:rPr>
      </w:pPr>
      <w:r>
        <w:rPr>
          <w:rFonts w:hint="default"/>
          <w:sz w:val="24"/>
        </w:rPr>
        <w:t>本次招标采用公开招标方式进行。</w:t>
      </w:r>
    </w:p>
    <w:p w14:paraId="0F6E293C">
      <w:pPr>
        <w:adjustRightInd w:val="0"/>
        <w:snapToGrid w:val="0"/>
        <w:spacing w:line="360" w:lineRule="auto"/>
        <w:ind w:firstLine="472" w:firstLineChars="196"/>
        <w:jc w:val="left"/>
        <w:outlineLvl w:val="1"/>
        <w:rPr>
          <w:rFonts w:hint="default"/>
          <w:b/>
          <w:sz w:val="24"/>
        </w:rPr>
      </w:pPr>
      <w:r>
        <w:rPr>
          <w:rFonts w:hint="default"/>
          <w:b/>
          <w:sz w:val="24"/>
        </w:rPr>
        <w:t>（</w:t>
      </w:r>
      <w:r>
        <w:rPr>
          <w:b/>
          <w:sz w:val="24"/>
        </w:rPr>
        <w:t>四</w:t>
      </w:r>
      <w:r>
        <w:rPr>
          <w:rFonts w:hint="default"/>
          <w:b/>
          <w:sz w:val="24"/>
        </w:rPr>
        <w:t>）投标费用</w:t>
      </w:r>
    </w:p>
    <w:p w14:paraId="636F6C2F">
      <w:pPr>
        <w:adjustRightInd w:val="0"/>
        <w:snapToGrid w:val="0"/>
        <w:spacing w:line="360" w:lineRule="auto"/>
        <w:ind w:firstLine="480" w:firstLineChars="200"/>
        <w:jc w:val="left"/>
        <w:rPr>
          <w:rFonts w:hint="default"/>
          <w:sz w:val="24"/>
        </w:rPr>
      </w:pPr>
      <w:r>
        <w:rPr>
          <w:rFonts w:hint="default"/>
          <w:sz w:val="24"/>
        </w:rPr>
        <w:t>不论投标结果如何，投标人均应自行承担所有与投标有关的全部费用。</w:t>
      </w:r>
    </w:p>
    <w:p w14:paraId="0F10F116">
      <w:pPr>
        <w:adjustRightInd w:val="0"/>
        <w:snapToGrid w:val="0"/>
        <w:spacing w:line="360" w:lineRule="auto"/>
        <w:ind w:firstLine="472" w:firstLineChars="196"/>
        <w:jc w:val="left"/>
        <w:rPr>
          <w:rFonts w:hint="default"/>
          <w:b/>
          <w:sz w:val="24"/>
        </w:rPr>
      </w:pPr>
      <w:r>
        <w:rPr>
          <w:rFonts w:hint="default"/>
          <w:b/>
          <w:sz w:val="24"/>
        </w:rPr>
        <w:t>（</w:t>
      </w:r>
      <w:r>
        <w:rPr>
          <w:b/>
          <w:sz w:val="24"/>
        </w:rPr>
        <w:t>五</w:t>
      </w:r>
      <w:r>
        <w:rPr>
          <w:rFonts w:hint="default"/>
          <w:b/>
          <w:sz w:val="24"/>
        </w:rPr>
        <w:t>）联合体投标</w:t>
      </w:r>
    </w:p>
    <w:p w14:paraId="2FDBA849">
      <w:pPr>
        <w:adjustRightInd w:val="0"/>
        <w:snapToGrid w:val="0"/>
        <w:spacing w:line="360" w:lineRule="auto"/>
        <w:ind w:firstLine="480" w:firstLineChars="200"/>
        <w:jc w:val="left"/>
        <w:rPr>
          <w:rFonts w:hint="default"/>
          <w:b/>
          <w:bCs/>
          <w:sz w:val="24"/>
        </w:rPr>
      </w:pPr>
      <w:r>
        <w:rPr>
          <w:sz w:val="24"/>
        </w:rPr>
        <w:t>详见投标人须知前附表</w:t>
      </w:r>
    </w:p>
    <w:p w14:paraId="6370347F">
      <w:pPr>
        <w:adjustRightInd w:val="0"/>
        <w:snapToGrid w:val="0"/>
        <w:spacing w:line="360" w:lineRule="auto"/>
        <w:ind w:firstLine="472" w:firstLineChars="196"/>
        <w:rPr>
          <w:rFonts w:hint="default"/>
          <w:b/>
          <w:kern w:val="0"/>
          <w:sz w:val="24"/>
        </w:rPr>
      </w:pPr>
      <w:r>
        <w:rPr>
          <w:rFonts w:hint="default"/>
          <w:b/>
          <w:sz w:val="24"/>
        </w:rPr>
        <w:t>（</w:t>
      </w:r>
      <w:r>
        <w:rPr>
          <w:b/>
          <w:sz w:val="24"/>
        </w:rPr>
        <w:t>六</w:t>
      </w:r>
      <w:r>
        <w:rPr>
          <w:rFonts w:hint="default"/>
          <w:b/>
          <w:sz w:val="24"/>
        </w:rPr>
        <w:t>）</w:t>
      </w:r>
      <w:r>
        <w:rPr>
          <w:rFonts w:hint="default"/>
          <w:b/>
          <w:kern w:val="0"/>
          <w:sz w:val="24"/>
        </w:rPr>
        <w:t>转包与分包</w:t>
      </w:r>
    </w:p>
    <w:p w14:paraId="307EF8BA">
      <w:pPr>
        <w:adjustRightInd w:val="0"/>
        <w:snapToGrid w:val="0"/>
        <w:spacing w:line="360" w:lineRule="auto"/>
        <w:ind w:firstLine="470" w:firstLineChars="196"/>
        <w:jc w:val="left"/>
        <w:outlineLvl w:val="1"/>
        <w:rPr>
          <w:rFonts w:hint="default"/>
          <w:sz w:val="24"/>
        </w:rPr>
      </w:pPr>
      <w:r>
        <w:rPr>
          <w:sz w:val="24"/>
        </w:rPr>
        <w:t>详见投标人须知前附表</w:t>
      </w:r>
    </w:p>
    <w:p w14:paraId="43F6858E">
      <w:pPr>
        <w:adjustRightInd w:val="0"/>
        <w:snapToGrid w:val="0"/>
        <w:spacing w:line="360" w:lineRule="auto"/>
        <w:ind w:firstLine="472" w:firstLineChars="196"/>
        <w:outlineLvl w:val="1"/>
        <w:rPr>
          <w:rFonts w:hint="default" w:ascii="宋体" w:hAnsi="宋体" w:cs="宋体"/>
          <w:b/>
          <w:sz w:val="24"/>
        </w:rPr>
      </w:pPr>
      <w:r>
        <w:rPr>
          <w:rFonts w:ascii="宋体" w:hAnsi="宋体" w:cs="宋体"/>
          <w:b/>
          <w:sz w:val="24"/>
        </w:rPr>
        <w:t>（七）采购项目需要落实的政府采购政策</w:t>
      </w:r>
    </w:p>
    <w:p w14:paraId="7FF527DF">
      <w:pPr>
        <w:adjustRightInd w:val="0"/>
        <w:snapToGrid w:val="0"/>
        <w:spacing w:line="360" w:lineRule="auto"/>
        <w:ind w:firstLine="480" w:firstLineChars="200"/>
        <w:rPr>
          <w:rFonts w:hint="default" w:ascii="宋体" w:hAnsi="宋体" w:cs="宋体"/>
          <w:sz w:val="24"/>
        </w:rPr>
      </w:pPr>
      <w:r>
        <w:rPr>
          <w:rFonts w:ascii="宋体" w:hAnsi="宋体" w:cs="宋体"/>
          <w:sz w:val="24"/>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kern w:val="0"/>
          <w:sz w:val="24"/>
        </w:rPr>
        <w:t>优先采购向我国企业转让技术、与我国企业签订消化吸收再创新方案的供应商的进口产品</w:t>
      </w:r>
      <w:r>
        <w:rPr>
          <w:rFonts w:ascii="宋体" w:hAnsi="宋体" w:cs="宋体"/>
          <w:sz w:val="24"/>
        </w:rPr>
        <w:t>。</w:t>
      </w:r>
    </w:p>
    <w:p w14:paraId="4E4A1163">
      <w:pPr>
        <w:adjustRightInd w:val="0"/>
        <w:snapToGrid w:val="0"/>
        <w:spacing w:line="360" w:lineRule="auto"/>
        <w:ind w:firstLine="480" w:firstLineChars="200"/>
        <w:rPr>
          <w:rFonts w:hint="default" w:ascii="宋体" w:hAnsi="宋体" w:cs="宋体"/>
          <w:sz w:val="24"/>
        </w:rPr>
      </w:pPr>
      <w:r>
        <w:rPr>
          <w:rFonts w:ascii="宋体" w:hAnsi="宋体" w:cs="宋体"/>
          <w:sz w:val="24"/>
        </w:rPr>
        <w:t>2.支持绿色发展</w:t>
      </w:r>
    </w:p>
    <w:p w14:paraId="6AFDCF9F">
      <w:pPr>
        <w:adjustRightInd w:val="0"/>
        <w:snapToGrid w:val="0"/>
        <w:spacing w:line="360" w:lineRule="auto"/>
        <w:ind w:firstLine="480" w:firstLineChars="200"/>
        <w:rPr>
          <w:rFonts w:hint="default" w:ascii="宋体" w:hAnsi="宋体" w:cs="宋体"/>
          <w:b/>
          <w:bCs/>
          <w:sz w:val="24"/>
        </w:rPr>
      </w:pPr>
      <w:r>
        <w:rPr>
          <w:rFonts w:ascii="宋体" w:hAnsi="宋体" w:cs="宋体"/>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b/>
          <w:bCs/>
          <w:sz w:val="24"/>
        </w:rPr>
        <w:t>▲采购人拟采购的产品属于政府强制采购的节能产品品目清单范围的，投标人相应的投标产品未获得国家确定的认证机构出具的、处于有效期之内的节能产品认证证书的，投标无效。</w:t>
      </w:r>
    </w:p>
    <w:p w14:paraId="21EA9FE5">
      <w:pPr>
        <w:adjustRightInd w:val="0"/>
        <w:snapToGrid w:val="0"/>
        <w:spacing w:line="360" w:lineRule="auto"/>
        <w:ind w:firstLine="482" w:firstLineChars="200"/>
        <w:rPr>
          <w:rFonts w:hint="default" w:ascii="宋体" w:hAnsi="宋体" w:cs="宋体"/>
          <w:b/>
          <w:bCs/>
          <w:sz w:val="24"/>
        </w:rPr>
      </w:pPr>
      <w:r>
        <w:rPr>
          <w:rFonts w:ascii="宋体" w:hAnsi="宋体" w:cs="宋体"/>
          <w:b/>
          <w:bCs/>
          <w:sz w:val="24"/>
        </w:rPr>
        <w:t>《节能产品政府采购品目清单》详见《关于印发节能产品政府采购品目清单的通知(财库[2019]19号)》(如遇调整，按最新清单执行)。</w:t>
      </w:r>
    </w:p>
    <w:tbl>
      <w:tblPr>
        <w:tblStyle w:val="42"/>
        <w:tblW w:w="994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334"/>
        <w:gridCol w:w="1682"/>
        <w:gridCol w:w="3301"/>
      </w:tblGrid>
      <w:tr w14:paraId="013A26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14:paraId="0A1D5DD1">
            <w:pPr>
              <w:jc w:val="center"/>
              <w:rPr>
                <w:rFonts w:hint="default" w:ascii="宋体" w:hAnsi="宋体"/>
                <w:b/>
                <w:w w:val="90"/>
                <w:szCs w:val="21"/>
              </w:rPr>
            </w:pPr>
            <w:r>
              <w:rPr>
                <w:rFonts w:ascii="宋体" w:hAnsi="宋体"/>
                <w:b/>
                <w:w w:val="90"/>
                <w:szCs w:val="21"/>
              </w:rPr>
              <w:t>品目序号</w:t>
            </w:r>
          </w:p>
        </w:tc>
        <w:tc>
          <w:tcPr>
            <w:tcW w:w="5949" w:type="dxa"/>
            <w:gridSpan w:val="3"/>
            <w:shd w:val="clear" w:color="auto" w:fill="DAEEF3"/>
            <w:vAlign w:val="center"/>
          </w:tcPr>
          <w:p w14:paraId="24A091B8">
            <w:pPr>
              <w:jc w:val="center"/>
              <w:rPr>
                <w:rFonts w:hint="default" w:ascii="宋体" w:hAnsi="宋体"/>
                <w:b/>
                <w:w w:val="90"/>
                <w:szCs w:val="21"/>
              </w:rPr>
            </w:pPr>
            <w:r>
              <w:rPr>
                <w:rFonts w:ascii="宋体" w:hAnsi="宋体"/>
                <w:b/>
                <w:w w:val="90"/>
                <w:szCs w:val="21"/>
              </w:rPr>
              <w:t>名称（</w:t>
            </w:r>
            <w:r>
              <w:rPr>
                <w:rFonts w:ascii="宋体" w:hAnsi="宋体"/>
                <w:b/>
                <w:w w:val="90"/>
                <w:szCs w:val="22"/>
              </w:rPr>
              <w:t>以“</w:t>
            </w:r>
            <w:r>
              <w:rPr>
                <w:rFonts w:ascii="宋体" w:hAnsi="宋体" w:cs="宋体"/>
                <w:b/>
                <w:w w:val="90"/>
                <w:szCs w:val="22"/>
              </w:rPr>
              <w:t>★</w:t>
            </w:r>
            <w:r>
              <w:rPr>
                <w:rFonts w:ascii="宋体" w:hAnsi="宋体" w:cs="Calibri"/>
                <w:b/>
                <w:w w:val="90"/>
                <w:szCs w:val="22"/>
              </w:rPr>
              <w:t>”</w:t>
            </w:r>
            <w:r>
              <w:rPr>
                <w:rFonts w:ascii="宋体" w:hAnsi="宋体"/>
                <w:b/>
                <w:w w:val="90"/>
                <w:szCs w:val="22"/>
              </w:rPr>
              <w:t>标注的为政府强制采购产品）</w:t>
            </w:r>
          </w:p>
        </w:tc>
        <w:tc>
          <w:tcPr>
            <w:tcW w:w="3301" w:type="dxa"/>
            <w:shd w:val="clear" w:color="auto" w:fill="DAEEF3"/>
            <w:vAlign w:val="center"/>
          </w:tcPr>
          <w:p w14:paraId="688286AD">
            <w:pPr>
              <w:jc w:val="center"/>
              <w:rPr>
                <w:rFonts w:hint="default" w:ascii="宋体" w:hAnsi="宋体"/>
                <w:b/>
                <w:w w:val="90"/>
                <w:szCs w:val="21"/>
              </w:rPr>
            </w:pPr>
            <w:r>
              <w:rPr>
                <w:rFonts w:ascii="宋体" w:hAnsi="宋体"/>
                <w:b/>
                <w:w w:val="90"/>
                <w:szCs w:val="21"/>
              </w:rPr>
              <w:t>依据的标准</w:t>
            </w:r>
          </w:p>
        </w:tc>
      </w:tr>
      <w:tr w14:paraId="134CEA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0CE75E7A">
            <w:pPr>
              <w:jc w:val="center"/>
              <w:rPr>
                <w:rFonts w:hint="default" w:ascii="宋体" w:hAnsi="宋体"/>
                <w:w w:val="90"/>
                <w:szCs w:val="21"/>
              </w:rPr>
            </w:pPr>
            <w:r>
              <w:rPr>
                <w:rFonts w:ascii="宋体" w:hAnsi="宋体"/>
                <w:w w:val="90"/>
                <w:szCs w:val="21"/>
              </w:rPr>
              <w:t>1</w:t>
            </w:r>
          </w:p>
        </w:tc>
        <w:tc>
          <w:tcPr>
            <w:tcW w:w="1933" w:type="dxa"/>
            <w:vMerge w:val="restart"/>
            <w:vAlign w:val="center"/>
          </w:tcPr>
          <w:p w14:paraId="309F0DC5">
            <w:pPr>
              <w:jc w:val="left"/>
              <w:rPr>
                <w:rFonts w:hint="default" w:ascii="宋体" w:hAnsi="宋体"/>
                <w:w w:val="90"/>
                <w:szCs w:val="21"/>
              </w:rPr>
            </w:pPr>
            <w:r>
              <w:rPr>
                <w:rFonts w:ascii="宋体" w:hAnsi="宋体"/>
                <w:w w:val="90"/>
                <w:szCs w:val="21"/>
              </w:rPr>
              <w:t>A020101计算机设备</w:t>
            </w:r>
          </w:p>
        </w:tc>
        <w:tc>
          <w:tcPr>
            <w:tcW w:w="2334" w:type="dxa"/>
            <w:vAlign w:val="center"/>
          </w:tcPr>
          <w:p w14:paraId="26706BDF">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A02010104</w:t>
            </w:r>
            <w:r>
              <w:rPr>
                <w:rFonts w:ascii="宋体" w:hAnsi="宋体"/>
                <w:b/>
                <w:w w:val="90"/>
                <w:szCs w:val="21"/>
              </w:rPr>
              <w:t>台式计算机</w:t>
            </w:r>
          </w:p>
        </w:tc>
        <w:tc>
          <w:tcPr>
            <w:tcW w:w="1682" w:type="dxa"/>
            <w:vAlign w:val="center"/>
          </w:tcPr>
          <w:p w14:paraId="79803229">
            <w:pPr>
              <w:jc w:val="center"/>
              <w:rPr>
                <w:rFonts w:hint="default" w:ascii="宋体" w:hAnsi="宋体"/>
                <w:w w:val="90"/>
                <w:szCs w:val="21"/>
              </w:rPr>
            </w:pPr>
          </w:p>
        </w:tc>
        <w:tc>
          <w:tcPr>
            <w:tcW w:w="3301" w:type="dxa"/>
            <w:vAlign w:val="center"/>
          </w:tcPr>
          <w:p w14:paraId="4A81DF77">
            <w:pPr>
              <w:jc w:val="left"/>
              <w:rPr>
                <w:rFonts w:hint="default" w:ascii="宋体" w:hAnsi="宋体"/>
                <w:w w:val="90"/>
                <w:szCs w:val="21"/>
              </w:rPr>
            </w:pPr>
            <w:r>
              <w:rPr>
                <w:rFonts w:ascii="宋体" w:hAnsi="宋体"/>
                <w:w w:val="90"/>
                <w:szCs w:val="21"/>
              </w:rPr>
              <w:t>《微型计算机能效限定值及能效等级》（GB 28380）</w:t>
            </w:r>
          </w:p>
        </w:tc>
      </w:tr>
      <w:tr w14:paraId="23C6D9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DE66E8C">
            <w:pPr>
              <w:jc w:val="center"/>
              <w:rPr>
                <w:rFonts w:hint="default" w:ascii="宋体" w:hAnsi="宋体"/>
                <w:w w:val="90"/>
                <w:szCs w:val="21"/>
              </w:rPr>
            </w:pPr>
          </w:p>
        </w:tc>
        <w:tc>
          <w:tcPr>
            <w:tcW w:w="1933" w:type="dxa"/>
            <w:vMerge w:val="continue"/>
            <w:vAlign w:val="center"/>
          </w:tcPr>
          <w:p w14:paraId="6F804582">
            <w:pPr>
              <w:jc w:val="left"/>
              <w:rPr>
                <w:rFonts w:hint="default" w:ascii="宋体" w:hAnsi="宋体"/>
                <w:w w:val="90"/>
                <w:szCs w:val="21"/>
              </w:rPr>
            </w:pPr>
          </w:p>
        </w:tc>
        <w:tc>
          <w:tcPr>
            <w:tcW w:w="2334" w:type="dxa"/>
            <w:vAlign w:val="center"/>
          </w:tcPr>
          <w:p w14:paraId="2B0BEE0D">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A02010105</w:t>
            </w:r>
            <w:r>
              <w:rPr>
                <w:rFonts w:ascii="宋体" w:hAnsi="宋体"/>
                <w:b/>
                <w:w w:val="90"/>
                <w:szCs w:val="21"/>
              </w:rPr>
              <w:t>便携式计算</w:t>
            </w:r>
          </w:p>
        </w:tc>
        <w:tc>
          <w:tcPr>
            <w:tcW w:w="1682" w:type="dxa"/>
            <w:vAlign w:val="center"/>
          </w:tcPr>
          <w:p w14:paraId="2E915107">
            <w:pPr>
              <w:jc w:val="center"/>
              <w:rPr>
                <w:rFonts w:hint="default" w:ascii="宋体" w:hAnsi="宋体"/>
                <w:w w:val="90"/>
                <w:szCs w:val="21"/>
              </w:rPr>
            </w:pPr>
          </w:p>
        </w:tc>
        <w:tc>
          <w:tcPr>
            <w:tcW w:w="3301" w:type="dxa"/>
            <w:vAlign w:val="center"/>
          </w:tcPr>
          <w:p w14:paraId="26BC650E">
            <w:pPr>
              <w:jc w:val="left"/>
              <w:rPr>
                <w:rFonts w:hint="default" w:ascii="宋体" w:hAnsi="宋体"/>
                <w:w w:val="90"/>
                <w:szCs w:val="21"/>
              </w:rPr>
            </w:pPr>
            <w:r>
              <w:rPr>
                <w:rFonts w:ascii="宋体" w:hAnsi="宋体"/>
                <w:w w:val="90"/>
                <w:szCs w:val="21"/>
              </w:rPr>
              <w:t>《微型计算机能效限定值及能效等级》（GB 28380）</w:t>
            </w:r>
          </w:p>
        </w:tc>
      </w:tr>
      <w:tr w14:paraId="047053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813049F">
            <w:pPr>
              <w:jc w:val="center"/>
              <w:rPr>
                <w:rFonts w:hint="default" w:ascii="宋体" w:hAnsi="宋体"/>
                <w:w w:val="90"/>
                <w:szCs w:val="21"/>
              </w:rPr>
            </w:pPr>
          </w:p>
        </w:tc>
        <w:tc>
          <w:tcPr>
            <w:tcW w:w="1933" w:type="dxa"/>
            <w:vMerge w:val="continue"/>
            <w:vAlign w:val="center"/>
          </w:tcPr>
          <w:p w14:paraId="69A8DD14">
            <w:pPr>
              <w:jc w:val="left"/>
              <w:rPr>
                <w:rFonts w:hint="default" w:ascii="宋体" w:hAnsi="宋体"/>
                <w:w w:val="90"/>
                <w:szCs w:val="21"/>
              </w:rPr>
            </w:pPr>
          </w:p>
        </w:tc>
        <w:tc>
          <w:tcPr>
            <w:tcW w:w="2334" w:type="dxa"/>
            <w:vAlign w:val="center"/>
          </w:tcPr>
          <w:p w14:paraId="7DE661FC">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A02010107</w:t>
            </w:r>
            <w:r>
              <w:rPr>
                <w:rFonts w:ascii="宋体" w:hAnsi="宋体"/>
                <w:b/>
                <w:w w:val="90"/>
                <w:szCs w:val="21"/>
              </w:rPr>
              <w:t>平板式微型计算机</w:t>
            </w:r>
          </w:p>
        </w:tc>
        <w:tc>
          <w:tcPr>
            <w:tcW w:w="1682" w:type="dxa"/>
            <w:vAlign w:val="center"/>
          </w:tcPr>
          <w:p w14:paraId="02D8FA9E">
            <w:pPr>
              <w:jc w:val="center"/>
              <w:rPr>
                <w:rFonts w:hint="default" w:ascii="宋体" w:hAnsi="宋体"/>
                <w:w w:val="90"/>
                <w:szCs w:val="21"/>
              </w:rPr>
            </w:pPr>
          </w:p>
        </w:tc>
        <w:tc>
          <w:tcPr>
            <w:tcW w:w="3301" w:type="dxa"/>
            <w:vAlign w:val="center"/>
          </w:tcPr>
          <w:p w14:paraId="344364B4">
            <w:pPr>
              <w:jc w:val="left"/>
              <w:rPr>
                <w:rFonts w:hint="default" w:ascii="宋体" w:hAnsi="宋体"/>
                <w:w w:val="90"/>
                <w:szCs w:val="21"/>
              </w:rPr>
            </w:pPr>
            <w:r>
              <w:rPr>
                <w:rFonts w:ascii="宋体" w:hAnsi="宋体"/>
                <w:w w:val="90"/>
                <w:szCs w:val="21"/>
              </w:rPr>
              <w:t>《微型计算机能效限定值及能效等级》（GB 28380）</w:t>
            </w:r>
          </w:p>
        </w:tc>
      </w:tr>
      <w:tr w14:paraId="6A08EEC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1750E4CE">
            <w:pPr>
              <w:jc w:val="center"/>
              <w:rPr>
                <w:rFonts w:hint="default" w:ascii="宋体" w:hAnsi="宋体"/>
                <w:w w:val="90"/>
                <w:szCs w:val="21"/>
              </w:rPr>
            </w:pPr>
            <w:r>
              <w:rPr>
                <w:rFonts w:ascii="宋体" w:hAnsi="宋体"/>
                <w:w w:val="90"/>
                <w:szCs w:val="21"/>
              </w:rPr>
              <w:t>2</w:t>
            </w:r>
          </w:p>
        </w:tc>
        <w:tc>
          <w:tcPr>
            <w:tcW w:w="1933" w:type="dxa"/>
            <w:vMerge w:val="restart"/>
            <w:vAlign w:val="center"/>
          </w:tcPr>
          <w:p w14:paraId="1CD65715">
            <w:pPr>
              <w:jc w:val="left"/>
              <w:rPr>
                <w:rFonts w:hint="default" w:ascii="宋体" w:hAnsi="宋体"/>
                <w:w w:val="90"/>
                <w:szCs w:val="21"/>
              </w:rPr>
            </w:pPr>
            <w:r>
              <w:rPr>
                <w:rFonts w:ascii="宋体" w:hAnsi="宋体"/>
                <w:w w:val="90"/>
                <w:szCs w:val="21"/>
              </w:rPr>
              <w:t>A020106输入输出设备</w:t>
            </w:r>
          </w:p>
        </w:tc>
        <w:tc>
          <w:tcPr>
            <w:tcW w:w="2334" w:type="dxa"/>
            <w:vMerge w:val="restart"/>
            <w:vAlign w:val="center"/>
          </w:tcPr>
          <w:p w14:paraId="2D40179A">
            <w:pPr>
              <w:jc w:val="left"/>
              <w:rPr>
                <w:rFonts w:hint="default" w:ascii="宋体" w:hAnsi="宋体"/>
                <w:w w:val="90"/>
                <w:szCs w:val="21"/>
              </w:rPr>
            </w:pPr>
            <w:r>
              <w:rPr>
                <w:rFonts w:ascii="宋体" w:hAnsi="宋体"/>
                <w:w w:val="90"/>
                <w:szCs w:val="21"/>
              </w:rPr>
              <w:t>A02010601打印设备</w:t>
            </w:r>
          </w:p>
        </w:tc>
        <w:tc>
          <w:tcPr>
            <w:tcW w:w="1682" w:type="dxa"/>
            <w:vAlign w:val="center"/>
          </w:tcPr>
          <w:p w14:paraId="267EE2C0">
            <w:pPr>
              <w:jc w:val="left"/>
              <w:rPr>
                <w:rFonts w:hint="default" w:ascii="宋体" w:hAnsi="宋体"/>
                <w:w w:val="90"/>
                <w:szCs w:val="21"/>
              </w:rPr>
            </w:pPr>
            <w:r>
              <w:rPr>
                <w:rFonts w:ascii="宋体" w:hAnsi="宋体" w:cs="宋体"/>
                <w:b/>
                <w:bCs/>
                <w:w w:val="90"/>
                <w:szCs w:val="21"/>
              </w:rPr>
              <w:t>A0201060101喷墨打印机</w:t>
            </w:r>
          </w:p>
        </w:tc>
        <w:tc>
          <w:tcPr>
            <w:tcW w:w="3301" w:type="dxa"/>
            <w:vAlign w:val="center"/>
          </w:tcPr>
          <w:p w14:paraId="744D8B94">
            <w:pPr>
              <w:jc w:val="left"/>
              <w:rPr>
                <w:rFonts w:hint="default" w:ascii="宋体" w:hAnsi="宋体"/>
                <w:w w:val="90"/>
                <w:szCs w:val="21"/>
              </w:rPr>
            </w:pPr>
            <w:r>
              <w:rPr>
                <w:rFonts w:ascii="宋体" w:hAnsi="宋体"/>
                <w:w w:val="90"/>
                <w:szCs w:val="21"/>
              </w:rPr>
              <w:t>《复印机、打印机和传真机能效限定值及能效等级》（GB 21521）</w:t>
            </w:r>
          </w:p>
        </w:tc>
      </w:tr>
      <w:tr w14:paraId="5A61E7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FA0BAA3">
            <w:pPr>
              <w:jc w:val="center"/>
              <w:rPr>
                <w:rFonts w:hint="default" w:ascii="宋体" w:hAnsi="宋体"/>
                <w:w w:val="90"/>
                <w:szCs w:val="21"/>
              </w:rPr>
            </w:pPr>
          </w:p>
        </w:tc>
        <w:tc>
          <w:tcPr>
            <w:tcW w:w="1933" w:type="dxa"/>
            <w:vMerge w:val="continue"/>
            <w:vAlign w:val="center"/>
          </w:tcPr>
          <w:p w14:paraId="10F1533D">
            <w:pPr>
              <w:jc w:val="left"/>
              <w:rPr>
                <w:rFonts w:hint="default" w:ascii="宋体" w:hAnsi="宋体"/>
                <w:w w:val="90"/>
                <w:szCs w:val="21"/>
              </w:rPr>
            </w:pPr>
          </w:p>
        </w:tc>
        <w:tc>
          <w:tcPr>
            <w:tcW w:w="2334" w:type="dxa"/>
            <w:vMerge w:val="continue"/>
            <w:vAlign w:val="center"/>
          </w:tcPr>
          <w:p w14:paraId="4C668C16">
            <w:pPr>
              <w:jc w:val="left"/>
              <w:rPr>
                <w:rFonts w:hint="default" w:ascii="宋体" w:hAnsi="宋体"/>
                <w:w w:val="90"/>
                <w:szCs w:val="21"/>
              </w:rPr>
            </w:pPr>
          </w:p>
        </w:tc>
        <w:tc>
          <w:tcPr>
            <w:tcW w:w="1682" w:type="dxa"/>
            <w:vAlign w:val="center"/>
          </w:tcPr>
          <w:p w14:paraId="64A0D2BB">
            <w:pPr>
              <w:jc w:val="left"/>
              <w:rPr>
                <w:rFonts w:hint="default" w:ascii="宋体" w:hAnsi="宋体"/>
                <w:b/>
                <w:w w:val="90"/>
                <w:szCs w:val="21"/>
              </w:rPr>
            </w:pPr>
            <w:r>
              <w:rPr>
                <w:rFonts w:ascii="宋体" w:hAnsi="宋体" w:cs="宋体"/>
                <w:w w:val="90"/>
                <w:szCs w:val="21"/>
              </w:rPr>
              <w:t>★</w:t>
            </w:r>
            <w:r>
              <w:rPr>
                <w:rFonts w:ascii="宋体" w:hAnsi="宋体"/>
                <w:b/>
                <w:w w:val="90"/>
                <w:szCs w:val="21"/>
              </w:rPr>
              <w:t>A0201060102激光打印机</w:t>
            </w:r>
          </w:p>
        </w:tc>
        <w:tc>
          <w:tcPr>
            <w:tcW w:w="3301" w:type="dxa"/>
            <w:vAlign w:val="center"/>
          </w:tcPr>
          <w:p w14:paraId="5CC96181">
            <w:pPr>
              <w:jc w:val="left"/>
              <w:rPr>
                <w:rFonts w:hint="default" w:ascii="宋体" w:hAnsi="宋体"/>
                <w:w w:val="90"/>
                <w:szCs w:val="21"/>
              </w:rPr>
            </w:pPr>
            <w:r>
              <w:rPr>
                <w:rFonts w:ascii="宋体" w:hAnsi="宋体"/>
                <w:w w:val="90"/>
                <w:szCs w:val="21"/>
              </w:rPr>
              <w:t>《复印机、打印机和传真机能效限定值及能效等级》（GB 21521）</w:t>
            </w:r>
          </w:p>
        </w:tc>
      </w:tr>
      <w:tr w14:paraId="6BA82D1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8DB8091">
            <w:pPr>
              <w:jc w:val="center"/>
              <w:rPr>
                <w:rFonts w:hint="default" w:ascii="宋体" w:hAnsi="宋体"/>
                <w:w w:val="90"/>
                <w:szCs w:val="21"/>
              </w:rPr>
            </w:pPr>
          </w:p>
        </w:tc>
        <w:tc>
          <w:tcPr>
            <w:tcW w:w="1933" w:type="dxa"/>
            <w:vMerge w:val="continue"/>
            <w:vAlign w:val="center"/>
          </w:tcPr>
          <w:p w14:paraId="1186B19A">
            <w:pPr>
              <w:jc w:val="left"/>
              <w:rPr>
                <w:rFonts w:hint="default" w:ascii="宋体" w:hAnsi="宋体"/>
                <w:w w:val="90"/>
                <w:szCs w:val="21"/>
              </w:rPr>
            </w:pPr>
          </w:p>
        </w:tc>
        <w:tc>
          <w:tcPr>
            <w:tcW w:w="2334" w:type="dxa"/>
            <w:vMerge w:val="continue"/>
            <w:vAlign w:val="center"/>
          </w:tcPr>
          <w:p w14:paraId="4E10B560">
            <w:pPr>
              <w:jc w:val="left"/>
              <w:rPr>
                <w:rFonts w:hint="default" w:ascii="宋体" w:hAnsi="宋体"/>
                <w:w w:val="90"/>
                <w:szCs w:val="21"/>
              </w:rPr>
            </w:pPr>
          </w:p>
        </w:tc>
        <w:tc>
          <w:tcPr>
            <w:tcW w:w="1682" w:type="dxa"/>
            <w:vAlign w:val="center"/>
          </w:tcPr>
          <w:p w14:paraId="46F8E68F">
            <w:pPr>
              <w:jc w:val="left"/>
              <w:rPr>
                <w:rFonts w:hint="default" w:ascii="宋体" w:hAnsi="宋体"/>
                <w:b/>
                <w:w w:val="90"/>
                <w:szCs w:val="21"/>
              </w:rPr>
            </w:pPr>
            <w:r>
              <w:rPr>
                <w:rFonts w:ascii="宋体" w:hAnsi="宋体" w:cs="宋体"/>
                <w:w w:val="90"/>
                <w:szCs w:val="21"/>
              </w:rPr>
              <w:t>★</w:t>
            </w:r>
            <w:r>
              <w:rPr>
                <w:rFonts w:ascii="宋体" w:hAnsi="宋体"/>
                <w:b/>
                <w:w w:val="90"/>
                <w:szCs w:val="21"/>
              </w:rPr>
              <w:t>A0201060104针式打印机</w:t>
            </w:r>
          </w:p>
        </w:tc>
        <w:tc>
          <w:tcPr>
            <w:tcW w:w="3301" w:type="dxa"/>
            <w:vAlign w:val="center"/>
          </w:tcPr>
          <w:p w14:paraId="4F21AF27">
            <w:pPr>
              <w:jc w:val="left"/>
              <w:rPr>
                <w:rFonts w:hint="default" w:ascii="宋体" w:hAnsi="宋体"/>
                <w:w w:val="90"/>
                <w:szCs w:val="21"/>
              </w:rPr>
            </w:pPr>
            <w:r>
              <w:rPr>
                <w:rFonts w:ascii="宋体" w:hAnsi="宋体"/>
                <w:w w:val="90"/>
                <w:szCs w:val="21"/>
              </w:rPr>
              <w:t>《复印机、打印机和传真机能效限定值及能效等级》（GB 21521）</w:t>
            </w:r>
          </w:p>
        </w:tc>
      </w:tr>
      <w:tr w14:paraId="491572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28F3E29">
            <w:pPr>
              <w:jc w:val="center"/>
              <w:rPr>
                <w:rFonts w:hint="default" w:ascii="宋体" w:hAnsi="宋体"/>
                <w:w w:val="90"/>
                <w:szCs w:val="21"/>
              </w:rPr>
            </w:pPr>
          </w:p>
        </w:tc>
        <w:tc>
          <w:tcPr>
            <w:tcW w:w="1933" w:type="dxa"/>
            <w:vMerge w:val="continue"/>
            <w:vAlign w:val="center"/>
          </w:tcPr>
          <w:p w14:paraId="60CF41C1">
            <w:pPr>
              <w:jc w:val="left"/>
              <w:rPr>
                <w:rFonts w:hint="default" w:ascii="宋体" w:hAnsi="宋体"/>
                <w:w w:val="90"/>
                <w:szCs w:val="21"/>
              </w:rPr>
            </w:pPr>
          </w:p>
        </w:tc>
        <w:tc>
          <w:tcPr>
            <w:tcW w:w="2334" w:type="dxa"/>
            <w:vAlign w:val="center"/>
          </w:tcPr>
          <w:p w14:paraId="7C954CA7">
            <w:pPr>
              <w:jc w:val="left"/>
              <w:rPr>
                <w:rFonts w:hint="default" w:ascii="宋体" w:hAnsi="宋体"/>
                <w:w w:val="90"/>
                <w:szCs w:val="21"/>
              </w:rPr>
            </w:pPr>
            <w:r>
              <w:rPr>
                <w:rFonts w:ascii="宋体" w:hAnsi="宋体"/>
                <w:w w:val="90"/>
                <w:szCs w:val="21"/>
              </w:rPr>
              <w:t>A02010604显示设备</w:t>
            </w:r>
          </w:p>
        </w:tc>
        <w:tc>
          <w:tcPr>
            <w:tcW w:w="1682" w:type="dxa"/>
            <w:vAlign w:val="center"/>
          </w:tcPr>
          <w:p w14:paraId="74BA954C">
            <w:pPr>
              <w:jc w:val="left"/>
              <w:rPr>
                <w:rFonts w:hint="default" w:ascii="宋体" w:hAnsi="宋体"/>
                <w:b/>
                <w:w w:val="90"/>
                <w:szCs w:val="21"/>
              </w:rPr>
            </w:pPr>
            <w:r>
              <w:rPr>
                <w:rFonts w:ascii="宋体" w:hAnsi="宋体" w:cs="宋体"/>
                <w:w w:val="90"/>
                <w:szCs w:val="21"/>
              </w:rPr>
              <w:t>★</w:t>
            </w:r>
            <w:r>
              <w:rPr>
                <w:rFonts w:ascii="宋体" w:hAnsi="宋体"/>
                <w:b/>
                <w:w w:val="90"/>
                <w:szCs w:val="21"/>
              </w:rPr>
              <w:t>A0201060401液晶显示器</w:t>
            </w:r>
          </w:p>
        </w:tc>
        <w:tc>
          <w:tcPr>
            <w:tcW w:w="3301" w:type="dxa"/>
            <w:vAlign w:val="center"/>
          </w:tcPr>
          <w:p w14:paraId="2C683B6D">
            <w:pPr>
              <w:jc w:val="left"/>
              <w:rPr>
                <w:rFonts w:hint="default" w:ascii="宋体" w:hAnsi="宋体"/>
                <w:w w:val="90"/>
                <w:szCs w:val="21"/>
              </w:rPr>
            </w:pPr>
            <w:r>
              <w:rPr>
                <w:rFonts w:ascii="宋体" w:hAnsi="宋体"/>
                <w:w w:val="90"/>
                <w:szCs w:val="21"/>
              </w:rPr>
              <w:t>《计算机显示器能效限定值及能效等级》（GB 21520）</w:t>
            </w:r>
          </w:p>
        </w:tc>
      </w:tr>
      <w:tr w14:paraId="476136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D40E0F7">
            <w:pPr>
              <w:jc w:val="center"/>
              <w:rPr>
                <w:rFonts w:hint="default" w:ascii="宋体" w:hAnsi="宋体"/>
                <w:w w:val="90"/>
                <w:szCs w:val="21"/>
              </w:rPr>
            </w:pPr>
          </w:p>
        </w:tc>
        <w:tc>
          <w:tcPr>
            <w:tcW w:w="1933" w:type="dxa"/>
            <w:vMerge w:val="continue"/>
            <w:vAlign w:val="center"/>
          </w:tcPr>
          <w:p w14:paraId="475AF094">
            <w:pPr>
              <w:jc w:val="left"/>
              <w:rPr>
                <w:rFonts w:hint="default" w:ascii="宋体" w:hAnsi="宋体"/>
                <w:w w:val="90"/>
                <w:szCs w:val="21"/>
              </w:rPr>
            </w:pPr>
          </w:p>
        </w:tc>
        <w:tc>
          <w:tcPr>
            <w:tcW w:w="2334" w:type="dxa"/>
            <w:vAlign w:val="center"/>
          </w:tcPr>
          <w:p w14:paraId="23B897A3">
            <w:pPr>
              <w:jc w:val="left"/>
              <w:rPr>
                <w:rFonts w:hint="default" w:ascii="宋体" w:hAnsi="宋体"/>
                <w:w w:val="90"/>
                <w:szCs w:val="21"/>
              </w:rPr>
            </w:pPr>
            <w:r>
              <w:rPr>
                <w:rFonts w:ascii="宋体" w:hAnsi="宋体"/>
                <w:w w:val="90"/>
                <w:szCs w:val="21"/>
              </w:rPr>
              <w:t>A02010609图形图像输入设备</w:t>
            </w:r>
          </w:p>
        </w:tc>
        <w:tc>
          <w:tcPr>
            <w:tcW w:w="1682" w:type="dxa"/>
            <w:vAlign w:val="center"/>
          </w:tcPr>
          <w:p w14:paraId="7A0CECB7">
            <w:pPr>
              <w:jc w:val="left"/>
              <w:rPr>
                <w:rFonts w:hint="default" w:ascii="宋体" w:hAnsi="宋体"/>
                <w:w w:val="90"/>
                <w:szCs w:val="21"/>
              </w:rPr>
            </w:pPr>
            <w:r>
              <w:rPr>
                <w:rFonts w:ascii="宋体" w:hAnsi="宋体"/>
                <w:w w:val="90"/>
                <w:szCs w:val="21"/>
              </w:rPr>
              <w:t>A0201060901扫描仪</w:t>
            </w:r>
          </w:p>
        </w:tc>
        <w:tc>
          <w:tcPr>
            <w:tcW w:w="3301" w:type="dxa"/>
            <w:vAlign w:val="center"/>
          </w:tcPr>
          <w:p w14:paraId="3FF81174">
            <w:pPr>
              <w:jc w:val="left"/>
              <w:rPr>
                <w:rFonts w:hint="default" w:ascii="宋体" w:hAnsi="宋体"/>
                <w:w w:val="90"/>
                <w:szCs w:val="21"/>
              </w:rPr>
            </w:pPr>
            <w:r>
              <w:rPr>
                <w:rFonts w:ascii="宋体" w:hAnsi="宋体"/>
                <w:w w:val="90"/>
                <w:szCs w:val="21"/>
              </w:rPr>
              <w:t>参照《复印机、打印机和传真机能效限定值及能效等级》（GB 21521中打印速度为 15 页/分的针式打印机相关要求</w:t>
            </w:r>
          </w:p>
        </w:tc>
      </w:tr>
      <w:tr w14:paraId="3A4B0FE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B187B50">
            <w:pPr>
              <w:jc w:val="center"/>
              <w:rPr>
                <w:rFonts w:hint="default" w:ascii="宋体" w:hAnsi="宋体"/>
                <w:w w:val="90"/>
                <w:szCs w:val="21"/>
              </w:rPr>
            </w:pPr>
            <w:r>
              <w:rPr>
                <w:rFonts w:ascii="宋体" w:hAnsi="宋体"/>
                <w:w w:val="90"/>
                <w:szCs w:val="21"/>
              </w:rPr>
              <w:t>3</w:t>
            </w:r>
          </w:p>
        </w:tc>
        <w:tc>
          <w:tcPr>
            <w:tcW w:w="1933" w:type="dxa"/>
            <w:vAlign w:val="center"/>
          </w:tcPr>
          <w:p w14:paraId="75E2917B">
            <w:pPr>
              <w:jc w:val="left"/>
              <w:rPr>
                <w:rFonts w:hint="default" w:ascii="宋体" w:hAnsi="宋体"/>
                <w:w w:val="90"/>
                <w:szCs w:val="21"/>
              </w:rPr>
            </w:pPr>
            <w:r>
              <w:rPr>
                <w:rFonts w:ascii="宋体" w:hAnsi="宋体"/>
                <w:w w:val="90"/>
                <w:szCs w:val="21"/>
              </w:rPr>
              <w:t>A020202投影仪</w:t>
            </w:r>
          </w:p>
        </w:tc>
        <w:tc>
          <w:tcPr>
            <w:tcW w:w="2334" w:type="dxa"/>
            <w:vAlign w:val="center"/>
          </w:tcPr>
          <w:p w14:paraId="40B58DF0">
            <w:pPr>
              <w:jc w:val="left"/>
              <w:rPr>
                <w:rFonts w:hint="default" w:ascii="宋体" w:hAnsi="宋体"/>
                <w:w w:val="90"/>
                <w:szCs w:val="21"/>
              </w:rPr>
            </w:pPr>
          </w:p>
        </w:tc>
        <w:tc>
          <w:tcPr>
            <w:tcW w:w="1682" w:type="dxa"/>
            <w:vAlign w:val="center"/>
          </w:tcPr>
          <w:p w14:paraId="40FE9C2D">
            <w:pPr>
              <w:jc w:val="center"/>
              <w:rPr>
                <w:rFonts w:hint="default" w:ascii="宋体" w:hAnsi="宋体"/>
                <w:w w:val="90"/>
                <w:szCs w:val="21"/>
              </w:rPr>
            </w:pPr>
          </w:p>
        </w:tc>
        <w:tc>
          <w:tcPr>
            <w:tcW w:w="3301" w:type="dxa"/>
            <w:vAlign w:val="center"/>
          </w:tcPr>
          <w:p w14:paraId="5F38932A">
            <w:pPr>
              <w:jc w:val="left"/>
              <w:rPr>
                <w:rFonts w:hint="default" w:ascii="宋体" w:hAnsi="宋体"/>
                <w:w w:val="90"/>
                <w:szCs w:val="21"/>
              </w:rPr>
            </w:pPr>
            <w:r>
              <w:rPr>
                <w:rFonts w:ascii="宋体" w:hAnsi="宋体"/>
                <w:w w:val="90"/>
                <w:szCs w:val="21"/>
              </w:rPr>
              <w:t>《投影机能效限定值及能效等级（GB 32028）</w:t>
            </w:r>
          </w:p>
        </w:tc>
      </w:tr>
      <w:tr w14:paraId="2B985B4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37D5C742">
            <w:pPr>
              <w:jc w:val="center"/>
              <w:rPr>
                <w:rFonts w:hint="default" w:ascii="宋体" w:hAnsi="宋体"/>
                <w:w w:val="90"/>
                <w:szCs w:val="21"/>
              </w:rPr>
            </w:pPr>
            <w:r>
              <w:rPr>
                <w:rFonts w:ascii="宋体" w:hAnsi="宋体"/>
                <w:w w:val="90"/>
                <w:szCs w:val="21"/>
              </w:rPr>
              <w:t>4</w:t>
            </w:r>
          </w:p>
        </w:tc>
        <w:tc>
          <w:tcPr>
            <w:tcW w:w="1933" w:type="dxa"/>
            <w:vAlign w:val="center"/>
          </w:tcPr>
          <w:p w14:paraId="629511E0">
            <w:pPr>
              <w:jc w:val="left"/>
              <w:rPr>
                <w:rFonts w:hint="default" w:ascii="宋体" w:hAnsi="宋体"/>
                <w:w w:val="90"/>
                <w:szCs w:val="21"/>
              </w:rPr>
            </w:pPr>
            <w:r>
              <w:rPr>
                <w:rFonts w:ascii="宋体" w:hAnsi="宋体"/>
                <w:w w:val="90"/>
                <w:szCs w:val="21"/>
              </w:rPr>
              <w:t>A020204352多功能一体机</w:t>
            </w:r>
          </w:p>
        </w:tc>
        <w:tc>
          <w:tcPr>
            <w:tcW w:w="2334" w:type="dxa"/>
            <w:vAlign w:val="center"/>
          </w:tcPr>
          <w:p w14:paraId="7A9A3C0F">
            <w:pPr>
              <w:jc w:val="left"/>
              <w:rPr>
                <w:rFonts w:hint="default" w:ascii="宋体" w:hAnsi="宋体"/>
                <w:w w:val="90"/>
                <w:szCs w:val="21"/>
              </w:rPr>
            </w:pPr>
          </w:p>
        </w:tc>
        <w:tc>
          <w:tcPr>
            <w:tcW w:w="1682" w:type="dxa"/>
            <w:vAlign w:val="center"/>
          </w:tcPr>
          <w:p w14:paraId="475EF51C">
            <w:pPr>
              <w:jc w:val="center"/>
              <w:rPr>
                <w:rFonts w:hint="default" w:ascii="宋体" w:hAnsi="宋体"/>
                <w:w w:val="90"/>
                <w:szCs w:val="21"/>
              </w:rPr>
            </w:pPr>
          </w:p>
        </w:tc>
        <w:tc>
          <w:tcPr>
            <w:tcW w:w="3301" w:type="dxa"/>
            <w:vAlign w:val="center"/>
          </w:tcPr>
          <w:p w14:paraId="4EC82AD7">
            <w:pPr>
              <w:jc w:val="left"/>
              <w:rPr>
                <w:rFonts w:hint="default" w:ascii="宋体" w:hAnsi="宋体"/>
                <w:w w:val="90"/>
                <w:szCs w:val="21"/>
              </w:rPr>
            </w:pPr>
            <w:r>
              <w:rPr>
                <w:rFonts w:ascii="宋体" w:hAnsi="宋体"/>
                <w:w w:val="90"/>
                <w:szCs w:val="21"/>
              </w:rPr>
              <w:t>《复印机、打印机和传真机能效限定值及能效等级》（GB 21521）</w:t>
            </w:r>
          </w:p>
        </w:tc>
      </w:tr>
      <w:tr w14:paraId="09FC76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85C62CE">
            <w:pPr>
              <w:jc w:val="center"/>
              <w:rPr>
                <w:rFonts w:hint="default" w:ascii="宋体" w:hAnsi="宋体"/>
                <w:w w:val="90"/>
                <w:szCs w:val="21"/>
              </w:rPr>
            </w:pPr>
            <w:r>
              <w:rPr>
                <w:rFonts w:ascii="宋体" w:hAnsi="宋体"/>
                <w:w w:val="90"/>
                <w:szCs w:val="21"/>
              </w:rPr>
              <w:t>5</w:t>
            </w:r>
          </w:p>
        </w:tc>
        <w:tc>
          <w:tcPr>
            <w:tcW w:w="1933" w:type="dxa"/>
            <w:vAlign w:val="center"/>
          </w:tcPr>
          <w:p w14:paraId="39B0AB67">
            <w:pPr>
              <w:jc w:val="left"/>
              <w:rPr>
                <w:rFonts w:hint="default" w:ascii="宋体" w:hAnsi="宋体"/>
                <w:w w:val="90"/>
                <w:szCs w:val="21"/>
              </w:rPr>
            </w:pPr>
            <w:r>
              <w:rPr>
                <w:rFonts w:ascii="宋体" w:hAnsi="宋体"/>
                <w:w w:val="90"/>
                <w:szCs w:val="21"/>
              </w:rPr>
              <w:t>A020519泵</w:t>
            </w:r>
          </w:p>
        </w:tc>
        <w:tc>
          <w:tcPr>
            <w:tcW w:w="2334" w:type="dxa"/>
            <w:vAlign w:val="center"/>
          </w:tcPr>
          <w:p w14:paraId="47DCADAD">
            <w:pPr>
              <w:jc w:val="left"/>
              <w:rPr>
                <w:rFonts w:hint="default" w:ascii="宋体" w:hAnsi="宋体"/>
                <w:w w:val="90"/>
                <w:szCs w:val="21"/>
              </w:rPr>
            </w:pPr>
            <w:r>
              <w:rPr>
                <w:rFonts w:ascii="宋体" w:hAnsi="宋体"/>
                <w:w w:val="90"/>
                <w:szCs w:val="21"/>
              </w:rPr>
              <w:t>A02051901离心泵</w:t>
            </w:r>
          </w:p>
        </w:tc>
        <w:tc>
          <w:tcPr>
            <w:tcW w:w="1682" w:type="dxa"/>
            <w:vAlign w:val="center"/>
          </w:tcPr>
          <w:p w14:paraId="18A15410">
            <w:pPr>
              <w:jc w:val="center"/>
              <w:rPr>
                <w:rFonts w:hint="default" w:ascii="宋体" w:hAnsi="宋体"/>
                <w:w w:val="90"/>
                <w:szCs w:val="21"/>
              </w:rPr>
            </w:pPr>
          </w:p>
        </w:tc>
        <w:tc>
          <w:tcPr>
            <w:tcW w:w="3301" w:type="dxa"/>
            <w:vAlign w:val="center"/>
          </w:tcPr>
          <w:p w14:paraId="25D76B05">
            <w:pPr>
              <w:jc w:val="left"/>
              <w:rPr>
                <w:rFonts w:hint="default" w:ascii="宋体" w:hAnsi="宋体"/>
                <w:w w:val="90"/>
                <w:szCs w:val="21"/>
              </w:rPr>
            </w:pPr>
            <w:r>
              <w:rPr>
                <w:rFonts w:ascii="宋体" w:hAnsi="宋体"/>
                <w:w w:val="90"/>
                <w:szCs w:val="21"/>
              </w:rPr>
              <w:t>《清水离心泵能效限定值及节能评价值》（GB 19762）</w:t>
            </w:r>
          </w:p>
        </w:tc>
      </w:tr>
      <w:tr w14:paraId="6871210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56B06B94">
            <w:pPr>
              <w:jc w:val="center"/>
              <w:rPr>
                <w:rFonts w:hint="default" w:ascii="宋体" w:hAnsi="宋体"/>
                <w:w w:val="90"/>
                <w:szCs w:val="21"/>
              </w:rPr>
            </w:pPr>
            <w:r>
              <w:rPr>
                <w:rFonts w:ascii="宋体" w:hAnsi="宋体"/>
                <w:w w:val="90"/>
                <w:szCs w:val="21"/>
              </w:rPr>
              <w:t>6</w:t>
            </w:r>
          </w:p>
        </w:tc>
        <w:tc>
          <w:tcPr>
            <w:tcW w:w="1933" w:type="dxa"/>
            <w:vMerge w:val="restart"/>
            <w:vAlign w:val="center"/>
          </w:tcPr>
          <w:p w14:paraId="71A6F176">
            <w:pPr>
              <w:jc w:val="left"/>
              <w:rPr>
                <w:rFonts w:hint="default" w:ascii="宋体" w:hAnsi="宋体"/>
                <w:w w:val="90"/>
                <w:szCs w:val="21"/>
              </w:rPr>
            </w:pPr>
            <w:r>
              <w:rPr>
                <w:rFonts w:ascii="宋体" w:hAnsi="宋体"/>
                <w:w w:val="90"/>
                <w:szCs w:val="21"/>
              </w:rPr>
              <w:t>A020523制冷空调设备</w:t>
            </w:r>
          </w:p>
        </w:tc>
        <w:tc>
          <w:tcPr>
            <w:tcW w:w="2334" w:type="dxa"/>
            <w:vMerge w:val="restart"/>
            <w:vAlign w:val="center"/>
          </w:tcPr>
          <w:p w14:paraId="424FB18D">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A02052301</w:t>
            </w:r>
            <w:r>
              <w:rPr>
                <w:rFonts w:ascii="宋体" w:hAnsi="宋体"/>
                <w:b/>
                <w:w w:val="90"/>
                <w:szCs w:val="21"/>
              </w:rPr>
              <w:t>制冷压缩机</w:t>
            </w:r>
          </w:p>
        </w:tc>
        <w:tc>
          <w:tcPr>
            <w:tcW w:w="1682" w:type="dxa"/>
            <w:vAlign w:val="center"/>
          </w:tcPr>
          <w:p w14:paraId="17289995">
            <w:pPr>
              <w:jc w:val="left"/>
              <w:rPr>
                <w:rFonts w:hint="default" w:ascii="宋体" w:hAnsi="宋体"/>
                <w:b/>
                <w:w w:val="90"/>
                <w:szCs w:val="21"/>
              </w:rPr>
            </w:pPr>
            <w:r>
              <w:rPr>
                <w:rFonts w:ascii="宋体" w:hAnsi="宋体"/>
                <w:b/>
                <w:w w:val="90"/>
                <w:szCs w:val="21"/>
              </w:rPr>
              <w:t>冷水机组</w:t>
            </w:r>
          </w:p>
        </w:tc>
        <w:tc>
          <w:tcPr>
            <w:tcW w:w="3301" w:type="dxa"/>
            <w:vAlign w:val="center"/>
          </w:tcPr>
          <w:p w14:paraId="147FB4F4">
            <w:pPr>
              <w:jc w:val="left"/>
              <w:rPr>
                <w:rFonts w:hint="default" w:ascii="宋体" w:hAnsi="宋体"/>
                <w:w w:val="90"/>
                <w:szCs w:val="21"/>
              </w:rPr>
            </w:pPr>
            <w:r>
              <w:rPr>
                <w:rFonts w:ascii="宋体" w:hAnsi="宋体"/>
                <w:w w:val="90"/>
                <w:szCs w:val="21"/>
              </w:rPr>
              <w:t>《冷水机组能效限定值及能效等级》（GB 19577），《低环境温度空气源热泵（冷水）机组能效限定值及能效等级》（GB 37480）</w:t>
            </w:r>
          </w:p>
        </w:tc>
      </w:tr>
      <w:tr w14:paraId="662C247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D310CFE">
            <w:pPr>
              <w:jc w:val="center"/>
              <w:rPr>
                <w:rFonts w:hint="default" w:ascii="宋体" w:hAnsi="宋体"/>
                <w:w w:val="90"/>
                <w:szCs w:val="21"/>
              </w:rPr>
            </w:pPr>
          </w:p>
        </w:tc>
        <w:tc>
          <w:tcPr>
            <w:tcW w:w="1933" w:type="dxa"/>
            <w:vMerge w:val="continue"/>
            <w:vAlign w:val="center"/>
          </w:tcPr>
          <w:p w14:paraId="684E5EA8">
            <w:pPr>
              <w:jc w:val="left"/>
              <w:rPr>
                <w:rFonts w:hint="default" w:ascii="宋体" w:hAnsi="宋体"/>
                <w:w w:val="90"/>
                <w:szCs w:val="21"/>
              </w:rPr>
            </w:pPr>
          </w:p>
        </w:tc>
        <w:tc>
          <w:tcPr>
            <w:tcW w:w="2334" w:type="dxa"/>
            <w:vMerge w:val="continue"/>
            <w:vAlign w:val="center"/>
          </w:tcPr>
          <w:p w14:paraId="71F8FED8">
            <w:pPr>
              <w:jc w:val="left"/>
              <w:rPr>
                <w:rFonts w:hint="default" w:ascii="宋体" w:hAnsi="宋体"/>
                <w:b/>
                <w:w w:val="90"/>
                <w:szCs w:val="21"/>
              </w:rPr>
            </w:pPr>
          </w:p>
        </w:tc>
        <w:tc>
          <w:tcPr>
            <w:tcW w:w="1682" w:type="dxa"/>
            <w:vAlign w:val="center"/>
          </w:tcPr>
          <w:p w14:paraId="1C1DA7B1">
            <w:pPr>
              <w:jc w:val="left"/>
              <w:rPr>
                <w:rFonts w:hint="default" w:ascii="宋体" w:hAnsi="宋体"/>
                <w:b/>
                <w:w w:val="90"/>
                <w:szCs w:val="21"/>
              </w:rPr>
            </w:pPr>
            <w:r>
              <w:rPr>
                <w:rFonts w:ascii="宋体" w:hAnsi="宋体"/>
                <w:b/>
                <w:w w:val="90"/>
                <w:szCs w:val="21"/>
              </w:rPr>
              <w:t>水源热泵机组</w:t>
            </w:r>
          </w:p>
        </w:tc>
        <w:tc>
          <w:tcPr>
            <w:tcW w:w="3301" w:type="dxa"/>
            <w:vAlign w:val="center"/>
          </w:tcPr>
          <w:p w14:paraId="2C98B2E5">
            <w:pPr>
              <w:jc w:val="left"/>
              <w:rPr>
                <w:rFonts w:hint="default" w:ascii="宋体" w:hAnsi="宋体"/>
                <w:w w:val="90"/>
                <w:szCs w:val="21"/>
              </w:rPr>
            </w:pPr>
            <w:r>
              <w:rPr>
                <w:rFonts w:ascii="宋体" w:hAnsi="宋体"/>
                <w:w w:val="90"/>
                <w:szCs w:val="21"/>
              </w:rPr>
              <w:t>《水（地）源热泵机组能效限定值及能效等级》（GB 30721）</w:t>
            </w:r>
          </w:p>
        </w:tc>
      </w:tr>
      <w:tr w14:paraId="1C8065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3479C49">
            <w:pPr>
              <w:jc w:val="center"/>
              <w:rPr>
                <w:rFonts w:hint="default" w:ascii="宋体" w:hAnsi="宋体"/>
                <w:w w:val="90"/>
                <w:szCs w:val="21"/>
              </w:rPr>
            </w:pPr>
          </w:p>
        </w:tc>
        <w:tc>
          <w:tcPr>
            <w:tcW w:w="1933" w:type="dxa"/>
            <w:vMerge w:val="continue"/>
            <w:vAlign w:val="center"/>
          </w:tcPr>
          <w:p w14:paraId="398F751F">
            <w:pPr>
              <w:jc w:val="left"/>
              <w:rPr>
                <w:rFonts w:hint="default" w:ascii="宋体" w:hAnsi="宋体"/>
                <w:w w:val="90"/>
                <w:szCs w:val="21"/>
              </w:rPr>
            </w:pPr>
          </w:p>
        </w:tc>
        <w:tc>
          <w:tcPr>
            <w:tcW w:w="2334" w:type="dxa"/>
            <w:vMerge w:val="continue"/>
            <w:vAlign w:val="center"/>
          </w:tcPr>
          <w:p w14:paraId="722CFA78">
            <w:pPr>
              <w:jc w:val="left"/>
              <w:rPr>
                <w:rFonts w:hint="default" w:ascii="宋体" w:hAnsi="宋体"/>
                <w:b/>
                <w:w w:val="90"/>
                <w:szCs w:val="21"/>
              </w:rPr>
            </w:pPr>
          </w:p>
        </w:tc>
        <w:tc>
          <w:tcPr>
            <w:tcW w:w="1682" w:type="dxa"/>
            <w:vAlign w:val="center"/>
          </w:tcPr>
          <w:p w14:paraId="38FF70C3">
            <w:pPr>
              <w:jc w:val="left"/>
              <w:rPr>
                <w:rFonts w:hint="default" w:ascii="宋体" w:hAnsi="宋体"/>
                <w:b/>
                <w:w w:val="90"/>
                <w:szCs w:val="21"/>
              </w:rPr>
            </w:pPr>
            <w:r>
              <w:rPr>
                <w:rFonts w:ascii="宋体" w:hAnsi="宋体"/>
                <w:b/>
                <w:w w:val="90"/>
                <w:szCs w:val="21"/>
              </w:rPr>
              <w:t>溴化锂吸收式冷水机组</w:t>
            </w:r>
          </w:p>
        </w:tc>
        <w:tc>
          <w:tcPr>
            <w:tcW w:w="3301" w:type="dxa"/>
            <w:vAlign w:val="center"/>
          </w:tcPr>
          <w:p w14:paraId="038B99AB">
            <w:pPr>
              <w:jc w:val="left"/>
              <w:rPr>
                <w:rFonts w:hint="default" w:ascii="宋体" w:hAnsi="宋体"/>
                <w:w w:val="90"/>
                <w:szCs w:val="21"/>
              </w:rPr>
            </w:pPr>
            <w:r>
              <w:rPr>
                <w:rFonts w:ascii="宋体" w:hAnsi="宋体"/>
                <w:w w:val="90"/>
                <w:szCs w:val="21"/>
              </w:rPr>
              <w:t>《溴化锂吸收式冷水机组能效限定值及能效等级》（GB 29540）</w:t>
            </w:r>
          </w:p>
        </w:tc>
      </w:tr>
      <w:tr w14:paraId="5A350E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E32200C">
            <w:pPr>
              <w:jc w:val="center"/>
              <w:rPr>
                <w:rFonts w:hint="default" w:ascii="宋体" w:hAnsi="宋体"/>
                <w:w w:val="90"/>
                <w:szCs w:val="21"/>
              </w:rPr>
            </w:pPr>
          </w:p>
        </w:tc>
        <w:tc>
          <w:tcPr>
            <w:tcW w:w="1933" w:type="dxa"/>
            <w:vMerge w:val="continue"/>
            <w:vAlign w:val="center"/>
          </w:tcPr>
          <w:p w14:paraId="6BC8FCAC">
            <w:pPr>
              <w:jc w:val="left"/>
              <w:rPr>
                <w:rFonts w:hint="default" w:ascii="宋体" w:hAnsi="宋体"/>
                <w:w w:val="90"/>
                <w:szCs w:val="21"/>
              </w:rPr>
            </w:pPr>
          </w:p>
        </w:tc>
        <w:tc>
          <w:tcPr>
            <w:tcW w:w="2334" w:type="dxa"/>
            <w:vMerge w:val="restart"/>
            <w:vAlign w:val="center"/>
          </w:tcPr>
          <w:p w14:paraId="46133E6B">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A02052305</w:t>
            </w:r>
            <w:r>
              <w:rPr>
                <w:rFonts w:ascii="宋体" w:hAnsi="宋体"/>
                <w:b/>
                <w:w w:val="90"/>
                <w:szCs w:val="21"/>
              </w:rPr>
              <w:t>空调机组</w:t>
            </w:r>
          </w:p>
        </w:tc>
        <w:tc>
          <w:tcPr>
            <w:tcW w:w="1682" w:type="dxa"/>
            <w:vAlign w:val="center"/>
          </w:tcPr>
          <w:p w14:paraId="612DD2F5">
            <w:pPr>
              <w:jc w:val="left"/>
              <w:rPr>
                <w:rFonts w:hint="default" w:ascii="宋体" w:hAnsi="宋体"/>
                <w:b/>
                <w:w w:val="90"/>
                <w:szCs w:val="21"/>
              </w:rPr>
            </w:pPr>
            <w:r>
              <w:rPr>
                <w:rFonts w:ascii="宋体" w:hAnsi="宋体"/>
                <w:b/>
                <w:w w:val="90"/>
                <w:szCs w:val="21"/>
              </w:rPr>
              <w:t>多联式空调（热泵）机组(制冷量&gt;14000W)</w:t>
            </w:r>
          </w:p>
        </w:tc>
        <w:tc>
          <w:tcPr>
            <w:tcW w:w="3301" w:type="dxa"/>
            <w:vAlign w:val="center"/>
          </w:tcPr>
          <w:p w14:paraId="22E32465">
            <w:pPr>
              <w:jc w:val="left"/>
              <w:rPr>
                <w:rFonts w:hint="default" w:ascii="宋体" w:hAnsi="宋体"/>
                <w:w w:val="90"/>
                <w:szCs w:val="21"/>
              </w:rPr>
            </w:pPr>
            <w:r>
              <w:rPr>
                <w:rFonts w:ascii="宋体" w:hAnsi="宋体"/>
                <w:w w:val="90"/>
                <w:szCs w:val="21"/>
              </w:rPr>
              <w:t>《多联式空调（热泵）机组能效限定值及能源效率等级》（GB 21454）</w:t>
            </w:r>
          </w:p>
        </w:tc>
      </w:tr>
      <w:tr w14:paraId="092AEDF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3AA4E55">
            <w:pPr>
              <w:jc w:val="center"/>
              <w:rPr>
                <w:rFonts w:hint="default" w:ascii="宋体" w:hAnsi="宋体"/>
                <w:w w:val="90"/>
                <w:szCs w:val="21"/>
              </w:rPr>
            </w:pPr>
          </w:p>
        </w:tc>
        <w:tc>
          <w:tcPr>
            <w:tcW w:w="1933" w:type="dxa"/>
            <w:vMerge w:val="continue"/>
            <w:vAlign w:val="center"/>
          </w:tcPr>
          <w:p w14:paraId="2E9F16A3">
            <w:pPr>
              <w:jc w:val="left"/>
              <w:rPr>
                <w:rFonts w:hint="default" w:ascii="宋体" w:hAnsi="宋体"/>
                <w:w w:val="90"/>
                <w:szCs w:val="21"/>
              </w:rPr>
            </w:pPr>
          </w:p>
        </w:tc>
        <w:tc>
          <w:tcPr>
            <w:tcW w:w="2334" w:type="dxa"/>
            <w:vMerge w:val="continue"/>
            <w:vAlign w:val="center"/>
          </w:tcPr>
          <w:p w14:paraId="7FA1DA7F">
            <w:pPr>
              <w:jc w:val="left"/>
              <w:rPr>
                <w:rFonts w:hint="default" w:ascii="宋体" w:hAnsi="宋体"/>
                <w:b/>
                <w:w w:val="90"/>
                <w:szCs w:val="21"/>
              </w:rPr>
            </w:pPr>
          </w:p>
        </w:tc>
        <w:tc>
          <w:tcPr>
            <w:tcW w:w="1682" w:type="dxa"/>
            <w:vAlign w:val="center"/>
          </w:tcPr>
          <w:p w14:paraId="50E68F56">
            <w:pPr>
              <w:jc w:val="left"/>
              <w:rPr>
                <w:rFonts w:hint="default" w:ascii="宋体" w:hAnsi="宋体"/>
                <w:b/>
                <w:w w:val="90"/>
                <w:szCs w:val="21"/>
              </w:rPr>
            </w:pPr>
            <w:r>
              <w:rPr>
                <w:rFonts w:ascii="宋体" w:hAnsi="宋体"/>
                <w:b/>
                <w:w w:val="90"/>
                <w:szCs w:val="21"/>
              </w:rPr>
              <w:t>单元式空气调节机(制冷量&gt;14000W)</w:t>
            </w:r>
          </w:p>
        </w:tc>
        <w:tc>
          <w:tcPr>
            <w:tcW w:w="3301" w:type="dxa"/>
            <w:vAlign w:val="center"/>
          </w:tcPr>
          <w:p w14:paraId="16468661">
            <w:pPr>
              <w:jc w:val="left"/>
              <w:rPr>
                <w:rFonts w:hint="default" w:ascii="宋体" w:hAnsi="宋体"/>
                <w:w w:val="90"/>
                <w:szCs w:val="21"/>
              </w:rPr>
            </w:pPr>
            <w:r>
              <w:rPr>
                <w:rFonts w:ascii="宋体" w:hAnsi="宋体"/>
                <w:w w:val="90"/>
                <w:szCs w:val="21"/>
              </w:rPr>
              <w:t>《单元式空气调节机能效限定值及能效等级》（GB 19576）《风管送风式空调机组能效限定值及能效等级》（GB 37479）</w:t>
            </w:r>
          </w:p>
        </w:tc>
      </w:tr>
      <w:tr w14:paraId="26C38C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AEE20D7">
            <w:pPr>
              <w:jc w:val="center"/>
              <w:rPr>
                <w:rFonts w:hint="default" w:ascii="宋体" w:hAnsi="宋体"/>
                <w:w w:val="90"/>
                <w:szCs w:val="21"/>
              </w:rPr>
            </w:pPr>
          </w:p>
        </w:tc>
        <w:tc>
          <w:tcPr>
            <w:tcW w:w="1933" w:type="dxa"/>
            <w:vMerge w:val="continue"/>
            <w:vAlign w:val="center"/>
          </w:tcPr>
          <w:p w14:paraId="5A5B91F1">
            <w:pPr>
              <w:jc w:val="left"/>
              <w:rPr>
                <w:rFonts w:hint="default" w:ascii="宋体" w:hAnsi="宋体"/>
                <w:w w:val="90"/>
                <w:szCs w:val="21"/>
              </w:rPr>
            </w:pPr>
          </w:p>
        </w:tc>
        <w:tc>
          <w:tcPr>
            <w:tcW w:w="2334" w:type="dxa"/>
            <w:vAlign w:val="center"/>
          </w:tcPr>
          <w:p w14:paraId="430643B2">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A02052309</w:t>
            </w:r>
            <w:r>
              <w:rPr>
                <w:rFonts w:ascii="宋体" w:hAnsi="宋体"/>
                <w:b/>
                <w:w w:val="90"/>
                <w:szCs w:val="21"/>
              </w:rPr>
              <w:t>专用制冷、空调设备</w:t>
            </w:r>
          </w:p>
        </w:tc>
        <w:tc>
          <w:tcPr>
            <w:tcW w:w="1682" w:type="dxa"/>
            <w:vAlign w:val="center"/>
          </w:tcPr>
          <w:p w14:paraId="59D55211">
            <w:pPr>
              <w:jc w:val="left"/>
              <w:rPr>
                <w:rFonts w:hint="default" w:ascii="宋体" w:hAnsi="宋体"/>
                <w:b/>
                <w:w w:val="90"/>
                <w:szCs w:val="21"/>
              </w:rPr>
            </w:pPr>
            <w:r>
              <w:rPr>
                <w:rFonts w:ascii="宋体" w:hAnsi="宋体"/>
                <w:b/>
                <w:w w:val="90"/>
                <w:szCs w:val="21"/>
              </w:rPr>
              <w:t>机房空调</w:t>
            </w:r>
          </w:p>
        </w:tc>
        <w:tc>
          <w:tcPr>
            <w:tcW w:w="3301" w:type="dxa"/>
            <w:vAlign w:val="center"/>
          </w:tcPr>
          <w:p w14:paraId="7AA68405">
            <w:pPr>
              <w:jc w:val="left"/>
              <w:rPr>
                <w:rFonts w:hint="default" w:ascii="宋体" w:hAnsi="宋体"/>
                <w:w w:val="90"/>
                <w:szCs w:val="21"/>
              </w:rPr>
            </w:pPr>
            <w:r>
              <w:rPr>
                <w:rFonts w:ascii="宋体" w:hAnsi="宋体"/>
                <w:w w:val="90"/>
                <w:szCs w:val="21"/>
              </w:rPr>
              <w:t>《单元式空气调节机能效限定值及能效等级》（GB 19576）</w:t>
            </w:r>
          </w:p>
        </w:tc>
      </w:tr>
      <w:tr w14:paraId="3DA326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9F179E9">
            <w:pPr>
              <w:jc w:val="center"/>
              <w:rPr>
                <w:rFonts w:hint="default" w:ascii="宋体" w:hAnsi="宋体"/>
                <w:w w:val="90"/>
                <w:szCs w:val="21"/>
              </w:rPr>
            </w:pPr>
          </w:p>
        </w:tc>
        <w:tc>
          <w:tcPr>
            <w:tcW w:w="1933" w:type="dxa"/>
            <w:vMerge w:val="continue"/>
            <w:vAlign w:val="center"/>
          </w:tcPr>
          <w:p w14:paraId="4B665586">
            <w:pPr>
              <w:jc w:val="left"/>
              <w:rPr>
                <w:rFonts w:hint="default" w:ascii="宋体" w:hAnsi="宋体"/>
                <w:w w:val="90"/>
                <w:szCs w:val="21"/>
              </w:rPr>
            </w:pPr>
          </w:p>
        </w:tc>
        <w:tc>
          <w:tcPr>
            <w:tcW w:w="2334" w:type="dxa"/>
            <w:vAlign w:val="center"/>
          </w:tcPr>
          <w:p w14:paraId="2DDF4A81">
            <w:pPr>
              <w:jc w:val="left"/>
              <w:rPr>
                <w:rFonts w:hint="default" w:ascii="宋体" w:hAnsi="宋体"/>
                <w:w w:val="90"/>
                <w:szCs w:val="21"/>
              </w:rPr>
            </w:pPr>
            <w:r>
              <w:rPr>
                <w:rFonts w:ascii="宋体" w:hAnsi="宋体"/>
                <w:w w:val="90"/>
                <w:szCs w:val="21"/>
              </w:rPr>
              <w:t>A02052399其他制冷空调设备</w:t>
            </w:r>
          </w:p>
        </w:tc>
        <w:tc>
          <w:tcPr>
            <w:tcW w:w="1682" w:type="dxa"/>
            <w:vAlign w:val="center"/>
          </w:tcPr>
          <w:p w14:paraId="458053E2">
            <w:pPr>
              <w:jc w:val="left"/>
              <w:rPr>
                <w:rFonts w:hint="default" w:ascii="宋体" w:hAnsi="宋体"/>
                <w:w w:val="90"/>
                <w:szCs w:val="21"/>
              </w:rPr>
            </w:pPr>
            <w:r>
              <w:rPr>
                <w:rFonts w:ascii="宋体" w:hAnsi="宋体"/>
                <w:w w:val="90"/>
                <w:szCs w:val="21"/>
              </w:rPr>
              <w:t>冷却塔</w:t>
            </w:r>
          </w:p>
        </w:tc>
        <w:tc>
          <w:tcPr>
            <w:tcW w:w="3301" w:type="dxa"/>
            <w:vAlign w:val="center"/>
          </w:tcPr>
          <w:p w14:paraId="45F50FFE">
            <w:pPr>
              <w:jc w:val="left"/>
              <w:rPr>
                <w:rFonts w:hint="default" w:ascii="宋体" w:hAnsi="宋体"/>
                <w:w w:val="90"/>
                <w:szCs w:val="21"/>
              </w:rPr>
            </w:pPr>
            <w:r>
              <w:rPr>
                <w:rFonts w:ascii="宋体" w:hAnsi="宋体"/>
                <w:w w:val="90"/>
                <w:szCs w:val="21"/>
              </w:rPr>
              <w:t>《机械通风冷却塔 第 1 部分：中小型开式冷却塔》（GB/T 7190.1）</w:t>
            </w:r>
          </w:p>
          <w:p w14:paraId="7E6E513F">
            <w:pPr>
              <w:jc w:val="left"/>
              <w:rPr>
                <w:rFonts w:hint="default" w:ascii="宋体" w:hAnsi="宋体"/>
                <w:w w:val="90"/>
                <w:szCs w:val="21"/>
              </w:rPr>
            </w:pPr>
            <w:r>
              <w:rPr>
                <w:rFonts w:ascii="宋体" w:hAnsi="宋体"/>
                <w:w w:val="90"/>
                <w:szCs w:val="21"/>
              </w:rPr>
              <w:t>《机械通风冷却塔 第 2 部分：大型开式冷却塔》（GB/T 7190.2）</w:t>
            </w:r>
          </w:p>
        </w:tc>
      </w:tr>
      <w:tr w14:paraId="59A46AB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103C9D3F">
            <w:pPr>
              <w:jc w:val="center"/>
              <w:rPr>
                <w:rFonts w:hint="default" w:ascii="宋体" w:hAnsi="宋体"/>
                <w:w w:val="90"/>
                <w:szCs w:val="21"/>
              </w:rPr>
            </w:pPr>
            <w:r>
              <w:rPr>
                <w:rFonts w:ascii="宋体" w:hAnsi="宋体"/>
                <w:w w:val="90"/>
                <w:szCs w:val="21"/>
              </w:rPr>
              <w:t>7</w:t>
            </w:r>
          </w:p>
        </w:tc>
        <w:tc>
          <w:tcPr>
            <w:tcW w:w="1933" w:type="dxa"/>
            <w:vAlign w:val="center"/>
          </w:tcPr>
          <w:p w14:paraId="66AC6674">
            <w:pPr>
              <w:jc w:val="left"/>
              <w:rPr>
                <w:rFonts w:hint="default" w:ascii="宋体" w:hAnsi="宋体"/>
                <w:w w:val="90"/>
                <w:szCs w:val="21"/>
              </w:rPr>
            </w:pPr>
            <w:r>
              <w:rPr>
                <w:rFonts w:ascii="宋体" w:hAnsi="宋体"/>
                <w:w w:val="90"/>
                <w:szCs w:val="21"/>
              </w:rPr>
              <w:t>A020601电机</w:t>
            </w:r>
          </w:p>
        </w:tc>
        <w:tc>
          <w:tcPr>
            <w:tcW w:w="2334" w:type="dxa"/>
            <w:vAlign w:val="center"/>
          </w:tcPr>
          <w:p w14:paraId="0794099D">
            <w:pPr>
              <w:jc w:val="left"/>
              <w:rPr>
                <w:rFonts w:hint="default" w:ascii="宋体" w:hAnsi="宋体"/>
                <w:w w:val="90"/>
                <w:szCs w:val="21"/>
              </w:rPr>
            </w:pPr>
          </w:p>
        </w:tc>
        <w:tc>
          <w:tcPr>
            <w:tcW w:w="1682" w:type="dxa"/>
            <w:vAlign w:val="center"/>
          </w:tcPr>
          <w:p w14:paraId="5F8E0AAF">
            <w:pPr>
              <w:jc w:val="center"/>
              <w:rPr>
                <w:rFonts w:hint="default" w:ascii="宋体" w:hAnsi="宋体"/>
                <w:w w:val="90"/>
                <w:szCs w:val="21"/>
              </w:rPr>
            </w:pPr>
          </w:p>
        </w:tc>
        <w:tc>
          <w:tcPr>
            <w:tcW w:w="3301" w:type="dxa"/>
            <w:vAlign w:val="center"/>
          </w:tcPr>
          <w:p w14:paraId="78C1F75B">
            <w:pPr>
              <w:jc w:val="left"/>
              <w:rPr>
                <w:rFonts w:hint="default" w:ascii="宋体" w:hAnsi="宋体"/>
                <w:w w:val="90"/>
                <w:szCs w:val="21"/>
              </w:rPr>
            </w:pPr>
            <w:r>
              <w:rPr>
                <w:rFonts w:ascii="宋体" w:hAnsi="宋体"/>
                <w:w w:val="90"/>
                <w:szCs w:val="21"/>
              </w:rPr>
              <w:t>《中小型三相异步电动机能效限定值及能效等级》（GB 18613）</w:t>
            </w:r>
          </w:p>
        </w:tc>
      </w:tr>
      <w:tr w14:paraId="0D1394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365003C">
            <w:pPr>
              <w:jc w:val="center"/>
              <w:rPr>
                <w:rFonts w:hint="default" w:ascii="宋体" w:hAnsi="宋体"/>
                <w:w w:val="90"/>
                <w:szCs w:val="21"/>
              </w:rPr>
            </w:pPr>
            <w:r>
              <w:rPr>
                <w:rFonts w:ascii="宋体" w:hAnsi="宋体"/>
                <w:w w:val="90"/>
                <w:szCs w:val="21"/>
              </w:rPr>
              <w:t>8</w:t>
            </w:r>
          </w:p>
        </w:tc>
        <w:tc>
          <w:tcPr>
            <w:tcW w:w="1933" w:type="dxa"/>
            <w:vAlign w:val="center"/>
          </w:tcPr>
          <w:p w14:paraId="27CD745E">
            <w:pPr>
              <w:jc w:val="left"/>
              <w:rPr>
                <w:rFonts w:hint="default" w:ascii="宋体" w:hAnsi="宋体"/>
                <w:w w:val="90"/>
                <w:szCs w:val="21"/>
              </w:rPr>
            </w:pPr>
            <w:r>
              <w:rPr>
                <w:rFonts w:ascii="宋体" w:hAnsi="宋体"/>
                <w:w w:val="90"/>
                <w:szCs w:val="21"/>
              </w:rPr>
              <w:t>A020602变压器</w:t>
            </w:r>
          </w:p>
        </w:tc>
        <w:tc>
          <w:tcPr>
            <w:tcW w:w="2334" w:type="dxa"/>
            <w:vAlign w:val="center"/>
          </w:tcPr>
          <w:p w14:paraId="793BF017">
            <w:pPr>
              <w:jc w:val="left"/>
              <w:rPr>
                <w:rFonts w:hint="default" w:ascii="宋体" w:hAnsi="宋体"/>
                <w:w w:val="90"/>
                <w:szCs w:val="21"/>
              </w:rPr>
            </w:pPr>
            <w:r>
              <w:rPr>
                <w:rFonts w:ascii="宋体" w:hAnsi="宋体"/>
                <w:w w:val="90"/>
                <w:szCs w:val="21"/>
              </w:rPr>
              <w:t>配电变压器</w:t>
            </w:r>
          </w:p>
        </w:tc>
        <w:tc>
          <w:tcPr>
            <w:tcW w:w="1682" w:type="dxa"/>
            <w:vAlign w:val="center"/>
          </w:tcPr>
          <w:p w14:paraId="7D90875B">
            <w:pPr>
              <w:jc w:val="center"/>
              <w:rPr>
                <w:rFonts w:hint="default" w:ascii="宋体" w:hAnsi="宋体"/>
                <w:w w:val="90"/>
                <w:szCs w:val="21"/>
              </w:rPr>
            </w:pPr>
          </w:p>
        </w:tc>
        <w:tc>
          <w:tcPr>
            <w:tcW w:w="3301" w:type="dxa"/>
            <w:vAlign w:val="center"/>
          </w:tcPr>
          <w:p w14:paraId="412E130B">
            <w:pPr>
              <w:jc w:val="left"/>
              <w:rPr>
                <w:rFonts w:hint="default" w:ascii="宋体" w:hAnsi="宋体"/>
                <w:w w:val="90"/>
                <w:szCs w:val="21"/>
              </w:rPr>
            </w:pPr>
            <w:r>
              <w:rPr>
                <w:rFonts w:ascii="宋体" w:hAnsi="宋体"/>
                <w:w w:val="90"/>
                <w:szCs w:val="21"/>
              </w:rPr>
              <w:t>《三相配电变压器能效限定值及能效等级》（GB 20052）</w:t>
            </w:r>
          </w:p>
        </w:tc>
      </w:tr>
      <w:tr w14:paraId="0ABA2C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4EA8913">
            <w:pPr>
              <w:jc w:val="center"/>
              <w:rPr>
                <w:rFonts w:hint="default" w:ascii="宋体" w:hAnsi="宋体"/>
                <w:w w:val="90"/>
                <w:szCs w:val="21"/>
              </w:rPr>
            </w:pPr>
            <w:r>
              <w:rPr>
                <w:rFonts w:ascii="宋体" w:hAnsi="宋体"/>
                <w:w w:val="90"/>
                <w:szCs w:val="21"/>
              </w:rPr>
              <w:t>9</w:t>
            </w:r>
          </w:p>
        </w:tc>
        <w:tc>
          <w:tcPr>
            <w:tcW w:w="1933" w:type="dxa"/>
            <w:vAlign w:val="center"/>
          </w:tcPr>
          <w:p w14:paraId="56B34A8A">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A020609</w:t>
            </w:r>
            <w:r>
              <w:rPr>
                <w:rFonts w:ascii="宋体" w:hAnsi="宋体"/>
                <w:b/>
                <w:w w:val="90"/>
                <w:szCs w:val="21"/>
              </w:rPr>
              <w:t>镇流器</w:t>
            </w:r>
          </w:p>
        </w:tc>
        <w:tc>
          <w:tcPr>
            <w:tcW w:w="2334" w:type="dxa"/>
            <w:vAlign w:val="center"/>
          </w:tcPr>
          <w:p w14:paraId="2483F582">
            <w:pPr>
              <w:jc w:val="left"/>
              <w:rPr>
                <w:rFonts w:hint="default" w:ascii="宋体" w:hAnsi="宋体"/>
                <w:b/>
                <w:w w:val="90"/>
                <w:szCs w:val="21"/>
              </w:rPr>
            </w:pPr>
            <w:r>
              <w:rPr>
                <w:rFonts w:ascii="宋体" w:hAnsi="宋体"/>
                <w:b/>
                <w:w w:val="90"/>
                <w:szCs w:val="21"/>
              </w:rPr>
              <w:t>管型荧光灯镇流器</w:t>
            </w:r>
          </w:p>
        </w:tc>
        <w:tc>
          <w:tcPr>
            <w:tcW w:w="1682" w:type="dxa"/>
            <w:vAlign w:val="center"/>
          </w:tcPr>
          <w:p w14:paraId="5816D1D7">
            <w:pPr>
              <w:jc w:val="center"/>
              <w:rPr>
                <w:rFonts w:hint="default" w:ascii="宋体" w:hAnsi="宋体"/>
                <w:w w:val="90"/>
                <w:szCs w:val="21"/>
              </w:rPr>
            </w:pPr>
          </w:p>
        </w:tc>
        <w:tc>
          <w:tcPr>
            <w:tcW w:w="3301" w:type="dxa"/>
            <w:vAlign w:val="center"/>
          </w:tcPr>
          <w:p w14:paraId="259C5E5E">
            <w:pPr>
              <w:jc w:val="left"/>
              <w:rPr>
                <w:rFonts w:hint="default" w:ascii="宋体" w:hAnsi="宋体"/>
                <w:w w:val="90"/>
                <w:szCs w:val="21"/>
              </w:rPr>
            </w:pPr>
            <w:r>
              <w:rPr>
                <w:rFonts w:ascii="宋体" w:hAnsi="宋体"/>
                <w:w w:val="90"/>
                <w:szCs w:val="21"/>
              </w:rPr>
              <w:t>《管形荧光灯镇流器能效限定值及能效等级》（GB 17896）</w:t>
            </w:r>
          </w:p>
        </w:tc>
      </w:tr>
      <w:tr w14:paraId="1DDA4D3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79755FC7">
            <w:pPr>
              <w:jc w:val="center"/>
              <w:rPr>
                <w:rFonts w:hint="default" w:ascii="宋体" w:hAnsi="宋体"/>
                <w:w w:val="90"/>
                <w:szCs w:val="21"/>
              </w:rPr>
            </w:pPr>
            <w:r>
              <w:rPr>
                <w:rFonts w:ascii="宋体" w:hAnsi="宋体"/>
                <w:w w:val="90"/>
                <w:szCs w:val="21"/>
              </w:rPr>
              <w:t>10</w:t>
            </w:r>
          </w:p>
        </w:tc>
        <w:tc>
          <w:tcPr>
            <w:tcW w:w="1933" w:type="dxa"/>
            <w:vMerge w:val="restart"/>
            <w:vAlign w:val="center"/>
          </w:tcPr>
          <w:p w14:paraId="3508840C">
            <w:pPr>
              <w:jc w:val="left"/>
              <w:rPr>
                <w:rFonts w:hint="default" w:ascii="宋体" w:hAnsi="宋体"/>
                <w:w w:val="90"/>
                <w:szCs w:val="21"/>
              </w:rPr>
            </w:pPr>
            <w:r>
              <w:rPr>
                <w:rFonts w:ascii="宋体" w:hAnsi="宋体"/>
                <w:w w:val="90"/>
                <w:szCs w:val="21"/>
              </w:rPr>
              <w:t>A020618 生活用电器</w:t>
            </w:r>
          </w:p>
        </w:tc>
        <w:tc>
          <w:tcPr>
            <w:tcW w:w="2334" w:type="dxa"/>
            <w:vAlign w:val="center"/>
          </w:tcPr>
          <w:p w14:paraId="7539E5E8">
            <w:pPr>
              <w:jc w:val="left"/>
              <w:rPr>
                <w:rFonts w:hint="default" w:ascii="宋体" w:hAnsi="宋体"/>
                <w:w w:val="90"/>
                <w:szCs w:val="21"/>
              </w:rPr>
            </w:pPr>
            <w:r>
              <w:rPr>
                <w:rFonts w:ascii="宋体" w:hAnsi="宋体"/>
                <w:w w:val="90"/>
                <w:szCs w:val="21"/>
              </w:rPr>
              <w:t>A0206180101电冰箱</w:t>
            </w:r>
          </w:p>
        </w:tc>
        <w:tc>
          <w:tcPr>
            <w:tcW w:w="1682" w:type="dxa"/>
            <w:vAlign w:val="center"/>
          </w:tcPr>
          <w:p w14:paraId="1B4F14CA">
            <w:pPr>
              <w:jc w:val="center"/>
              <w:rPr>
                <w:rFonts w:hint="default" w:ascii="宋体" w:hAnsi="宋体"/>
                <w:w w:val="90"/>
                <w:szCs w:val="21"/>
              </w:rPr>
            </w:pPr>
          </w:p>
        </w:tc>
        <w:tc>
          <w:tcPr>
            <w:tcW w:w="3301" w:type="dxa"/>
            <w:vAlign w:val="center"/>
          </w:tcPr>
          <w:p w14:paraId="53B04497">
            <w:pPr>
              <w:jc w:val="left"/>
              <w:rPr>
                <w:rFonts w:hint="default" w:ascii="宋体" w:hAnsi="宋体"/>
                <w:w w:val="90"/>
                <w:szCs w:val="21"/>
              </w:rPr>
            </w:pPr>
            <w:r>
              <w:rPr>
                <w:rFonts w:ascii="宋体" w:hAnsi="宋体"/>
                <w:w w:val="90"/>
                <w:szCs w:val="21"/>
              </w:rPr>
              <w:t>《家用电冰箱耗电量限定值及能效等级》（GB</w:t>
            </w:r>
            <w:r>
              <w:rPr>
                <w:rFonts w:ascii="宋体" w:hAnsi="宋体"/>
                <w:w w:val="90"/>
                <w:szCs w:val="21"/>
              </w:rPr>
              <w:tab/>
            </w:r>
            <w:r>
              <w:rPr>
                <w:rFonts w:ascii="宋体" w:hAnsi="宋体"/>
                <w:w w:val="90"/>
                <w:szCs w:val="21"/>
              </w:rPr>
              <w:t>12021.2）</w:t>
            </w:r>
          </w:p>
        </w:tc>
      </w:tr>
      <w:tr w14:paraId="291124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0845046">
            <w:pPr>
              <w:jc w:val="center"/>
              <w:rPr>
                <w:rFonts w:hint="default" w:ascii="宋体" w:hAnsi="宋体"/>
                <w:w w:val="90"/>
                <w:szCs w:val="21"/>
              </w:rPr>
            </w:pPr>
          </w:p>
        </w:tc>
        <w:tc>
          <w:tcPr>
            <w:tcW w:w="1933" w:type="dxa"/>
            <w:vMerge w:val="continue"/>
            <w:vAlign w:val="center"/>
          </w:tcPr>
          <w:p w14:paraId="4AADBCD8">
            <w:pPr>
              <w:jc w:val="left"/>
              <w:rPr>
                <w:rFonts w:hint="default" w:ascii="宋体" w:hAnsi="宋体"/>
                <w:w w:val="90"/>
                <w:szCs w:val="21"/>
              </w:rPr>
            </w:pPr>
          </w:p>
        </w:tc>
        <w:tc>
          <w:tcPr>
            <w:tcW w:w="2334" w:type="dxa"/>
            <w:vMerge w:val="restart"/>
            <w:vAlign w:val="center"/>
          </w:tcPr>
          <w:p w14:paraId="60283176">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A0206180203</w:t>
            </w:r>
            <w:r>
              <w:rPr>
                <w:rFonts w:ascii="宋体" w:hAnsi="宋体"/>
                <w:b/>
                <w:w w:val="90"/>
                <w:szCs w:val="21"/>
              </w:rPr>
              <w:t>空调机</w:t>
            </w:r>
          </w:p>
        </w:tc>
        <w:tc>
          <w:tcPr>
            <w:tcW w:w="1682" w:type="dxa"/>
            <w:vAlign w:val="center"/>
          </w:tcPr>
          <w:p w14:paraId="3C68E83D">
            <w:pPr>
              <w:jc w:val="left"/>
              <w:rPr>
                <w:rFonts w:hint="default" w:ascii="宋体" w:hAnsi="宋体"/>
                <w:b/>
                <w:w w:val="90"/>
                <w:szCs w:val="21"/>
              </w:rPr>
            </w:pPr>
            <w:r>
              <w:rPr>
                <w:rFonts w:ascii="宋体" w:hAnsi="宋体"/>
                <w:b/>
                <w:w w:val="90"/>
                <w:szCs w:val="21"/>
              </w:rPr>
              <w:t>房间空气调节器</w:t>
            </w:r>
          </w:p>
        </w:tc>
        <w:tc>
          <w:tcPr>
            <w:tcW w:w="3301" w:type="dxa"/>
            <w:vAlign w:val="center"/>
          </w:tcPr>
          <w:p w14:paraId="1A8A0799">
            <w:pPr>
              <w:jc w:val="left"/>
              <w:rPr>
                <w:rFonts w:hint="default" w:ascii="宋体" w:hAnsi="宋体"/>
                <w:w w:val="90"/>
                <w:szCs w:val="21"/>
              </w:rPr>
            </w:pPr>
            <w:r>
              <w:rPr>
                <w:rFonts w:ascii="宋体" w:hAnsi="宋体"/>
                <w:w w:val="90"/>
                <w:szCs w:val="21"/>
              </w:rPr>
              <w:t>《转速可控型房间空气调节器能效限定值及能效等级》（GB 21455-2013），待2019年修订发布后，按《房间空气调节器能效限定值及能效等级》（GB21455-2019）实施。</w:t>
            </w:r>
          </w:p>
        </w:tc>
      </w:tr>
      <w:tr w14:paraId="2E9AD4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9627CA1">
            <w:pPr>
              <w:jc w:val="center"/>
              <w:rPr>
                <w:rFonts w:hint="default" w:ascii="宋体" w:hAnsi="宋体"/>
                <w:w w:val="90"/>
                <w:szCs w:val="21"/>
              </w:rPr>
            </w:pPr>
          </w:p>
        </w:tc>
        <w:tc>
          <w:tcPr>
            <w:tcW w:w="1933" w:type="dxa"/>
            <w:vMerge w:val="continue"/>
            <w:vAlign w:val="center"/>
          </w:tcPr>
          <w:p w14:paraId="2E083EE8">
            <w:pPr>
              <w:jc w:val="left"/>
              <w:rPr>
                <w:rFonts w:hint="default" w:ascii="宋体" w:hAnsi="宋体"/>
                <w:w w:val="90"/>
                <w:szCs w:val="21"/>
              </w:rPr>
            </w:pPr>
          </w:p>
        </w:tc>
        <w:tc>
          <w:tcPr>
            <w:tcW w:w="2334" w:type="dxa"/>
            <w:vMerge w:val="continue"/>
            <w:vAlign w:val="center"/>
          </w:tcPr>
          <w:p w14:paraId="0E15116F">
            <w:pPr>
              <w:jc w:val="left"/>
              <w:rPr>
                <w:rFonts w:hint="default" w:ascii="宋体" w:hAnsi="宋体"/>
                <w:b/>
                <w:w w:val="90"/>
                <w:szCs w:val="21"/>
              </w:rPr>
            </w:pPr>
          </w:p>
        </w:tc>
        <w:tc>
          <w:tcPr>
            <w:tcW w:w="1682" w:type="dxa"/>
            <w:vAlign w:val="center"/>
          </w:tcPr>
          <w:p w14:paraId="0FD3082A">
            <w:pPr>
              <w:jc w:val="left"/>
              <w:rPr>
                <w:rFonts w:hint="default" w:ascii="宋体" w:hAnsi="宋体"/>
                <w:b/>
                <w:w w:val="90"/>
                <w:szCs w:val="21"/>
              </w:rPr>
            </w:pPr>
            <w:r>
              <w:rPr>
                <w:rFonts w:ascii="宋体" w:hAnsi="宋体"/>
                <w:b/>
                <w:w w:val="90"/>
                <w:szCs w:val="21"/>
              </w:rPr>
              <w:t>多联式空调（热泵）机组（制冷量≤ 14000W）</w:t>
            </w:r>
          </w:p>
        </w:tc>
        <w:tc>
          <w:tcPr>
            <w:tcW w:w="3301" w:type="dxa"/>
            <w:vAlign w:val="center"/>
          </w:tcPr>
          <w:p w14:paraId="2A9F3563">
            <w:pPr>
              <w:jc w:val="left"/>
              <w:rPr>
                <w:rFonts w:hint="default" w:ascii="宋体" w:hAnsi="宋体"/>
                <w:w w:val="90"/>
                <w:szCs w:val="21"/>
              </w:rPr>
            </w:pPr>
            <w:r>
              <w:rPr>
                <w:rFonts w:ascii="宋体" w:hAnsi="宋体"/>
                <w:w w:val="90"/>
                <w:szCs w:val="21"/>
              </w:rPr>
              <w:t>《多联式空调（热泵）机组能效限定值及能源效率等级》（GB 21454）</w:t>
            </w:r>
          </w:p>
        </w:tc>
      </w:tr>
      <w:tr w14:paraId="1DBEE84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4845EF6">
            <w:pPr>
              <w:jc w:val="center"/>
              <w:rPr>
                <w:rFonts w:hint="default" w:ascii="宋体" w:hAnsi="宋体"/>
                <w:w w:val="90"/>
                <w:szCs w:val="21"/>
              </w:rPr>
            </w:pPr>
          </w:p>
        </w:tc>
        <w:tc>
          <w:tcPr>
            <w:tcW w:w="1933" w:type="dxa"/>
            <w:vMerge w:val="continue"/>
            <w:vAlign w:val="center"/>
          </w:tcPr>
          <w:p w14:paraId="387E0A8B">
            <w:pPr>
              <w:jc w:val="left"/>
              <w:rPr>
                <w:rFonts w:hint="default" w:ascii="宋体" w:hAnsi="宋体"/>
                <w:w w:val="90"/>
                <w:szCs w:val="21"/>
              </w:rPr>
            </w:pPr>
          </w:p>
        </w:tc>
        <w:tc>
          <w:tcPr>
            <w:tcW w:w="2334" w:type="dxa"/>
            <w:vMerge w:val="continue"/>
            <w:vAlign w:val="center"/>
          </w:tcPr>
          <w:p w14:paraId="662AC800">
            <w:pPr>
              <w:jc w:val="left"/>
              <w:rPr>
                <w:rFonts w:hint="default" w:ascii="宋体" w:hAnsi="宋体"/>
                <w:b/>
                <w:w w:val="90"/>
                <w:szCs w:val="21"/>
              </w:rPr>
            </w:pPr>
          </w:p>
        </w:tc>
        <w:tc>
          <w:tcPr>
            <w:tcW w:w="1682" w:type="dxa"/>
            <w:vAlign w:val="center"/>
          </w:tcPr>
          <w:p w14:paraId="03EC5FF5">
            <w:pPr>
              <w:jc w:val="left"/>
              <w:rPr>
                <w:rFonts w:hint="default" w:ascii="宋体" w:hAnsi="宋体"/>
                <w:b/>
                <w:w w:val="90"/>
                <w:szCs w:val="21"/>
              </w:rPr>
            </w:pPr>
            <w:r>
              <w:rPr>
                <w:rFonts w:ascii="宋体" w:hAnsi="宋体"/>
                <w:b/>
                <w:w w:val="90"/>
                <w:szCs w:val="21"/>
              </w:rPr>
              <w:t>单元式空气调节机(制冷量≤14000W)</w:t>
            </w:r>
          </w:p>
        </w:tc>
        <w:tc>
          <w:tcPr>
            <w:tcW w:w="3301" w:type="dxa"/>
            <w:vAlign w:val="center"/>
          </w:tcPr>
          <w:p w14:paraId="02E92E0C">
            <w:pPr>
              <w:jc w:val="left"/>
              <w:rPr>
                <w:rFonts w:hint="default" w:ascii="宋体" w:hAnsi="宋体"/>
                <w:w w:val="90"/>
                <w:szCs w:val="21"/>
              </w:rPr>
            </w:pPr>
            <w:r>
              <w:rPr>
                <w:rFonts w:ascii="宋体" w:hAnsi="宋体"/>
                <w:w w:val="90"/>
                <w:szCs w:val="21"/>
              </w:rPr>
              <w:t>《单元式空气调节机能效限定值及能源效率等级》（GB 19576）《风管送风式空调机组能效限定值及能效等级》（GB 37479）</w:t>
            </w:r>
          </w:p>
        </w:tc>
      </w:tr>
      <w:tr w14:paraId="33D3489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A48BC7D">
            <w:pPr>
              <w:jc w:val="center"/>
              <w:rPr>
                <w:rFonts w:hint="default" w:ascii="宋体" w:hAnsi="宋体"/>
                <w:w w:val="90"/>
                <w:szCs w:val="21"/>
              </w:rPr>
            </w:pPr>
          </w:p>
        </w:tc>
        <w:tc>
          <w:tcPr>
            <w:tcW w:w="1933" w:type="dxa"/>
            <w:vMerge w:val="continue"/>
            <w:vAlign w:val="center"/>
          </w:tcPr>
          <w:p w14:paraId="1E797C77">
            <w:pPr>
              <w:jc w:val="left"/>
              <w:rPr>
                <w:rFonts w:hint="default" w:ascii="宋体" w:hAnsi="宋体"/>
                <w:w w:val="90"/>
                <w:szCs w:val="21"/>
              </w:rPr>
            </w:pPr>
          </w:p>
        </w:tc>
        <w:tc>
          <w:tcPr>
            <w:tcW w:w="2334" w:type="dxa"/>
            <w:vAlign w:val="center"/>
          </w:tcPr>
          <w:p w14:paraId="01E3F240">
            <w:pPr>
              <w:jc w:val="left"/>
              <w:rPr>
                <w:rFonts w:hint="default" w:ascii="宋体" w:hAnsi="宋体"/>
                <w:w w:val="90"/>
                <w:szCs w:val="21"/>
              </w:rPr>
            </w:pPr>
            <w:r>
              <w:rPr>
                <w:rFonts w:ascii="宋体" w:hAnsi="宋体"/>
                <w:w w:val="90"/>
                <w:szCs w:val="21"/>
              </w:rPr>
              <w:t>A0206180301洗衣机</w:t>
            </w:r>
          </w:p>
        </w:tc>
        <w:tc>
          <w:tcPr>
            <w:tcW w:w="1682" w:type="dxa"/>
            <w:vAlign w:val="center"/>
          </w:tcPr>
          <w:p w14:paraId="7769E542">
            <w:pPr>
              <w:jc w:val="left"/>
              <w:rPr>
                <w:rFonts w:hint="default" w:ascii="宋体" w:hAnsi="宋体"/>
                <w:w w:val="90"/>
                <w:szCs w:val="21"/>
              </w:rPr>
            </w:pPr>
          </w:p>
        </w:tc>
        <w:tc>
          <w:tcPr>
            <w:tcW w:w="3301" w:type="dxa"/>
            <w:vAlign w:val="center"/>
          </w:tcPr>
          <w:p w14:paraId="5D0B7FAA">
            <w:pPr>
              <w:jc w:val="left"/>
              <w:rPr>
                <w:rFonts w:hint="default" w:ascii="宋体" w:hAnsi="宋体"/>
                <w:w w:val="90"/>
                <w:szCs w:val="21"/>
              </w:rPr>
            </w:pPr>
            <w:r>
              <w:rPr>
                <w:rFonts w:ascii="宋体" w:hAnsi="宋体"/>
                <w:w w:val="90"/>
                <w:szCs w:val="21"/>
              </w:rPr>
              <w:t>《电动洗衣机能效水效限定值及等级》（GB 12021.4）</w:t>
            </w:r>
          </w:p>
        </w:tc>
      </w:tr>
      <w:tr w14:paraId="590F958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E42B497">
            <w:pPr>
              <w:jc w:val="center"/>
              <w:rPr>
                <w:rFonts w:hint="default" w:ascii="宋体" w:hAnsi="宋体"/>
                <w:w w:val="90"/>
                <w:szCs w:val="21"/>
              </w:rPr>
            </w:pPr>
          </w:p>
        </w:tc>
        <w:tc>
          <w:tcPr>
            <w:tcW w:w="1933" w:type="dxa"/>
            <w:vMerge w:val="continue"/>
            <w:vAlign w:val="center"/>
          </w:tcPr>
          <w:p w14:paraId="5AB09974">
            <w:pPr>
              <w:jc w:val="left"/>
              <w:rPr>
                <w:rFonts w:hint="default" w:ascii="宋体" w:hAnsi="宋体"/>
                <w:w w:val="90"/>
                <w:szCs w:val="21"/>
              </w:rPr>
            </w:pPr>
          </w:p>
        </w:tc>
        <w:tc>
          <w:tcPr>
            <w:tcW w:w="2334" w:type="dxa"/>
            <w:vMerge w:val="restart"/>
            <w:vAlign w:val="center"/>
          </w:tcPr>
          <w:p w14:paraId="47257554">
            <w:pPr>
              <w:jc w:val="left"/>
              <w:rPr>
                <w:rFonts w:hint="default" w:ascii="宋体" w:hAnsi="宋体"/>
                <w:w w:val="90"/>
                <w:szCs w:val="21"/>
              </w:rPr>
            </w:pPr>
            <w:r>
              <w:rPr>
                <w:rFonts w:ascii="宋体" w:hAnsi="宋体"/>
                <w:w w:val="90"/>
                <w:szCs w:val="21"/>
              </w:rPr>
              <w:t>A02061808热水器</w:t>
            </w:r>
          </w:p>
        </w:tc>
        <w:tc>
          <w:tcPr>
            <w:tcW w:w="1682" w:type="dxa"/>
            <w:vAlign w:val="center"/>
          </w:tcPr>
          <w:p w14:paraId="156ACBC9">
            <w:pPr>
              <w:jc w:val="left"/>
              <w:rPr>
                <w:rFonts w:hint="default" w:ascii="宋体" w:hAnsi="宋体"/>
                <w:w w:val="90"/>
                <w:szCs w:val="21"/>
              </w:rPr>
            </w:pPr>
            <w:r>
              <w:rPr>
                <w:rFonts w:ascii="宋体" w:hAnsi="宋体" w:cs="宋体"/>
                <w:w w:val="90"/>
                <w:szCs w:val="21"/>
              </w:rPr>
              <w:t>★</w:t>
            </w:r>
            <w:r>
              <w:rPr>
                <w:rFonts w:ascii="宋体" w:hAnsi="宋体"/>
                <w:b/>
                <w:w w:val="90"/>
                <w:szCs w:val="21"/>
              </w:rPr>
              <w:t>电热水器</w:t>
            </w:r>
          </w:p>
        </w:tc>
        <w:tc>
          <w:tcPr>
            <w:tcW w:w="3301" w:type="dxa"/>
            <w:vAlign w:val="center"/>
          </w:tcPr>
          <w:p w14:paraId="0A57EF54">
            <w:pPr>
              <w:jc w:val="left"/>
              <w:rPr>
                <w:rFonts w:hint="default" w:ascii="宋体" w:hAnsi="宋体"/>
                <w:w w:val="90"/>
                <w:szCs w:val="21"/>
              </w:rPr>
            </w:pPr>
            <w:r>
              <w:rPr>
                <w:rFonts w:ascii="宋体" w:hAnsi="宋体"/>
                <w:w w:val="90"/>
                <w:szCs w:val="21"/>
              </w:rPr>
              <w:t>《储水式电热水器能效限定值及能效等级》（GB 21519）</w:t>
            </w:r>
          </w:p>
        </w:tc>
      </w:tr>
      <w:tr w14:paraId="7BCBCE7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ED5A314">
            <w:pPr>
              <w:jc w:val="center"/>
              <w:rPr>
                <w:rFonts w:hint="default" w:ascii="宋体" w:hAnsi="宋体"/>
                <w:w w:val="90"/>
                <w:szCs w:val="21"/>
              </w:rPr>
            </w:pPr>
          </w:p>
        </w:tc>
        <w:tc>
          <w:tcPr>
            <w:tcW w:w="1933" w:type="dxa"/>
            <w:vMerge w:val="continue"/>
            <w:vAlign w:val="center"/>
          </w:tcPr>
          <w:p w14:paraId="1A95AF7B">
            <w:pPr>
              <w:jc w:val="left"/>
              <w:rPr>
                <w:rFonts w:hint="default" w:ascii="宋体" w:hAnsi="宋体"/>
                <w:w w:val="90"/>
                <w:szCs w:val="21"/>
              </w:rPr>
            </w:pPr>
          </w:p>
        </w:tc>
        <w:tc>
          <w:tcPr>
            <w:tcW w:w="2334" w:type="dxa"/>
            <w:vMerge w:val="continue"/>
            <w:vAlign w:val="center"/>
          </w:tcPr>
          <w:p w14:paraId="34ABF4EB">
            <w:pPr>
              <w:jc w:val="left"/>
              <w:rPr>
                <w:rFonts w:hint="default" w:ascii="宋体" w:hAnsi="宋体"/>
                <w:w w:val="90"/>
                <w:szCs w:val="21"/>
              </w:rPr>
            </w:pPr>
          </w:p>
        </w:tc>
        <w:tc>
          <w:tcPr>
            <w:tcW w:w="1682" w:type="dxa"/>
            <w:vAlign w:val="center"/>
          </w:tcPr>
          <w:p w14:paraId="11963009">
            <w:pPr>
              <w:jc w:val="left"/>
              <w:rPr>
                <w:rFonts w:hint="default" w:ascii="宋体" w:hAnsi="宋体"/>
                <w:w w:val="90"/>
                <w:szCs w:val="21"/>
              </w:rPr>
            </w:pPr>
            <w:r>
              <w:rPr>
                <w:rFonts w:ascii="宋体" w:hAnsi="宋体"/>
                <w:w w:val="90"/>
                <w:szCs w:val="21"/>
              </w:rPr>
              <w:t>燃气热水器</w:t>
            </w:r>
          </w:p>
        </w:tc>
        <w:tc>
          <w:tcPr>
            <w:tcW w:w="3301" w:type="dxa"/>
            <w:vAlign w:val="center"/>
          </w:tcPr>
          <w:p w14:paraId="0A9B81F0">
            <w:pPr>
              <w:jc w:val="left"/>
              <w:rPr>
                <w:rFonts w:hint="default" w:ascii="宋体" w:hAnsi="宋体"/>
                <w:w w:val="90"/>
                <w:szCs w:val="21"/>
              </w:rPr>
            </w:pPr>
            <w:r>
              <w:rPr>
                <w:rFonts w:ascii="宋体" w:hAnsi="宋体"/>
                <w:w w:val="90"/>
                <w:szCs w:val="21"/>
              </w:rPr>
              <w:t>《家用燃气快速热水器和燃气采暖热水炉能效限定值及能效等级（GB 20665）</w:t>
            </w:r>
          </w:p>
        </w:tc>
      </w:tr>
      <w:tr w14:paraId="14693C4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225D991">
            <w:pPr>
              <w:jc w:val="center"/>
              <w:rPr>
                <w:rFonts w:hint="default" w:ascii="宋体" w:hAnsi="宋体"/>
                <w:w w:val="90"/>
                <w:szCs w:val="21"/>
              </w:rPr>
            </w:pPr>
          </w:p>
        </w:tc>
        <w:tc>
          <w:tcPr>
            <w:tcW w:w="1933" w:type="dxa"/>
            <w:vMerge w:val="continue"/>
            <w:vAlign w:val="center"/>
          </w:tcPr>
          <w:p w14:paraId="14B63839">
            <w:pPr>
              <w:jc w:val="left"/>
              <w:rPr>
                <w:rFonts w:hint="default" w:ascii="宋体" w:hAnsi="宋体"/>
                <w:w w:val="90"/>
                <w:szCs w:val="21"/>
              </w:rPr>
            </w:pPr>
          </w:p>
        </w:tc>
        <w:tc>
          <w:tcPr>
            <w:tcW w:w="2334" w:type="dxa"/>
            <w:vMerge w:val="continue"/>
            <w:vAlign w:val="center"/>
          </w:tcPr>
          <w:p w14:paraId="3D2877E4">
            <w:pPr>
              <w:jc w:val="left"/>
              <w:rPr>
                <w:rFonts w:hint="default" w:ascii="宋体" w:hAnsi="宋体"/>
                <w:w w:val="90"/>
                <w:szCs w:val="21"/>
              </w:rPr>
            </w:pPr>
          </w:p>
        </w:tc>
        <w:tc>
          <w:tcPr>
            <w:tcW w:w="1682" w:type="dxa"/>
            <w:vAlign w:val="center"/>
          </w:tcPr>
          <w:p w14:paraId="3172D621">
            <w:pPr>
              <w:jc w:val="left"/>
              <w:rPr>
                <w:rFonts w:hint="default" w:ascii="宋体" w:hAnsi="宋体"/>
                <w:w w:val="90"/>
                <w:szCs w:val="21"/>
              </w:rPr>
            </w:pPr>
            <w:r>
              <w:rPr>
                <w:rFonts w:ascii="宋体" w:hAnsi="宋体"/>
                <w:w w:val="90"/>
                <w:szCs w:val="21"/>
              </w:rPr>
              <w:t>热泵热水器</w:t>
            </w:r>
          </w:p>
        </w:tc>
        <w:tc>
          <w:tcPr>
            <w:tcW w:w="3301" w:type="dxa"/>
            <w:vAlign w:val="center"/>
          </w:tcPr>
          <w:p w14:paraId="04A8F5BB">
            <w:pPr>
              <w:jc w:val="left"/>
              <w:rPr>
                <w:rFonts w:hint="default" w:ascii="宋体" w:hAnsi="宋体"/>
                <w:w w:val="90"/>
                <w:szCs w:val="21"/>
              </w:rPr>
            </w:pPr>
            <w:r>
              <w:rPr>
                <w:rFonts w:ascii="宋体" w:hAnsi="宋体"/>
                <w:w w:val="90"/>
                <w:szCs w:val="21"/>
              </w:rPr>
              <w:t>《热泵热水机（器）能效限定值及能效等级》（GB 29541）</w:t>
            </w:r>
          </w:p>
        </w:tc>
      </w:tr>
      <w:tr w14:paraId="206FA8D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1392F75">
            <w:pPr>
              <w:jc w:val="center"/>
              <w:rPr>
                <w:rFonts w:hint="default" w:ascii="宋体" w:hAnsi="宋体"/>
                <w:w w:val="90"/>
                <w:szCs w:val="21"/>
              </w:rPr>
            </w:pPr>
          </w:p>
        </w:tc>
        <w:tc>
          <w:tcPr>
            <w:tcW w:w="1933" w:type="dxa"/>
            <w:vMerge w:val="continue"/>
            <w:vAlign w:val="center"/>
          </w:tcPr>
          <w:p w14:paraId="2145206F">
            <w:pPr>
              <w:jc w:val="left"/>
              <w:rPr>
                <w:rFonts w:hint="default" w:ascii="宋体" w:hAnsi="宋体"/>
                <w:w w:val="90"/>
                <w:szCs w:val="21"/>
              </w:rPr>
            </w:pPr>
          </w:p>
        </w:tc>
        <w:tc>
          <w:tcPr>
            <w:tcW w:w="2334" w:type="dxa"/>
            <w:vMerge w:val="continue"/>
            <w:vAlign w:val="center"/>
          </w:tcPr>
          <w:p w14:paraId="7448132B">
            <w:pPr>
              <w:jc w:val="left"/>
              <w:rPr>
                <w:rFonts w:hint="default" w:ascii="宋体" w:hAnsi="宋体"/>
                <w:w w:val="90"/>
                <w:szCs w:val="21"/>
              </w:rPr>
            </w:pPr>
          </w:p>
        </w:tc>
        <w:tc>
          <w:tcPr>
            <w:tcW w:w="1682" w:type="dxa"/>
            <w:vAlign w:val="center"/>
          </w:tcPr>
          <w:p w14:paraId="0B7DE488">
            <w:pPr>
              <w:jc w:val="left"/>
              <w:rPr>
                <w:rFonts w:hint="default" w:ascii="宋体" w:hAnsi="宋体"/>
                <w:w w:val="90"/>
                <w:szCs w:val="21"/>
              </w:rPr>
            </w:pPr>
            <w:r>
              <w:rPr>
                <w:rFonts w:ascii="宋体" w:hAnsi="宋体"/>
                <w:w w:val="90"/>
                <w:szCs w:val="21"/>
              </w:rPr>
              <w:t>太阳能热水系统</w:t>
            </w:r>
          </w:p>
        </w:tc>
        <w:tc>
          <w:tcPr>
            <w:tcW w:w="3301" w:type="dxa"/>
            <w:vAlign w:val="center"/>
          </w:tcPr>
          <w:p w14:paraId="4AACE8D0">
            <w:pPr>
              <w:jc w:val="left"/>
              <w:rPr>
                <w:rFonts w:hint="default" w:ascii="宋体" w:hAnsi="宋体"/>
                <w:w w:val="90"/>
                <w:szCs w:val="21"/>
              </w:rPr>
            </w:pPr>
            <w:r>
              <w:rPr>
                <w:rFonts w:ascii="宋体" w:hAnsi="宋体"/>
                <w:w w:val="90"/>
                <w:szCs w:val="21"/>
              </w:rPr>
              <w:t>《家用太阳能热水系统能效限定值及能效等级》（GB 26969）</w:t>
            </w:r>
          </w:p>
        </w:tc>
      </w:tr>
      <w:tr w14:paraId="0A181EB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18FEB148">
            <w:pPr>
              <w:jc w:val="center"/>
              <w:rPr>
                <w:rFonts w:hint="default" w:ascii="宋体" w:hAnsi="宋体"/>
                <w:w w:val="90"/>
                <w:szCs w:val="21"/>
              </w:rPr>
            </w:pPr>
            <w:r>
              <w:rPr>
                <w:rFonts w:ascii="宋体" w:hAnsi="宋体"/>
                <w:w w:val="90"/>
                <w:szCs w:val="21"/>
              </w:rPr>
              <w:t>11</w:t>
            </w:r>
          </w:p>
        </w:tc>
        <w:tc>
          <w:tcPr>
            <w:tcW w:w="1933" w:type="dxa"/>
            <w:vMerge w:val="restart"/>
            <w:vAlign w:val="center"/>
          </w:tcPr>
          <w:p w14:paraId="4D365278">
            <w:pPr>
              <w:jc w:val="left"/>
              <w:rPr>
                <w:rFonts w:hint="default" w:ascii="宋体" w:hAnsi="宋体"/>
                <w:w w:val="90"/>
                <w:szCs w:val="21"/>
              </w:rPr>
            </w:pPr>
            <w:r>
              <w:rPr>
                <w:rFonts w:ascii="宋体" w:hAnsi="宋体"/>
                <w:w w:val="90"/>
                <w:szCs w:val="21"/>
              </w:rPr>
              <w:t>A020619 照明设备</w:t>
            </w:r>
          </w:p>
        </w:tc>
        <w:tc>
          <w:tcPr>
            <w:tcW w:w="2334" w:type="dxa"/>
            <w:vAlign w:val="center"/>
          </w:tcPr>
          <w:p w14:paraId="18E7FB7B">
            <w:pPr>
              <w:jc w:val="left"/>
              <w:rPr>
                <w:rFonts w:hint="default" w:ascii="宋体" w:hAnsi="宋体"/>
                <w:b/>
                <w:w w:val="90"/>
                <w:szCs w:val="21"/>
              </w:rPr>
            </w:pPr>
            <w:r>
              <w:rPr>
                <w:rFonts w:ascii="宋体" w:hAnsi="宋体" w:cs="宋体"/>
                <w:w w:val="90"/>
                <w:szCs w:val="21"/>
              </w:rPr>
              <w:t>★</w:t>
            </w:r>
            <w:r>
              <w:rPr>
                <w:rFonts w:ascii="宋体" w:hAnsi="宋体"/>
                <w:b/>
                <w:w w:val="90"/>
                <w:szCs w:val="21"/>
              </w:rPr>
              <w:t>普通照明用双端荧光灯</w:t>
            </w:r>
          </w:p>
        </w:tc>
        <w:tc>
          <w:tcPr>
            <w:tcW w:w="1682" w:type="dxa"/>
            <w:vAlign w:val="center"/>
          </w:tcPr>
          <w:p w14:paraId="545F69F8">
            <w:pPr>
              <w:jc w:val="center"/>
              <w:rPr>
                <w:rFonts w:hint="default" w:ascii="宋体" w:hAnsi="宋体"/>
                <w:w w:val="90"/>
                <w:szCs w:val="21"/>
              </w:rPr>
            </w:pPr>
          </w:p>
        </w:tc>
        <w:tc>
          <w:tcPr>
            <w:tcW w:w="3301" w:type="dxa"/>
            <w:vAlign w:val="center"/>
          </w:tcPr>
          <w:p w14:paraId="30E1A203">
            <w:pPr>
              <w:jc w:val="left"/>
              <w:rPr>
                <w:rFonts w:hint="default" w:ascii="宋体" w:hAnsi="宋体"/>
                <w:w w:val="90"/>
                <w:szCs w:val="21"/>
              </w:rPr>
            </w:pPr>
            <w:r>
              <w:rPr>
                <w:rFonts w:ascii="宋体" w:hAnsi="宋体"/>
                <w:w w:val="90"/>
                <w:szCs w:val="21"/>
              </w:rPr>
              <w:t>《普通照明用双端荧光灯能效限定值及能效等级》（GB 19043）</w:t>
            </w:r>
          </w:p>
        </w:tc>
      </w:tr>
      <w:tr w14:paraId="6E712F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FC08704">
            <w:pPr>
              <w:jc w:val="center"/>
              <w:rPr>
                <w:rFonts w:hint="default" w:ascii="宋体" w:hAnsi="宋体"/>
                <w:w w:val="90"/>
                <w:szCs w:val="21"/>
              </w:rPr>
            </w:pPr>
          </w:p>
        </w:tc>
        <w:tc>
          <w:tcPr>
            <w:tcW w:w="1933" w:type="dxa"/>
            <w:vMerge w:val="continue"/>
            <w:vAlign w:val="center"/>
          </w:tcPr>
          <w:p w14:paraId="49B653B5">
            <w:pPr>
              <w:jc w:val="left"/>
              <w:rPr>
                <w:rFonts w:hint="default" w:ascii="宋体" w:hAnsi="宋体"/>
                <w:w w:val="90"/>
                <w:szCs w:val="21"/>
              </w:rPr>
            </w:pPr>
          </w:p>
        </w:tc>
        <w:tc>
          <w:tcPr>
            <w:tcW w:w="2334" w:type="dxa"/>
            <w:vAlign w:val="center"/>
          </w:tcPr>
          <w:p w14:paraId="48F4643B">
            <w:pPr>
              <w:jc w:val="left"/>
              <w:rPr>
                <w:rFonts w:hint="default" w:ascii="宋体" w:hAnsi="宋体"/>
                <w:w w:val="90"/>
                <w:szCs w:val="21"/>
              </w:rPr>
            </w:pPr>
            <w:r>
              <w:rPr>
                <w:rFonts w:ascii="宋体" w:hAnsi="宋体"/>
                <w:w w:val="90"/>
                <w:szCs w:val="21"/>
              </w:rPr>
              <w:t>LED道路/隧道照明产品</w:t>
            </w:r>
          </w:p>
        </w:tc>
        <w:tc>
          <w:tcPr>
            <w:tcW w:w="1682" w:type="dxa"/>
            <w:vAlign w:val="center"/>
          </w:tcPr>
          <w:p w14:paraId="03B11B61">
            <w:pPr>
              <w:jc w:val="center"/>
              <w:rPr>
                <w:rFonts w:hint="default" w:ascii="宋体" w:hAnsi="宋体"/>
                <w:w w:val="90"/>
                <w:szCs w:val="21"/>
              </w:rPr>
            </w:pPr>
          </w:p>
        </w:tc>
        <w:tc>
          <w:tcPr>
            <w:tcW w:w="3301" w:type="dxa"/>
            <w:vAlign w:val="center"/>
          </w:tcPr>
          <w:p w14:paraId="427ED8BF">
            <w:pPr>
              <w:jc w:val="left"/>
              <w:rPr>
                <w:rFonts w:hint="default" w:ascii="宋体" w:hAnsi="宋体"/>
                <w:w w:val="90"/>
                <w:szCs w:val="21"/>
              </w:rPr>
            </w:pPr>
            <w:r>
              <w:rPr>
                <w:rFonts w:ascii="宋体" w:hAnsi="宋体"/>
                <w:w w:val="90"/>
                <w:szCs w:val="21"/>
              </w:rPr>
              <w:t>《道路和隧道照明用LED灯具能效限定值及能效等级》（GB 37478）</w:t>
            </w:r>
          </w:p>
        </w:tc>
      </w:tr>
      <w:tr w14:paraId="6324D7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4E6AC16">
            <w:pPr>
              <w:jc w:val="center"/>
              <w:rPr>
                <w:rFonts w:hint="default" w:ascii="宋体" w:hAnsi="宋体"/>
                <w:w w:val="90"/>
                <w:szCs w:val="21"/>
              </w:rPr>
            </w:pPr>
          </w:p>
        </w:tc>
        <w:tc>
          <w:tcPr>
            <w:tcW w:w="1933" w:type="dxa"/>
            <w:vMerge w:val="continue"/>
            <w:vAlign w:val="center"/>
          </w:tcPr>
          <w:p w14:paraId="1277B4FC">
            <w:pPr>
              <w:jc w:val="left"/>
              <w:rPr>
                <w:rFonts w:hint="default" w:ascii="宋体" w:hAnsi="宋体"/>
                <w:w w:val="90"/>
                <w:szCs w:val="21"/>
              </w:rPr>
            </w:pPr>
          </w:p>
        </w:tc>
        <w:tc>
          <w:tcPr>
            <w:tcW w:w="2334" w:type="dxa"/>
            <w:vAlign w:val="center"/>
          </w:tcPr>
          <w:p w14:paraId="42ECC585">
            <w:pPr>
              <w:jc w:val="left"/>
              <w:rPr>
                <w:rFonts w:hint="default" w:ascii="宋体" w:hAnsi="宋体"/>
                <w:w w:val="90"/>
                <w:szCs w:val="21"/>
              </w:rPr>
            </w:pPr>
            <w:r>
              <w:rPr>
                <w:rFonts w:ascii="宋体" w:hAnsi="宋体"/>
                <w:w w:val="90"/>
                <w:szCs w:val="21"/>
              </w:rPr>
              <w:t>LED筒灯</w:t>
            </w:r>
          </w:p>
        </w:tc>
        <w:tc>
          <w:tcPr>
            <w:tcW w:w="1682" w:type="dxa"/>
            <w:vAlign w:val="center"/>
          </w:tcPr>
          <w:p w14:paraId="4F718DD4">
            <w:pPr>
              <w:jc w:val="center"/>
              <w:rPr>
                <w:rFonts w:hint="default" w:ascii="宋体" w:hAnsi="宋体"/>
                <w:w w:val="90"/>
                <w:szCs w:val="21"/>
              </w:rPr>
            </w:pPr>
          </w:p>
        </w:tc>
        <w:tc>
          <w:tcPr>
            <w:tcW w:w="3301" w:type="dxa"/>
            <w:vAlign w:val="center"/>
          </w:tcPr>
          <w:p w14:paraId="3826A86E">
            <w:pPr>
              <w:jc w:val="left"/>
              <w:rPr>
                <w:rFonts w:hint="default" w:ascii="宋体" w:hAnsi="宋体"/>
                <w:w w:val="90"/>
                <w:szCs w:val="21"/>
              </w:rPr>
            </w:pPr>
            <w:r>
              <w:rPr>
                <w:rFonts w:ascii="宋体" w:hAnsi="宋体"/>
                <w:w w:val="90"/>
                <w:szCs w:val="21"/>
              </w:rPr>
              <w:t>《室内照明用LED产品能效限定值及能效等级》（GB 30255）</w:t>
            </w:r>
          </w:p>
        </w:tc>
      </w:tr>
      <w:tr w14:paraId="07AC2C0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4FB959D">
            <w:pPr>
              <w:jc w:val="center"/>
              <w:rPr>
                <w:rFonts w:hint="default" w:ascii="宋体" w:hAnsi="宋体"/>
                <w:w w:val="90"/>
                <w:szCs w:val="21"/>
              </w:rPr>
            </w:pPr>
          </w:p>
        </w:tc>
        <w:tc>
          <w:tcPr>
            <w:tcW w:w="1933" w:type="dxa"/>
            <w:vMerge w:val="continue"/>
            <w:vAlign w:val="center"/>
          </w:tcPr>
          <w:p w14:paraId="391FBC7C">
            <w:pPr>
              <w:jc w:val="left"/>
              <w:rPr>
                <w:rFonts w:hint="default" w:ascii="宋体" w:hAnsi="宋体"/>
                <w:w w:val="90"/>
                <w:szCs w:val="21"/>
              </w:rPr>
            </w:pPr>
          </w:p>
        </w:tc>
        <w:tc>
          <w:tcPr>
            <w:tcW w:w="2334" w:type="dxa"/>
            <w:vAlign w:val="center"/>
          </w:tcPr>
          <w:p w14:paraId="04BF9A1F">
            <w:pPr>
              <w:jc w:val="left"/>
              <w:rPr>
                <w:rFonts w:hint="default" w:ascii="宋体" w:hAnsi="宋体"/>
                <w:w w:val="90"/>
                <w:szCs w:val="21"/>
              </w:rPr>
            </w:pPr>
            <w:r>
              <w:rPr>
                <w:rFonts w:ascii="宋体" w:hAnsi="宋体"/>
                <w:w w:val="90"/>
                <w:szCs w:val="21"/>
              </w:rPr>
              <w:t>普通照明用非定向自镇流LED灯</w:t>
            </w:r>
          </w:p>
        </w:tc>
        <w:tc>
          <w:tcPr>
            <w:tcW w:w="1682" w:type="dxa"/>
            <w:vAlign w:val="center"/>
          </w:tcPr>
          <w:p w14:paraId="367790F0">
            <w:pPr>
              <w:jc w:val="center"/>
              <w:rPr>
                <w:rFonts w:hint="default" w:ascii="宋体" w:hAnsi="宋体"/>
                <w:w w:val="90"/>
                <w:szCs w:val="21"/>
              </w:rPr>
            </w:pPr>
          </w:p>
        </w:tc>
        <w:tc>
          <w:tcPr>
            <w:tcW w:w="3301" w:type="dxa"/>
            <w:vAlign w:val="center"/>
          </w:tcPr>
          <w:p w14:paraId="1BCDF2D7">
            <w:pPr>
              <w:jc w:val="left"/>
              <w:rPr>
                <w:rFonts w:hint="default" w:ascii="宋体" w:hAnsi="宋体"/>
                <w:w w:val="90"/>
                <w:szCs w:val="21"/>
              </w:rPr>
            </w:pPr>
            <w:r>
              <w:rPr>
                <w:rFonts w:ascii="宋体" w:hAnsi="宋体"/>
                <w:w w:val="90"/>
                <w:szCs w:val="21"/>
              </w:rPr>
              <w:t>《室内照明用LED产品能效限定值及能效等级》（GB 30255）</w:t>
            </w:r>
          </w:p>
        </w:tc>
      </w:tr>
      <w:tr w14:paraId="382E895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C86205F">
            <w:pPr>
              <w:jc w:val="center"/>
              <w:rPr>
                <w:rFonts w:hint="default" w:ascii="宋体" w:hAnsi="宋体"/>
                <w:w w:val="90"/>
                <w:szCs w:val="21"/>
              </w:rPr>
            </w:pPr>
            <w:r>
              <w:rPr>
                <w:rFonts w:ascii="宋体" w:hAnsi="宋体"/>
                <w:w w:val="90"/>
                <w:szCs w:val="21"/>
              </w:rPr>
              <w:t>12</w:t>
            </w:r>
          </w:p>
        </w:tc>
        <w:tc>
          <w:tcPr>
            <w:tcW w:w="1933" w:type="dxa"/>
            <w:vAlign w:val="center"/>
          </w:tcPr>
          <w:p w14:paraId="4B9A8687">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A020910</w:t>
            </w:r>
            <w:r>
              <w:rPr>
                <w:rFonts w:ascii="宋体" w:hAnsi="宋体"/>
                <w:b/>
                <w:w w:val="90"/>
                <w:szCs w:val="21"/>
              </w:rPr>
              <w:t>电视设备</w:t>
            </w:r>
          </w:p>
        </w:tc>
        <w:tc>
          <w:tcPr>
            <w:tcW w:w="2334" w:type="dxa"/>
            <w:vAlign w:val="center"/>
          </w:tcPr>
          <w:p w14:paraId="187ED7E2">
            <w:pPr>
              <w:jc w:val="left"/>
              <w:rPr>
                <w:rFonts w:hint="default" w:ascii="宋体" w:hAnsi="宋体"/>
                <w:b/>
                <w:w w:val="90"/>
                <w:szCs w:val="21"/>
              </w:rPr>
            </w:pPr>
            <w:r>
              <w:rPr>
                <w:rFonts w:ascii="宋体" w:hAnsi="宋体"/>
                <w:b/>
                <w:w w:val="90"/>
                <w:szCs w:val="21"/>
              </w:rPr>
              <w:t>A02091001普通电视设备（电视机）</w:t>
            </w:r>
          </w:p>
        </w:tc>
        <w:tc>
          <w:tcPr>
            <w:tcW w:w="1682" w:type="dxa"/>
            <w:vAlign w:val="center"/>
          </w:tcPr>
          <w:p w14:paraId="0E6C69B3">
            <w:pPr>
              <w:jc w:val="center"/>
              <w:rPr>
                <w:rFonts w:hint="default" w:ascii="宋体" w:hAnsi="宋体"/>
                <w:w w:val="90"/>
                <w:szCs w:val="21"/>
              </w:rPr>
            </w:pPr>
          </w:p>
        </w:tc>
        <w:tc>
          <w:tcPr>
            <w:tcW w:w="3301" w:type="dxa"/>
            <w:vAlign w:val="center"/>
          </w:tcPr>
          <w:p w14:paraId="2B3A462E">
            <w:pPr>
              <w:jc w:val="left"/>
              <w:rPr>
                <w:rFonts w:hint="default" w:ascii="宋体" w:hAnsi="宋体"/>
                <w:w w:val="90"/>
                <w:szCs w:val="21"/>
              </w:rPr>
            </w:pPr>
            <w:r>
              <w:rPr>
                <w:rFonts w:ascii="宋体" w:hAnsi="宋体"/>
                <w:w w:val="90"/>
                <w:szCs w:val="21"/>
              </w:rPr>
              <w:t>《平板电视能效限定值及能效等级》（GB 24850）</w:t>
            </w:r>
          </w:p>
        </w:tc>
      </w:tr>
      <w:tr w14:paraId="7148080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3951B90">
            <w:pPr>
              <w:jc w:val="center"/>
              <w:rPr>
                <w:rFonts w:hint="default" w:ascii="宋体" w:hAnsi="宋体"/>
                <w:w w:val="90"/>
                <w:szCs w:val="21"/>
              </w:rPr>
            </w:pPr>
            <w:r>
              <w:rPr>
                <w:rFonts w:ascii="宋体" w:hAnsi="宋体"/>
                <w:w w:val="90"/>
                <w:szCs w:val="21"/>
              </w:rPr>
              <w:t>13</w:t>
            </w:r>
          </w:p>
        </w:tc>
        <w:tc>
          <w:tcPr>
            <w:tcW w:w="1933" w:type="dxa"/>
            <w:vAlign w:val="center"/>
          </w:tcPr>
          <w:p w14:paraId="10070898">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A020911</w:t>
            </w:r>
            <w:r>
              <w:rPr>
                <w:rFonts w:ascii="宋体" w:hAnsi="宋体"/>
                <w:b/>
                <w:w w:val="90"/>
                <w:szCs w:val="21"/>
              </w:rPr>
              <w:t>视频设备</w:t>
            </w:r>
          </w:p>
        </w:tc>
        <w:tc>
          <w:tcPr>
            <w:tcW w:w="2334" w:type="dxa"/>
            <w:vAlign w:val="center"/>
          </w:tcPr>
          <w:p w14:paraId="0B5B5157">
            <w:pPr>
              <w:jc w:val="left"/>
              <w:rPr>
                <w:rFonts w:hint="default" w:ascii="宋体" w:hAnsi="宋体"/>
                <w:b/>
                <w:w w:val="90"/>
                <w:szCs w:val="21"/>
              </w:rPr>
            </w:pPr>
            <w:r>
              <w:rPr>
                <w:rFonts w:ascii="宋体" w:hAnsi="宋体"/>
                <w:b/>
                <w:w w:val="90"/>
                <w:szCs w:val="21"/>
              </w:rPr>
              <w:t>A02091107视频监控设备</w:t>
            </w:r>
          </w:p>
        </w:tc>
        <w:tc>
          <w:tcPr>
            <w:tcW w:w="1682" w:type="dxa"/>
            <w:vAlign w:val="center"/>
          </w:tcPr>
          <w:p w14:paraId="3C2F990C">
            <w:pPr>
              <w:jc w:val="center"/>
              <w:rPr>
                <w:rFonts w:hint="default" w:ascii="宋体" w:hAnsi="宋体"/>
                <w:b/>
                <w:w w:val="90"/>
                <w:szCs w:val="21"/>
              </w:rPr>
            </w:pPr>
            <w:r>
              <w:rPr>
                <w:rFonts w:ascii="宋体" w:hAnsi="宋体"/>
                <w:b/>
                <w:w w:val="90"/>
                <w:szCs w:val="21"/>
              </w:rPr>
              <w:t>监视器</w:t>
            </w:r>
          </w:p>
        </w:tc>
        <w:tc>
          <w:tcPr>
            <w:tcW w:w="3301" w:type="dxa"/>
            <w:vAlign w:val="center"/>
          </w:tcPr>
          <w:p w14:paraId="225AE16A">
            <w:pPr>
              <w:jc w:val="left"/>
              <w:rPr>
                <w:rFonts w:hint="default" w:ascii="宋体" w:hAnsi="宋体"/>
                <w:w w:val="90"/>
                <w:szCs w:val="21"/>
              </w:rPr>
            </w:pPr>
            <w:r>
              <w:rPr>
                <w:rFonts w:ascii="宋体" w:hAnsi="宋体"/>
                <w:w w:val="90"/>
                <w:szCs w:val="21"/>
              </w:rPr>
              <w:t>以射频信号为主要信号输入的监视器应符合《平板电视能效限定值及能效等级》（GB 24850），以数字信号为主要信号输入的监视器应符合《计算机显示器能效限定值及能效等级》（GB 21520）</w:t>
            </w:r>
          </w:p>
        </w:tc>
      </w:tr>
      <w:tr w14:paraId="7CFBDE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FB9D5DC">
            <w:pPr>
              <w:jc w:val="center"/>
              <w:rPr>
                <w:rFonts w:hint="default" w:ascii="宋体" w:hAnsi="宋体"/>
                <w:w w:val="90"/>
                <w:szCs w:val="21"/>
              </w:rPr>
            </w:pPr>
            <w:r>
              <w:rPr>
                <w:rFonts w:ascii="宋体" w:hAnsi="宋体"/>
                <w:w w:val="90"/>
                <w:szCs w:val="21"/>
              </w:rPr>
              <w:t>14</w:t>
            </w:r>
          </w:p>
        </w:tc>
        <w:tc>
          <w:tcPr>
            <w:tcW w:w="1933" w:type="dxa"/>
            <w:vAlign w:val="center"/>
          </w:tcPr>
          <w:p w14:paraId="0655463F">
            <w:pPr>
              <w:jc w:val="left"/>
              <w:rPr>
                <w:rFonts w:hint="default" w:ascii="宋体" w:hAnsi="宋体"/>
                <w:w w:val="90"/>
                <w:szCs w:val="21"/>
              </w:rPr>
            </w:pPr>
            <w:r>
              <w:rPr>
                <w:rFonts w:ascii="宋体" w:hAnsi="宋体"/>
                <w:w w:val="90"/>
                <w:szCs w:val="21"/>
              </w:rPr>
              <w:t>A031210饮食炊事机械</w:t>
            </w:r>
          </w:p>
        </w:tc>
        <w:tc>
          <w:tcPr>
            <w:tcW w:w="2334" w:type="dxa"/>
            <w:vAlign w:val="center"/>
          </w:tcPr>
          <w:p w14:paraId="667AEF71">
            <w:pPr>
              <w:jc w:val="left"/>
              <w:rPr>
                <w:rFonts w:hint="default" w:ascii="宋体" w:hAnsi="宋体"/>
                <w:w w:val="90"/>
                <w:szCs w:val="21"/>
              </w:rPr>
            </w:pPr>
            <w:r>
              <w:rPr>
                <w:rFonts w:ascii="宋体" w:hAnsi="宋体"/>
                <w:w w:val="90"/>
                <w:szCs w:val="21"/>
              </w:rPr>
              <w:t>商用燃气灶具</w:t>
            </w:r>
          </w:p>
        </w:tc>
        <w:tc>
          <w:tcPr>
            <w:tcW w:w="1682" w:type="dxa"/>
            <w:vAlign w:val="center"/>
          </w:tcPr>
          <w:p w14:paraId="2BE8EF89">
            <w:pPr>
              <w:jc w:val="center"/>
              <w:rPr>
                <w:rFonts w:hint="default" w:ascii="宋体" w:hAnsi="宋体"/>
                <w:w w:val="90"/>
                <w:szCs w:val="21"/>
              </w:rPr>
            </w:pPr>
          </w:p>
        </w:tc>
        <w:tc>
          <w:tcPr>
            <w:tcW w:w="3301" w:type="dxa"/>
            <w:vAlign w:val="center"/>
          </w:tcPr>
          <w:p w14:paraId="792FD533">
            <w:pPr>
              <w:jc w:val="left"/>
              <w:rPr>
                <w:rFonts w:hint="default" w:ascii="宋体" w:hAnsi="宋体"/>
                <w:w w:val="90"/>
                <w:szCs w:val="21"/>
              </w:rPr>
            </w:pPr>
          </w:p>
        </w:tc>
      </w:tr>
      <w:tr w14:paraId="5322EEC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24D526B8">
            <w:pPr>
              <w:jc w:val="center"/>
              <w:rPr>
                <w:rFonts w:hint="default" w:ascii="宋体" w:hAnsi="宋体"/>
                <w:w w:val="90"/>
                <w:szCs w:val="21"/>
              </w:rPr>
            </w:pPr>
            <w:r>
              <w:rPr>
                <w:rFonts w:ascii="宋体" w:hAnsi="宋体"/>
                <w:w w:val="90"/>
                <w:szCs w:val="21"/>
              </w:rPr>
              <w:t>15</w:t>
            </w:r>
          </w:p>
        </w:tc>
        <w:tc>
          <w:tcPr>
            <w:tcW w:w="1933" w:type="dxa"/>
            <w:vMerge w:val="restart"/>
            <w:vAlign w:val="center"/>
          </w:tcPr>
          <w:p w14:paraId="359E02CD">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A060805</w:t>
            </w:r>
            <w:r>
              <w:rPr>
                <w:rFonts w:ascii="宋体" w:hAnsi="宋体"/>
                <w:b/>
                <w:w w:val="90"/>
                <w:szCs w:val="21"/>
              </w:rPr>
              <w:t>便器</w:t>
            </w:r>
          </w:p>
        </w:tc>
        <w:tc>
          <w:tcPr>
            <w:tcW w:w="2334" w:type="dxa"/>
            <w:vAlign w:val="center"/>
          </w:tcPr>
          <w:p w14:paraId="08E33A8D">
            <w:pPr>
              <w:jc w:val="left"/>
              <w:rPr>
                <w:rFonts w:hint="default" w:ascii="宋体" w:hAnsi="宋体"/>
                <w:b/>
                <w:w w:val="90"/>
                <w:szCs w:val="21"/>
              </w:rPr>
            </w:pPr>
            <w:r>
              <w:rPr>
                <w:rFonts w:ascii="宋体" w:hAnsi="宋体"/>
                <w:b/>
                <w:w w:val="90"/>
                <w:szCs w:val="21"/>
              </w:rPr>
              <w:t>坐便器</w:t>
            </w:r>
          </w:p>
        </w:tc>
        <w:tc>
          <w:tcPr>
            <w:tcW w:w="1682" w:type="dxa"/>
            <w:vAlign w:val="center"/>
          </w:tcPr>
          <w:p w14:paraId="3742A496">
            <w:pPr>
              <w:jc w:val="center"/>
              <w:rPr>
                <w:rFonts w:hint="default" w:ascii="宋体" w:hAnsi="宋体"/>
                <w:w w:val="90"/>
                <w:szCs w:val="21"/>
              </w:rPr>
            </w:pPr>
          </w:p>
        </w:tc>
        <w:tc>
          <w:tcPr>
            <w:tcW w:w="3301" w:type="dxa"/>
            <w:vAlign w:val="center"/>
          </w:tcPr>
          <w:p w14:paraId="1AF39B20">
            <w:pPr>
              <w:jc w:val="left"/>
              <w:rPr>
                <w:rFonts w:hint="default" w:ascii="宋体" w:hAnsi="宋体"/>
                <w:w w:val="90"/>
                <w:szCs w:val="21"/>
              </w:rPr>
            </w:pPr>
            <w:r>
              <w:rPr>
                <w:rFonts w:ascii="宋体" w:hAnsi="宋体"/>
                <w:w w:val="90"/>
                <w:szCs w:val="21"/>
              </w:rPr>
              <w:t>《坐便器水效限定值及水效等级</w:t>
            </w:r>
          </w:p>
          <w:p w14:paraId="7F7F2644">
            <w:pPr>
              <w:jc w:val="left"/>
              <w:rPr>
                <w:rFonts w:hint="default" w:ascii="宋体" w:hAnsi="宋体"/>
                <w:w w:val="90"/>
                <w:szCs w:val="21"/>
              </w:rPr>
            </w:pPr>
            <w:r>
              <w:rPr>
                <w:rFonts w:ascii="宋体" w:hAnsi="宋体"/>
                <w:w w:val="90"/>
                <w:szCs w:val="21"/>
              </w:rPr>
              <w:t>（GB 25502）</w:t>
            </w:r>
          </w:p>
        </w:tc>
      </w:tr>
      <w:tr w14:paraId="4B6FBBA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ADAFC54">
            <w:pPr>
              <w:jc w:val="center"/>
              <w:rPr>
                <w:rFonts w:hint="default" w:ascii="宋体" w:hAnsi="宋体"/>
                <w:w w:val="90"/>
                <w:szCs w:val="21"/>
              </w:rPr>
            </w:pPr>
          </w:p>
        </w:tc>
        <w:tc>
          <w:tcPr>
            <w:tcW w:w="1933" w:type="dxa"/>
            <w:vMerge w:val="continue"/>
            <w:vAlign w:val="center"/>
          </w:tcPr>
          <w:p w14:paraId="213B5223">
            <w:pPr>
              <w:jc w:val="left"/>
              <w:rPr>
                <w:rFonts w:hint="default" w:ascii="宋体" w:hAnsi="宋体"/>
                <w:b/>
                <w:w w:val="90"/>
                <w:szCs w:val="21"/>
              </w:rPr>
            </w:pPr>
          </w:p>
        </w:tc>
        <w:tc>
          <w:tcPr>
            <w:tcW w:w="2334" w:type="dxa"/>
            <w:vAlign w:val="center"/>
          </w:tcPr>
          <w:p w14:paraId="258D7B9B">
            <w:pPr>
              <w:jc w:val="left"/>
              <w:rPr>
                <w:rFonts w:hint="default" w:ascii="宋体" w:hAnsi="宋体"/>
                <w:b/>
                <w:w w:val="90"/>
                <w:szCs w:val="21"/>
              </w:rPr>
            </w:pPr>
            <w:r>
              <w:rPr>
                <w:rFonts w:ascii="宋体" w:hAnsi="宋体"/>
                <w:b/>
                <w:w w:val="90"/>
                <w:szCs w:val="21"/>
              </w:rPr>
              <w:t>蹲便器</w:t>
            </w:r>
          </w:p>
        </w:tc>
        <w:tc>
          <w:tcPr>
            <w:tcW w:w="1682" w:type="dxa"/>
            <w:vAlign w:val="center"/>
          </w:tcPr>
          <w:p w14:paraId="7B27D3E9">
            <w:pPr>
              <w:jc w:val="center"/>
              <w:rPr>
                <w:rFonts w:hint="default" w:ascii="宋体" w:hAnsi="宋体"/>
                <w:w w:val="90"/>
                <w:szCs w:val="21"/>
              </w:rPr>
            </w:pPr>
          </w:p>
        </w:tc>
        <w:tc>
          <w:tcPr>
            <w:tcW w:w="3301" w:type="dxa"/>
            <w:vAlign w:val="center"/>
          </w:tcPr>
          <w:p w14:paraId="075E1193">
            <w:pPr>
              <w:jc w:val="left"/>
              <w:rPr>
                <w:rFonts w:hint="default" w:ascii="宋体" w:hAnsi="宋体"/>
                <w:w w:val="90"/>
                <w:szCs w:val="21"/>
              </w:rPr>
            </w:pPr>
            <w:r>
              <w:rPr>
                <w:rFonts w:ascii="宋体" w:hAnsi="宋体"/>
                <w:w w:val="90"/>
                <w:szCs w:val="21"/>
              </w:rPr>
              <w:t>《蹲便器用水效率限定值及用水效率等级》（GB 30717）</w:t>
            </w:r>
          </w:p>
        </w:tc>
      </w:tr>
      <w:tr w14:paraId="1776EE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6D676E6">
            <w:pPr>
              <w:jc w:val="center"/>
              <w:rPr>
                <w:rFonts w:hint="default" w:ascii="宋体" w:hAnsi="宋体"/>
                <w:w w:val="90"/>
                <w:szCs w:val="21"/>
              </w:rPr>
            </w:pPr>
          </w:p>
        </w:tc>
        <w:tc>
          <w:tcPr>
            <w:tcW w:w="1933" w:type="dxa"/>
            <w:vMerge w:val="continue"/>
            <w:vAlign w:val="center"/>
          </w:tcPr>
          <w:p w14:paraId="29DB5D3D">
            <w:pPr>
              <w:jc w:val="left"/>
              <w:rPr>
                <w:rFonts w:hint="default" w:ascii="宋体" w:hAnsi="宋体"/>
                <w:b/>
                <w:w w:val="90"/>
                <w:szCs w:val="21"/>
              </w:rPr>
            </w:pPr>
          </w:p>
        </w:tc>
        <w:tc>
          <w:tcPr>
            <w:tcW w:w="2334" w:type="dxa"/>
            <w:vAlign w:val="center"/>
          </w:tcPr>
          <w:p w14:paraId="2A8C3F48">
            <w:pPr>
              <w:jc w:val="left"/>
              <w:rPr>
                <w:rFonts w:hint="default" w:ascii="宋体" w:hAnsi="宋体"/>
                <w:b/>
                <w:w w:val="90"/>
                <w:szCs w:val="21"/>
              </w:rPr>
            </w:pPr>
            <w:r>
              <w:rPr>
                <w:rFonts w:ascii="宋体" w:hAnsi="宋体"/>
                <w:b/>
                <w:w w:val="90"/>
                <w:szCs w:val="21"/>
              </w:rPr>
              <w:t>小便器</w:t>
            </w:r>
          </w:p>
        </w:tc>
        <w:tc>
          <w:tcPr>
            <w:tcW w:w="1682" w:type="dxa"/>
            <w:vAlign w:val="center"/>
          </w:tcPr>
          <w:p w14:paraId="13C80F46">
            <w:pPr>
              <w:jc w:val="center"/>
              <w:rPr>
                <w:rFonts w:hint="default" w:ascii="宋体" w:hAnsi="宋体"/>
                <w:w w:val="90"/>
                <w:szCs w:val="21"/>
              </w:rPr>
            </w:pPr>
          </w:p>
        </w:tc>
        <w:tc>
          <w:tcPr>
            <w:tcW w:w="3301" w:type="dxa"/>
            <w:vAlign w:val="center"/>
          </w:tcPr>
          <w:p w14:paraId="7FC0B51D">
            <w:pPr>
              <w:jc w:val="left"/>
              <w:rPr>
                <w:rFonts w:hint="default" w:ascii="宋体" w:hAnsi="宋体"/>
                <w:w w:val="90"/>
                <w:szCs w:val="21"/>
              </w:rPr>
            </w:pPr>
            <w:r>
              <w:rPr>
                <w:rFonts w:ascii="宋体" w:hAnsi="宋体"/>
                <w:w w:val="90"/>
                <w:szCs w:val="21"/>
              </w:rPr>
              <w:t>《小便器用水效率限定值及用水效率等级》（GB 28377）</w:t>
            </w:r>
          </w:p>
        </w:tc>
      </w:tr>
      <w:tr w14:paraId="5FECDF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45151FF">
            <w:pPr>
              <w:jc w:val="center"/>
              <w:rPr>
                <w:rFonts w:hint="default" w:ascii="宋体" w:hAnsi="宋体"/>
                <w:w w:val="90"/>
                <w:szCs w:val="21"/>
              </w:rPr>
            </w:pPr>
            <w:r>
              <w:rPr>
                <w:rFonts w:ascii="宋体" w:hAnsi="宋体"/>
                <w:w w:val="90"/>
                <w:szCs w:val="21"/>
              </w:rPr>
              <w:t>16</w:t>
            </w:r>
          </w:p>
        </w:tc>
        <w:tc>
          <w:tcPr>
            <w:tcW w:w="1933" w:type="dxa"/>
            <w:vAlign w:val="center"/>
          </w:tcPr>
          <w:p w14:paraId="309276C3">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A060806</w:t>
            </w:r>
            <w:r>
              <w:rPr>
                <w:rFonts w:ascii="宋体" w:hAnsi="宋体"/>
                <w:b/>
                <w:w w:val="90"/>
                <w:szCs w:val="21"/>
              </w:rPr>
              <w:t>水嘴</w:t>
            </w:r>
          </w:p>
        </w:tc>
        <w:tc>
          <w:tcPr>
            <w:tcW w:w="2334" w:type="dxa"/>
            <w:vAlign w:val="center"/>
          </w:tcPr>
          <w:p w14:paraId="3961B833">
            <w:pPr>
              <w:jc w:val="left"/>
              <w:rPr>
                <w:rFonts w:hint="default" w:ascii="宋体" w:hAnsi="宋体"/>
                <w:w w:val="90"/>
                <w:szCs w:val="21"/>
              </w:rPr>
            </w:pPr>
          </w:p>
        </w:tc>
        <w:tc>
          <w:tcPr>
            <w:tcW w:w="1682" w:type="dxa"/>
            <w:vAlign w:val="center"/>
          </w:tcPr>
          <w:p w14:paraId="56CF1215">
            <w:pPr>
              <w:jc w:val="center"/>
              <w:rPr>
                <w:rFonts w:hint="default" w:ascii="宋体" w:hAnsi="宋体"/>
                <w:w w:val="90"/>
                <w:szCs w:val="21"/>
              </w:rPr>
            </w:pPr>
          </w:p>
        </w:tc>
        <w:tc>
          <w:tcPr>
            <w:tcW w:w="3301" w:type="dxa"/>
            <w:vAlign w:val="center"/>
          </w:tcPr>
          <w:p w14:paraId="77C9F912">
            <w:pPr>
              <w:jc w:val="left"/>
              <w:rPr>
                <w:rFonts w:hint="default" w:ascii="宋体" w:hAnsi="宋体"/>
                <w:w w:val="90"/>
                <w:szCs w:val="21"/>
              </w:rPr>
            </w:pPr>
            <w:r>
              <w:rPr>
                <w:rFonts w:ascii="宋体" w:hAnsi="宋体"/>
                <w:w w:val="90"/>
                <w:szCs w:val="21"/>
              </w:rPr>
              <w:t>《水嘴用水效率限定值及用水效率等级》（GB 25501）</w:t>
            </w:r>
          </w:p>
        </w:tc>
      </w:tr>
      <w:tr w14:paraId="5EEC57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D6D0EDA">
            <w:pPr>
              <w:jc w:val="center"/>
              <w:rPr>
                <w:rFonts w:hint="default" w:ascii="宋体" w:hAnsi="宋体"/>
                <w:w w:val="90"/>
                <w:szCs w:val="21"/>
              </w:rPr>
            </w:pPr>
            <w:r>
              <w:rPr>
                <w:rFonts w:ascii="宋体" w:hAnsi="宋体"/>
                <w:w w:val="90"/>
                <w:szCs w:val="21"/>
              </w:rPr>
              <w:t>17</w:t>
            </w:r>
          </w:p>
        </w:tc>
        <w:tc>
          <w:tcPr>
            <w:tcW w:w="1933" w:type="dxa"/>
            <w:vAlign w:val="center"/>
          </w:tcPr>
          <w:p w14:paraId="46D59A34">
            <w:pPr>
              <w:jc w:val="left"/>
              <w:rPr>
                <w:rFonts w:hint="default" w:ascii="宋体" w:hAnsi="宋体"/>
                <w:w w:val="90"/>
                <w:szCs w:val="21"/>
              </w:rPr>
            </w:pPr>
            <w:r>
              <w:rPr>
                <w:rFonts w:ascii="宋体" w:hAnsi="宋体"/>
                <w:w w:val="90"/>
                <w:szCs w:val="21"/>
              </w:rPr>
              <w:t>A060807便器冲洗阀</w:t>
            </w:r>
          </w:p>
        </w:tc>
        <w:tc>
          <w:tcPr>
            <w:tcW w:w="2334" w:type="dxa"/>
            <w:vAlign w:val="center"/>
          </w:tcPr>
          <w:p w14:paraId="06AC9333">
            <w:pPr>
              <w:jc w:val="left"/>
              <w:rPr>
                <w:rFonts w:hint="default" w:ascii="宋体" w:hAnsi="宋体"/>
                <w:w w:val="90"/>
                <w:szCs w:val="21"/>
              </w:rPr>
            </w:pPr>
          </w:p>
        </w:tc>
        <w:tc>
          <w:tcPr>
            <w:tcW w:w="1682" w:type="dxa"/>
            <w:vAlign w:val="center"/>
          </w:tcPr>
          <w:p w14:paraId="429B8117">
            <w:pPr>
              <w:jc w:val="center"/>
              <w:rPr>
                <w:rFonts w:hint="default" w:ascii="宋体" w:hAnsi="宋体"/>
                <w:w w:val="90"/>
                <w:szCs w:val="21"/>
              </w:rPr>
            </w:pPr>
          </w:p>
        </w:tc>
        <w:tc>
          <w:tcPr>
            <w:tcW w:w="3301" w:type="dxa"/>
            <w:vAlign w:val="center"/>
          </w:tcPr>
          <w:p w14:paraId="4D749B8A">
            <w:pPr>
              <w:jc w:val="left"/>
              <w:rPr>
                <w:rFonts w:hint="default" w:ascii="宋体" w:hAnsi="宋体"/>
                <w:w w:val="90"/>
                <w:szCs w:val="21"/>
              </w:rPr>
            </w:pPr>
            <w:r>
              <w:rPr>
                <w:rFonts w:ascii="宋体" w:hAnsi="宋体"/>
                <w:w w:val="90"/>
                <w:szCs w:val="21"/>
              </w:rPr>
              <w:t>《便器冲洗阀用水效率限定值及用水效率等级》（GB 28379）</w:t>
            </w:r>
          </w:p>
        </w:tc>
      </w:tr>
      <w:tr w14:paraId="603EDA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0BA72B4">
            <w:pPr>
              <w:jc w:val="center"/>
              <w:rPr>
                <w:rFonts w:hint="default" w:ascii="宋体" w:hAnsi="宋体"/>
                <w:w w:val="90"/>
                <w:szCs w:val="21"/>
              </w:rPr>
            </w:pPr>
            <w:r>
              <w:rPr>
                <w:rFonts w:ascii="宋体" w:hAnsi="宋体"/>
                <w:w w:val="90"/>
                <w:szCs w:val="21"/>
              </w:rPr>
              <w:t>18</w:t>
            </w:r>
          </w:p>
        </w:tc>
        <w:tc>
          <w:tcPr>
            <w:tcW w:w="1933" w:type="dxa"/>
            <w:vAlign w:val="center"/>
          </w:tcPr>
          <w:p w14:paraId="297059F3">
            <w:pPr>
              <w:jc w:val="left"/>
              <w:rPr>
                <w:rFonts w:hint="default" w:ascii="宋体" w:hAnsi="宋体"/>
                <w:w w:val="90"/>
                <w:szCs w:val="21"/>
              </w:rPr>
            </w:pPr>
            <w:r>
              <w:rPr>
                <w:rFonts w:ascii="宋体" w:hAnsi="宋体"/>
                <w:w w:val="90"/>
                <w:szCs w:val="21"/>
              </w:rPr>
              <w:t>A060810淋浴器</w:t>
            </w:r>
          </w:p>
        </w:tc>
        <w:tc>
          <w:tcPr>
            <w:tcW w:w="2334" w:type="dxa"/>
            <w:vAlign w:val="center"/>
          </w:tcPr>
          <w:p w14:paraId="39637FCB">
            <w:pPr>
              <w:jc w:val="left"/>
              <w:rPr>
                <w:rFonts w:hint="default" w:ascii="宋体" w:hAnsi="宋体"/>
                <w:w w:val="90"/>
                <w:szCs w:val="21"/>
              </w:rPr>
            </w:pPr>
          </w:p>
        </w:tc>
        <w:tc>
          <w:tcPr>
            <w:tcW w:w="1682" w:type="dxa"/>
            <w:vAlign w:val="center"/>
          </w:tcPr>
          <w:p w14:paraId="220AC3BA">
            <w:pPr>
              <w:jc w:val="center"/>
              <w:rPr>
                <w:rFonts w:hint="default" w:ascii="宋体" w:hAnsi="宋体"/>
                <w:w w:val="90"/>
                <w:szCs w:val="21"/>
              </w:rPr>
            </w:pPr>
          </w:p>
        </w:tc>
        <w:tc>
          <w:tcPr>
            <w:tcW w:w="3301" w:type="dxa"/>
            <w:vAlign w:val="center"/>
          </w:tcPr>
          <w:p w14:paraId="1D22D102">
            <w:pPr>
              <w:jc w:val="left"/>
              <w:rPr>
                <w:rFonts w:hint="default" w:ascii="宋体" w:hAnsi="宋体"/>
                <w:w w:val="90"/>
                <w:szCs w:val="21"/>
              </w:rPr>
            </w:pPr>
            <w:r>
              <w:rPr>
                <w:rFonts w:ascii="宋体" w:hAnsi="宋体"/>
                <w:w w:val="90"/>
                <w:szCs w:val="21"/>
              </w:rPr>
              <w:t>《淋浴器用水效率限定值及用水效率等级》（GB 28378）</w:t>
            </w:r>
          </w:p>
        </w:tc>
      </w:tr>
    </w:tbl>
    <w:p w14:paraId="25E5B1A6">
      <w:pPr>
        <w:adjustRightInd w:val="0"/>
        <w:snapToGrid w:val="0"/>
        <w:spacing w:line="360" w:lineRule="auto"/>
        <w:ind w:firstLine="480" w:firstLineChars="200"/>
        <w:rPr>
          <w:rFonts w:hint="default" w:ascii="宋体" w:hAnsi="宋体" w:cs="宋体"/>
          <w:sz w:val="24"/>
        </w:rPr>
      </w:pPr>
    </w:p>
    <w:p w14:paraId="3A153A7D">
      <w:pPr>
        <w:adjustRightInd w:val="0"/>
        <w:snapToGrid w:val="0"/>
        <w:spacing w:line="360" w:lineRule="auto"/>
        <w:ind w:firstLine="480" w:firstLineChars="200"/>
        <w:rPr>
          <w:rFonts w:hint="default" w:ascii="宋体" w:hAnsi="宋体" w:cs="宋体"/>
          <w:sz w:val="24"/>
        </w:rPr>
      </w:pPr>
      <w:r>
        <w:rPr>
          <w:rFonts w:ascii="宋体" w:hAnsi="宋体" w:cs="宋体"/>
          <w:sz w:val="24"/>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E619E9B">
      <w:pPr>
        <w:spacing w:line="360" w:lineRule="auto"/>
        <w:ind w:firstLine="480" w:firstLineChars="200"/>
        <w:rPr>
          <w:rFonts w:hint="default" w:ascii="宋体" w:hAnsi="宋体" w:cs="宋体"/>
          <w:sz w:val="24"/>
        </w:rPr>
      </w:pPr>
      <w:r>
        <w:rPr>
          <w:rFonts w:ascii="宋体" w:hAnsi="宋体" w:cs="宋体"/>
          <w:sz w:val="24"/>
        </w:rPr>
        <w:t>2.3鼓励供应商在参加政府采购过程中开展绿色设计、选择绿色材料、打造绿色制造工艺、开展绿色运输、做好废弃产品回收处理，实现产品全周期的绿色环保。鼓励采购单位对其提高预付款比例、免收履约保证金。</w:t>
      </w:r>
    </w:p>
    <w:p w14:paraId="629BDC11">
      <w:pPr>
        <w:spacing w:line="360" w:lineRule="auto"/>
        <w:ind w:firstLine="480" w:firstLineChars="200"/>
        <w:rPr>
          <w:rFonts w:hint="default" w:ascii="宋体" w:hAnsi="宋体" w:cs="宋体"/>
          <w:sz w:val="24"/>
        </w:rPr>
      </w:pPr>
      <w:r>
        <w:rPr>
          <w:rFonts w:ascii="宋体" w:hAnsi="宋体" w:cs="宋体"/>
          <w:sz w:val="24"/>
        </w:rPr>
        <w:t>3.支持中小企业发展</w:t>
      </w:r>
    </w:p>
    <w:p w14:paraId="3EF947A4">
      <w:pPr>
        <w:spacing w:line="360" w:lineRule="auto"/>
        <w:ind w:firstLine="480" w:firstLineChars="200"/>
        <w:rPr>
          <w:rFonts w:hint="default" w:ascii="宋体" w:hAnsi="宋体" w:cs="宋体"/>
          <w:sz w:val="24"/>
        </w:rPr>
      </w:pPr>
      <w:r>
        <w:rPr>
          <w:rFonts w:ascii="宋体" w:hAnsi="宋体" w:cs="宋体"/>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9582A55">
      <w:pPr>
        <w:spacing w:line="360" w:lineRule="auto"/>
        <w:ind w:firstLine="480" w:firstLineChars="200"/>
        <w:rPr>
          <w:rFonts w:hint="default" w:ascii="宋体" w:hAnsi="宋体" w:cs="宋体"/>
          <w:sz w:val="24"/>
        </w:rPr>
      </w:pPr>
      <w:r>
        <w:rPr>
          <w:rFonts w:ascii="宋体" w:hAnsi="宋体" w:cs="宋体"/>
          <w:sz w:val="24"/>
        </w:rPr>
        <w:t>符合中小企业划分标准的个体工商户，在政府采购活动中视同中小企业。</w:t>
      </w:r>
    </w:p>
    <w:p w14:paraId="01BAA73F">
      <w:pPr>
        <w:widowControl/>
        <w:spacing w:line="360" w:lineRule="auto"/>
        <w:ind w:firstLine="480" w:firstLineChars="200"/>
        <w:rPr>
          <w:rFonts w:hint="default" w:ascii="宋体" w:hAnsi="宋体" w:cs="宋体"/>
          <w:kern w:val="0"/>
          <w:sz w:val="24"/>
        </w:rPr>
      </w:pPr>
      <w:r>
        <w:rPr>
          <w:rFonts w:ascii="宋体" w:hAnsi="宋体" w:cs="宋体"/>
          <w:bCs/>
          <w:sz w:val="24"/>
        </w:rPr>
        <w:t>3.2</w:t>
      </w:r>
      <w:r>
        <w:rPr>
          <w:rFonts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90CA59B">
      <w:pPr>
        <w:widowControl/>
        <w:spacing w:line="360" w:lineRule="auto"/>
        <w:ind w:firstLine="480" w:firstLineChars="200"/>
        <w:rPr>
          <w:rFonts w:hint="default" w:ascii="宋体" w:hAnsi="宋体" w:cs="宋体"/>
          <w:kern w:val="0"/>
          <w:sz w:val="24"/>
        </w:rPr>
      </w:pPr>
      <w:r>
        <w:rPr>
          <w:rFonts w:ascii="宋体" w:hAnsi="宋体" w:cs="宋体"/>
          <w:kern w:val="0"/>
          <w:sz w:val="24"/>
        </w:rPr>
        <w:t>以联合体形式参加政府采购活动，联合体各方均为中小企业的，联合体视同中小企业。其中，联合体各方均为小微企业的，联合体视同小微企业。</w:t>
      </w:r>
    </w:p>
    <w:p w14:paraId="3D48F0E9">
      <w:pPr>
        <w:spacing w:line="360" w:lineRule="auto"/>
        <w:ind w:firstLine="480" w:firstLineChars="200"/>
        <w:rPr>
          <w:rFonts w:hint="default" w:ascii="宋体" w:hAnsi="宋体" w:cs="宋体"/>
          <w:sz w:val="24"/>
        </w:rPr>
      </w:pPr>
      <w:r>
        <w:rPr>
          <w:rFonts w:ascii="宋体" w:hAnsi="宋体" w:cs="宋体"/>
          <w:sz w:val="24"/>
        </w:rPr>
        <w:t>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9CBB689">
      <w:pPr>
        <w:spacing w:line="360" w:lineRule="auto"/>
        <w:ind w:firstLine="480" w:firstLineChars="200"/>
        <w:rPr>
          <w:rFonts w:hint="default" w:ascii="宋体" w:hAnsi="宋体" w:cs="宋体"/>
          <w:sz w:val="24"/>
        </w:rPr>
      </w:pPr>
      <w:r>
        <w:rPr>
          <w:rFonts w:ascii="宋体" w:hAnsi="宋体" w:cs="宋体"/>
          <w:sz w:val="24"/>
        </w:rPr>
        <w:t>3.4符合《关于促进残疾人就业政府采购政策的通知》（财库〔2017〕141号）规定的条件并提供《残疾人福利性单位声明函》的残疾人福利性单位视同小型、微型企业；</w:t>
      </w:r>
    </w:p>
    <w:p w14:paraId="36A3E9E2">
      <w:pPr>
        <w:spacing w:line="360" w:lineRule="auto"/>
        <w:ind w:firstLine="480" w:firstLineChars="200"/>
        <w:rPr>
          <w:rFonts w:hint="default" w:ascii="宋体" w:hAnsi="宋体" w:cs="宋体"/>
          <w:sz w:val="24"/>
        </w:rPr>
      </w:pPr>
      <w:r>
        <w:rPr>
          <w:rFonts w:ascii="宋体" w:hAnsi="宋体" w:cs="宋体"/>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882A477">
      <w:pPr>
        <w:spacing w:line="360" w:lineRule="auto"/>
        <w:ind w:firstLine="480" w:firstLineChars="200"/>
        <w:rPr>
          <w:rFonts w:hint="default" w:ascii="宋体" w:hAnsi="宋体" w:cs="宋体"/>
          <w:sz w:val="24"/>
        </w:rPr>
      </w:pPr>
      <w:r>
        <w:rPr>
          <w:rFonts w:ascii="宋体" w:hAnsi="宋体" w:cs="宋体"/>
          <w:sz w:val="24"/>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1C157A8">
      <w:pPr>
        <w:spacing w:line="360" w:lineRule="auto"/>
        <w:ind w:firstLine="480" w:firstLineChars="200"/>
        <w:rPr>
          <w:rFonts w:hint="default" w:ascii="宋体" w:hAnsi="宋体" w:cs="宋体"/>
          <w:sz w:val="24"/>
        </w:rPr>
      </w:pPr>
      <w:r>
        <w:rPr>
          <w:rFonts w:ascii="宋体" w:hAnsi="宋体" w:cs="宋体"/>
          <w:sz w:val="24"/>
        </w:rPr>
        <w:t>3.7中小企业享受扶持政策获得政府采购合同的，小微企业不得将合同分包给大中型企业，中型企业不得将合同分包给大型企业。</w:t>
      </w:r>
    </w:p>
    <w:p w14:paraId="69BABECA">
      <w:pPr>
        <w:spacing w:line="360" w:lineRule="auto"/>
        <w:ind w:firstLine="480" w:firstLineChars="200"/>
        <w:rPr>
          <w:rFonts w:hint="default" w:ascii="宋体" w:hAnsi="宋体" w:cs="宋体"/>
          <w:sz w:val="24"/>
        </w:rPr>
      </w:pPr>
      <w:r>
        <w:rPr>
          <w:rFonts w:ascii="宋体" w:hAnsi="宋体" w:cs="宋体"/>
          <w:sz w:val="24"/>
        </w:rPr>
        <w:t>4.</w:t>
      </w:r>
      <w:r>
        <w:rPr>
          <w:rFonts w:ascii="宋体" w:hAnsi="宋体" w:cs="宋体"/>
          <w:bCs/>
          <w:sz w:val="24"/>
        </w:rPr>
        <w:t>支持创新发展</w:t>
      </w:r>
    </w:p>
    <w:p w14:paraId="70740A5C">
      <w:pPr>
        <w:spacing w:line="360" w:lineRule="auto"/>
        <w:ind w:firstLine="480" w:firstLineChars="200"/>
        <w:rPr>
          <w:rFonts w:hint="default" w:ascii="宋体" w:hAnsi="宋体" w:cs="宋体"/>
          <w:sz w:val="24"/>
        </w:rPr>
      </w:pPr>
      <w:r>
        <w:rPr>
          <w:rFonts w:ascii="宋体" w:hAnsi="宋体" w:cs="宋体"/>
          <w:sz w:val="24"/>
        </w:rPr>
        <w:t>4.1 采购人优先采购被认定为首台套产品和“制造精品”的自主创新产品。</w:t>
      </w:r>
    </w:p>
    <w:p w14:paraId="322C5D59">
      <w:pPr>
        <w:spacing w:line="360" w:lineRule="auto"/>
        <w:ind w:firstLine="480" w:firstLineChars="200"/>
        <w:rPr>
          <w:rFonts w:hint="default" w:ascii="宋体" w:hAnsi="宋体" w:cs="宋体"/>
          <w:sz w:val="24"/>
        </w:rPr>
      </w:pPr>
      <w:r>
        <w:rPr>
          <w:rFonts w:ascii="宋体" w:hAnsi="宋体" w:cs="宋体"/>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A44DFD">
      <w:pPr>
        <w:spacing w:line="360" w:lineRule="auto"/>
        <w:ind w:firstLine="480" w:firstLineChars="200"/>
        <w:rPr>
          <w:rFonts w:hint="default" w:ascii="宋体" w:hAnsi="宋体" w:cs="宋体"/>
          <w:sz w:val="24"/>
        </w:rPr>
      </w:pPr>
      <w:r>
        <w:rPr>
          <w:rFonts w:ascii="宋体" w:hAnsi="宋体" w:cs="宋体"/>
          <w:sz w:val="24"/>
        </w:rPr>
        <w:t>5.平等对待内外资企业和符合条件的破产重整企业</w:t>
      </w:r>
    </w:p>
    <w:p w14:paraId="0748AB50">
      <w:pPr>
        <w:adjustRightInd w:val="0"/>
        <w:snapToGrid w:val="0"/>
        <w:spacing w:line="360" w:lineRule="auto"/>
        <w:ind w:firstLine="470" w:firstLineChars="196"/>
        <w:outlineLvl w:val="1"/>
        <w:rPr>
          <w:rFonts w:hint="default" w:ascii="宋体" w:hAnsi="宋体" w:cs="宋体"/>
          <w:b/>
          <w:sz w:val="24"/>
        </w:rPr>
      </w:pPr>
      <w:r>
        <w:rPr>
          <w:rFonts w:ascii="宋体" w:hAnsi="宋体" w:cs="宋体"/>
          <w:sz w:val="24"/>
        </w:rPr>
        <w:t>平等对待内外资企业和符合条件的破产重整企业，切实保障企业公平竞争，平等维护企业的合法利益。</w:t>
      </w:r>
    </w:p>
    <w:p w14:paraId="768728E8">
      <w:pPr>
        <w:adjustRightInd w:val="0"/>
        <w:snapToGrid w:val="0"/>
        <w:spacing w:line="360" w:lineRule="auto"/>
        <w:ind w:firstLine="472" w:firstLineChars="196"/>
        <w:outlineLvl w:val="1"/>
        <w:rPr>
          <w:rFonts w:hint="default" w:ascii="宋体" w:hAnsi="宋体" w:cs="宋体"/>
          <w:b/>
          <w:sz w:val="24"/>
        </w:rPr>
      </w:pPr>
      <w:r>
        <w:rPr>
          <w:rFonts w:ascii="宋体" w:hAnsi="宋体" w:cs="宋体"/>
          <w:b/>
          <w:sz w:val="24"/>
        </w:rPr>
        <w:t>（八）特别说明：</w:t>
      </w:r>
    </w:p>
    <w:p w14:paraId="4D4822A1">
      <w:pPr>
        <w:adjustRightInd w:val="0"/>
        <w:snapToGrid w:val="0"/>
        <w:spacing w:line="360" w:lineRule="auto"/>
        <w:ind w:firstLine="470" w:firstLineChars="196"/>
        <w:outlineLvl w:val="1"/>
        <w:rPr>
          <w:rFonts w:hint="default"/>
          <w:sz w:val="24"/>
        </w:rPr>
      </w:pPr>
      <w:r>
        <w:rPr>
          <w:rFonts w:hint="default"/>
          <w:sz w:val="24"/>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4F0AE2DC">
      <w:pPr>
        <w:adjustRightInd w:val="0"/>
        <w:snapToGrid w:val="0"/>
        <w:spacing w:line="360" w:lineRule="auto"/>
        <w:ind w:firstLine="470" w:firstLineChars="196"/>
        <w:jc w:val="left"/>
        <w:outlineLvl w:val="1"/>
        <w:rPr>
          <w:rFonts w:hint="default"/>
          <w:sz w:val="24"/>
        </w:rPr>
      </w:pPr>
      <w:r>
        <w:rPr>
          <w:rFonts w:hint="default"/>
          <w:sz w:val="24"/>
        </w:rPr>
        <w:t>2.采购文件中所涉及的产品品牌或型号均为建议性要求或为代替部分技术指标描述，供应商可以选择其他品牌型号的产品参加投标但投标产品须具有相当于或优于采购文件要求的指标、性能。</w:t>
      </w:r>
    </w:p>
    <w:p w14:paraId="6A32024A">
      <w:pPr>
        <w:widowControl/>
        <w:adjustRightInd w:val="0"/>
        <w:snapToGrid w:val="0"/>
        <w:spacing w:line="360" w:lineRule="auto"/>
        <w:ind w:firstLine="480" w:firstLineChars="200"/>
        <w:jc w:val="left"/>
        <w:rPr>
          <w:rFonts w:hint="default"/>
          <w:sz w:val="24"/>
        </w:rPr>
      </w:pPr>
      <w:r>
        <w:rPr>
          <w:rFonts w:hint="default"/>
          <w:sz w:val="24"/>
        </w:rPr>
        <w:t>3.投标人应仔细阅读招标文件的所有内容，按照招标文件的要求提交投标文件，并对所提供的全部资料的真实性承担法律责任。</w:t>
      </w:r>
    </w:p>
    <w:p w14:paraId="39FD7603">
      <w:pPr>
        <w:widowControl/>
        <w:adjustRightInd w:val="0"/>
        <w:snapToGrid w:val="0"/>
        <w:spacing w:line="360" w:lineRule="auto"/>
        <w:ind w:firstLine="480" w:firstLineChars="200"/>
        <w:jc w:val="left"/>
        <w:rPr>
          <w:rFonts w:hint="default"/>
          <w:sz w:val="24"/>
        </w:rPr>
      </w:pPr>
      <w:r>
        <w:rPr>
          <w:rFonts w:hint="default"/>
          <w:sz w:val="24"/>
        </w:rPr>
        <w:t>4.采购过程中出现以下情形，导致电子交易平台无法正常运行，或者无法保证电子交易的公平、公正和安全时，采购人（或代理机构）可中止电子交易活动：</w:t>
      </w:r>
    </w:p>
    <w:p w14:paraId="758DAA1C">
      <w:pPr>
        <w:widowControl/>
        <w:adjustRightInd w:val="0"/>
        <w:snapToGrid w:val="0"/>
        <w:spacing w:line="360" w:lineRule="auto"/>
        <w:ind w:firstLine="480" w:firstLineChars="200"/>
        <w:jc w:val="left"/>
        <w:rPr>
          <w:rFonts w:hint="default"/>
          <w:sz w:val="24"/>
        </w:rPr>
      </w:pPr>
      <w:r>
        <w:rPr>
          <w:rFonts w:hint="default"/>
          <w:sz w:val="24"/>
        </w:rPr>
        <w:t>（1）电子交易平台发生故障而无法登录访问的；</w:t>
      </w:r>
    </w:p>
    <w:p w14:paraId="5B929CBA">
      <w:pPr>
        <w:widowControl/>
        <w:adjustRightInd w:val="0"/>
        <w:snapToGrid w:val="0"/>
        <w:spacing w:line="360" w:lineRule="auto"/>
        <w:ind w:firstLine="480" w:firstLineChars="200"/>
        <w:jc w:val="left"/>
        <w:rPr>
          <w:rFonts w:hint="default"/>
          <w:sz w:val="24"/>
        </w:rPr>
      </w:pPr>
      <w:r>
        <w:rPr>
          <w:rFonts w:hint="default"/>
          <w:sz w:val="24"/>
        </w:rPr>
        <w:t>（2）电子交易平台应用或数据库出现错误，不能进行正常操作的；</w:t>
      </w:r>
    </w:p>
    <w:p w14:paraId="3A0499BE">
      <w:pPr>
        <w:widowControl/>
        <w:adjustRightInd w:val="0"/>
        <w:snapToGrid w:val="0"/>
        <w:spacing w:line="360" w:lineRule="auto"/>
        <w:ind w:firstLine="480" w:firstLineChars="200"/>
        <w:jc w:val="left"/>
        <w:rPr>
          <w:rFonts w:hint="default"/>
          <w:sz w:val="24"/>
        </w:rPr>
      </w:pPr>
      <w:r>
        <w:rPr>
          <w:rFonts w:hint="default"/>
          <w:sz w:val="24"/>
        </w:rPr>
        <w:t>（3）电子交易平台发现严重安全漏洞，有潜在泄密危险的；</w:t>
      </w:r>
    </w:p>
    <w:p w14:paraId="1B4A22D5">
      <w:pPr>
        <w:widowControl/>
        <w:adjustRightInd w:val="0"/>
        <w:snapToGrid w:val="0"/>
        <w:spacing w:line="360" w:lineRule="auto"/>
        <w:ind w:firstLine="480" w:firstLineChars="200"/>
        <w:jc w:val="left"/>
        <w:rPr>
          <w:rFonts w:hint="default"/>
          <w:sz w:val="24"/>
        </w:rPr>
      </w:pPr>
      <w:r>
        <w:rPr>
          <w:rFonts w:hint="default"/>
          <w:sz w:val="24"/>
        </w:rPr>
        <w:t>（4）病毒发作导致不能进行正常操作的；</w:t>
      </w:r>
    </w:p>
    <w:p w14:paraId="1C7C67B4">
      <w:pPr>
        <w:widowControl/>
        <w:adjustRightInd w:val="0"/>
        <w:snapToGrid w:val="0"/>
        <w:spacing w:line="360" w:lineRule="auto"/>
        <w:ind w:firstLine="480" w:firstLineChars="200"/>
        <w:jc w:val="left"/>
        <w:rPr>
          <w:rFonts w:hint="default"/>
          <w:sz w:val="24"/>
        </w:rPr>
      </w:pPr>
      <w:r>
        <w:rPr>
          <w:rFonts w:hint="default"/>
          <w:sz w:val="24"/>
        </w:rPr>
        <w:t>（5）其他无法保证电子交易的公平、公正和安全的情况。</w:t>
      </w:r>
    </w:p>
    <w:p w14:paraId="31FE4731">
      <w:pPr>
        <w:widowControl/>
        <w:adjustRightInd w:val="0"/>
        <w:snapToGrid w:val="0"/>
        <w:spacing w:line="360" w:lineRule="auto"/>
        <w:ind w:firstLine="480" w:firstLineChars="200"/>
        <w:jc w:val="left"/>
        <w:rPr>
          <w:rFonts w:hint="default"/>
          <w:sz w:val="24"/>
        </w:rPr>
      </w:pPr>
      <w:r>
        <w:rPr>
          <w:rFonts w:hint="default"/>
          <w:sz w:val="24"/>
        </w:rPr>
        <w:t>出现上述规定情形，不影响采购公平、公正性的，采购人（或代理机构）可以待上述情形消除后继续组织电子交易活动，也可以决定某些环节以纸质形式进行。</w:t>
      </w:r>
    </w:p>
    <w:p w14:paraId="40DADEAB">
      <w:pPr>
        <w:widowControl/>
        <w:adjustRightInd w:val="0"/>
        <w:snapToGrid w:val="0"/>
        <w:spacing w:line="360" w:lineRule="auto"/>
        <w:ind w:firstLine="482" w:firstLineChars="200"/>
        <w:jc w:val="left"/>
        <w:rPr>
          <w:rFonts w:hint="default"/>
          <w:b/>
          <w:bCs/>
          <w:sz w:val="24"/>
        </w:rPr>
      </w:pPr>
      <w:r>
        <w:rPr>
          <w:rFonts w:hint="default"/>
          <w:b/>
          <w:bCs/>
          <w:sz w:val="24"/>
        </w:rPr>
        <w:t>▲</w:t>
      </w:r>
      <w:r>
        <w:rPr>
          <w:b/>
          <w:bCs/>
          <w:sz w:val="24"/>
        </w:rPr>
        <w:t>5.供应商</w:t>
      </w:r>
      <w:r>
        <w:rPr>
          <w:rFonts w:hint="default"/>
          <w:b/>
          <w:bCs/>
          <w:sz w:val="24"/>
        </w:rPr>
        <w:t>对所投标项内的采购内容必须全部进行投标。</w:t>
      </w:r>
    </w:p>
    <w:p w14:paraId="09F795D5">
      <w:pPr>
        <w:widowControl/>
        <w:numPr>
          <w:ilvl w:val="0"/>
          <w:numId w:val="3"/>
        </w:numPr>
        <w:adjustRightInd w:val="0"/>
        <w:snapToGrid w:val="0"/>
        <w:spacing w:line="360" w:lineRule="auto"/>
        <w:ind w:firstLine="480" w:firstLineChars="200"/>
        <w:jc w:val="left"/>
        <w:rPr>
          <w:rFonts w:hint="default"/>
          <w:sz w:val="24"/>
        </w:rPr>
      </w:pPr>
      <w:r>
        <w:rPr>
          <w:rFonts w:hint="default"/>
          <w:sz w:val="24"/>
        </w:rPr>
        <w:t>采购文件中如有描述歧义或前后不一致的地方，评标委员会有权按公平、合理的原则进行评判，但对同一条款的评判适用于每个</w:t>
      </w:r>
      <w:r>
        <w:rPr>
          <w:sz w:val="24"/>
        </w:rPr>
        <w:t>供应商</w:t>
      </w:r>
      <w:r>
        <w:rPr>
          <w:rFonts w:hint="default"/>
          <w:sz w:val="24"/>
        </w:rPr>
        <w:t>。</w:t>
      </w:r>
    </w:p>
    <w:p w14:paraId="4CC61397">
      <w:pPr>
        <w:widowControl/>
        <w:numPr>
          <w:ilvl w:val="0"/>
          <w:numId w:val="3"/>
        </w:numPr>
        <w:adjustRightInd w:val="0"/>
        <w:snapToGrid w:val="0"/>
        <w:spacing w:line="360" w:lineRule="auto"/>
        <w:ind w:firstLine="480" w:firstLineChars="200"/>
        <w:jc w:val="left"/>
        <w:rPr>
          <w:rFonts w:hint="default"/>
          <w:sz w:val="24"/>
        </w:rPr>
      </w:pPr>
      <w:r>
        <w:rPr>
          <w:sz w:val="24"/>
        </w:rPr>
        <w:t>供应商</w:t>
      </w:r>
      <w:r>
        <w:rPr>
          <w:rFonts w:hint="default"/>
          <w:sz w:val="24"/>
        </w:rPr>
        <w:t>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30DA956">
      <w:pPr>
        <w:widowControl/>
        <w:numPr>
          <w:ilvl w:val="0"/>
          <w:numId w:val="3"/>
        </w:numPr>
        <w:adjustRightInd w:val="0"/>
        <w:snapToGrid w:val="0"/>
        <w:spacing w:line="360" w:lineRule="auto"/>
        <w:ind w:firstLine="480" w:firstLineChars="200"/>
        <w:jc w:val="left"/>
        <w:rPr>
          <w:rFonts w:hint="default"/>
          <w:sz w:val="24"/>
        </w:rPr>
      </w:pPr>
      <w:r>
        <w:rPr>
          <w:sz w:val="24"/>
        </w:rPr>
        <w:t>为证明供应商拥有的人员、业绩、荣誉、知识产权、项目案例等而在投标文件中提供的证明材料必须为供应商自身所有。不同法人、其他组织的资料与供应商无关。</w:t>
      </w:r>
    </w:p>
    <w:p w14:paraId="4B88A7F8">
      <w:pPr>
        <w:pStyle w:val="6"/>
        <w:adjustRightInd w:val="0"/>
        <w:snapToGrid w:val="0"/>
        <w:spacing w:beforeLines="0" w:afterLines="0" w:line="360" w:lineRule="auto"/>
        <w:ind w:firstLine="472" w:firstLineChars="196"/>
        <w:outlineLvl w:val="1"/>
        <w:rPr>
          <w:rFonts w:hint="default" w:ascii="Times New Roman" w:hAnsi="Times New Roman"/>
          <w:b/>
          <w:bCs/>
        </w:rPr>
      </w:pPr>
      <w:r>
        <w:rPr>
          <w:rFonts w:hint="default" w:ascii="Times New Roman" w:hAnsi="Times New Roman"/>
          <w:b/>
          <w:bCs/>
        </w:rPr>
        <w:t>（</w:t>
      </w:r>
      <w:r>
        <w:rPr>
          <w:rFonts w:hAnsi="宋体" w:cs="宋体"/>
          <w:b/>
          <w:bCs/>
        </w:rPr>
        <w:t>九</w:t>
      </w:r>
      <w:r>
        <w:rPr>
          <w:rFonts w:hint="default" w:ascii="Times New Roman" w:hAnsi="Times New Roman"/>
          <w:b/>
          <w:bCs/>
        </w:rPr>
        <w:t>）质疑和投诉</w:t>
      </w:r>
    </w:p>
    <w:p w14:paraId="02182371">
      <w:pPr>
        <w:widowControl/>
        <w:adjustRightInd w:val="0"/>
        <w:snapToGrid w:val="0"/>
        <w:spacing w:line="360" w:lineRule="auto"/>
        <w:ind w:firstLine="480" w:firstLineChars="200"/>
        <w:rPr>
          <w:rFonts w:hint="default"/>
          <w:sz w:val="24"/>
          <w:lang w:val="zh-CN"/>
        </w:rPr>
      </w:pPr>
      <w:r>
        <w:rPr>
          <w:sz w:val="24"/>
          <w:lang w:val="zh-CN"/>
        </w:rPr>
        <w:t>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E2B52A">
      <w:pPr>
        <w:widowControl/>
        <w:adjustRightInd w:val="0"/>
        <w:snapToGrid w:val="0"/>
        <w:spacing w:line="360" w:lineRule="auto"/>
        <w:ind w:firstLine="480" w:firstLineChars="200"/>
        <w:rPr>
          <w:rFonts w:hint="default"/>
          <w:sz w:val="24"/>
          <w:lang w:val="zh-CN"/>
        </w:rPr>
      </w:pPr>
      <w:r>
        <w:rPr>
          <w:sz w:val="24"/>
          <w:lang w:val="zh-CN"/>
        </w:rPr>
        <w:t>2供应商询问</w:t>
      </w:r>
    </w:p>
    <w:p w14:paraId="70FE0C34">
      <w:pPr>
        <w:widowControl/>
        <w:adjustRightInd w:val="0"/>
        <w:snapToGrid w:val="0"/>
        <w:spacing w:line="360" w:lineRule="auto"/>
        <w:ind w:firstLine="480" w:firstLineChars="200"/>
        <w:rPr>
          <w:rFonts w:hint="default"/>
          <w:sz w:val="24"/>
          <w:lang w:val="zh-CN"/>
        </w:rPr>
      </w:pPr>
      <w:r>
        <w:rPr>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D135676">
      <w:pPr>
        <w:widowControl/>
        <w:adjustRightInd w:val="0"/>
        <w:snapToGrid w:val="0"/>
        <w:spacing w:line="360" w:lineRule="auto"/>
        <w:ind w:firstLine="480" w:firstLineChars="200"/>
        <w:rPr>
          <w:rFonts w:hint="default"/>
          <w:sz w:val="24"/>
          <w:lang w:val="zh-CN"/>
        </w:rPr>
      </w:pPr>
      <w:r>
        <w:rPr>
          <w:sz w:val="24"/>
          <w:lang w:val="zh-CN"/>
        </w:rPr>
        <w:t>3供应商质疑</w:t>
      </w:r>
    </w:p>
    <w:p w14:paraId="39A4D8E9">
      <w:pPr>
        <w:widowControl/>
        <w:adjustRightInd w:val="0"/>
        <w:snapToGrid w:val="0"/>
        <w:spacing w:line="360" w:lineRule="auto"/>
        <w:ind w:firstLine="480" w:firstLineChars="200"/>
        <w:rPr>
          <w:rFonts w:hint="default"/>
          <w:sz w:val="24"/>
          <w:lang w:val="zh-CN"/>
        </w:rPr>
      </w:pPr>
      <w:r>
        <w:rPr>
          <w:sz w:val="24"/>
          <w:lang w:val="zh-CN"/>
        </w:rPr>
        <w:t>3.1提出质疑的供应商应当是参与所质疑项目采购活动的供应商。潜在供应商已依法获取其可质疑的招标文件的，可以对该文件提出质疑。</w:t>
      </w:r>
    </w:p>
    <w:p w14:paraId="349F89F1">
      <w:pPr>
        <w:widowControl/>
        <w:adjustRightInd w:val="0"/>
        <w:snapToGrid w:val="0"/>
        <w:spacing w:line="360" w:lineRule="auto"/>
        <w:ind w:firstLine="480" w:firstLineChars="200"/>
        <w:rPr>
          <w:rFonts w:hint="default"/>
          <w:sz w:val="24"/>
          <w:lang w:val="zh-CN"/>
        </w:rPr>
      </w:pPr>
      <w:r>
        <w:rPr>
          <w:sz w:val="24"/>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319B198">
      <w:pPr>
        <w:widowControl/>
        <w:adjustRightInd w:val="0"/>
        <w:snapToGrid w:val="0"/>
        <w:spacing w:line="360" w:lineRule="auto"/>
        <w:ind w:firstLine="480" w:firstLineChars="200"/>
        <w:rPr>
          <w:rFonts w:hint="default"/>
          <w:sz w:val="24"/>
          <w:lang w:val="zh-CN"/>
        </w:rPr>
      </w:pPr>
      <w:r>
        <w:rPr>
          <w:sz w:val="24"/>
          <w:lang w:val="zh-CN"/>
        </w:rPr>
        <w:t>3.2.1对招标文件提出质疑的，质疑期限为供应商获得招标文件之日或者招标文件公告期限届满之日起计算。</w:t>
      </w:r>
    </w:p>
    <w:p w14:paraId="2DA782F5">
      <w:pPr>
        <w:widowControl/>
        <w:adjustRightInd w:val="0"/>
        <w:snapToGrid w:val="0"/>
        <w:spacing w:line="360" w:lineRule="auto"/>
        <w:ind w:firstLine="480" w:firstLineChars="200"/>
        <w:rPr>
          <w:rFonts w:hint="default"/>
          <w:sz w:val="24"/>
          <w:lang w:val="zh-CN"/>
        </w:rPr>
      </w:pPr>
      <w:r>
        <w:rPr>
          <w:sz w:val="24"/>
          <w:lang w:val="zh-CN"/>
        </w:rPr>
        <w:t>3.2.2对采购过程提出质疑的，质疑期限为各采购程序环节结束之日起计算。</w:t>
      </w:r>
    </w:p>
    <w:p w14:paraId="0386141F">
      <w:pPr>
        <w:widowControl/>
        <w:adjustRightInd w:val="0"/>
        <w:snapToGrid w:val="0"/>
        <w:spacing w:line="360" w:lineRule="auto"/>
        <w:ind w:firstLine="480" w:firstLineChars="200"/>
        <w:rPr>
          <w:rFonts w:hint="default"/>
          <w:sz w:val="24"/>
          <w:lang w:val="zh-CN"/>
        </w:rPr>
      </w:pPr>
      <w:r>
        <w:rPr>
          <w:sz w:val="24"/>
          <w:lang w:val="zh-CN"/>
        </w:rPr>
        <w:t>3.2.3对采购结果提出质疑的，质疑期限自采购结果公告期限届满之日起计算。</w:t>
      </w:r>
    </w:p>
    <w:p w14:paraId="60F52C4E">
      <w:pPr>
        <w:widowControl/>
        <w:adjustRightInd w:val="0"/>
        <w:snapToGrid w:val="0"/>
        <w:spacing w:line="360" w:lineRule="auto"/>
        <w:ind w:firstLine="480" w:firstLineChars="200"/>
        <w:rPr>
          <w:rFonts w:hint="default"/>
          <w:sz w:val="24"/>
          <w:lang w:val="zh-CN"/>
        </w:rPr>
      </w:pPr>
      <w:r>
        <w:rPr>
          <w:sz w:val="24"/>
          <w:lang w:val="zh-CN"/>
        </w:rPr>
        <w:t>3.3供应商提出质疑应当提交质疑函和必要的证明材料。质疑函应当包括下列内容：</w:t>
      </w:r>
    </w:p>
    <w:p w14:paraId="6C1DE70B">
      <w:pPr>
        <w:widowControl/>
        <w:adjustRightInd w:val="0"/>
        <w:snapToGrid w:val="0"/>
        <w:spacing w:line="360" w:lineRule="auto"/>
        <w:ind w:firstLine="480" w:firstLineChars="200"/>
        <w:rPr>
          <w:rFonts w:hint="default"/>
          <w:sz w:val="24"/>
          <w:lang w:val="zh-CN"/>
        </w:rPr>
      </w:pPr>
      <w:r>
        <w:rPr>
          <w:sz w:val="24"/>
          <w:lang w:val="zh-CN"/>
        </w:rPr>
        <w:t>3.3.1供应商的姓名或者名称、地址、邮编、联系人及联系电话；</w:t>
      </w:r>
    </w:p>
    <w:p w14:paraId="35FB72B9">
      <w:pPr>
        <w:widowControl/>
        <w:adjustRightInd w:val="0"/>
        <w:snapToGrid w:val="0"/>
        <w:spacing w:line="360" w:lineRule="auto"/>
        <w:ind w:firstLine="480" w:firstLineChars="200"/>
        <w:rPr>
          <w:rFonts w:hint="default"/>
          <w:sz w:val="24"/>
          <w:lang w:val="zh-CN"/>
        </w:rPr>
      </w:pPr>
      <w:r>
        <w:rPr>
          <w:sz w:val="24"/>
          <w:lang w:val="zh-CN"/>
        </w:rPr>
        <w:t>3.3.2质疑项目的名称、编号；</w:t>
      </w:r>
    </w:p>
    <w:p w14:paraId="0E22CF98">
      <w:pPr>
        <w:widowControl/>
        <w:adjustRightInd w:val="0"/>
        <w:snapToGrid w:val="0"/>
        <w:spacing w:line="360" w:lineRule="auto"/>
        <w:ind w:firstLine="480" w:firstLineChars="200"/>
        <w:rPr>
          <w:rFonts w:hint="default"/>
          <w:sz w:val="24"/>
          <w:lang w:val="zh-CN"/>
        </w:rPr>
      </w:pPr>
      <w:r>
        <w:rPr>
          <w:sz w:val="24"/>
          <w:lang w:val="zh-CN"/>
        </w:rPr>
        <w:t>3.3.3具体、明确的质疑事项和与质疑事项相关的请求；</w:t>
      </w:r>
    </w:p>
    <w:p w14:paraId="031A6D59">
      <w:pPr>
        <w:widowControl/>
        <w:adjustRightInd w:val="0"/>
        <w:snapToGrid w:val="0"/>
        <w:spacing w:line="360" w:lineRule="auto"/>
        <w:ind w:firstLine="480" w:firstLineChars="200"/>
        <w:rPr>
          <w:rFonts w:hint="default"/>
          <w:sz w:val="24"/>
          <w:lang w:val="zh-CN"/>
        </w:rPr>
      </w:pPr>
      <w:r>
        <w:rPr>
          <w:sz w:val="24"/>
          <w:lang w:val="zh-CN"/>
        </w:rPr>
        <w:t>3.3.4事实依据；</w:t>
      </w:r>
    </w:p>
    <w:p w14:paraId="3E448DF0">
      <w:pPr>
        <w:widowControl/>
        <w:adjustRightInd w:val="0"/>
        <w:snapToGrid w:val="0"/>
        <w:spacing w:line="360" w:lineRule="auto"/>
        <w:ind w:firstLine="480" w:firstLineChars="200"/>
        <w:rPr>
          <w:rFonts w:hint="default"/>
          <w:sz w:val="24"/>
          <w:lang w:val="zh-CN"/>
        </w:rPr>
      </w:pPr>
      <w:r>
        <w:rPr>
          <w:sz w:val="24"/>
          <w:lang w:val="zh-CN"/>
        </w:rPr>
        <w:t>3.3.5必要的法律依据；</w:t>
      </w:r>
    </w:p>
    <w:p w14:paraId="0E578EA9">
      <w:pPr>
        <w:widowControl/>
        <w:adjustRightInd w:val="0"/>
        <w:snapToGrid w:val="0"/>
        <w:spacing w:line="360" w:lineRule="auto"/>
        <w:ind w:firstLine="480" w:firstLineChars="200"/>
        <w:rPr>
          <w:rFonts w:hint="default"/>
          <w:sz w:val="24"/>
          <w:lang w:val="zh-CN"/>
        </w:rPr>
      </w:pPr>
      <w:r>
        <w:rPr>
          <w:sz w:val="24"/>
          <w:lang w:val="zh-CN"/>
        </w:rPr>
        <w:t>3.3.6提出质疑的日期。</w:t>
      </w:r>
    </w:p>
    <w:p w14:paraId="2CD4EF3A">
      <w:pPr>
        <w:widowControl/>
        <w:adjustRightInd w:val="0"/>
        <w:snapToGrid w:val="0"/>
        <w:spacing w:line="360" w:lineRule="auto"/>
        <w:ind w:firstLine="480" w:firstLineChars="200"/>
        <w:rPr>
          <w:rFonts w:hint="default"/>
          <w:sz w:val="24"/>
          <w:lang w:val="zh-CN"/>
        </w:rPr>
      </w:pPr>
      <w:r>
        <w:rPr>
          <w:sz w:val="24"/>
          <w:lang w:val="zh-CN"/>
        </w:rPr>
        <w:t>供应商提交的质疑函需一式三份。供应商为自然人的，应当由本人签字；供应商为法人或者其他组织的，应当由法定代表人、主要负责人，或者其授权代表签字或者盖章，并加盖公章。</w:t>
      </w:r>
    </w:p>
    <w:p w14:paraId="3EC3F028">
      <w:pPr>
        <w:widowControl/>
        <w:adjustRightInd w:val="0"/>
        <w:snapToGrid w:val="0"/>
        <w:spacing w:line="360" w:lineRule="auto"/>
        <w:ind w:firstLine="480" w:firstLineChars="200"/>
        <w:rPr>
          <w:rFonts w:hint="default"/>
          <w:sz w:val="24"/>
          <w:lang w:val="zh-CN"/>
        </w:rPr>
      </w:pPr>
      <w:r>
        <w:rPr>
          <w:sz w:val="24"/>
          <w:lang w:val="zh-CN"/>
        </w:rPr>
        <w:t>3.4对同一采购程序环节的质疑，供应商须在法定质疑期内一次性提出。</w:t>
      </w:r>
    </w:p>
    <w:p w14:paraId="2FA4E30C">
      <w:pPr>
        <w:widowControl/>
        <w:adjustRightInd w:val="0"/>
        <w:snapToGrid w:val="0"/>
        <w:spacing w:line="360" w:lineRule="auto"/>
        <w:ind w:firstLine="480" w:firstLineChars="200"/>
        <w:rPr>
          <w:rFonts w:hint="default"/>
          <w:sz w:val="24"/>
          <w:lang w:val="zh-CN"/>
        </w:rPr>
      </w:pPr>
      <w:r>
        <w:rPr>
          <w:sz w:val="24"/>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14:paraId="22076A21">
      <w:pPr>
        <w:widowControl/>
        <w:adjustRightInd w:val="0"/>
        <w:snapToGrid w:val="0"/>
        <w:spacing w:line="360" w:lineRule="auto"/>
        <w:ind w:firstLine="480" w:firstLineChars="200"/>
        <w:rPr>
          <w:rFonts w:hint="default"/>
          <w:sz w:val="24"/>
          <w:lang w:val="zh-CN"/>
        </w:rPr>
      </w:pPr>
      <w:r>
        <w:rPr>
          <w:sz w:val="24"/>
          <w:lang w:val="zh-CN"/>
        </w:rPr>
        <w:t>3.6询问或者质疑事项可能影响采购结果的，采购人应当暂停签订合同，已经签订合同的，应当中止履行合同。</w:t>
      </w:r>
    </w:p>
    <w:p w14:paraId="1C24B96D">
      <w:pPr>
        <w:widowControl/>
        <w:adjustRightInd w:val="0"/>
        <w:snapToGrid w:val="0"/>
        <w:spacing w:line="360" w:lineRule="auto"/>
        <w:ind w:firstLine="480" w:firstLineChars="200"/>
        <w:rPr>
          <w:rFonts w:hint="default"/>
          <w:sz w:val="24"/>
          <w:lang w:val="zh-CN"/>
        </w:rPr>
      </w:pPr>
      <w:r>
        <w:rPr>
          <w:sz w:val="24"/>
          <w:lang w:val="zh-CN"/>
        </w:rPr>
        <w:t>4.4供应商投诉</w:t>
      </w:r>
    </w:p>
    <w:p w14:paraId="3B3185F9">
      <w:pPr>
        <w:widowControl/>
        <w:adjustRightInd w:val="0"/>
        <w:snapToGrid w:val="0"/>
        <w:spacing w:line="360" w:lineRule="auto"/>
        <w:ind w:firstLine="480" w:firstLineChars="200"/>
        <w:rPr>
          <w:rFonts w:hint="default"/>
          <w:sz w:val="24"/>
          <w:lang w:val="zh-CN"/>
        </w:rPr>
      </w:pPr>
      <w:r>
        <w:rPr>
          <w:sz w:val="24"/>
          <w:lang w:val="zh-CN"/>
        </w:rPr>
        <w:t>4.4.1质疑供应商对采购人、采购代理机构的答复不满意或者采购人、采购代理机构未在规定的时间内作出答复的，可以在答复期满后十五个工作日内</w:t>
      </w:r>
      <w:r>
        <w:rPr>
          <w:sz w:val="24"/>
        </w:rPr>
        <w:t>向同级政府采购监督管理部门</w:t>
      </w:r>
      <w:r>
        <w:rPr>
          <w:sz w:val="24"/>
          <w:lang w:val="zh-CN"/>
        </w:rPr>
        <w:t>提出投诉。</w:t>
      </w:r>
    </w:p>
    <w:p w14:paraId="4028A914">
      <w:pPr>
        <w:widowControl/>
        <w:adjustRightInd w:val="0"/>
        <w:snapToGrid w:val="0"/>
        <w:spacing w:line="360" w:lineRule="auto"/>
        <w:ind w:firstLine="480" w:firstLineChars="200"/>
        <w:rPr>
          <w:rFonts w:hint="default"/>
          <w:sz w:val="24"/>
          <w:lang w:val="zh-CN"/>
        </w:rPr>
      </w:pPr>
      <w:r>
        <w:rPr>
          <w:sz w:val="24"/>
          <w:lang w:val="zh-CN"/>
        </w:rPr>
        <w:t>4.4.2供应商投诉的事项不得超出已质疑事项的范围，基于质疑答复内容提出的投诉事项除外。</w:t>
      </w:r>
    </w:p>
    <w:p w14:paraId="0D8EB215">
      <w:pPr>
        <w:widowControl/>
        <w:adjustRightInd w:val="0"/>
        <w:snapToGrid w:val="0"/>
        <w:spacing w:line="360" w:lineRule="auto"/>
        <w:ind w:firstLine="480" w:firstLineChars="200"/>
        <w:rPr>
          <w:rFonts w:hint="default"/>
          <w:sz w:val="24"/>
          <w:lang w:val="zh-CN"/>
        </w:rPr>
      </w:pPr>
      <w:r>
        <w:rPr>
          <w:sz w:val="24"/>
          <w:lang w:val="zh-CN"/>
        </w:rPr>
        <w:t>4.4.3供应商投诉应当有明确的请求和必要的证明材料。</w:t>
      </w:r>
    </w:p>
    <w:p w14:paraId="71121F7B">
      <w:pPr>
        <w:widowControl/>
        <w:adjustRightInd w:val="0"/>
        <w:snapToGrid w:val="0"/>
        <w:spacing w:line="360" w:lineRule="auto"/>
        <w:ind w:firstLine="480" w:firstLineChars="200"/>
        <w:rPr>
          <w:rFonts w:hint="default"/>
          <w:sz w:val="24"/>
          <w:lang w:val="zh-CN"/>
        </w:rPr>
      </w:pPr>
      <w:r>
        <w:rPr>
          <w:sz w:val="24"/>
          <w:lang w:val="zh-CN"/>
        </w:rPr>
        <w:t>4.4.4以联合体形式参加政府采购活动的，其投诉应当由组成联合体的所有供应商共同提出。</w:t>
      </w:r>
    </w:p>
    <w:p w14:paraId="72155EE7">
      <w:pPr>
        <w:pStyle w:val="6"/>
        <w:tabs>
          <w:tab w:val="left" w:pos="7317"/>
        </w:tabs>
        <w:adjustRightInd w:val="0"/>
        <w:snapToGrid w:val="0"/>
        <w:spacing w:beforeLines="0" w:afterLines="0" w:line="360" w:lineRule="auto"/>
        <w:outlineLvl w:val="0"/>
        <w:rPr>
          <w:rFonts w:hint="default" w:ascii="Times New Roman" w:hAnsi="Times New Roman"/>
          <w:b/>
          <w:sz w:val="28"/>
          <w:szCs w:val="28"/>
        </w:rPr>
      </w:pPr>
      <w:bookmarkStart w:id="32" w:name="_Toc16944"/>
      <w:bookmarkStart w:id="33" w:name="_Toc10520"/>
      <w:bookmarkStart w:id="34" w:name="_Toc30349"/>
      <w:bookmarkStart w:id="35" w:name="_Toc27257"/>
      <w:bookmarkStart w:id="36" w:name="_Toc31283"/>
      <w:bookmarkStart w:id="37" w:name="_Toc4205"/>
      <w:r>
        <w:rPr>
          <w:rFonts w:hint="default" w:ascii="Times New Roman" w:hAnsi="Times New Roman"/>
          <w:b/>
          <w:sz w:val="28"/>
          <w:szCs w:val="28"/>
        </w:rPr>
        <w:t>二、招标文件</w:t>
      </w:r>
      <w:bookmarkEnd w:id="32"/>
      <w:bookmarkEnd w:id="33"/>
      <w:bookmarkEnd w:id="34"/>
      <w:bookmarkEnd w:id="35"/>
      <w:bookmarkEnd w:id="36"/>
      <w:bookmarkEnd w:id="37"/>
    </w:p>
    <w:p w14:paraId="605ABAB7">
      <w:pPr>
        <w:adjustRightInd w:val="0"/>
        <w:snapToGrid w:val="0"/>
        <w:spacing w:line="360" w:lineRule="auto"/>
        <w:ind w:firstLine="472" w:firstLineChars="196"/>
        <w:jc w:val="left"/>
        <w:rPr>
          <w:rFonts w:hint="default"/>
          <w:b/>
          <w:sz w:val="24"/>
        </w:rPr>
      </w:pPr>
      <w:r>
        <w:rPr>
          <w:rFonts w:hint="default"/>
          <w:b/>
          <w:sz w:val="24"/>
        </w:rPr>
        <w:t>（一）招标文件的构成。本招标文件由以下部份组成：</w:t>
      </w:r>
    </w:p>
    <w:p w14:paraId="6129113A">
      <w:pPr>
        <w:adjustRightInd w:val="0"/>
        <w:snapToGrid w:val="0"/>
        <w:spacing w:line="360" w:lineRule="auto"/>
        <w:ind w:firstLine="480" w:firstLineChars="200"/>
        <w:jc w:val="left"/>
        <w:rPr>
          <w:rFonts w:hint="default"/>
          <w:sz w:val="24"/>
        </w:rPr>
      </w:pPr>
      <w:r>
        <w:rPr>
          <w:rFonts w:hint="default"/>
          <w:sz w:val="24"/>
        </w:rPr>
        <w:t>1.招标公告</w:t>
      </w:r>
    </w:p>
    <w:p w14:paraId="5CAF8720">
      <w:pPr>
        <w:adjustRightInd w:val="0"/>
        <w:snapToGrid w:val="0"/>
        <w:spacing w:line="360" w:lineRule="auto"/>
        <w:ind w:firstLine="480" w:firstLineChars="200"/>
        <w:jc w:val="left"/>
        <w:rPr>
          <w:rFonts w:hint="default"/>
          <w:sz w:val="24"/>
        </w:rPr>
      </w:pPr>
      <w:r>
        <w:rPr>
          <w:rFonts w:hint="default"/>
          <w:sz w:val="24"/>
        </w:rPr>
        <w:t>2.投标人须知</w:t>
      </w:r>
    </w:p>
    <w:p w14:paraId="72739603">
      <w:pPr>
        <w:adjustRightInd w:val="0"/>
        <w:snapToGrid w:val="0"/>
        <w:spacing w:line="360" w:lineRule="auto"/>
        <w:ind w:firstLine="480" w:firstLineChars="200"/>
        <w:jc w:val="left"/>
        <w:rPr>
          <w:rFonts w:hint="default"/>
          <w:sz w:val="24"/>
        </w:rPr>
      </w:pPr>
      <w:r>
        <w:rPr>
          <w:rFonts w:hint="default"/>
          <w:sz w:val="24"/>
        </w:rPr>
        <w:t>3.评标办法</w:t>
      </w:r>
    </w:p>
    <w:p w14:paraId="54583032">
      <w:pPr>
        <w:adjustRightInd w:val="0"/>
        <w:snapToGrid w:val="0"/>
        <w:spacing w:line="360" w:lineRule="auto"/>
        <w:ind w:firstLine="480" w:firstLineChars="200"/>
        <w:rPr>
          <w:rFonts w:hint="default"/>
          <w:sz w:val="24"/>
        </w:rPr>
      </w:pPr>
      <w:r>
        <w:rPr>
          <w:rFonts w:hint="default"/>
          <w:sz w:val="24"/>
        </w:rPr>
        <w:t>4.采购内容及需求</w:t>
      </w:r>
    </w:p>
    <w:p w14:paraId="629F49E0">
      <w:pPr>
        <w:adjustRightInd w:val="0"/>
        <w:snapToGrid w:val="0"/>
        <w:spacing w:line="360" w:lineRule="auto"/>
        <w:ind w:firstLine="480" w:firstLineChars="200"/>
        <w:jc w:val="left"/>
        <w:rPr>
          <w:rFonts w:hint="default"/>
          <w:sz w:val="24"/>
        </w:rPr>
      </w:pPr>
      <w:r>
        <w:rPr>
          <w:rFonts w:hint="default"/>
          <w:sz w:val="24"/>
        </w:rPr>
        <w:t>5.合同主要条款</w:t>
      </w:r>
    </w:p>
    <w:p w14:paraId="28A780FC">
      <w:pPr>
        <w:adjustRightInd w:val="0"/>
        <w:snapToGrid w:val="0"/>
        <w:spacing w:line="360" w:lineRule="auto"/>
        <w:ind w:firstLine="480" w:firstLineChars="200"/>
        <w:jc w:val="left"/>
        <w:rPr>
          <w:rFonts w:hint="default"/>
          <w:sz w:val="24"/>
        </w:rPr>
      </w:pPr>
      <w:r>
        <w:rPr>
          <w:rFonts w:hint="default"/>
          <w:sz w:val="24"/>
        </w:rPr>
        <w:t>6.投标文件格式</w:t>
      </w:r>
    </w:p>
    <w:p w14:paraId="47FE84A2">
      <w:pPr>
        <w:adjustRightInd w:val="0"/>
        <w:snapToGrid w:val="0"/>
        <w:spacing w:line="360" w:lineRule="auto"/>
        <w:ind w:firstLine="480" w:firstLineChars="200"/>
        <w:jc w:val="left"/>
        <w:rPr>
          <w:rFonts w:hint="default"/>
          <w:sz w:val="24"/>
        </w:rPr>
      </w:pPr>
      <w:r>
        <w:rPr>
          <w:rFonts w:hint="default"/>
          <w:sz w:val="24"/>
        </w:rPr>
        <w:t>7.本项目招标文件的澄清、修改内容（如有）</w:t>
      </w:r>
    </w:p>
    <w:p w14:paraId="74929401">
      <w:pPr>
        <w:adjustRightInd w:val="0"/>
        <w:snapToGrid w:val="0"/>
        <w:spacing w:line="360" w:lineRule="auto"/>
        <w:ind w:firstLine="472" w:firstLineChars="196"/>
        <w:jc w:val="left"/>
        <w:rPr>
          <w:rFonts w:hint="default"/>
          <w:b/>
          <w:sz w:val="24"/>
        </w:rPr>
      </w:pPr>
      <w:r>
        <w:rPr>
          <w:rFonts w:hint="default"/>
          <w:b/>
          <w:sz w:val="24"/>
        </w:rPr>
        <w:t>（二）投标人的风险</w:t>
      </w:r>
    </w:p>
    <w:p w14:paraId="1440A2B4">
      <w:pPr>
        <w:adjustRightInd w:val="0"/>
        <w:snapToGrid w:val="0"/>
        <w:spacing w:line="360" w:lineRule="auto"/>
        <w:ind w:firstLine="480" w:firstLineChars="200"/>
        <w:jc w:val="left"/>
        <w:rPr>
          <w:rFonts w:hint="default"/>
          <w:b/>
          <w:bCs/>
          <w:sz w:val="24"/>
        </w:rPr>
      </w:pPr>
      <w:r>
        <w:rPr>
          <w:rFonts w:hint="default"/>
          <w:sz w:val="24"/>
        </w:rPr>
        <w:t>1.</w:t>
      </w:r>
      <w:r>
        <w:rPr>
          <w:rFonts w:hint="default"/>
          <w:b/>
          <w:bCs/>
          <w:sz w:val="24"/>
        </w:rPr>
        <w:t>投标截止时间前，投标供应商仅递交了“电子备份投标文件”而未将“电子加密投标文件” 成功上传至“政府采购云平台”的，投标无效；通过“政府采购云平台”上传递交的“电子加密投标文件”无法按时解密的，如投标供应商未按规定递交“电子备份投标文件”的，视为投标文件撤回。</w:t>
      </w:r>
    </w:p>
    <w:p w14:paraId="3ABA21B6">
      <w:pPr>
        <w:adjustRightInd w:val="0"/>
        <w:snapToGrid w:val="0"/>
        <w:spacing w:line="360" w:lineRule="auto"/>
        <w:ind w:firstLine="482" w:firstLineChars="200"/>
        <w:jc w:val="left"/>
        <w:rPr>
          <w:rFonts w:hint="default"/>
          <w:b/>
          <w:bCs/>
          <w:sz w:val="24"/>
        </w:rPr>
      </w:pPr>
      <w:r>
        <w:rPr>
          <w:rFonts w:hint="default"/>
          <w:b/>
          <w:bCs/>
          <w:sz w:val="24"/>
        </w:rPr>
        <w:t>2.投标人没有按照招标文件要求提供全部资料，或者投标人没有对招标文件在各方面作出实质性响应是投标人的风险，并可能导致其投标无效。</w:t>
      </w:r>
    </w:p>
    <w:p w14:paraId="57141DD2">
      <w:pPr>
        <w:pStyle w:val="9"/>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（三）招标文件的澄清与修改</w:t>
      </w:r>
    </w:p>
    <w:p w14:paraId="73925A26">
      <w:pPr>
        <w:adjustRightInd w:val="0"/>
        <w:snapToGrid w:val="0"/>
        <w:spacing w:line="360" w:lineRule="auto"/>
        <w:ind w:firstLine="480" w:firstLineChars="200"/>
        <w:jc w:val="left"/>
        <w:rPr>
          <w:rFonts w:hint="default"/>
          <w:sz w:val="24"/>
        </w:rPr>
      </w:pPr>
      <w:r>
        <w:rPr>
          <w:rFonts w:hint="default"/>
          <w:sz w:val="24"/>
        </w:rPr>
        <w:t>1.已获取招标文件的潜在投标人，若有问题需要澄清，应于投标截止时间前，以书面形式向采购代理机构提出。</w:t>
      </w:r>
    </w:p>
    <w:p w14:paraId="347D2755">
      <w:pPr>
        <w:adjustRightInd w:val="0"/>
        <w:snapToGrid w:val="0"/>
        <w:spacing w:line="360" w:lineRule="auto"/>
        <w:ind w:firstLine="480" w:firstLineChars="200"/>
        <w:jc w:val="left"/>
        <w:rPr>
          <w:rFonts w:hint="default"/>
          <w:sz w:val="24"/>
        </w:rPr>
      </w:pPr>
      <w:r>
        <w:rPr>
          <w:rFonts w:hint="default"/>
          <w:sz w:val="24"/>
        </w:rPr>
        <w:t>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DE70311">
      <w:pPr>
        <w:pStyle w:val="6"/>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三、投标文件的编制</w:t>
      </w:r>
    </w:p>
    <w:p w14:paraId="147FCF12">
      <w:pPr>
        <w:adjustRightInd w:val="0"/>
        <w:snapToGrid w:val="0"/>
        <w:spacing w:line="360" w:lineRule="auto"/>
        <w:ind w:firstLine="472" w:firstLineChars="196"/>
        <w:jc w:val="left"/>
        <w:outlineLvl w:val="0"/>
        <w:rPr>
          <w:rFonts w:hint="default"/>
          <w:b/>
          <w:sz w:val="24"/>
        </w:rPr>
      </w:pPr>
      <w:bookmarkStart w:id="38" w:name="_Toc9965"/>
      <w:bookmarkStart w:id="39" w:name="_Toc5443"/>
      <w:bookmarkStart w:id="40" w:name="_Toc7323"/>
      <w:bookmarkStart w:id="41" w:name="_Toc16210"/>
      <w:bookmarkStart w:id="42" w:name="_Toc28131"/>
      <w:bookmarkStart w:id="43" w:name="_Toc1185"/>
      <w:r>
        <w:rPr>
          <w:rFonts w:hint="default"/>
          <w:b/>
          <w:sz w:val="24"/>
        </w:rPr>
        <w:t>（一）投标文件的组成</w:t>
      </w:r>
      <w:bookmarkEnd w:id="38"/>
      <w:bookmarkEnd w:id="39"/>
      <w:bookmarkEnd w:id="40"/>
      <w:bookmarkEnd w:id="41"/>
      <w:bookmarkEnd w:id="42"/>
      <w:bookmarkEnd w:id="43"/>
    </w:p>
    <w:p w14:paraId="4E12B920">
      <w:pPr>
        <w:adjustRightInd w:val="0"/>
        <w:snapToGrid w:val="0"/>
        <w:spacing w:line="360" w:lineRule="auto"/>
        <w:ind w:firstLine="480" w:firstLineChars="200"/>
        <w:jc w:val="left"/>
        <w:rPr>
          <w:rFonts w:hint="default"/>
          <w:sz w:val="24"/>
        </w:rPr>
      </w:pPr>
      <w:r>
        <w:rPr>
          <w:rFonts w:hint="default"/>
          <w:sz w:val="24"/>
        </w:rPr>
        <w:t>投标文件由资格证明文件、商务技术文件、报价文件三部份组成。</w:t>
      </w:r>
    </w:p>
    <w:p w14:paraId="7EC7C246">
      <w:pPr>
        <w:adjustRightInd w:val="0"/>
        <w:snapToGrid w:val="0"/>
        <w:spacing w:line="360" w:lineRule="auto"/>
        <w:ind w:firstLine="472" w:firstLineChars="196"/>
        <w:jc w:val="left"/>
        <w:rPr>
          <w:rFonts w:hint="default"/>
          <w:b/>
          <w:sz w:val="24"/>
        </w:rPr>
      </w:pPr>
      <w:r>
        <w:rPr>
          <w:rFonts w:hint="default"/>
          <w:b/>
          <w:sz w:val="24"/>
        </w:rPr>
        <w:t>1.资格证明文件</w:t>
      </w:r>
    </w:p>
    <w:p w14:paraId="78C12B0E">
      <w:pPr>
        <w:adjustRightInd w:val="0"/>
        <w:snapToGrid w:val="0"/>
        <w:spacing w:line="360" w:lineRule="auto"/>
        <w:ind w:left="105" w:leftChars="50" w:firstLine="480" w:firstLineChars="200"/>
        <w:rPr>
          <w:rFonts w:hint="default"/>
          <w:sz w:val="24"/>
          <w:szCs w:val="21"/>
        </w:rPr>
      </w:pPr>
      <w:r>
        <w:rPr>
          <w:rFonts w:hint="default"/>
          <w:sz w:val="24"/>
          <w:szCs w:val="21"/>
        </w:rPr>
        <w:t>基本资格条件审查材料：</w:t>
      </w:r>
    </w:p>
    <w:p w14:paraId="573CB8A3">
      <w:pPr>
        <w:numPr>
          <w:ilvl w:val="0"/>
          <w:numId w:val="4"/>
        </w:numPr>
        <w:snapToGrid w:val="0"/>
        <w:spacing w:line="360" w:lineRule="auto"/>
        <w:ind w:left="105" w:leftChars="50" w:firstLine="480" w:firstLineChars="200"/>
        <w:rPr>
          <w:rFonts w:hint="default"/>
          <w:sz w:val="24"/>
          <w:szCs w:val="21"/>
        </w:rPr>
      </w:pPr>
      <w:r>
        <w:rPr>
          <w:sz w:val="24"/>
          <w:szCs w:val="21"/>
        </w:rPr>
        <w:t>营业执照（或其他同类证明文件）；</w:t>
      </w:r>
    </w:p>
    <w:p w14:paraId="7D6DC7DD">
      <w:pPr>
        <w:numPr>
          <w:ilvl w:val="0"/>
          <w:numId w:val="4"/>
        </w:numPr>
        <w:snapToGrid w:val="0"/>
        <w:spacing w:line="360" w:lineRule="auto"/>
        <w:ind w:left="105" w:leftChars="50" w:firstLine="480" w:firstLineChars="200"/>
        <w:rPr>
          <w:rFonts w:hint="default"/>
          <w:sz w:val="24"/>
          <w:szCs w:val="21"/>
        </w:rPr>
      </w:pPr>
      <w:r>
        <w:rPr>
          <w:sz w:val="24"/>
          <w:szCs w:val="21"/>
        </w:rPr>
        <w:t>符合参加政府采购活动应当具备的一般条件的承诺函；</w:t>
      </w:r>
    </w:p>
    <w:p w14:paraId="3009A9F3">
      <w:pPr>
        <w:numPr>
          <w:ilvl w:val="0"/>
          <w:numId w:val="4"/>
        </w:numPr>
        <w:snapToGrid w:val="0"/>
        <w:spacing w:line="360" w:lineRule="auto"/>
        <w:ind w:left="105" w:leftChars="50" w:firstLine="480" w:firstLineChars="200"/>
        <w:rPr>
          <w:rFonts w:hint="default"/>
          <w:sz w:val="24"/>
          <w:szCs w:val="21"/>
        </w:rPr>
      </w:pPr>
      <w:r>
        <w:rPr>
          <w:rFonts w:hint="default"/>
          <w:sz w:val="24"/>
          <w:szCs w:val="21"/>
        </w:rPr>
        <w:t>联合协议（如有）</w:t>
      </w:r>
      <w:r>
        <w:rPr>
          <w:sz w:val="24"/>
          <w:szCs w:val="21"/>
        </w:rPr>
        <w:t>；</w:t>
      </w:r>
    </w:p>
    <w:p w14:paraId="0FB504D8">
      <w:pPr>
        <w:numPr>
          <w:ilvl w:val="0"/>
          <w:numId w:val="4"/>
        </w:numPr>
        <w:snapToGrid w:val="0"/>
        <w:spacing w:line="360" w:lineRule="auto"/>
        <w:ind w:left="105" w:leftChars="50" w:firstLine="480" w:firstLineChars="200"/>
        <w:rPr>
          <w:rFonts w:hint="default"/>
          <w:sz w:val="24"/>
          <w:szCs w:val="21"/>
        </w:rPr>
      </w:pPr>
      <w:r>
        <w:rPr>
          <w:rFonts w:hint="default"/>
          <w:sz w:val="24"/>
          <w:szCs w:val="21"/>
        </w:rPr>
        <w:t>中小企业声明函</w:t>
      </w:r>
      <w:r>
        <w:rPr>
          <w:sz w:val="24"/>
          <w:szCs w:val="21"/>
        </w:rPr>
        <w:t>或</w:t>
      </w:r>
      <w:r>
        <w:rPr>
          <w:rFonts w:hint="default"/>
          <w:sz w:val="24"/>
          <w:szCs w:val="21"/>
        </w:rPr>
        <w:t>残疾人福利性单位声明函</w:t>
      </w:r>
      <w:r>
        <w:rPr>
          <w:sz w:val="24"/>
          <w:szCs w:val="21"/>
        </w:rPr>
        <w:t>或</w:t>
      </w:r>
      <w:r>
        <w:rPr>
          <w:rFonts w:hint="default"/>
          <w:sz w:val="24"/>
          <w:szCs w:val="21"/>
        </w:rPr>
        <w:t>属于监狱企业的证明文件（由省级以上监狱管理局、戒毒管理局（含新疆生产建设兵团）出具的属于监狱企业的证明文件</w:t>
      </w:r>
      <w:r>
        <w:rPr>
          <w:sz w:val="24"/>
          <w:szCs w:val="21"/>
        </w:rPr>
        <w:t>；</w:t>
      </w:r>
    </w:p>
    <w:p w14:paraId="7949408C">
      <w:pPr>
        <w:numPr>
          <w:ilvl w:val="0"/>
          <w:numId w:val="4"/>
        </w:numPr>
        <w:snapToGrid w:val="0"/>
        <w:spacing w:line="360" w:lineRule="auto"/>
        <w:ind w:left="105" w:leftChars="50" w:firstLine="480" w:firstLineChars="200"/>
        <w:rPr>
          <w:rFonts w:hint="default"/>
          <w:sz w:val="24"/>
          <w:szCs w:val="21"/>
        </w:rPr>
      </w:pPr>
      <w:r>
        <w:rPr>
          <w:rFonts w:hint="default"/>
          <w:sz w:val="24"/>
          <w:szCs w:val="21"/>
        </w:rPr>
        <w:t>符合特定资格条件的相关证明材料</w:t>
      </w:r>
      <w:r>
        <w:rPr>
          <w:sz w:val="24"/>
          <w:szCs w:val="21"/>
        </w:rPr>
        <w:t>（按公告要求）。</w:t>
      </w:r>
    </w:p>
    <w:p w14:paraId="428B6461">
      <w:pPr>
        <w:snapToGrid w:val="0"/>
        <w:spacing w:line="360" w:lineRule="auto"/>
        <w:ind w:firstLine="470" w:firstLineChars="196"/>
        <w:jc w:val="left"/>
        <w:rPr>
          <w:rFonts w:hint="default"/>
          <w:sz w:val="24"/>
          <w:szCs w:val="21"/>
        </w:rPr>
      </w:pPr>
      <w:r>
        <w:rPr>
          <w:rFonts w:hint="default"/>
          <w:sz w:val="24"/>
          <w:szCs w:val="21"/>
        </w:rPr>
        <w:t>上述资格条件审查材料有一项不提供的，视为资格审查不通过。</w:t>
      </w:r>
    </w:p>
    <w:p w14:paraId="7A0FB668">
      <w:pPr>
        <w:adjustRightInd w:val="0"/>
        <w:snapToGrid w:val="0"/>
        <w:spacing w:line="360" w:lineRule="auto"/>
        <w:ind w:firstLine="472" w:firstLineChars="196"/>
        <w:jc w:val="left"/>
        <w:rPr>
          <w:rFonts w:hint="default"/>
          <w:b/>
          <w:sz w:val="24"/>
        </w:rPr>
      </w:pPr>
      <w:r>
        <w:rPr>
          <w:rFonts w:hint="default"/>
          <w:b/>
          <w:sz w:val="24"/>
        </w:rPr>
        <w:t>2.商务技术文件</w:t>
      </w:r>
    </w:p>
    <w:p w14:paraId="14530B72">
      <w:pPr>
        <w:adjustRightInd w:val="0"/>
        <w:snapToGrid w:val="0"/>
        <w:spacing w:line="360" w:lineRule="auto"/>
        <w:ind w:firstLine="480" w:firstLineChars="200"/>
        <w:jc w:val="left"/>
        <w:rPr>
          <w:rFonts w:hint="default"/>
          <w:sz w:val="24"/>
        </w:rPr>
      </w:pPr>
      <w:r>
        <w:rPr>
          <w:rFonts w:hint="default"/>
          <w:sz w:val="24"/>
        </w:rPr>
        <w:t>（1）投标函（格式见第六章）</w:t>
      </w:r>
      <w:r>
        <w:rPr>
          <w:sz w:val="24"/>
        </w:rPr>
        <w:t>；</w:t>
      </w:r>
    </w:p>
    <w:p w14:paraId="2B2CB853">
      <w:pPr>
        <w:adjustRightInd w:val="0"/>
        <w:snapToGrid w:val="0"/>
        <w:spacing w:line="360" w:lineRule="auto"/>
        <w:ind w:firstLine="480" w:firstLineChars="200"/>
        <w:jc w:val="left"/>
        <w:rPr>
          <w:rFonts w:hint="default"/>
          <w:sz w:val="24"/>
        </w:rPr>
      </w:pPr>
      <w:r>
        <w:rPr>
          <w:sz w:val="24"/>
        </w:rPr>
        <w:t>（2）</w:t>
      </w:r>
      <w:r>
        <w:rPr>
          <w:rFonts w:hint="default"/>
          <w:sz w:val="24"/>
        </w:rPr>
        <w:t>法定代表人授权委托书；</w:t>
      </w:r>
    </w:p>
    <w:p w14:paraId="6E477341">
      <w:pPr>
        <w:adjustRightInd w:val="0"/>
        <w:snapToGrid w:val="0"/>
        <w:spacing w:line="360" w:lineRule="auto"/>
        <w:ind w:firstLine="480" w:firstLineChars="200"/>
        <w:jc w:val="left"/>
        <w:rPr>
          <w:rFonts w:hint="default"/>
          <w:sz w:val="24"/>
        </w:rPr>
      </w:pPr>
      <w:r>
        <w:rPr>
          <w:rFonts w:hint="default"/>
          <w:sz w:val="24"/>
        </w:rPr>
        <w:t>（</w:t>
      </w:r>
      <w:r>
        <w:rPr>
          <w:sz w:val="24"/>
        </w:rPr>
        <w:t>3</w:t>
      </w:r>
      <w:r>
        <w:rPr>
          <w:rFonts w:hint="default"/>
          <w:sz w:val="24"/>
        </w:rPr>
        <w:t>）法定代表人及授权委托人的身份证(复印件加盖公章)；</w:t>
      </w:r>
    </w:p>
    <w:p w14:paraId="648E73B2">
      <w:pPr>
        <w:adjustRightInd w:val="0"/>
        <w:snapToGrid w:val="0"/>
        <w:spacing w:line="360" w:lineRule="auto"/>
        <w:ind w:firstLine="480" w:firstLineChars="200"/>
        <w:jc w:val="left"/>
        <w:rPr>
          <w:rFonts w:hint="default"/>
          <w:sz w:val="24"/>
        </w:rPr>
      </w:pPr>
      <w:r>
        <w:rPr>
          <w:rFonts w:hint="default"/>
          <w:sz w:val="24"/>
        </w:rPr>
        <w:t>（</w:t>
      </w:r>
      <w:r>
        <w:rPr>
          <w:sz w:val="24"/>
        </w:rPr>
        <w:t>4</w:t>
      </w:r>
      <w:r>
        <w:rPr>
          <w:rFonts w:hint="default"/>
          <w:sz w:val="24"/>
        </w:rPr>
        <w:t>）</w:t>
      </w:r>
      <w:r>
        <w:rPr>
          <w:rFonts w:ascii="宋体" w:hAnsi="宋体" w:cs="宋体"/>
          <w:sz w:val="24"/>
        </w:rPr>
        <w:t>同类项目业绩表</w:t>
      </w:r>
      <w:r>
        <w:rPr>
          <w:rFonts w:hint="default"/>
          <w:b/>
          <w:bCs/>
          <w:sz w:val="24"/>
        </w:rPr>
        <w:t>（联合体参加的，联合体各方分别提供与联合体协议中规定的分工内容相应的业绩证明材料，业绩数量以提供材料较少的一方为准，如联合体协议中未进行分工约定的，联合体成员各方应就所有合同约定的工作内容提供业绩证明材料，有一方未能提供全部合同约定的工作内容的业绩证明材料的，视为联合体未提供业绩证明材料）</w:t>
      </w:r>
      <w:r>
        <w:rPr>
          <w:rFonts w:hint="default"/>
          <w:sz w:val="24"/>
          <w:lang w:val="zh-CN"/>
        </w:rPr>
        <w:t>；</w:t>
      </w:r>
    </w:p>
    <w:p w14:paraId="32003735">
      <w:pPr>
        <w:adjustRightInd w:val="0"/>
        <w:snapToGrid w:val="0"/>
        <w:spacing w:line="360" w:lineRule="auto"/>
        <w:ind w:firstLine="480" w:firstLineChars="200"/>
        <w:jc w:val="left"/>
        <w:rPr>
          <w:rFonts w:hint="default"/>
          <w:sz w:val="24"/>
        </w:rPr>
      </w:pPr>
      <w:r>
        <w:rPr>
          <w:sz w:val="24"/>
          <w:szCs w:val="21"/>
        </w:rPr>
        <w:t>（5）分包协议（如有）；</w:t>
      </w:r>
    </w:p>
    <w:p w14:paraId="7D750CA9">
      <w:pPr>
        <w:adjustRightInd w:val="0"/>
        <w:snapToGrid w:val="0"/>
        <w:spacing w:line="360" w:lineRule="auto"/>
        <w:ind w:firstLine="480" w:firstLineChars="200"/>
        <w:jc w:val="left"/>
        <w:rPr>
          <w:rFonts w:hint="default"/>
          <w:sz w:val="24"/>
        </w:rPr>
      </w:pPr>
      <w:r>
        <w:rPr>
          <w:rFonts w:hint="default"/>
          <w:sz w:val="24"/>
        </w:rPr>
        <w:t>（</w:t>
      </w:r>
      <w:r>
        <w:rPr>
          <w:sz w:val="24"/>
        </w:rPr>
        <w:t>6</w:t>
      </w:r>
      <w:r>
        <w:rPr>
          <w:rFonts w:hint="default"/>
          <w:sz w:val="24"/>
        </w:rPr>
        <w:t>）商务技术偏离表；</w:t>
      </w:r>
    </w:p>
    <w:p w14:paraId="0C138A24">
      <w:pPr>
        <w:adjustRightInd w:val="0"/>
        <w:snapToGrid w:val="0"/>
        <w:spacing w:line="360" w:lineRule="auto"/>
        <w:ind w:firstLine="480" w:firstLineChars="200"/>
        <w:jc w:val="left"/>
        <w:rPr>
          <w:rFonts w:hint="default"/>
          <w:sz w:val="24"/>
        </w:rPr>
      </w:pPr>
      <w:r>
        <w:rPr>
          <w:rFonts w:hint="default"/>
          <w:sz w:val="24"/>
        </w:rPr>
        <w:t>（</w:t>
      </w:r>
      <w:r>
        <w:rPr>
          <w:sz w:val="24"/>
        </w:rPr>
        <w:t>7</w:t>
      </w:r>
      <w:r>
        <w:rPr>
          <w:rFonts w:hint="default"/>
          <w:sz w:val="24"/>
        </w:rPr>
        <w:t>）项目实施人员配备情况</w:t>
      </w:r>
      <w:r>
        <w:rPr>
          <w:sz w:val="24"/>
        </w:rPr>
        <w:t>；</w:t>
      </w:r>
    </w:p>
    <w:p w14:paraId="71C23485">
      <w:pPr>
        <w:adjustRightInd w:val="0"/>
        <w:snapToGrid w:val="0"/>
        <w:spacing w:line="360" w:lineRule="auto"/>
        <w:ind w:firstLine="480" w:firstLineChars="200"/>
        <w:jc w:val="left"/>
        <w:rPr>
          <w:rFonts w:hint="default"/>
          <w:sz w:val="24"/>
        </w:rPr>
      </w:pPr>
      <w:r>
        <w:rPr>
          <w:rFonts w:hint="default"/>
          <w:sz w:val="24"/>
        </w:rPr>
        <w:t>（</w:t>
      </w:r>
      <w:r>
        <w:rPr>
          <w:sz w:val="24"/>
        </w:rPr>
        <w:t>8</w:t>
      </w:r>
      <w:r>
        <w:rPr>
          <w:rFonts w:hint="default"/>
          <w:sz w:val="24"/>
        </w:rPr>
        <w:t>）拟投入设备、工具、软件等一览表</w:t>
      </w:r>
      <w:r>
        <w:rPr>
          <w:sz w:val="24"/>
        </w:rPr>
        <w:t>；</w:t>
      </w:r>
    </w:p>
    <w:p w14:paraId="38CD1E36">
      <w:pPr>
        <w:adjustRightInd w:val="0"/>
        <w:snapToGrid w:val="0"/>
        <w:spacing w:line="360" w:lineRule="auto"/>
        <w:ind w:firstLine="480" w:firstLineChars="200"/>
        <w:jc w:val="left"/>
        <w:rPr>
          <w:rFonts w:hint="default"/>
          <w:sz w:val="24"/>
        </w:rPr>
      </w:pPr>
      <w:r>
        <w:rPr>
          <w:rFonts w:hint="default"/>
          <w:sz w:val="24"/>
        </w:rPr>
        <w:t>（</w:t>
      </w:r>
      <w:r>
        <w:rPr>
          <w:sz w:val="24"/>
        </w:rPr>
        <w:t>9</w:t>
      </w:r>
      <w:r>
        <w:rPr>
          <w:rFonts w:hint="default"/>
          <w:sz w:val="24"/>
        </w:rPr>
        <w:t>）</w:t>
      </w:r>
      <w:r>
        <w:rPr>
          <w:rFonts w:ascii="宋体" w:hAnsi="宋体" w:cs="宋体"/>
          <w:sz w:val="24"/>
        </w:rPr>
        <w:t>评标标准相应的商务技术资料；</w:t>
      </w:r>
    </w:p>
    <w:p w14:paraId="7A1B7F4D">
      <w:pPr>
        <w:adjustRightInd w:val="0"/>
        <w:snapToGrid w:val="0"/>
        <w:spacing w:line="360" w:lineRule="auto"/>
        <w:ind w:firstLine="480" w:firstLineChars="200"/>
        <w:jc w:val="left"/>
        <w:rPr>
          <w:rFonts w:hint="default"/>
          <w:sz w:val="24"/>
        </w:rPr>
      </w:pPr>
      <w:r>
        <w:rPr>
          <w:sz w:val="24"/>
        </w:rPr>
        <w:t>（10）</w:t>
      </w:r>
      <w:r>
        <w:rPr>
          <w:rFonts w:hint="default"/>
          <w:sz w:val="24"/>
        </w:rPr>
        <w:t>其他必要提供的资料。</w:t>
      </w:r>
    </w:p>
    <w:p w14:paraId="7E1C2F54">
      <w:pPr>
        <w:adjustRightInd w:val="0"/>
        <w:snapToGrid w:val="0"/>
        <w:spacing w:line="360" w:lineRule="auto"/>
        <w:ind w:firstLine="472" w:firstLineChars="196"/>
        <w:jc w:val="left"/>
        <w:rPr>
          <w:rFonts w:hint="default"/>
          <w:b/>
          <w:sz w:val="24"/>
        </w:rPr>
      </w:pPr>
      <w:r>
        <w:rPr>
          <w:rFonts w:hint="default"/>
          <w:b/>
          <w:sz w:val="24"/>
        </w:rPr>
        <w:t>3.报价文件：</w:t>
      </w:r>
    </w:p>
    <w:p w14:paraId="56277D3A">
      <w:pPr>
        <w:adjustRightInd w:val="0"/>
        <w:snapToGrid w:val="0"/>
        <w:spacing w:line="360" w:lineRule="auto"/>
        <w:ind w:firstLine="480" w:firstLineChars="200"/>
        <w:jc w:val="left"/>
        <w:rPr>
          <w:rFonts w:hint="default"/>
          <w:sz w:val="24"/>
        </w:rPr>
      </w:pPr>
      <w:r>
        <w:rPr>
          <w:rFonts w:hint="default"/>
          <w:sz w:val="24"/>
        </w:rPr>
        <w:t>（1）开标一览表（格式见第六章）；</w:t>
      </w:r>
    </w:p>
    <w:p w14:paraId="0DE61743">
      <w:pPr>
        <w:tabs>
          <w:tab w:val="left" w:pos="3870"/>
          <w:tab w:val="left" w:pos="4085"/>
        </w:tabs>
        <w:snapToGrid w:val="0"/>
        <w:spacing w:line="360" w:lineRule="auto"/>
        <w:ind w:firstLine="480" w:firstLineChars="200"/>
        <w:rPr>
          <w:rFonts w:hint="default" w:ascii="宋体" w:hAnsi="宋体" w:cs="宋体"/>
          <w:sz w:val="24"/>
        </w:rPr>
      </w:pPr>
      <w:r>
        <w:rPr>
          <w:rFonts w:ascii="宋体" w:hAnsi="宋体" w:cs="宋体"/>
          <w:sz w:val="24"/>
        </w:rPr>
        <w:t>（2）</w:t>
      </w:r>
      <w:r>
        <w:rPr>
          <w:rFonts w:ascii="宋体" w:hAnsi="宋体" w:cs="宋体"/>
          <w:sz w:val="24"/>
          <w:szCs w:val="24"/>
        </w:rPr>
        <w:t>报价情况说明（如供应商报价低于项目最高限价45%的，应当提交本文档，详细阐述报价合理性相关的书面说明及必要的证明材料）；</w:t>
      </w:r>
    </w:p>
    <w:p w14:paraId="4987E11C">
      <w:pPr>
        <w:adjustRightInd w:val="0"/>
        <w:snapToGrid w:val="0"/>
        <w:spacing w:line="360" w:lineRule="auto"/>
        <w:ind w:firstLine="480" w:firstLineChars="200"/>
        <w:jc w:val="left"/>
        <w:rPr>
          <w:rFonts w:hint="default"/>
          <w:sz w:val="24"/>
        </w:rPr>
      </w:pPr>
      <w:r>
        <w:rPr>
          <w:rFonts w:hint="default"/>
          <w:sz w:val="24"/>
        </w:rPr>
        <w:t>（</w:t>
      </w:r>
      <w:r>
        <w:rPr>
          <w:sz w:val="24"/>
        </w:rPr>
        <w:t>3</w:t>
      </w:r>
      <w:r>
        <w:rPr>
          <w:rFonts w:hint="default"/>
          <w:sz w:val="24"/>
        </w:rPr>
        <w:t>）代理服务费支付承诺书</w:t>
      </w:r>
      <w:r>
        <w:rPr>
          <w:sz w:val="24"/>
        </w:rPr>
        <w:t>。</w:t>
      </w:r>
    </w:p>
    <w:p w14:paraId="5895620B">
      <w:pPr>
        <w:adjustRightInd w:val="0"/>
        <w:snapToGrid w:val="0"/>
        <w:spacing w:line="360" w:lineRule="auto"/>
        <w:ind w:firstLine="480" w:firstLineChars="200"/>
        <w:jc w:val="left"/>
        <w:rPr>
          <w:rFonts w:hint="default" w:ascii="宋体" w:hAnsi="宋体" w:cs="宋体"/>
          <w:sz w:val="24"/>
          <w:szCs w:val="24"/>
        </w:rPr>
      </w:pPr>
      <w:r>
        <w:rPr>
          <w:rFonts w:hint="default"/>
          <w:sz w:val="24"/>
        </w:rPr>
        <w:t>注：</w:t>
      </w:r>
      <w:r>
        <w:rPr>
          <w:rFonts w:hint="default"/>
          <w:b/>
          <w:bCs/>
          <w:sz w:val="24"/>
        </w:rPr>
        <w:t>1</w:t>
      </w:r>
      <w:r>
        <w:rPr>
          <w:rFonts w:ascii="宋体" w:hAnsi="宋体" w:cs="宋体"/>
          <w:b/>
          <w:bCs/>
          <w:sz w:val="24"/>
          <w:szCs w:val="24"/>
        </w:rPr>
        <w:t>）</w:t>
      </w:r>
      <w:r>
        <w:rPr>
          <w:rFonts w:hint="default"/>
          <w:b/>
          <w:bCs/>
          <w:sz w:val="24"/>
        </w:rPr>
        <w:t>如以联合体形式参加政府采购活动的，联合体各方应当指定牵头人，授权其代表所有联合体成员负责投标和合同实施阶段的主办、协调工作，并应当向采购代理机构提交由所有联合体成员各方法定代表人签署的授权书，同时应当提交联合协议，载明联合体各方承担的工作和义务。联合体协议中应当注明由联合体各成员方共同与采购人签订合</w:t>
      </w:r>
      <w:r>
        <w:rPr>
          <w:rFonts w:hint="default" w:ascii="宋体" w:hAnsi="宋体" w:cs="宋体"/>
          <w:b/>
          <w:bCs/>
          <w:sz w:val="24"/>
          <w:szCs w:val="24"/>
        </w:rPr>
        <w:t>同，并就采购合同约定的事项对采购人承担连带责任。联合体协议中仅约定由牵头人或联合体成员中某一方与采购人签订合同的，或联合体协议中仅约定由牵头人或联合体成员中某一方就采购合同约定的事项对采购人承担责任的，视为联合体协议不成立，该联合体投标文件将被作无效投标文件处理；(▲如以联合体形式参加政府采购活动的，联合体协议不符合投标文件规定的联合体协议要求的，投标无效。</w:t>
      </w:r>
      <w:r>
        <w:rPr>
          <w:rFonts w:hint="default" w:ascii="宋体" w:hAnsi="宋体" w:cs="宋体"/>
          <w:sz w:val="24"/>
          <w:szCs w:val="24"/>
        </w:rPr>
        <w:t>）</w:t>
      </w:r>
    </w:p>
    <w:p w14:paraId="1F3C3818">
      <w:pPr>
        <w:snapToGrid w:val="0"/>
        <w:spacing w:line="360" w:lineRule="auto"/>
        <w:ind w:firstLine="480" w:firstLineChars="200"/>
        <w:jc w:val="left"/>
        <w:rPr>
          <w:rFonts w:hint="default" w:ascii="宋体" w:hAnsi="宋体" w:cs="宋体"/>
          <w:sz w:val="24"/>
          <w:szCs w:val="24"/>
        </w:rPr>
      </w:pPr>
      <w:bookmarkStart w:id="44" w:name="_Toc27106"/>
      <w:bookmarkStart w:id="45" w:name="_Toc31780"/>
      <w:bookmarkStart w:id="46" w:name="_Toc1327"/>
      <w:bookmarkStart w:id="47" w:name="_Toc32602"/>
      <w:r>
        <w:rPr>
          <w:rFonts w:ascii="宋体" w:hAnsi="宋体" w:cs="宋体"/>
          <w:sz w:val="24"/>
          <w:szCs w:val="24"/>
        </w:rPr>
        <w:t>2）</w:t>
      </w:r>
      <w:r>
        <w:rPr>
          <w:rFonts w:hint="default" w:ascii="宋体" w:hAnsi="宋体" w:cs="宋体"/>
          <w:sz w:val="24"/>
          <w:szCs w:val="24"/>
        </w:rPr>
        <w:t>联合体各方资信情况证明文件（营业执照、符合资格条件的声明函、业绩证明材料）由各方成员盖章签字，其他内容以联合体牵头单位为主签署投标文件。</w:t>
      </w:r>
    </w:p>
    <w:p w14:paraId="289A9FF0">
      <w:pPr>
        <w:pStyle w:val="41"/>
        <w:spacing w:line="360" w:lineRule="auto"/>
        <w:ind w:left="0" w:leftChars="0" w:firstLine="480"/>
        <w:rPr>
          <w:rFonts w:hint="default" w:ascii="宋体" w:hAnsi="宋体" w:cs="宋体"/>
          <w:sz w:val="24"/>
        </w:rPr>
      </w:pPr>
      <w:r>
        <w:rPr>
          <w:rFonts w:ascii="宋体" w:hAnsi="宋体" w:cs="宋体"/>
          <w:sz w:val="24"/>
        </w:rPr>
        <w:t>3）附件中有参考格式的，参照格式，没有参考格式的，供应商根据招标文件要求自行编制。</w:t>
      </w:r>
    </w:p>
    <w:p w14:paraId="02FB8ED7">
      <w:pPr>
        <w:pStyle w:val="41"/>
        <w:adjustRightInd w:val="0"/>
        <w:snapToGrid w:val="0"/>
        <w:spacing w:after="0" w:line="360" w:lineRule="auto"/>
        <w:ind w:left="0" w:leftChars="0" w:firstLine="480"/>
        <w:rPr>
          <w:rFonts w:hint="default" w:ascii="宋体" w:hAnsi="宋体" w:cs="宋体"/>
          <w:sz w:val="24"/>
        </w:rPr>
      </w:pPr>
      <w:r>
        <w:rPr>
          <w:rFonts w:ascii="宋体" w:hAnsi="宋体" w:cs="宋体"/>
          <w:sz w:val="24"/>
        </w:rPr>
        <w:t>4）供应商应根据“政采云供应商项目采购-电子招投标操作指南”及本招标文件规定的格式和顺序编制电子响应文件并进行关联定位。以便评标委员会在评审过程中，点击评分项，可直接定位到该评分项内容。</w:t>
      </w:r>
    </w:p>
    <w:p w14:paraId="5B81DE92">
      <w:pPr>
        <w:adjustRightInd w:val="0"/>
        <w:snapToGrid w:val="0"/>
        <w:spacing w:line="360" w:lineRule="auto"/>
        <w:ind w:firstLine="472" w:firstLineChars="196"/>
        <w:jc w:val="left"/>
        <w:outlineLvl w:val="0"/>
        <w:rPr>
          <w:rFonts w:hint="default"/>
          <w:b/>
          <w:sz w:val="24"/>
        </w:rPr>
      </w:pPr>
      <w:bookmarkStart w:id="48" w:name="_Toc28575"/>
      <w:bookmarkStart w:id="49" w:name="_Toc15620"/>
      <w:r>
        <w:rPr>
          <w:rFonts w:hint="default"/>
          <w:b/>
          <w:sz w:val="24"/>
        </w:rPr>
        <w:t>（二）投标文件的语言及计量</w:t>
      </w:r>
      <w:bookmarkEnd w:id="44"/>
      <w:bookmarkEnd w:id="45"/>
      <w:bookmarkEnd w:id="46"/>
      <w:bookmarkEnd w:id="47"/>
      <w:bookmarkEnd w:id="48"/>
      <w:bookmarkEnd w:id="49"/>
    </w:p>
    <w:p w14:paraId="4E1A2F2A">
      <w:pPr>
        <w:adjustRightInd w:val="0"/>
        <w:snapToGrid w:val="0"/>
        <w:spacing w:line="360" w:lineRule="auto"/>
        <w:ind w:firstLine="480" w:firstLineChars="200"/>
        <w:jc w:val="left"/>
        <w:rPr>
          <w:rFonts w:hint="default"/>
          <w:sz w:val="24"/>
        </w:rPr>
      </w:pPr>
      <w:r>
        <w:rPr>
          <w:rFonts w:hint="default"/>
          <w:sz w:val="24"/>
        </w:rPr>
        <w:t>1.投标文件以及投标方与招标方就有关投标事宜的所有来往函电，均应以中文汉语书写。除签名、盖章、专用名称等特殊情形外，以中文汉语以外的文字表述的投标文件视同未提供。</w:t>
      </w:r>
    </w:p>
    <w:p w14:paraId="7275ED63">
      <w:pPr>
        <w:adjustRightInd w:val="0"/>
        <w:snapToGrid w:val="0"/>
        <w:spacing w:line="360" w:lineRule="auto"/>
        <w:ind w:firstLine="480" w:firstLineChars="200"/>
        <w:jc w:val="left"/>
        <w:rPr>
          <w:rFonts w:hint="default"/>
          <w:sz w:val="24"/>
        </w:rPr>
      </w:pPr>
      <w:r>
        <w:rPr>
          <w:rFonts w:hint="default"/>
          <w:sz w:val="24"/>
        </w:rPr>
        <w:t>2投标计量单位，招标文件已有明确规定的，使用招标文件规定的计量单位；招标文件没有规定的，应采用中华人民共和国法定计量单位（货币单位：人民币元），否则视同未响应。</w:t>
      </w:r>
    </w:p>
    <w:p w14:paraId="4FAD010F">
      <w:pPr>
        <w:adjustRightInd w:val="0"/>
        <w:snapToGrid w:val="0"/>
        <w:spacing w:line="360" w:lineRule="auto"/>
        <w:ind w:firstLine="472" w:firstLineChars="196"/>
        <w:jc w:val="left"/>
        <w:outlineLvl w:val="0"/>
        <w:rPr>
          <w:rFonts w:hint="default"/>
          <w:b/>
          <w:sz w:val="24"/>
        </w:rPr>
      </w:pPr>
      <w:bookmarkStart w:id="50" w:name="_Toc27951"/>
      <w:bookmarkStart w:id="51" w:name="_Toc323"/>
      <w:bookmarkStart w:id="52" w:name="_Toc10791"/>
      <w:bookmarkStart w:id="53" w:name="_Toc447"/>
      <w:bookmarkStart w:id="54" w:name="_Toc2734"/>
      <w:bookmarkStart w:id="55" w:name="_Toc26081"/>
      <w:r>
        <w:rPr>
          <w:rFonts w:hint="default"/>
          <w:b/>
          <w:sz w:val="24"/>
        </w:rPr>
        <w:t>（三）投标报价</w:t>
      </w:r>
      <w:bookmarkEnd w:id="50"/>
      <w:bookmarkEnd w:id="51"/>
      <w:bookmarkEnd w:id="52"/>
      <w:bookmarkEnd w:id="53"/>
      <w:bookmarkEnd w:id="54"/>
      <w:bookmarkEnd w:id="55"/>
    </w:p>
    <w:p w14:paraId="73707464">
      <w:pPr>
        <w:snapToGrid w:val="0"/>
        <w:spacing w:line="360" w:lineRule="auto"/>
        <w:ind w:firstLine="480" w:firstLineChars="200"/>
        <w:rPr>
          <w:rFonts w:hint="default" w:ascii="宋体" w:hAnsi="宋体" w:cs="宋体"/>
          <w:sz w:val="24"/>
        </w:rPr>
      </w:pPr>
      <w:r>
        <w:rPr>
          <w:rFonts w:ascii="宋体" w:hAnsi="宋体" w:cs="宋体"/>
          <w:sz w:val="24"/>
        </w:rPr>
        <w:t>1.报价应按采购文件中相关附表格式填写。</w:t>
      </w:r>
    </w:p>
    <w:p w14:paraId="44DAA412">
      <w:pPr>
        <w:snapToGrid w:val="0"/>
        <w:spacing w:line="360" w:lineRule="auto"/>
        <w:ind w:firstLine="480" w:firstLineChars="200"/>
        <w:rPr>
          <w:rFonts w:hint="default" w:ascii="宋体" w:hAnsi="宋体" w:cs="宋体"/>
          <w:sz w:val="24"/>
        </w:rPr>
      </w:pPr>
      <w:r>
        <w:rPr>
          <w:rFonts w:ascii="宋体" w:hAnsi="宋体" w:cs="宋体"/>
          <w:sz w:val="24"/>
        </w:rPr>
        <w:t>2.投标人根据招标文件的要求，</w:t>
      </w:r>
      <w:r>
        <w:rPr>
          <w:rFonts w:ascii="宋体" w:hAnsi="宋体" w:cs="宋体"/>
          <w:kern w:val="0"/>
          <w:sz w:val="24"/>
          <w:lang w:val="zh-CN"/>
        </w:rPr>
        <w:t>有关本项目实施所需的所有费用（含税费）均计入报价</w:t>
      </w:r>
      <w:r>
        <w:rPr>
          <w:rFonts w:ascii="宋体" w:hAnsi="宋体" w:cs="宋体"/>
          <w:sz w:val="24"/>
        </w:rPr>
        <w:t>。</w:t>
      </w:r>
    </w:p>
    <w:p w14:paraId="717FB7D3">
      <w:pPr>
        <w:adjustRightInd w:val="0"/>
        <w:snapToGrid w:val="0"/>
        <w:spacing w:line="360" w:lineRule="auto"/>
        <w:ind w:firstLine="482" w:firstLineChars="200"/>
        <w:jc w:val="left"/>
        <w:rPr>
          <w:rFonts w:hint="default"/>
          <w:b/>
          <w:bCs/>
          <w:sz w:val="24"/>
        </w:rPr>
      </w:pPr>
      <w:r>
        <w:rPr>
          <w:b/>
          <w:bCs/>
          <w:sz w:val="24"/>
        </w:rPr>
        <w:t>3</w:t>
      </w:r>
      <w:r>
        <w:rPr>
          <w:rFonts w:hint="default"/>
          <w:b/>
          <w:bCs/>
          <w:sz w:val="24"/>
        </w:rPr>
        <w:t>.投标文件只允许有一个报价，有选择或有条件的报价将不予接受，其投标无效。</w:t>
      </w:r>
    </w:p>
    <w:p w14:paraId="685418A6">
      <w:pPr>
        <w:pStyle w:val="9"/>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（四）投标文件的有效期</w:t>
      </w:r>
    </w:p>
    <w:p w14:paraId="2C57F50A">
      <w:pPr>
        <w:pStyle w:val="9"/>
        <w:widowControl w:val="0"/>
        <w:numPr>
          <w:ilvl w:val="0"/>
          <w:numId w:val="0"/>
        </w:numPr>
        <w:adjustRightInd w:val="0"/>
        <w:snapToGrid w:val="0"/>
        <w:spacing w:afterLines="0" w:line="360" w:lineRule="auto"/>
        <w:ind w:firstLine="482" w:firstLineChars="200"/>
        <w:rPr>
          <w:rFonts w:hint="default"/>
          <w:b/>
          <w:bCs/>
          <w:szCs w:val="24"/>
        </w:rPr>
      </w:pPr>
      <w:r>
        <w:rPr>
          <w:rFonts w:hint="default"/>
          <w:b/>
          <w:bCs/>
          <w:szCs w:val="24"/>
        </w:rPr>
        <w:t>1.自投标截止日起</w:t>
      </w:r>
      <w:r>
        <w:rPr>
          <w:rFonts w:hint="default"/>
          <w:b/>
          <w:bCs/>
          <w:szCs w:val="24"/>
          <w:u w:val="single"/>
        </w:rPr>
        <w:t xml:space="preserve"> 90 </w:t>
      </w:r>
      <w:r>
        <w:rPr>
          <w:rFonts w:hint="default"/>
          <w:b/>
          <w:bCs/>
          <w:szCs w:val="24"/>
        </w:rPr>
        <w:t>天投标文件应保持有效。有效期不足的投标文件将被视为无效。</w:t>
      </w:r>
    </w:p>
    <w:p w14:paraId="4BD7C7F2">
      <w:pPr>
        <w:pStyle w:val="9"/>
        <w:widowControl w:val="0"/>
        <w:numPr>
          <w:ilvl w:val="0"/>
          <w:numId w:val="0"/>
        </w:numPr>
        <w:adjustRightInd w:val="0"/>
        <w:snapToGrid w:val="0"/>
        <w:spacing w:afterLines="0" w:line="360" w:lineRule="auto"/>
        <w:ind w:firstLine="480" w:firstLineChars="200"/>
        <w:rPr>
          <w:rFonts w:hint="default"/>
          <w:szCs w:val="24"/>
        </w:rPr>
      </w:pPr>
      <w:r>
        <w:rPr>
          <w:rFonts w:hint="default"/>
          <w:szCs w:val="24"/>
        </w:rPr>
        <w:t>2.在特殊情况下，采购人可与投标人协商延长投标书的有效期，这种要求和答复均以书面形式进行。</w:t>
      </w:r>
    </w:p>
    <w:p w14:paraId="4AC95031">
      <w:pPr>
        <w:adjustRightInd w:val="0"/>
        <w:snapToGrid w:val="0"/>
        <w:spacing w:line="360" w:lineRule="auto"/>
        <w:ind w:firstLine="480" w:firstLineChars="200"/>
        <w:jc w:val="left"/>
        <w:outlineLvl w:val="0"/>
        <w:rPr>
          <w:rFonts w:hint="default"/>
          <w:b/>
          <w:sz w:val="24"/>
        </w:rPr>
      </w:pPr>
      <w:bookmarkStart w:id="56" w:name="_Toc25306"/>
      <w:bookmarkStart w:id="57" w:name="_Toc7404"/>
      <w:bookmarkStart w:id="58" w:name="_Toc22937"/>
      <w:bookmarkStart w:id="59" w:name="_Toc28284"/>
      <w:bookmarkStart w:id="60" w:name="_Toc21096"/>
      <w:bookmarkStart w:id="61" w:name="_Toc6192"/>
      <w:r>
        <w:rPr>
          <w:rFonts w:hint="default"/>
          <w:sz w:val="24"/>
        </w:rPr>
        <w:t>3.投标人可拒绝接受延期要求。同意延长有效期的，投标人不能修改其投标文件。</w:t>
      </w:r>
      <w:bookmarkEnd w:id="56"/>
      <w:bookmarkEnd w:id="57"/>
      <w:bookmarkEnd w:id="58"/>
      <w:bookmarkEnd w:id="59"/>
      <w:bookmarkEnd w:id="60"/>
      <w:bookmarkEnd w:id="61"/>
    </w:p>
    <w:p w14:paraId="5931F8AD">
      <w:pPr>
        <w:adjustRightInd w:val="0"/>
        <w:snapToGrid w:val="0"/>
        <w:spacing w:line="360" w:lineRule="auto"/>
        <w:ind w:firstLine="480" w:firstLineChars="200"/>
        <w:jc w:val="left"/>
        <w:outlineLvl w:val="0"/>
        <w:rPr>
          <w:rFonts w:hint="default"/>
          <w:b/>
          <w:sz w:val="24"/>
        </w:rPr>
      </w:pPr>
      <w:bookmarkStart w:id="62" w:name="_Toc3605"/>
      <w:bookmarkStart w:id="63" w:name="_Toc25512"/>
      <w:bookmarkStart w:id="64" w:name="_Toc25807"/>
      <w:bookmarkStart w:id="65" w:name="_Toc17993"/>
      <w:bookmarkStart w:id="66" w:name="_Toc28942"/>
      <w:bookmarkStart w:id="67" w:name="_Toc14664"/>
      <w:r>
        <w:rPr>
          <w:rFonts w:hint="default"/>
          <w:sz w:val="24"/>
        </w:rPr>
        <w:t>4.中标人的投标文件自开标之日起至合同履行完毕止均应保持有效。</w:t>
      </w:r>
      <w:bookmarkEnd w:id="62"/>
      <w:bookmarkEnd w:id="63"/>
      <w:bookmarkEnd w:id="64"/>
      <w:bookmarkEnd w:id="65"/>
      <w:bookmarkEnd w:id="66"/>
      <w:bookmarkEnd w:id="67"/>
    </w:p>
    <w:p w14:paraId="4A65C8AF">
      <w:pPr>
        <w:pStyle w:val="9"/>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（五）投标文件的编制</w:t>
      </w:r>
    </w:p>
    <w:p w14:paraId="4BF0F8F7">
      <w:pPr>
        <w:autoSpaceDE w:val="0"/>
        <w:autoSpaceDN w:val="0"/>
        <w:adjustRightInd w:val="0"/>
        <w:snapToGrid w:val="0"/>
        <w:spacing w:line="360" w:lineRule="auto"/>
        <w:ind w:left="359" w:leftChars="171" w:firstLine="120" w:firstLineChars="50"/>
        <w:rPr>
          <w:rFonts w:hint="default" w:ascii="宋体" w:hAnsi="宋体" w:cs="宋体"/>
          <w:sz w:val="24"/>
        </w:rPr>
      </w:pPr>
      <w:r>
        <w:rPr>
          <w:rFonts w:ascii="宋体" w:hAnsi="宋体" w:cs="宋体"/>
          <w:sz w:val="24"/>
        </w:rPr>
        <w:t>1.“电子加密投标文件”：</w:t>
      </w:r>
    </w:p>
    <w:p w14:paraId="04692123">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（1）“电子加密投标文件”是指通过“政采云电子交易客户端”完成投标文件编制后生成并加密的数据电文形式的投标文件。</w:t>
      </w:r>
    </w:p>
    <w:p w14:paraId="3D9E58D5">
      <w:pPr>
        <w:spacing w:line="360" w:lineRule="auto"/>
        <w:ind w:firstLine="360" w:firstLineChars="150"/>
        <w:rPr>
          <w:rFonts w:hint="default" w:ascii="宋体" w:hAnsi="宋体" w:cs="宋体"/>
          <w:sz w:val="24"/>
        </w:rPr>
      </w:pPr>
      <w:r>
        <w:rPr>
          <w:rFonts w:ascii="宋体" w:hAnsi="宋体" w:cs="宋体"/>
          <w:sz w:val="24"/>
        </w:rPr>
        <w:t>（2）供应商应先安装“政采云电子交易客户端”，并按照本招标文件和“政府采购云平台”的要求，通过“政采云电子交易客户端”编制并加密投标文件。</w:t>
      </w:r>
    </w:p>
    <w:p w14:paraId="209A77BB">
      <w:pPr>
        <w:spacing w:line="360" w:lineRule="auto"/>
        <w:ind w:left="359" w:leftChars="171" w:firstLine="120" w:firstLineChars="50"/>
        <w:rPr>
          <w:rFonts w:hint="default" w:ascii="宋体" w:hAnsi="宋体" w:cs="宋体"/>
          <w:sz w:val="24"/>
        </w:rPr>
      </w:pPr>
      <w:r>
        <w:rPr>
          <w:rFonts w:ascii="宋体" w:hAnsi="宋体" w:cs="宋体"/>
          <w:sz w:val="24"/>
        </w:rPr>
        <w:t>2.“电子备份投标文件”：</w:t>
      </w:r>
    </w:p>
    <w:p w14:paraId="3D05F67C">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（1）投标人在电子交易平台传输递交投标文件后，还可以在投标截止时间前直接提交或者以邮政快递方式递交备份投标文件1份，</w:t>
      </w:r>
      <w:r>
        <w:rPr>
          <w:rFonts w:ascii="宋体" w:hAnsi="宋体" w:cs="宋体"/>
          <w:b/>
          <w:bCs/>
          <w:sz w:val="24"/>
        </w:rPr>
        <w:t>但采购人、采购代理机构不强制或变相强制投标人提交备份投标文</w:t>
      </w:r>
      <w:r>
        <w:rPr>
          <w:rFonts w:ascii="宋体" w:hAnsi="宋体" w:cs="宋体"/>
          <w:sz w:val="24"/>
        </w:rPr>
        <w:t>件。</w:t>
      </w:r>
    </w:p>
    <w:p w14:paraId="292C9D34">
      <w:pPr>
        <w:autoSpaceDE w:val="0"/>
        <w:autoSpaceDN w:val="0"/>
        <w:adjustRightInd w:val="0"/>
        <w:snapToGrid w:val="0"/>
        <w:spacing w:line="360" w:lineRule="auto"/>
        <w:ind w:firstLine="360" w:firstLineChars="150"/>
        <w:rPr>
          <w:rFonts w:hint="default" w:ascii="宋体" w:hAnsi="宋体" w:cs="宋体"/>
          <w:b/>
          <w:bCs/>
          <w:sz w:val="24"/>
        </w:rPr>
      </w:pPr>
      <w:r>
        <w:rPr>
          <w:rFonts w:ascii="宋体" w:hAnsi="宋体" w:cs="宋体"/>
          <w:sz w:val="24"/>
        </w:rPr>
        <w:t>（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ascii="宋体" w:hAnsi="宋体" w:cs="宋体"/>
          <w:b/>
          <w:bCs/>
          <w:sz w:val="24"/>
        </w:rPr>
        <w:t>不符合上述制作、存储、密封规定的备份投标文件将被视为无效或者被拒绝接收。</w:t>
      </w:r>
    </w:p>
    <w:p w14:paraId="389298B7">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（3）直接提交备份投标文件的，投标人应于投标截止时间前在招标公告中载明的开标地点将备份投标文件提交给采购代理机构，采购代理机构将拒绝接受逾期送达的备份投标文件。</w:t>
      </w:r>
    </w:p>
    <w:p w14:paraId="14BF77CD">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0D01B4DD">
      <w:pPr>
        <w:autoSpaceDE w:val="0"/>
        <w:autoSpaceDN w:val="0"/>
        <w:adjustRightInd w:val="0"/>
        <w:snapToGrid w:val="0"/>
        <w:spacing w:line="360" w:lineRule="auto"/>
        <w:ind w:firstLine="361" w:firstLineChars="150"/>
        <w:rPr>
          <w:rFonts w:hint="default" w:ascii="宋体" w:hAnsi="宋体" w:cs="宋体"/>
          <w:b/>
          <w:bCs/>
          <w:sz w:val="24"/>
        </w:rPr>
      </w:pPr>
      <w:r>
        <w:rPr>
          <w:rFonts w:ascii="宋体" w:hAnsi="宋体" w:cs="宋体"/>
          <w:b/>
          <w:bCs/>
          <w:sz w:val="24"/>
        </w:rPr>
        <w:t>（5）投标人仅提交备份投标文件，未在电子交易平台传输递交投标文件的，投标无效。</w:t>
      </w:r>
    </w:p>
    <w:p w14:paraId="1686E944">
      <w:pPr>
        <w:pStyle w:val="9"/>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（六）投标文件的签章</w:t>
      </w:r>
    </w:p>
    <w:p w14:paraId="6DED0865">
      <w:pPr>
        <w:adjustRightInd w:val="0"/>
        <w:snapToGrid w:val="0"/>
        <w:spacing w:line="360" w:lineRule="auto"/>
        <w:ind w:firstLine="472" w:firstLineChars="197"/>
        <w:jc w:val="left"/>
        <w:rPr>
          <w:rFonts w:hint="default"/>
          <w:sz w:val="24"/>
        </w:rPr>
      </w:pPr>
      <w:r>
        <w:rPr>
          <w:rFonts w:hint="default"/>
          <w:sz w:val="24"/>
        </w:rPr>
        <w:t>采用电子签章。</w:t>
      </w:r>
    </w:p>
    <w:p w14:paraId="52140889">
      <w:pPr>
        <w:pStyle w:val="9"/>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（七）投标文件的包装、密封和递交</w:t>
      </w:r>
    </w:p>
    <w:p w14:paraId="76A8673D">
      <w:pPr>
        <w:autoSpaceDE w:val="0"/>
        <w:autoSpaceDN w:val="0"/>
        <w:adjustRightInd w:val="0"/>
        <w:snapToGrid w:val="0"/>
        <w:spacing w:line="360" w:lineRule="auto"/>
        <w:ind w:firstLine="480" w:firstLineChars="200"/>
        <w:textAlignment w:val="bottom"/>
        <w:rPr>
          <w:rFonts w:hint="default"/>
          <w:sz w:val="24"/>
        </w:rPr>
      </w:pPr>
      <w:r>
        <w:rPr>
          <w:rFonts w:hint="default"/>
          <w:sz w:val="24"/>
        </w:rPr>
        <w:t>1.“电子加密投标文件”的递交：在线上传递交。</w:t>
      </w:r>
    </w:p>
    <w:p w14:paraId="1D32BC26">
      <w:pPr>
        <w:adjustRightInd w:val="0"/>
        <w:snapToGrid w:val="0"/>
        <w:spacing w:line="360" w:lineRule="auto"/>
        <w:ind w:firstLine="361" w:firstLineChars="150"/>
        <w:rPr>
          <w:rFonts w:hint="default"/>
          <w:b/>
          <w:bCs/>
          <w:sz w:val="24"/>
        </w:rPr>
      </w:pPr>
      <w:r>
        <w:rPr>
          <w:rFonts w:hint="default"/>
          <w:b/>
          <w:bCs/>
          <w:sz w:val="24"/>
        </w:rPr>
        <w:t>（1）供应商应在投标截止时间前将“电子加密投标文件”成功上传递交至“政府采购云平台”，否则投标无效。</w:t>
      </w:r>
    </w:p>
    <w:p w14:paraId="6678E859">
      <w:pPr>
        <w:adjustRightInd w:val="0"/>
        <w:snapToGrid w:val="0"/>
        <w:spacing w:line="360" w:lineRule="auto"/>
        <w:ind w:left="959" w:leftChars="171" w:hanging="600" w:hangingChars="250"/>
        <w:rPr>
          <w:rFonts w:hint="default"/>
          <w:sz w:val="24"/>
        </w:rPr>
      </w:pPr>
      <w:r>
        <w:rPr>
          <w:rFonts w:hint="default"/>
          <w:sz w:val="24"/>
        </w:rPr>
        <w:t>（2）“电子加密投标文件”成功上传递交后，供应商可自行打印投标文件接收回执。</w:t>
      </w:r>
    </w:p>
    <w:p w14:paraId="7403393D">
      <w:pPr>
        <w:adjustRightInd w:val="0"/>
        <w:snapToGrid w:val="0"/>
        <w:spacing w:line="360" w:lineRule="auto"/>
        <w:ind w:firstLine="480" w:firstLineChars="200"/>
        <w:rPr>
          <w:rFonts w:hint="default"/>
          <w:sz w:val="24"/>
        </w:rPr>
      </w:pPr>
      <w:r>
        <w:rPr>
          <w:rFonts w:hint="default"/>
          <w:sz w:val="24"/>
        </w:rPr>
        <w:t>2.“电子备份投标文件”的密封、包装和递交：</w:t>
      </w:r>
    </w:p>
    <w:p w14:paraId="528E88FD">
      <w:pPr>
        <w:adjustRightInd w:val="0"/>
        <w:snapToGrid w:val="0"/>
        <w:spacing w:line="360" w:lineRule="auto"/>
        <w:ind w:firstLine="360" w:firstLineChars="150"/>
        <w:rPr>
          <w:rFonts w:hint="default"/>
          <w:sz w:val="24"/>
        </w:rPr>
      </w:pPr>
      <w:r>
        <w:rPr>
          <w:rFonts w:hint="default"/>
          <w:sz w:val="24"/>
        </w:rPr>
        <w:t>（1）供应商可自主选择是否递交“电子备份投标文件”。</w:t>
      </w:r>
    </w:p>
    <w:p w14:paraId="3C4563F7">
      <w:pPr>
        <w:adjustRightInd w:val="0"/>
        <w:snapToGrid w:val="0"/>
        <w:spacing w:line="360" w:lineRule="auto"/>
        <w:ind w:firstLine="360" w:firstLineChars="150"/>
        <w:rPr>
          <w:rFonts w:hint="default"/>
          <w:sz w:val="24"/>
        </w:rPr>
      </w:pPr>
      <w:r>
        <w:rPr>
          <w:rFonts w:hint="default"/>
          <w:sz w:val="24"/>
        </w:rPr>
        <w:t>（2）“电子备份投标文件”存入U盘（一份）。</w:t>
      </w:r>
    </w:p>
    <w:p w14:paraId="06303857">
      <w:pPr>
        <w:autoSpaceDE w:val="0"/>
        <w:autoSpaceDN w:val="0"/>
        <w:adjustRightInd w:val="0"/>
        <w:snapToGrid w:val="0"/>
        <w:spacing w:line="360" w:lineRule="auto"/>
        <w:ind w:firstLine="360" w:firstLineChars="150"/>
        <w:textAlignment w:val="bottom"/>
        <w:rPr>
          <w:rFonts w:hint="default"/>
          <w:sz w:val="24"/>
        </w:rPr>
      </w:pPr>
      <w:r>
        <w:rPr>
          <w:rFonts w:hint="default"/>
          <w:sz w:val="24"/>
        </w:rPr>
        <w:t>（3）“电子备份投标文件” 应当在投标截止时间前以邮寄或送达方式递交。</w:t>
      </w:r>
    </w:p>
    <w:p w14:paraId="6AD44296">
      <w:pPr>
        <w:adjustRightInd w:val="0"/>
        <w:snapToGrid w:val="0"/>
        <w:spacing w:line="360" w:lineRule="auto"/>
        <w:ind w:firstLine="352" w:firstLineChars="147"/>
        <w:jc w:val="left"/>
        <w:rPr>
          <w:rFonts w:hint="default"/>
          <w:b/>
          <w:sz w:val="24"/>
        </w:rPr>
      </w:pPr>
      <w:r>
        <w:rPr>
          <w:rFonts w:hint="default"/>
          <w:sz w:val="24"/>
        </w:rPr>
        <w:t>（4）“电子备投标应文件”应当密封包装，并在包装上标注投标项目编号、项目名称、投标单位名称等并加盖公章（详见第六章投标文件格式）。</w:t>
      </w:r>
    </w:p>
    <w:p w14:paraId="7B87B3E0">
      <w:pPr>
        <w:adjustRightInd w:val="0"/>
        <w:snapToGrid w:val="0"/>
        <w:spacing w:line="360" w:lineRule="auto"/>
        <w:ind w:firstLine="354" w:firstLineChars="147"/>
        <w:jc w:val="left"/>
        <w:rPr>
          <w:rFonts w:hint="default"/>
          <w:b/>
          <w:sz w:val="24"/>
        </w:rPr>
      </w:pPr>
      <w:r>
        <w:rPr>
          <w:rFonts w:hint="default"/>
          <w:b/>
          <w:sz w:val="24"/>
        </w:rPr>
        <w:t>（八）投标文件的修改和撤回</w:t>
      </w:r>
    </w:p>
    <w:p w14:paraId="433CA60F">
      <w:pPr>
        <w:adjustRightInd w:val="0"/>
        <w:snapToGrid w:val="0"/>
        <w:spacing w:line="360" w:lineRule="auto"/>
        <w:ind w:firstLine="480" w:firstLineChars="200"/>
        <w:rPr>
          <w:rFonts w:hint="default" w:ascii="宋体" w:hAnsi="宋体" w:cs="宋体"/>
          <w:sz w:val="24"/>
        </w:rPr>
      </w:pPr>
      <w:r>
        <w:rPr>
          <w:rFonts w:ascii="宋体" w:hAnsi="宋体" w:cs="宋体"/>
          <w:sz w:val="24"/>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083F47E">
      <w:pPr>
        <w:adjustRightInd w:val="0"/>
        <w:snapToGrid w:val="0"/>
        <w:spacing w:line="360" w:lineRule="auto"/>
        <w:ind w:firstLine="480" w:firstLineChars="200"/>
        <w:rPr>
          <w:rFonts w:hint="default" w:ascii="宋体" w:hAnsi="宋体" w:cs="宋体"/>
          <w:sz w:val="24"/>
        </w:rPr>
      </w:pPr>
      <w:r>
        <w:rPr>
          <w:rFonts w:ascii="宋体" w:hAnsi="宋体" w:cs="宋体"/>
          <w:sz w:val="24"/>
        </w:rPr>
        <w:t>2.电子交易平台收到投标文件，将妥善保存并即时向供应商发出确认回执通知。在投标截止时间前，除供应商补充、修改或者撤回投标文件外，任何单位和个人不得解密或提取投标文件。</w:t>
      </w:r>
    </w:p>
    <w:p w14:paraId="0B43F0C7">
      <w:pPr>
        <w:adjustRightInd w:val="0"/>
        <w:snapToGrid w:val="0"/>
        <w:spacing w:line="360" w:lineRule="auto"/>
        <w:ind w:firstLine="480" w:firstLineChars="200"/>
        <w:rPr>
          <w:rFonts w:hint="default" w:ascii="宋体" w:hAnsi="宋体" w:cs="宋体"/>
          <w:sz w:val="24"/>
        </w:rPr>
      </w:pPr>
      <w:r>
        <w:rPr>
          <w:rFonts w:ascii="宋体" w:hAnsi="宋体" w:cs="宋体"/>
          <w:sz w:val="24"/>
        </w:rPr>
        <w:t>3.采购人、采购代理机构可以视情况延长投标文件提交的截止时间。在上述情况下，采购代理机构与投标人以前在投标截止期方面的全部权利、责任和义务，将适用于延长至新的投标截止期。</w:t>
      </w:r>
    </w:p>
    <w:p w14:paraId="1022EDD6">
      <w:pPr>
        <w:pStyle w:val="15"/>
        <w:adjustRightInd w:val="0"/>
        <w:snapToGrid w:val="0"/>
        <w:spacing w:line="360" w:lineRule="auto"/>
        <w:ind w:firstLine="0"/>
        <w:outlineLvl w:val="1"/>
        <w:rPr>
          <w:rFonts w:hint="default" w:ascii="Times New Roman" w:hAnsi="Times New Roman"/>
          <w:b/>
          <w:snapToGrid w:val="0"/>
          <w:sz w:val="28"/>
          <w:szCs w:val="28"/>
        </w:rPr>
      </w:pPr>
      <w:r>
        <w:rPr>
          <w:rFonts w:hint="default" w:ascii="Times New Roman" w:hAnsi="Times New Roman"/>
          <w:b/>
          <w:sz w:val="28"/>
          <w:szCs w:val="28"/>
        </w:rPr>
        <w:t>四、开标</w:t>
      </w:r>
    </w:p>
    <w:p w14:paraId="6955C4E1">
      <w:pPr>
        <w:pStyle w:val="4"/>
        <w:adjustRightInd w:val="0"/>
        <w:snapToGrid w:val="0"/>
        <w:spacing w:before="0" w:after="0" w:line="360" w:lineRule="auto"/>
        <w:ind w:left="716" w:leftChars="171" w:hanging="357" w:hangingChars="148"/>
        <w:rPr>
          <w:rFonts w:hint="default"/>
          <w:sz w:val="24"/>
          <w:szCs w:val="24"/>
        </w:rPr>
      </w:pPr>
      <w:r>
        <w:rPr>
          <w:rFonts w:hint="default"/>
          <w:sz w:val="24"/>
          <w:szCs w:val="24"/>
        </w:rPr>
        <w:t>（一）开标形式</w:t>
      </w:r>
    </w:p>
    <w:p w14:paraId="4A65CC9F">
      <w:pPr>
        <w:adjustRightInd w:val="0"/>
        <w:snapToGrid w:val="0"/>
        <w:spacing w:line="360" w:lineRule="auto"/>
        <w:ind w:firstLine="424" w:firstLineChars="177"/>
        <w:rPr>
          <w:rFonts w:hint="default"/>
          <w:sz w:val="24"/>
        </w:rPr>
      </w:pPr>
      <w:r>
        <w:rPr>
          <w:rFonts w:hint="default"/>
          <w:sz w:val="24"/>
        </w:rPr>
        <w:t>1.采购组织机构（即代理机构）将按照招标文件规定的时间通过“政府采购云平台”组织在线开标，所有投标供应商均应当准时在线参加。</w:t>
      </w:r>
    </w:p>
    <w:p w14:paraId="6E920774">
      <w:pPr>
        <w:pStyle w:val="4"/>
        <w:adjustRightInd w:val="0"/>
        <w:snapToGrid w:val="0"/>
        <w:spacing w:before="0" w:after="0" w:line="360" w:lineRule="auto"/>
        <w:ind w:left="716" w:leftChars="171" w:hanging="357" w:hangingChars="148"/>
        <w:rPr>
          <w:rFonts w:hint="default"/>
          <w:sz w:val="24"/>
          <w:szCs w:val="24"/>
        </w:rPr>
      </w:pPr>
      <w:r>
        <w:rPr>
          <w:rFonts w:hint="default"/>
          <w:sz w:val="24"/>
          <w:szCs w:val="24"/>
        </w:rPr>
        <w:t>（二）开标准备</w:t>
      </w:r>
    </w:p>
    <w:p w14:paraId="65732D5A">
      <w:pPr>
        <w:adjustRightInd w:val="0"/>
        <w:snapToGrid w:val="0"/>
        <w:spacing w:line="360" w:lineRule="auto"/>
        <w:ind w:firstLine="422" w:firstLineChars="176"/>
        <w:rPr>
          <w:rFonts w:hint="default"/>
          <w:kern w:val="0"/>
          <w:sz w:val="24"/>
        </w:rPr>
      </w:pPr>
      <w:r>
        <w:rPr>
          <w:rFonts w:hint="default"/>
          <w:kern w:val="0"/>
          <w:sz w:val="24"/>
        </w:rPr>
        <w:t>1.开标的准备工作由</w:t>
      </w:r>
      <w:r>
        <w:rPr>
          <w:rFonts w:hint="default"/>
          <w:sz w:val="24"/>
        </w:rPr>
        <w:t>采购组织机构</w:t>
      </w:r>
      <w:r>
        <w:rPr>
          <w:rFonts w:hint="default"/>
          <w:kern w:val="0"/>
          <w:sz w:val="24"/>
        </w:rPr>
        <w:t>负责落实。</w:t>
      </w:r>
    </w:p>
    <w:p w14:paraId="28072D43">
      <w:pPr>
        <w:adjustRightInd w:val="0"/>
        <w:snapToGrid w:val="0"/>
        <w:spacing w:line="360" w:lineRule="auto"/>
        <w:ind w:firstLine="422" w:firstLineChars="176"/>
        <w:rPr>
          <w:rFonts w:hint="default"/>
          <w:kern w:val="0"/>
          <w:sz w:val="24"/>
        </w:rPr>
      </w:pPr>
      <w:r>
        <w:rPr>
          <w:rFonts w:hint="default"/>
          <w:kern w:val="0"/>
          <w:sz w:val="24"/>
        </w:rPr>
        <w:t>2.</w:t>
      </w:r>
      <w:r>
        <w:rPr>
          <w:rFonts w:hint="default"/>
          <w:sz w:val="24"/>
        </w:rPr>
        <w:t>采购组织机构将按照招标文件规定的时间通过“政府采购云平台”组织开标，所有投标供应商均应当准时在线参加。</w:t>
      </w:r>
      <w:r>
        <w:rPr>
          <w:rFonts w:hint="default"/>
          <w:kern w:val="0"/>
          <w:sz w:val="24"/>
        </w:rPr>
        <w:t>投标供应商自行承担因不参加在线开标而产生的不利后果。</w:t>
      </w:r>
    </w:p>
    <w:p w14:paraId="66FFBAE4">
      <w:pPr>
        <w:pStyle w:val="4"/>
        <w:adjustRightInd w:val="0"/>
        <w:snapToGrid w:val="0"/>
        <w:spacing w:before="0" w:after="0" w:line="360" w:lineRule="auto"/>
        <w:ind w:left="716" w:leftChars="171" w:hanging="357" w:hangingChars="148"/>
        <w:rPr>
          <w:rFonts w:hint="default"/>
          <w:sz w:val="24"/>
          <w:szCs w:val="24"/>
        </w:rPr>
      </w:pPr>
      <w:r>
        <w:rPr>
          <w:rFonts w:hint="default"/>
          <w:sz w:val="24"/>
          <w:szCs w:val="24"/>
        </w:rPr>
        <w:t>（三）开标流程</w:t>
      </w:r>
    </w:p>
    <w:p w14:paraId="6F467101">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1.开标</w:t>
      </w:r>
    </w:p>
    <w:p w14:paraId="45BC37F9">
      <w:pPr>
        <w:adjustRightInd w:val="0"/>
        <w:snapToGrid w:val="0"/>
        <w:spacing w:line="360" w:lineRule="auto"/>
        <w:ind w:firstLine="424" w:firstLineChars="177"/>
        <w:rPr>
          <w:rFonts w:hint="default" w:ascii="宋体" w:hAnsi="宋体" w:cs="宋体"/>
          <w:kern w:val="0"/>
          <w:sz w:val="24"/>
        </w:rPr>
      </w:pPr>
      <w:r>
        <w:rPr>
          <w:rFonts w:ascii="宋体" w:hAnsi="宋体" w:cs="宋体"/>
          <w:sz w:val="24"/>
        </w:rPr>
        <w:t>开标时，电子交易平台按开标时间自动提取所有投标文件。采购代理机构依托电子交易平台发起开始解密指令，投标人按照平台提示和招标文件的规定在半小时内完成在线解密。</w:t>
      </w:r>
      <w:r>
        <w:rPr>
          <w:rFonts w:ascii="宋体" w:hAnsi="宋体" w:cs="宋体"/>
          <w:b/>
          <w:sz w:val="24"/>
        </w:rPr>
        <w:t>投标文件未按时解密，投标人提供了备份投标文件的，以备份投标文件作为依据，否则视为投标文件撤回。投标文件已按时解密的，备份投标文件自动失效。</w:t>
      </w:r>
    </w:p>
    <w:p w14:paraId="59A38213">
      <w:pPr>
        <w:pStyle w:val="15"/>
        <w:adjustRightInd w:val="0"/>
        <w:snapToGrid w:val="0"/>
        <w:spacing w:line="360" w:lineRule="auto"/>
        <w:rPr>
          <w:rFonts w:hint="default"/>
        </w:rPr>
      </w:pPr>
      <w:r>
        <w:rPr>
          <w:rFonts w:ascii="Times New Roman" w:hAnsi="Times New Roman"/>
          <w:b/>
          <w:bCs/>
          <w:spacing w:val="0"/>
          <w:kern w:val="0"/>
          <w:sz w:val="24"/>
        </w:rPr>
        <w:t>特别说明：如遇“政府采购云平台”电子化开标程序调整的，按调整后程序执行。</w:t>
      </w:r>
    </w:p>
    <w:p w14:paraId="21DA1253">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2.资格审查</w:t>
      </w:r>
    </w:p>
    <w:p w14:paraId="4B9CEB81">
      <w:pPr>
        <w:adjustRightInd w:val="0"/>
        <w:snapToGrid w:val="0"/>
        <w:spacing w:line="360" w:lineRule="auto"/>
        <w:ind w:firstLine="424" w:firstLineChars="177"/>
        <w:rPr>
          <w:rFonts w:hint="default" w:ascii="宋体" w:hAnsi="宋体" w:cs="宋体"/>
          <w:sz w:val="24"/>
        </w:rPr>
      </w:pPr>
      <w:r>
        <w:rPr>
          <w:rFonts w:ascii="宋体" w:hAnsi="宋体" w:cs="宋体"/>
          <w:sz w:val="24"/>
        </w:rPr>
        <w:t>（1）采购人或采购代理机构依据法律法规和招标文件的规定，对投标人的资格进行审查。</w:t>
      </w:r>
    </w:p>
    <w:p w14:paraId="3E9D7F5C">
      <w:pPr>
        <w:adjustRightInd w:val="0"/>
        <w:snapToGrid w:val="0"/>
        <w:spacing w:line="360" w:lineRule="auto"/>
        <w:ind w:firstLine="424" w:firstLineChars="177"/>
        <w:rPr>
          <w:rFonts w:hint="default" w:ascii="宋体" w:hAnsi="宋体" w:cs="宋体"/>
          <w:sz w:val="24"/>
        </w:rPr>
      </w:pPr>
      <w:r>
        <w:rPr>
          <w:rFonts w:ascii="宋体" w:hAnsi="宋体" w:cs="宋体"/>
          <w:sz w:val="24"/>
        </w:rPr>
        <w:t>（2）投标人未按照招标文件要求提供与资格条件相应的有效资格证明材料的，视为投标人不具备招标文件中规定的资格要求，其投标无效。</w:t>
      </w:r>
    </w:p>
    <w:p w14:paraId="32A9A629">
      <w:pPr>
        <w:adjustRightInd w:val="0"/>
        <w:snapToGrid w:val="0"/>
        <w:spacing w:line="360" w:lineRule="auto"/>
        <w:ind w:firstLine="424" w:firstLineChars="177"/>
        <w:rPr>
          <w:rFonts w:hint="default" w:ascii="宋体" w:hAnsi="宋体" w:cs="宋体"/>
          <w:sz w:val="24"/>
        </w:rPr>
      </w:pPr>
      <w:r>
        <w:rPr>
          <w:rFonts w:ascii="宋体" w:hAnsi="宋体" w:cs="宋体"/>
          <w:sz w:val="24"/>
        </w:rPr>
        <w:t>（3）对未通过资格审查的投标人，采购人或采购代理机构告知其未通过的原因。</w:t>
      </w:r>
    </w:p>
    <w:p w14:paraId="6EF86B3D">
      <w:pPr>
        <w:adjustRightInd w:val="0"/>
        <w:snapToGrid w:val="0"/>
        <w:spacing w:line="360" w:lineRule="auto"/>
        <w:ind w:firstLine="424" w:firstLineChars="177"/>
        <w:rPr>
          <w:rFonts w:hint="default" w:ascii="宋体" w:hAnsi="宋体" w:cs="宋体"/>
          <w:sz w:val="24"/>
        </w:rPr>
      </w:pPr>
      <w:r>
        <w:rPr>
          <w:rFonts w:ascii="宋体" w:hAnsi="宋体" w:cs="宋体"/>
          <w:sz w:val="24"/>
        </w:rPr>
        <w:t>（4）合格投标人不足3家的，不再评标。</w:t>
      </w:r>
    </w:p>
    <w:p w14:paraId="738BCEF3">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3.信用信息查询</w:t>
      </w:r>
    </w:p>
    <w:p w14:paraId="495D3002">
      <w:pPr>
        <w:adjustRightInd w:val="0"/>
        <w:snapToGrid w:val="0"/>
        <w:spacing w:line="360" w:lineRule="auto"/>
        <w:ind w:firstLine="424" w:firstLineChars="177"/>
        <w:rPr>
          <w:rFonts w:hint="default" w:ascii="宋体" w:hAnsi="宋体" w:cs="宋体"/>
          <w:sz w:val="24"/>
        </w:rPr>
      </w:pPr>
      <w:r>
        <w:rPr>
          <w:rFonts w:ascii="宋体" w:hAnsi="宋体" w:cs="宋体"/>
          <w:sz w:val="24"/>
        </w:rPr>
        <w:t>（1）信用信息查询渠道及截止时间：采购代理机构将在资格审查时通过“信用中国”网站(www.creditchina.gov.cn)、中国政府采购网(www.ccgp.gov.cn)渠道查询投标人接受资格时的信用记录。</w:t>
      </w:r>
    </w:p>
    <w:p w14:paraId="4511BA24">
      <w:pPr>
        <w:adjustRightInd w:val="0"/>
        <w:snapToGrid w:val="0"/>
        <w:spacing w:line="360" w:lineRule="auto"/>
        <w:ind w:firstLine="424" w:firstLineChars="177"/>
        <w:rPr>
          <w:rFonts w:hint="default" w:ascii="宋体" w:hAnsi="宋体" w:cs="宋体"/>
          <w:sz w:val="24"/>
        </w:rPr>
      </w:pPr>
      <w:r>
        <w:rPr>
          <w:rFonts w:ascii="宋体" w:hAnsi="宋体" w:cs="宋体"/>
          <w:sz w:val="24"/>
        </w:rPr>
        <w:t>（2）信用信息查询记录和证据留存的具体方式：现场查询的投标人的信用记录、查询结果经确认后将与采购文件一起存档。</w:t>
      </w:r>
    </w:p>
    <w:p w14:paraId="1F83B5B0">
      <w:pPr>
        <w:adjustRightInd w:val="0"/>
        <w:snapToGrid w:val="0"/>
        <w:spacing w:line="360" w:lineRule="auto"/>
        <w:ind w:firstLine="424" w:firstLineChars="177"/>
        <w:rPr>
          <w:rFonts w:hint="default" w:ascii="宋体" w:hAnsi="宋体" w:cs="宋体"/>
          <w:sz w:val="24"/>
        </w:rPr>
      </w:pPr>
      <w:r>
        <w:rPr>
          <w:rFonts w:ascii="宋体" w:hAnsi="宋体" w:cs="宋体"/>
          <w:sz w:val="24"/>
        </w:rPr>
        <w:t>（3）信用信息的使用规则：经查询列入失信被执行人名单、重大税收违法失信主体、政府采购严重违法失信行为记录名单的投标人将被拒绝参与政府采购活动。</w:t>
      </w:r>
    </w:p>
    <w:p w14:paraId="7323EBF4">
      <w:pPr>
        <w:adjustRightInd w:val="0"/>
        <w:snapToGrid w:val="0"/>
        <w:spacing w:line="360" w:lineRule="auto"/>
        <w:ind w:firstLine="424" w:firstLineChars="177"/>
        <w:rPr>
          <w:rFonts w:hint="default" w:ascii="宋体" w:hAnsi="宋体" w:cs="宋体"/>
          <w:sz w:val="24"/>
        </w:rPr>
      </w:pPr>
      <w:r>
        <w:rPr>
          <w:rFonts w:ascii="宋体" w:hAnsi="宋体" w:cs="宋体"/>
          <w:sz w:val="24"/>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ECE894F">
      <w:pPr>
        <w:pStyle w:val="15"/>
        <w:adjustRightInd w:val="0"/>
        <w:snapToGrid w:val="0"/>
        <w:spacing w:line="360" w:lineRule="auto"/>
        <w:rPr>
          <w:rFonts w:hint="default" w:ascii="Times New Roman" w:hAnsi="Times New Roman"/>
          <w:b/>
          <w:bCs/>
          <w:spacing w:val="0"/>
          <w:kern w:val="0"/>
          <w:sz w:val="24"/>
        </w:rPr>
      </w:pPr>
      <w:r>
        <w:rPr>
          <w:rFonts w:ascii="Times New Roman" w:hAnsi="Times New Roman"/>
          <w:b/>
          <w:bCs/>
          <w:spacing w:val="0"/>
          <w:kern w:val="0"/>
          <w:sz w:val="24"/>
        </w:rPr>
        <w:t>特别说明：如遇“政府采购云平台”电子化开标程序调整的，按调整后程序执行。</w:t>
      </w:r>
    </w:p>
    <w:p w14:paraId="07B5C191">
      <w:pPr>
        <w:pStyle w:val="6"/>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五、评标</w:t>
      </w:r>
    </w:p>
    <w:p w14:paraId="223ACDB6">
      <w:pPr>
        <w:pStyle w:val="6"/>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（一）组建评标委员会（评审小组）</w:t>
      </w:r>
    </w:p>
    <w:p w14:paraId="455EAA34">
      <w:pPr>
        <w:pStyle w:val="6"/>
        <w:adjustRightInd w:val="0"/>
        <w:snapToGrid w:val="0"/>
        <w:spacing w:beforeLines="0" w:afterLines="0" w:line="360" w:lineRule="auto"/>
        <w:ind w:firstLine="480" w:firstLineChars="200"/>
        <w:rPr>
          <w:rFonts w:hint="default" w:ascii="Times New Roman" w:hAnsi="Times New Roman"/>
        </w:rPr>
      </w:pPr>
      <w:r>
        <w:rPr>
          <w:rFonts w:hint="default" w:ascii="Times New Roman" w:hAnsi="Times New Roman"/>
          <w:kern w:val="0"/>
        </w:rPr>
        <w:t>评标委员会由采购人代表和有关技术、经济等方面的专家组成，成员人数应当为五人以上单数。其中，技术、经济等方面的专家不得少于成员总数的三分之二。</w:t>
      </w:r>
    </w:p>
    <w:p w14:paraId="143CE893">
      <w:pPr>
        <w:pStyle w:val="6"/>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（二）评标程序</w:t>
      </w:r>
    </w:p>
    <w:p w14:paraId="20B5C649">
      <w:pPr>
        <w:adjustRightInd w:val="0"/>
        <w:snapToGrid w:val="0"/>
        <w:spacing w:line="360" w:lineRule="auto"/>
        <w:ind w:firstLine="480" w:firstLineChars="200"/>
        <w:rPr>
          <w:rFonts w:hint="default"/>
          <w:sz w:val="24"/>
        </w:rPr>
      </w:pPr>
      <w:r>
        <w:rPr>
          <w:rFonts w:hint="default"/>
          <w:sz w:val="24"/>
        </w:rPr>
        <w:t>1.在评审专家中推选评审小组组长。</w:t>
      </w:r>
    </w:p>
    <w:p w14:paraId="7111EB4E">
      <w:pPr>
        <w:adjustRightInd w:val="0"/>
        <w:snapToGrid w:val="0"/>
        <w:spacing w:line="360" w:lineRule="auto"/>
        <w:ind w:firstLine="480" w:firstLineChars="200"/>
        <w:rPr>
          <w:rFonts w:hint="default"/>
          <w:sz w:val="24"/>
        </w:rPr>
      </w:pPr>
      <w:r>
        <w:rPr>
          <w:rFonts w:hint="default"/>
          <w:sz w:val="24"/>
        </w:rPr>
        <w:t>2.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14:paraId="3417760A">
      <w:pPr>
        <w:adjustRightInd w:val="0"/>
        <w:snapToGrid w:val="0"/>
        <w:spacing w:line="360" w:lineRule="auto"/>
        <w:ind w:firstLine="480" w:firstLineChars="200"/>
        <w:rPr>
          <w:rFonts w:hint="default"/>
          <w:sz w:val="24"/>
        </w:rPr>
      </w:pPr>
      <w:r>
        <w:rPr>
          <w:rFonts w:hint="default"/>
          <w:sz w:val="24"/>
        </w:rPr>
        <w:t>3.采购人或者采购代理机构对各投标人的资格进行审查，投标人资格条件不符合招标文件要求的投标无效，不再进入符合性审查。</w:t>
      </w:r>
    </w:p>
    <w:p w14:paraId="315F0A70">
      <w:pPr>
        <w:adjustRightInd w:val="0"/>
        <w:snapToGrid w:val="0"/>
        <w:spacing w:line="360" w:lineRule="auto"/>
        <w:ind w:firstLine="480" w:firstLineChars="200"/>
        <w:rPr>
          <w:rFonts w:hint="default"/>
          <w:sz w:val="24"/>
        </w:rPr>
      </w:pPr>
      <w:r>
        <w:rPr>
          <w:rFonts w:hint="default"/>
          <w:sz w:val="24"/>
        </w:rPr>
        <w:t>4.评审小组对各投标文件的符合性进行审查，确定是否对招标文件作出了实质性响应。实质上没有响应招标文件要求的投标将被视为无效投标，不再进入下一阶段的评审。</w:t>
      </w:r>
    </w:p>
    <w:p w14:paraId="554AB90C">
      <w:pPr>
        <w:adjustRightInd w:val="0"/>
        <w:snapToGrid w:val="0"/>
        <w:spacing w:line="360" w:lineRule="auto"/>
        <w:ind w:firstLine="480" w:firstLineChars="200"/>
        <w:rPr>
          <w:rFonts w:hint="default"/>
          <w:sz w:val="24"/>
        </w:rPr>
      </w:pPr>
      <w:r>
        <w:rPr>
          <w:rFonts w:hint="default"/>
          <w:sz w:val="24"/>
        </w:rPr>
        <w:t>5.评审人员按招标文件规定的评审方法和评审标准，依法独立对供应商投标文件进行评估、比较，并给予评价或打分，不受任何单位和个人的干预。</w:t>
      </w:r>
    </w:p>
    <w:p w14:paraId="093B0420">
      <w:pPr>
        <w:adjustRightInd w:val="0"/>
        <w:snapToGrid w:val="0"/>
        <w:spacing w:line="360" w:lineRule="auto"/>
        <w:ind w:firstLine="480" w:firstLineChars="200"/>
        <w:rPr>
          <w:rFonts w:hint="default"/>
          <w:sz w:val="24"/>
        </w:rPr>
      </w:pPr>
      <w:r>
        <w:rPr>
          <w:rFonts w:hint="default"/>
          <w:sz w:val="24"/>
        </w:rPr>
        <w:t>6.各投标人的得分为所有评委的有效评分的算术平均数，由指定专人进行计算复核。</w:t>
      </w:r>
    </w:p>
    <w:p w14:paraId="2F2EEF30">
      <w:pPr>
        <w:adjustRightInd w:val="0"/>
        <w:snapToGrid w:val="0"/>
        <w:spacing w:line="360" w:lineRule="auto"/>
        <w:ind w:firstLine="480" w:firstLineChars="200"/>
        <w:rPr>
          <w:rFonts w:hint="default"/>
          <w:sz w:val="24"/>
        </w:rPr>
      </w:pPr>
      <w:r>
        <w:rPr>
          <w:rFonts w:hint="default"/>
          <w:sz w:val="24"/>
        </w:rPr>
        <w:t>7.评标委员会完成评标后，评委对各部分得分汇总，计算出本项目最终得分。评标委员会按评标原则推荐中标候选人，同时起草评标报告。</w:t>
      </w:r>
    </w:p>
    <w:p w14:paraId="6FE42FD1">
      <w:pPr>
        <w:adjustRightInd w:val="0"/>
        <w:snapToGrid w:val="0"/>
        <w:spacing w:line="360" w:lineRule="auto"/>
        <w:ind w:firstLine="480" w:firstLineChars="200"/>
        <w:rPr>
          <w:rFonts w:hint="default"/>
          <w:sz w:val="24"/>
        </w:rPr>
      </w:pPr>
      <w:r>
        <w:rPr>
          <w:rFonts w:hint="default"/>
          <w:sz w:val="24"/>
        </w:rPr>
        <w:t>8.实质上响应招标文件要求的投标人不足三家的，除财政部门另有规定外，应当作废标处理。</w:t>
      </w:r>
    </w:p>
    <w:p w14:paraId="4EB9F3F6">
      <w:pPr>
        <w:adjustRightInd w:val="0"/>
        <w:snapToGrid w:val="0"/>
        <w:spacing w:line="360" w:lineRule="auto"/>
        <w:ind w:firstLine="482" w:firstLineChars="200"/>
        <w:rPr>
          <w:rFonts w:hint="default"/>
          <w:b/>
          <w:sz w:val="24"/>
        </w:rPr>
      </w:pPr>
      <w:r>
        <w:rPr>
          <w:rFonts w:hint="default"/>
          <w:b/>
          <w:sz w:val="24"/>
        </w:rPr>
        <w:t>（三）澄清问题的形式</w:t>
      </w:r>
    </w:p>
    <w:p w14:paraId="40CE2766">
      <w:pPr>
        <w:autoSpaceDE w:val="0"/>
        <w:autoSpaceDN w:val="0"/>
        <w:adjustRightInd w:val="0"/>
        <w:snapToGrid w:val="0"/>
        <w:spacing w:line="360" w:lineRule="auto"/>
        <w:ind w:firstLine="480" w:firstLineChars="200"/>
        <w:jc w:val="left"/>
        <w:rPr>
          <w:rFonts w:hint="default"/>
          <w:sz w:val="24"/>
        </w:rPr>
      </w:pPr>
      <w:r>
        <w:rPr>
          <w:rFonts w:hint="default"/>
          <w:sz w:val="24"/>
        </w:rPr>
        <w:t>对投标文件中含义不明确、同类问题表述不一致或者有明显文字和计算错误的内容，评标委员会可要求投标人作出必要的澄清、说明或者补正。评标委员会的澄清内容及投标人的澄清、说明或者补正均通过电子交易平台交换数据电文。</w:t>
      </w:r>
    </w:p>
    <w:p w14:paraId="416FBCE9">
      <w:pPr>
        <w:adjustRightInd w:val="0"/>
        <w:snapToGrid w:val="0"/>
        <w:spacing w:line="360" w:lineRule="auto"/>
        <w:ind w:firstLine="480" w:firstLineChars="200"/>
        <w:rPr>
          <w:rFonts w:hint="default"/>
          <w:sz w:val="24"/>
        </w:rPr>
      </w:pPr>
      <w:r>
        <w:rPr>
          <w:rFonts w:hint="default"/>
          <w:sz w:val="24"/>
        </w:rPr>
        <w:t>评标委员会发出澄清内容后，供应商应当在</w:t>
      </w:r>
      <w:r>
        <w:rPr>
          <w:rFonts w:hint="default"/>
          <w:iCs/>
          <w:sz w:val="24"/>
          <w:u w:val="single"/>
        </w:rPr>
        <w:t>30</w:t>
      </w:r>
      <w:r>
        <w:rPr>
          <w:rFonts w:hint="default"/>
          <w:sz w:val="24"/>
        </w:rPr>
        <w:t>分钟内提交澄清说明或补正，否则视为供应商放弃答复，并</w:t>
      </w:r>
      <w:r>
        <w:rPr>
          <w:rFonts w:hint="default"/>
          <w:kern w:val="0"/>
          <w:sz w:val="24"/>
        </w:rPr>
        <w:t>自行承担因此而产生的不利后果。</w:t>
      </w:r>
      <w:r>
        <w:rPr>
          <w:rFonts w:hint="default"/>
          <w:sz w:val="24"/>
        </w:rPr>
        <w:t>澄清、说明或者补正不得超出投标文件的范围或者改变投标文件的实质性内容。</w:t>
      </w:r>
    </w:p>
    <w:p w14:paraId="5ADE79E1">
      <w:pPr>
        <w:pStyle w:val="6"/>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（四）错误修正</w:t>
      </w:r>
    </w:p>
    <w:p w14:paraId="3885506C">
      <w:pPr>
        <w:adjustRightInd w:val="0"/>
        <w:snapToGrid w:val="0"/>
        <w:spacing w:line="360" w:lineRule="auto"/>
        <w:ind w:firstLine="480" w:firstLineChars="200"/>
        <w:rPr>
          <w:rFonts w:hint="default"/>
          <w:sz w:val="24"/>
        </w:rPr>
      </w:pPr>
      <w:r>
        <w:rPr>
          <w:rFonts w:hint="default"/>
          <w:sz w:val="24"/>
        </w:rPr>
        <w:t>投标文件如果出现计算或表达上的错误，修正错误的原则如下：</w:t>
      </w:r>
    </w:p>
    <w:p w14:paraId="05E91E1A">
      <w:pPr>
        <w:adjustRightInd w:val="0"/>
        <w:snapToGrid w:val="0"/>
        <w:spacing w:line="360" w:lineRule="auto"/>
        <w:ind w:firstLine="482" w:firstLineChars="200"/>
        <w:rPr>
          <w:rFonts w:hint="default"/>
          <w:b/>
          <w:bCs/>
          <w:sz w:val="24"/>
        </w:rPr>
      </w:pPr>
      <w:r>
        <w:rPr>
          <w:rFonts w:hint="default"/>
          <w:b/>
          <w:bCs/>
          <w:sz w:val="24"/>
        </w:rPr>
        <w:t>1.电子交易平台生成的开标记录表内容与投标文件中相应内容不一致的，以报价文件中开标一览表（报价表）为准（出现万元或元单位错误时，则以投标人澄清确认后的合理报价为准）；</w:t>
      </w:r>
    </w:p>
    <w:p w14:paraId="029C63E1">
      <w:pPr>
        <w:adjustRightInd w:val="0"/>
        <w:snapToGrid w:val="0"/>
        <w:spacing w:line="360" w:lineRule="auto"/>
        <w:ind w:firstLine="482" w:firstLineChars="200"/>
        <w:rPr>
          <w:rFonts w:hint="default"/>
          <w:b/>
          <w:bCs/>
          <w:sz w:val="24"/>
        </w:rPr>
      </w:pPr>
      <w:r>
        <w:rPr>
          <w:rFonts w:hint="default"/>
          <w:b/>
          <w:bCs/>
          <w:sz w:val="24"/>
        </w:rPr>
        <w:t>2.大写金额和小写金额不一致的，以大写金额为准；</w:t>
      </w:r>
    </w:p>
    <w:p w14:paraId="5D767D42">
      <w:pPr>
        <w:adjustRightInd w:val="0"/>
        <w:snapToGrid w:val="0"/>
        <w:spacing w:line="360" w:lineRule="auto"/>
        <w:ind w:firstLine="482" w:firstLineChars="200"/>
        <w:rPr>
          <w:rFonts w:hint="default"/>
          <w:b/>
          <w:bCs/>
          <w:sz w:val="24"/>
        </w:rPr>
      </w:pPr>
      <w:r>
        <w:rPr>
          <w:rFonts w:hint="default"/>
          <w:b/>
          <w:bCs/>
          <w:sz w:val="24"/>
        </w:rPr>
        <w:t>3.单价金额小数点或者百分比有明显错位的，以开标一览表的总价为准，并修改单价；</w:t>
      </w:r>
    </w:p>
    <w:p w14:paraId="347916A3">
      <w:pPr>
        <w:adjustRightInd w:val="0"/>
        <w:snapToGrid w:val="0"/>
        <w:spacing w:line="360" w:lineRule="auto"/>
        <w:ind w:firstLine="482" w:firstLineChars="200"/>
        <w:rPr>
          <w:rFonts w:hint="default"/>
          <w:sz w:val="24"/>
        </w:rPr>
      </w:pPr>
      <w:r>
        <w:rPr>
          <w:rFonts w:hint="default"/>
          <w:b/>
          <w:bCs/>
          <w:sz w:val="24"/>
        </w:rPr>
        <w:t>4.总价金额与按单价汇总金额不一致的，以单价金额计算结果为准。</w:t>
      </w:r>
    </w:p>
    <w:p w14:paraId="4FC819DF">
      <w:pPr>
        <w:pStyle w:val="6"/>
        <w:adjustRightInd w:val="0"/>
        <w:snapToGrid w:val="0"/>
        <w:spacing w:beforeLines="0" w:afterLines="0" w:line="360" w:lineRule="auto"/>
        <w:ind w:firstLine="482" w:firstLineChars="200"/>
        <w:rPr>
          <w:rFonts w:hint="default" w:ascii="Times New Roman" w:hAnsi="Times New Roman"/>
          <w:b/>
        </w:rPr>
      </w:pPr>
      <w:r>
        <w:rPr>
          <w:rFonts w:hint="default" w:ascii="Times New Roman" w:hAnsi="Times New Roman"/>
          <w:b/>
        </w:rPr>
        <w:t>同时出现两种以上不一致的，按照前款规定的顺序修正。评标委员会应当通过电子交易平台要求投标人对修正后的报价予以确认并对投标人产生约束力。投标人在</w:t>
      </w:r>
      <w:r>
        <w:rPr>
          <w:rFonts w:hint="default" w:ascii="Times New Roman" w:hAnsi="Times New Roman"/>
          <w:b/>
          <w:i/>
          <w:u w:val="single"/>
        </w:rPr>
        <w:t>30</w:t>
      </w:r>
      <w:r>
        <w:rPr>
          <w:rFonts w:hint="default" w:ascii="Times New Roman" w:hAnsi="Times New Roman"/>
          <w:b/>
        </w:rPr>
        <w:t>分钟内不予确认的，其投标无效。</w:t>
      </w:r>
    </w:p>
    <w:p w14:paraId="2E12C37A">
      <w:pPr>
        <w:pStyle w:val="6"/>
        <w:tabs>
          <w:tab w:val="left" w:pos="630"/>
        </w:tabs>
        <w:adjustRightInd w:val="0"/>
        <w:snapToGrid w:val="0"/>
        <w:spacing w:beforeLines="0" w:afterLines="0" w:line="360" w:lineRule="auto"/>
        <w:ind w:firstLine="472" w:firstLineChars="196"/>
        <w:rPr>
          <w:rFonts w:hint="default" w:ascii="Times New Roman" w:hAnsi="Times New Roman"/>
          <w:b/>
        </w:rPr>
      </w:pPr>
      <w:r>
        <w:rPr>
          <w:rFonts w:hint="default" w:ascii="Times New Roman" w:hAnsi="Times New Roman"/>
          <w:b/>
        </w:rPr>
        <w:t>（五）评标原则和评标办法</w:t>
      </w:r>
    </w:p>
    <w:p w14:paraId="47F8BF9D">
      <w:pPr>
        <w:pStyle w:val="6"/>
        <w:snapToGrid w:val="0"/>
        <w:spacing w:beforeLines="0" w:afterLines="0" w:line="360" w:lineRule="auto"/>
        <w:ind w:firstLine="480" w:firstLineChars="200"/>
        <w:rPr>
          <w:rFonts w:hint="default" w:hAnsi="宋体" w:cs="宋体"/>
        </w:rPr>
      </w:pPr>
      <w:r>
        <w:rPr>
          <w:rFonts w:hAnsi="宋体" w:cs="宋体"/>
        </w:rPr>
        <w:t>1.评审小组必须公平、公正、客观，不带任何倾向性和启发性；不得向外界透露任何与评标有关的内容；任何单位和个人不得干扰、影响评标的正常进行；评审小组及有关工作人员不得私下与投标人接触。</w:t>
      </w:r>
    </w:p>
    <w:p w14:paraId="3A31BE6F">
      <w:pPr>
        <w:pStyle w:val="6"/>
        <w:snapToGrid w:val="0"/>
        <w:spacing w:beforeLines="0" w:afterLines="0" w:line="360" w:lineRule="auto"/>
        <w:ind w:firstLine="480" w:firstLineChars="200"/>
        <w:rPr>
          <w:rFonts w:hint="default" w:hAnsi="宋体" w:cs="宋体"/>
        </w:rPr>
      </w:pPr>
      <w:r>
        <w:rPr>
          <w:rFonts w:hAnsi="宋体" w:cs="宋体"/>
        </w:rPr>
        <w:t>2.本项目评标办法是综合评分法，具体评标内容及评分标准等详见《第三章：评标办法》。</w:t>
      </w:r>
    </w:p>
    <w:p w14:paraId="4FBD12D0">
      <w:pPr>
        <w:pStyle w:val="6"/>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六、定标</w:t>
      </w:r>
    </w:p>
    <w:p w14:paraId="3B6E305A">
      <w:pPr>
        <w:pStyle w:val="6"/>
        <w:adjustRightInd w:val="0"/>
        <w:snapToGrid w:val="0"/>
        <w:spacing w:beforeLines="0" w:afterLines="0" w:line="360" w:lineRule="auto"/>
        <w:ind w:firstLine="472" w:firstLineChars="196"/>
        <w:rPr>
          <w:rFonts w:hint="default" w:ascii="Times New Roman" w:hAnsi="Times New Roman"/>
          <w:b/>
          <w:bCs/>
        </w:rPr>
      </w:pPr>
      <w:r>
        <w:rPr>
          <w:rFonts w:hint="default" w:ascii="Times New Roman" w:hAnsi="Times New Roman"/>
          <w:b/>
          <w:bCs/>
        </w:rPr>
        <w:t>（一）确定中标人</w:t>
      </w:r>
    </w:p>
    <w:p w14:paraId="4315633B">
      <w:pPr>
        <w:adjustRightInd w:val="0"/>
        <w:snapToGrid w:val="0"/>
        <w:spacing w:line="360" w:lineRule="auto"/>
        <w:ind w:firstLine="480" w:firstLineChars="200"/>
        <w:rPr>
          <w:rFonts w:hint="default"/>
          <w:sz w:val="24"/>
        </w:rPr>
      </w:pPr>
      <w:r>
        <w:rPr>
          <w:rFonts w:hint="default"/>
          <w:sz w:val="24"/>
        </w:rPr>
        <w:t>1.采购人依法确定1名中标人。确定中标人后2个工作日内，代理机构以书面（纸质）形式发出《中标通知书》，并同时在相关网站上发布中标公告。</w:t>
      </w:r>
    </w:p>
    <w:p w14:paraId="113BFE55">
      <w:pPr>
        <w:pStyle w:val="6"/>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七、合同授予</w:t>
      </w:r>
    </w:p>
    <w:p w14:paraId="1AC9C397">
      <w:pPr>
        <w:adjustRightInd w:val="0"/>
        <w:snapToGrid w:val="0"/>
        <w:spacing w:line="360" w:lineRule="auto"/>
        <w:ind w:firstLine="472" w:firstLineChars="196"/>
        <w:rPr>
          <w:rFonts w:hint="default" w:ascii="宋体" w:hAnsi="宋体" w:cs="宋体"/>
          <w:b/>
          <w:bCs/>
          <w:sz w:val="24"/>
        </w:rPr>
      </w:pPr>
      <w:r>
        <w:rPr>
          <w:rFonts w:ascii="宋体" w:hAnsi="宋体" w:cs="宋体"/>
          <w:b/>
          <w:bCs/>
          <w:sz w:val="24"/>
        </w:rPr>
        <w:t>（一）签订合同</w:t>
      </w:r>
    </w:p>
    <w:p w14:paraId="3EC42DF2">
      <w:pPr>
        <w:widowControl/>
        <w:shd w:val="clear" w:color="auto" w:fill="FFFFFF"/>
        <w:adjustRightInd w:val="0"/>
        <w:snapToGrid w:val="0"/>
        <w:spacing w:line="360" w:lineRule="auto"/>
        <w:ind w:firstLine="480"/>
        <w:jc w:val="left"/>
        <w:rPr>
          <w:rFonts w:hint="default" w:ascii="宋体" w:hAnsi="宋体" w:cs="宋体"/>
          <w:kern w:val="0"/>
          <w:sz w:val="24"/>
        </w:rPr>
      </w:pPr>
      <w:r>
        <w:rPr>
          <w:rFonts w:ascii="宋体" w:hAnsi="宋体" w:cs="宋体"/>
          <w:sz w:val="24"/>
        </w:rPr>
        <w:t>（1）</w:t>
      </w:r>
      <w:r>
        <w:rPr>
          <w:rFonts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35105C96">
      <w:pPr>
        <w:pStyle w:val="119"/>
        <w:adjustRightInd w:val="0"/>
        <w:snapToGrid w:val="0"/>
        <w:spacing w:before="0"/>
        <w:ind w:firstLine="480"/>
        <w:rPr>
          <w:rFonts w:hint="default" w:ascii="宋体" w:hAnsi="宋体" w:cs="宋体"/>
          <w:kern w:val="0"/>
        </w:rPr>
      </w:pPr>
      <w:r>
        <w:rPr>
          <w:rFonts w:ascii="宋体" w:hAnsi="宋体" w:cs="宋体"/>
          <w:kern w:val="0"/>
          <w:lang w:val="zh-CN"/>
        </w:rPr>
        <w:t>（</w:t>
      </w:r>
      <w:r>
        <w:rPr>
          <w:rFonts w:ascii="宋体" w:hAnsi="宋体" w:cs="宋体"/>
          <w:kern w:val="0"/>
        </w:rPr>
        <w:t>2</w:t>
      </w:r>
      <w:r>
        <w:rPr>
          <w:rFonts w:ascii="宋体" w:hAnsi="宋体" w:cs="宋体"/>
          <w:kern w:val="0"/>
          <w:lang w:val="zh-CN"/>
        </w:rPr>
        <w:t>）中标人按规定的日期、时间、地点，由法定代表人或其授权代表与采购人代表签订合同。如中标人为联合体的，由联合体成员各方法定代表人或其授权代表与采购人代表签订合同。</w:t>
      </w:r>
    </w:p>
    <w:p w14:paraId="6458A394">
      <w:pPr>
        <w:pStyle w:val="119"/>
        <w:adjustRightInd w:val="0"/>
        <w:snapToGrid w:val="0"/>
        <w:spacing w:before="0"/>
        <w:ind w:firstLine="480"/>
        <w:rPr>
          <w:rFonts w:hint="default" w:ascii="宋体" w:hAnsi="宋体" w:cs="宋体"/>
        </w:rPr>
      </w:pPr>
      <w:r>
        <w:rPr>
          <w:rFonts w:ascii="宋体" w:hAnsi="宋体" w:cs="宋体"/>
        </w:rPr>
        <w:t>（3）如签订合同并生效后，供应商无故拒绝或延期，除按照合同条款处理外，列入不良行为记录一次，并给予通报。</w:t>
      </w:r>
    </w:p>
    <w:p w14:paraId="704C6D3D">
      <w:pPr>
        <w:pStyle w:val="119"/>
        <w:adjustRightInd w:val="0"/>
        <w:snapToGrid w:val="0"/>
        <w:spacing w:before="0"/>
        <w:ind w:firstLine="480"/>
        <w:rPr>
          <w:rFonts w:hint="default" w:ascii="宋体" w:hAnsi="宋体" w:cs="宋体"/>
        </w:rPr>
      </w:pPr>
      <w:r>
        <w:rPr>
          <w:rFonts w:ascii="宋体" w:hAnsi="宋体" w:cs="宋体"/>
        </w:rPr>
        <w:t>（4）中标供应商拒绝与采购人签订合同的，采购人可以按照评审报告推荐的中标或者成交候选人名单排序，确定下一候选人为中标供应商，也可以重新开展政府采购活动。</w:t>
      </w:r>
    </w:p>
    <w:p w14:paraId="6D9A92F4">
      <w:pPr>
        <w:pStyle w:val="119"/>
        <w:adjustRightInd w:val="0"/>
        <w:snapToGrid w:val="0"/>
        <w:spacing w:before="0"/>
        <w:ind w:firstLine="480"/>
        <w:rPr>
          <w:rFonts w:hint="default" w:ascii="宋体" w:hAnsi="宋体" w:cs="宋体"/>
        </w:rPr>
      </w:pPr>
      <w:r>
        <w:rPr>
          <w:rFonts w:ascii="宋体" w:hAnsi="宋体" w:cs="宋体"/>
        </w:rPr>
        <w:t>（5）采购合同由采购人与中标供应商根据招标文件、投标文件等内容通过政府采购电子交易平台在线签订，自动备案。</w:t>
      </w:r>
    </w:p>
    <w:p w14:paraId="1B31E6CB">
      <w:pPr>
        <w:pStyle w:val="6"/>
        <w:snapToGrid w:val="0"/>
        <w:spacing w:beforeLines="0" w:afterLines="0" w:line="360" w:lineRule="auto"/>
        <w:ind w:firstLine="472" w:firstLineChars="196"/>
        <w:rPr>
          <w:rFonts w:hint="default" w:hAnsi="宋体" w:cs="宋体"/>
          <w:b/>
        </w:rPr>
      </w:pPr>
      <w:r>
        <w:rPr>
          <w:rFonts w:hAnsi="宋体" w:cs="宋体"/>
          <w:b/>
        </w:rPr>
        <w:t>（二）履约保证金</w:t>
      </w:r>
    </w:p>
    <w:p w14:paraId="684C2F8A">
      <w:pPr>
        <w:widowControl/>
        <w:shd w:val="clear" w:color="auto" w:fill="FFFFFF"/>
        <w:adjustRightInd w:val="0"/>
        <w:snapToGrid w:val="0"/>
        <w:spacing w:line="360" w:lineRule="auto"/>
        <w:ind w:firstLine="480"/>
        <w:jc w:val="left"/>
        <w:rPr>
          <w:rFonts w:hint="default" w:ascii="宋体" w:hAnsi="宋体" w:cs="宋体"/>
          <w:sz w:val="24"/>
        </w:rPr>
      </w:pPr>
      <w:r>
        <w:rPr>
          <w:rFonts w:ascii="宋体" w:hAnsi="宋体" w:cs="宋体"/>
          <w:sz w:val="24"/>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10FE44F">
      <w:pPr>
        <w:pStyle w:val="6"/>
        <w:snapToGrid w:val="0"/>
        <w:spacing w:before="120" w:after="120" w:line="360" w:lineRule="auto"/>
        <w:ind w:firstLine="480" w:firstLineChars="200"/>
        <w:rPr>
          <w:rFonts w:hint="default" w:hAnsi="宋体" w:cs="宋体"/>
        </w:rPr>
      </w:pPr>
      <w:r>
        <w:rPr>
          <w:rFonts w:hAnsi="宋体" w:cs="宋体"/>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615BA691">
      <w:pPr>
        <w:pStyle w:val="6"/>
        <w:adjustRightInd w:val="0"/>
        <w:snapToGrid w:val="0"/>
        <w:spacing w:beforeLines="0" w:afterLines="0" w:line="360" w:lineRule="auto"/>
        <w:outlineLvl w:val="1"/>
        <w:rPr>
          <w:rFonts w:hint="default" w:hAnsi="宋体" w:cs="宋体"/>
          <w:b/>
          <w:sz w:val="28"/>
          <w:szCs w:val="28"/>
        </w:rPr>
      </w:pPr>
      <w:r>
        <w:rPr>
          <w:rFonts w:hAnsi="宋体" w:cs="宋体"/>
          <w:b/>
          <w:sz w:val="28"/>
          <w:szCs w:val="28"/>
        </w:rPr>
        <w:t>八、电子交易活动的中止</w:t>
      </w:r>
    </w:p>
    <w:p w14:paraId="426C979A">
      <w:pPr>
        <w:pStyle w:val="6"/>
        <w:snapToGrid w:val="0"/>
        <w:spacing w:beforeLines="0" w:afterLines="0" w:line="360" w:lineRule="auto"/>
        <w:ind w:firstLine="472" w:firstLineChars="196"/>
        <w:rPr>
          <w:rFonts w:hint="default" w:hAnsi="宋体" w:cs="宋体"/>
          <w:b/>
        </w:rPr>
      </w:pPr>
      <w:r>
        <w:rPr>
          <w:rFonts w:hAnsi="宋体" w:cs="宋体"/>
          <w:b/>
        </w:rPr>
        <w:t>（一）电子交易活动的中止。</w:t>
      </w:r>
    </w:p>
    <w:p w14:paraId="6F4F8C5F">
      <w:pPr>
        <w:pStyle w:val="119"/>
        <w:snapToGrid w:val="0"/>
        <w:spacing w:before="0"/>
        <w:ind w:firstLine="480"/>
        <w:rPr>
          <w:rFonts w:hint="default" w:ascii="宋体" w:hAnsi="宋体" w:cs="宋体"/>
        </w:rPr>
      </w:pPr>
      <w:r>
        <w:rPr>
          <w:rFonts w:ascii="宋体" w:hAnsi="宋体" w:cs="宋体"/>
        </w:rPr>
        <w:t>采购过程中出现以下情形，导致电子交易平台无法正常运行，或者无法保证电子交易的公平、公正和安全时，采购代理机构可中止电子交易活动：</w:t>
      </w:r>
    </w:p>
    <w:p w14:paraId="4627FA47">
      <w:pPr>
        <w:pStyle w:val="119"/>
        <w:snapToGrid w:val="0"/>
        <w:spacing w:before="0"/>
        <w:ind w:firstLine="480"/>
        <w:rPr>
          <w:rFonts w:hint="default" w:ascii="宋体" w:hAnsi="宋体" w:cs="宋体"/>
        </w:rPr>
      </w:pPr>
      <w:r>
        <w:rPr>
          <w:rFonts w:ascii="宋体" w:hAnsi="宋体" w:cs="宋体"/>
        </w:rPr>
        <w:t>（1）电子交易平台发生故障而无法登录访问的；</w:t>
      </w:r>
    </w:p>
    <w:p w14:paraId="4A8FDED7">
      <w:pPr>
        <w:pStyle w:val="119"/>
        <w:snapToGrid w:val="0"/>
        <w:spacing w:before="0"/>
        <w:ind w:firstLine="480"/>
        <w:rPr>
          <w:rFonts w:hint="default" w:ascii="宋体" w:hAnsi="宋体" w:cs="宋体"/>
        </w:rPr>
      </w:pPr>
      <w:r>
        <w:rPr>
          <w:rFonts w:ascii="宋体" w:hAnsi="宋体" w:cs="宋体"/>
        </w:rPr>
        <w:t>（2）电子交易平台应用或数据库出现错误，不能进行正常操作的；</w:t>
      </w:r>
    </w:p>
    <w:p w14:paraId="24974229">
      <w:pPr>
        <w:pStyle w:val="119"/>
        <w:snapToGrid w:val="0"/>
        <w:spacing w:before="0"/>
        <w:ind w:firstLine="480"/>
        <w:rPr>
          <w:rFonts w:hint="default" w:ascii="宋体" w:hAnsi="宋体" w:cs="宋体"/>
        </w:rPr>
      </w:pPr>
      <w:r>
        <w:rPr>
          <w:rFonts w:ascii="宋体" w:hAnsi="宋体" w:cs="宋体"/>
        </w:rPr>
        <w:t>（3）电子交易平台发现严重安全漏洞，有潜在泄密危险的；</w:t>
      </w:r>
    </w:p>
    <w:p w14:paraId="03AF1F02">
      <w:pPr>
        <w:pStyle w:val="119"/>
        <w:snapToGrid w:val="0"/>
        <w:spacing w:before="0"/>
        <w:ind w:firstLine="480"/>
        <w:rPr>
          <w:rFonts w:hint="default" w:ascii="宋体" w:hAnsi="宋体" w:cs="宋体"/>
        </w:rPr>
      </w:pPr>
      <w:r>
        <w:rPr>
          <w:rFonts w:ascii="宋体" w:hAnsi="宋体" w:cs="宋体"/>
        </w:rPr>
        <w:t>（4）病毒发作导致不能进行正常操作的；</w:t>
      </w:r>
    </w:p>
    <w:p w14:paraId="0ABA5A3B">
      <w:pPr>
        <w:pStyle w:val="119"/>
        <w:snapToGrid w:val="0"/>
        <w:spacing w:before="0"/>
        <w:ind w:firstLine="480"/>
        <w:rPr>
          <w:rFonts w:hint="default" w:ascii="宋体" w:hAnsi="宋体" w:cs="宋体"/>
        </w:rPr>
      </w:pPr>
      <w:r>
        <w:rPr>
          <w:rFonts w:ascii="宋体" w:hAnsi="宋体" w:cs="宋体"/>
        </w:rPr>
        <w:t>（5）其他无法保证电子交易的公平、公正和安全的情况。</w:t>
      </w:r>
    </w:p>
    <w:p w14:paraId="430EFE77">
      <w:pPr>
        <w:pStyle w:val="119"/>
        <w:snapToGrid w:val="0"/>
        <w:spacing w:before="0"/>
        <w:ind w:firstLine="480"/>
        <w:rPr>
          <w:rFonts w:hint="default" w:ascii="宋体" w:hAnsi="宋体" w:cs="宋体"/>
        </w:rPr>
      </w:pPr>
      <w:r>
        <w:rPr>
          <w:rFonts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p>
    <w:p w14:paraId="5A4FB5F2">
      <w:pPr>
        <w:snapToGrid w:val="0"/>
        <w:spacing w:line="360" w:lineRule="auto"/>
        <w:ind w:left="238"/>
        <w:jc w:val="center"/>
        <w:rPr>
          <w:rFonts w:hint="default"/>
          <w:b/>
          <w:sz w:val="36"/>
          <w:szCs w:val="36"/>
        </w:rPr>
      </w:pPr>
      <w:r>
        <w:rPr>
          <w:rFonts w:hint="default"/>
        </w:rPr>
        <w:br w:type="page"/>
      </w:r>
      <w:bookmarkStart w:id="68" w:name="_Toc11246"/>
      <w:bookmarkStart w:id="69" w:name="_Toc19314"/>
      <w:r>
        <w:rPr>
          <w:rStyle w:val="143"/>
          <w:rFonts w:hint="default"/>
          <w:spacing w:val="-4"/>
          <w:sz w:val="32"/>
          <w:szCs w:val="32"/>
        </w:rPr>
        <w:t>第三章评标办法</w:t>
      </w:r>
      <w:bookmarkEnd w:id="68"/>
      <w:bookmarkEnd w:id="69"/>
    </w:p>
    <w:p w14:paraId="60EC2243">
      <w:pPr>
        <w:adjustRightInd w:val="0"/>
        <w:snapToGrid w:val="0"/>
        <w:spacing w:line="360" w:lineRule="auto"/>
        <w:ind w:firstLine="480" w:firstLineChars="200"/>
        <w:rPr>
          <w:rFonts w:hint="default"/>
          <w:sz w:val="24"/>
        </w:rPr>
      </w:pPr>
      <w:r>
        <w:rPr>
          <w:rFonts w:hint="default"/>
          <w:sz w:val="24"/>
        </w:rPr>
        <w:t>为公正、公平、科学地选择中标人，根据《中华人民共和国政府采购法》等有关法律法规的规定，并结合本项目的实际，制定本办法。</w:t>
      </w:r>
    </w:p>
    <w:p w14:paraId="76643118">
      <w:pPr>
        <w:adjustRightInd w:val="0"/>
        <w:snapToGrid w:val="0"/>
        <w:spacing w:line="360" w:lineRule="auto"/>
        <w:ind w:firstLine="472" w:firstLineChars="196"/>
        <w:rPr>
          <w:rFonts w:hint="default"/>
          <w:b/>
          <w:sz w:val="24"/>
          <w:szCs w:val="24"/>
        </w:rPr>
      </w:pPr>
      <w:r>
        <w:rPr>
          <w:rFonts w:hint="default"/>
          <w:b/>
          <w:sz w:val="24"/>
          <w:szCs w:val="24"/>
        </w:rPr>
        <w:t>一、总则</w:t>
      </w:r>
    </w:p>
    <w:p w14:paraId="34EF8281">
      <w:pPr>
        <w:adjustRightInd w:val="0"/>
        <w:snapToGrid w:val="0"/>
        <w:spacing w:line="360" w:lineRule="auto"/>
        <w:ind w:firstLine="482" w:firstLineChars="200"/>
        <w:rPr>
          <w:rFonts w:hint="default"/>
          <w:bCs/>
          <w:sz w:val="24"/>
        </w:rPr>
      </w:pPr>
      <w:r>
        <w:rPr>
          <w:rFonts w:hint="default"/>
          <w:b/>
          <w:bCs/>
          <w:sz w:val="24"/>
        </w:rPr>
        <w:t>本次评标采用综合评分法，总分为100分，其中价格分</w:t>
      </w:r>
      <w:r>
        <w:rPr>
          <w:b/>
          <w:bCs/>
          <w:sz w:val="24"/>
          <w:u w:val="single"/>
        </w:rPr>
        <w:t>20</w:t>
      </w:r>
      <w:r>
        <w:rPr>
          <w:rFonts w:hint="default"/>
          <w:b/>
          <w:bCs/>
          <w:sz w:val="24"/>
        </w:rPr>
        <w:t>分，商务技术分</w:t>
      </w:r>
      <w:r>
        <w:rPr>
          <w:b/>
          <w:bCs/>
          <w:sz w:val="24"/>
          <w:u w:val="single"/>
        </w:rPr>
        <w:t>80</w:t>
      </w:r>
      <w:r>
        <w:rPr>
          <w:rFonts w:hint="default"/>
          <w:b/>
          <w:bCs/>
          <w:sz w:val="24"/>
        </w:rPr>
        <w:t>分。</w:t>
      </w:r>
      <w:r>
        <w:rPr>
          <w:rFonts w:hint="default"/>
          <w:sz w:val="24"/>
        </w:rPr>
        <w:t>合格投标人的评标得分为各项目汇总得分，中标候选资格按评标得分由高到低顺序排列，得分相同的，按投标报价由低到高顺序排列；得分且投标报价相同的，按技术得分由高到低顺序排列。</w:t>
      </w:r>
      <w:r>
        <w:rPr>
          <w:rFonts w:hint="default"/>
          <w:bCs/>
          <w:sz w:val="24"/>
        </w:rPr>
        <w:t>评分过程中采用四舍五入法，并保留小数2位。除财政部门另有规定外，评标委员会推荐</w:t>
      </w:r>
      <w:r>
        <w:rPr>
          <w:rFonts w:hint="default"/>
          <w:sz w:val="24"/>
        </w:rPr>
        <w:t>得分</w:t>
      </w:r>
      <w:r>
        <w:rPr>
          <w:rFonts w:hint="default"/>
          <w:bCs/>
          <w:sz w:val="24"/>
        </w:rPr>
        <w:t>排列前</w:t>
      </w:r>
      <w:r>
        <w:rPr>
          <w:rFonts w:hint="default"/>
          <w:bCs/>
          <w:sz w:val="24"/>
          <w:u w:val="single"/>
        </w:rPr>
        <w:t xml:space="preserve"> 3 </w:t>
      </w:r>
      <w:r>
        <w:rPr>
          <w:rFonts w:hint="default"/>
          <w:bCs/>
          <w:sz w:val="24"/>
        </w:rPr>
        <w:t>名的投标人为中标候选人。</w:t>
      </w:r>
    </w:p>
    <w:p w14:paraId="2F4616C8">
      <w:pPr>
        <w:adjustRightInd w:val="0"/>
        <w:snapToGrid w:val="0"/>
        <w:spacing w:line="360" w:lineRule="auto"/>
        <w:ind w:firstLine="480" w:firstLineChars="200"/>
        <w:rPr>
          <w:rFonts w:hint="default"/>
          <w:sz w:val="24"/>
        </w:rPr>
      </w:pPr>
      <w:r>
        <w:rPr>
          <w:rFonts w:hint="default"/>
          <w:sz w:val="24"/>
        </w:rPr>
        <w:t>商务技术分=评标委员会所有成员评分合计数/评标委员会组成人员数</w:t>
      </w:r>
    </w:p>
    <w:p w14:paraId="39D2272A">
      <w:pPr>
        <w:adjustRightInd w:val="0"/>
        <w:snapToGrid w:val="0"/>
        <w:spacing w:line="360" w:lineRule="auto"/>
        <w:ind w:firstLine="480" w:firstLineChars="200"/>
        <w:rPr>
          <w:rFonts w:hint="default"/>
          <w:bCs/>
          <w:sz w:val="24"/>
        </w:rPr>
      </w:pPr>
      <w:r>
        <w:rPr>
          <w:rFonts w:hint="default"/>
          <w:sz w:val="24"/>
        </w:rPr>
        <w:t>投标人评标</w:t>
      </w:r>
      <w:r>
        <w:rPr>
          <w:rFonts w:hint="default"/>
          <w:bCs/>
          <w:sz w:val="24"/>
        </w:rPr>
        <w:t>综合得分=价格分+商务技术分</w:t>
      </w:r>
    </w:p>
    <w:p w14:paraId="14AEDC40">
      <w:pPr>
        <w:adjustRightInd w:val="0"/>
        <w:snapToGrid w:val="0"/>
        <w:spacing w:line="360" w:lineRule="auto"/>
        <w:ind w:firstLine="472" w:firstLineChars="196"/>
        <w:rPr>
          <w:rFonts w:hint="default"/>
          <w:b/>
          <w:sz w:val="24"/>
          <w:szCs w:val="24"/>
        </w:rPr>
      </w:pPr>
      <w:r>
        <w:rPr>
          <w:rFonts w:hint="default"/>
          <w:b/>
          <w:sz w:val="24"/>
          <w:szCs w:val="24"/>
        </w:rPr>
        <w:t>二、资格审查</w:t>
      </w:r>
    </w:p>
    <w:p w14:paraId="2958FD1D">
      <w:pPr>
        <w:adjustRightInd w:val="0"/>
        <w:snapToGrid w:val="0"/>
        <w:spacing w:line="360" w:lineRule="auto"/>
        <w:ind w:firstLine="470" w:firstLineChars="196"/>
        <w:outlineLvl w:val="2"/>
        <w:rPr>
          <w:rFonts w:hint="default"/>
          <w:bCs/>
          <w:sz w:val="24"/>
          <w:szCs w:val="28"/>
        </w:rPr>
      </w:pPr>
      <w:r>
        <w:rPr>
          <w:rFonts w:hint="default"/>
          <w:bCs/>
          <w:sz w:val="24"/>
        </w:rPr>
        <w:t>采购人或者采购代理机构对各投标人的资格进行审查，投标人资格条件不符合招标文件要求的投标无效，不再进入符合性审查。</w:t>
      </w:r>
    </w:p>
    <w:p w14:paraId="5898940A">
      <w:pPr>
        <w:adjustRightInd w:val="0"/>
        <w:snapToGrid w:val="0"/>
        <w:spacing w:line="360" w:lineRule="auto"/>
        <w:ind w:firstLine="472" w:firstLineChars="196"/>
        <w:outlineLvl w:val="2"/>
        <w:rPr>
          <w:rFonts w:hint="default"/>
          <w:b/>
          <w:sz w:val="24"/>
          <w:szCs w:val="24"/>
        </w:rPr>
      </w:pPr>
      <w:r>
        <w:rPr>
          <w:rFonts w:hint="default"/>
          <w:b/>
          <w:sz w:val="24"/>
          <w:szCs w:val="24"/>
        </w:rPr>
        <w:t>三、符合性审查</w:t>
      </w:r>
    </w:p>
    <w:p w14:paraId="6480EFA7">
      <w:pPr>
        <w:adjustRightInd w:val="0"/>
        <w:snapToGrid w:val="0"/>
        <w:spacing w:line="360" w:lineRule="auto"/>
        <w:ind w:firstLine="480" w:firstLineChars="200"/>
        <w:rPr>
          <w:rFonts w:hint="default"/>
          <w:bCs/>
          <w:sz w:val="24"/>
        </w:rPr>
      </w:pPr>
      <w:r>
        <w:rPr>
          <w:rFonts w:hint="default"/>
          <w:bCs/>
          <w:sz w:val="24"/>
        </w:rPr>
        <w:t>评审小组对资格审查合格的投标文件进行符合性审查，确定是否对招标文件作出了实质性响应。符合性审查不合格的投标无效，不再进行商务和技术评估、综合比较与评价。</w:t>
      </w:r>
    </w:p>
    <w:p w14:paraId="0643E02D">
      <w:pPr>
        <w:adjustRightInd w:val="0"/>
        <w:snapToGrid w:val="0"/>
        <w:spacing w:line="360" w:lineRule="auto"/>
        <w:ind w:firstLine="472" w:firstLineChars="196"/>
        <w:rPr>
          <w:rFonts w:hint="default"/>
          <w:b/>
          <w:bCs/>
          <w:sz w:val="24"/>
        </w:rPr>
      </w:pPr>
      <w:r>
        <w:rPr>
          <w:rFonts w:hint="default"/>
          <w:b/>
          <w:bCs/>
          <w:sz w:val="24"/>
        </w:rPr>
        <w:t>1.在商务、技术评审时，如发现下列情形之一的，投标将被视为无效：</w:t>
      </w:r>
    </w:p>
    <w:p w14:paraId="55B658B8">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1）供应商提交两份或两份以上内容不同的投标方案，未声明哪一份有效的；</w:t>
      </w:r>
    </w:p>
    <w:p w14:paraId="4F51A6FE">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2）投标文件非供应商法定代表人签署的，未提供或提供无效的法定代表人授权书；</w:t>
      </w:r>
    </w:p>
    <w:p w14:paraId="35436A47">
      <w:pPr>
        <w:adjustRightInd w:val="0"/>
        <w:snapToGrid w:val="0"/>
        <w:spacing w:line="360" w:lineRule="auto"/>
        <w:ind w:firstLine="480" w:firstLineChars="200"/>
        <w:rPr>
          <w:rFonts w:hint="default" w:ascii="宋体" w:hAnsi="宋体" w:cs="宋体"/>
          <w:sz w:val="24"/>
          <w:szCs w:val="24"/>
        </w:rPr>
      </w:pPr>
      <w:r>
        <w:rPr>
          <w:rFonts w:ascii="宋体" w:hAnsi="宋体" w:cs="宋体"/>
          <w:snapToGrid w:val="0"/>
          <w:kern w:val="0"/>
          <w:sz w:val="24"/>
          <w:szCs w:val="24"/>
        </w:rPr>
        <w:t>3）投标文件中法定代表人和授权代表身份证复印件不齐全的；</w:t>
      </w:r>
    </w:p>
    <w:p w14:paraId="70FA3911">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4）投标文件内容未按采购文件规定盖章的；</w:t>
      </w:r>
    </w:p>
    <w:p w14:paraId="33F53C96">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5）投标文件内容不全或内容字迹模糊辨认不清的等而导致评标活动无法正常进行；</w:t>
      </w:r>
    </w:p>
    <w:p w14:paraId="51DD421A">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6）供应商未按采购文件变更通知更改投标文件的；</w:t>
      </w:r>
    </w:p>
    <w:p w14:paraId="0A4114D7">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7）未实质性响应采购文件中带“▲”条款要求的投标文件；</w:t>
      </w:r>
    </w:p>
    <w:p w14:paraId="32CEE3DC">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8）</w:t>
      </w:r>
      <w:r>
        <w:rPr>
          <w:rFonts w:ascii="宋体" w:hAnsi="宋体" w:cs="宋体"/>
          <w:snapToGrid w:val="0"/>
          <w:kern w:val="0"/>
          <w:sz w:val="24"/>
          <w:szCs w:val="24"/>
        </w:rPr>
        <w:t>商务条款中投标有效期、服务期不能满足采购文件要求的；</w:t>
      </w:r>
    </w:p>
    <w:p w14:paraId="6CC71001">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9）投标文件附有采购人不能接受的条款；</w:t>
      </w:r>
    </w:p>
    <w:p w14:paraId="35D29456">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10）投标文件中提供了与采购无关的赠品、回扣或者其他商品、服务；</w:t>
      </w:r>
    </w:p>
    <w:p w14:paraId="27A82F63">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11）供应商串通投标，妨碍其他供应商的竞争行为，损害采购人或者其他供应商的合法权益；</w:t>
      </w:r>
    </w:p>
    <w:p w14:paraId="67ACE2DC">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12）违反国家及政府部门相关法律、法规、文件规定的。</w:t>
      </w:r>
    </w:p>
    <w:p w14:paraId="17F20E76">
      <w:pPr>
        <w:adjustRightInd w:val="0"/>
        <w:snapToGrid w:val="0"/>
        <w:spacing w:line="360" w:lineRule="auto"/>
        <w:ind w:firstLine="472" w:firstLineChars="196"/>
        <w:rPr>
          <w:rFonts w:hint="default"/>
          <w:b/>
          <w:bCs/>
          <w:sz w:val="24"/>
        </w:rPr>
      </w:pPr>
      <w:r>
        <w:rPr>
          <w:b/>
          <w:bCs/>
          <w:sz w:val="24"/>
        </w:rPr>
        <w:t>2.在报价评审中出现下列情形之一的，评审委员会应当启动异常低价投标（响应）审查程序：</w:t>
      </w:r>
    </w:p>
    <w:p w14:paraId="15A4AC4F">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1）投标（响应）报价低于全部通过符合性审查供应商投标（响应）报价平均值50%的，即投标（响应）报价&lt;全部通过符合性审查供应商投标（响应）报价平均值×50%；</w:t>
      </w:r>
    </w:p>
    <w:p w14:paraId="14C63377">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2）投标（响应）报价低于通过符合性审查的次低报价供应商投标（响应）报价50%的，即投标（响应）报价&lt;通过符合性审查的次低报价供应商投标（响应）报价×50%；</w:t>
      </w:r>
    </w:p>
    <w:p w14:paraId="1EA8C30B">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3）投标（响应）报价低于采购项目最高限价45%的，即投标（响应）报价&lt;采购项目最高限价×45%；</w:t>
      </w:r>
    </w:p>
    <w:p w14:paraId="11FBC9F2">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4）评审委员会基于专业判断，认为供应商报价过低，有可能影响产品质量或者不能诚信履约的其他情形。</w:t>
      </w:r>
    </w:p>
    <w:p w14:paraId="33DB909A">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3D680A8">
      <w:pPr>
        <w:pStyle w:val="15"/>
        <w:adjustRightInd w:val="0"/>
        <w:snapToGrid w:val="0"/>
        <w:spacing w:line="360" w:lineRule="auto"/>
        <w:ind w:firstLine="457" w:firstLineChars="196"/>
        <w:rPr>
          <w:rFonts w:hint="default" w:hAnsi="宋体" w:cs="宋体"/>
          <w:b/>
          <w:bCs/>
          <w:sz w:val="24"/>
          <w:szCs w:val="24"/>
        </w:rPr>
      </w:pPr>
      <w:r>
        <w:rPr>
          <w:rFonts w:hAnsi="宋体" w:cs="宋体"/>
          <w:b/>
          <w:bCs/>
          <w:sz w:val="24"/>
          <w:szCs w:val="24"/>
        </w:rPr>
        <w:t>3.在报价评审时，如发现下列情形之一的，投标将被视为无效：</w:t>
      </w:r>
    </w:p>
    <w:p w14:paraId="1B236B66">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1）报价文件未按招标文件要求盖章的；</w:t>
      </w:r>
    </w:p>
    <w:p w14:paraId="6FF7AE8A">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2）报价超出最高限价，或者超出采购预算金额；</w:t>
      </w:r>
    </w:p>
    <w:p w14:paraId="7721300B">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3）投标报价具有选择性的；</w:t>
      </w:r>
    </w:p>
    <w:p w14:paraId="44FCD31E">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4）不接受按招标文件规定的修正错误原则修正后的报价的；</w:t>
      </w:r>
    </w:p>
    <w:p w14:paraId="30ABAF3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5）</w:t>
      </w:r>
      <w:r>
        <w:rPr>
          <w:rFonts w:ascii="宋体" w:hAnsi="宋体" w:cs="宋体"/>
          <w:kern w:val="0"/>
          <w:sz w:val="24"/>
        </w:rPr>
        <w:t>报价属于应当启动异常低价投标（响应）审查程序第1项至第4项情形的，未能按评标委员会要求其在评标现场规定的时间内提供书面说明、证明材料，或者提供的书面说明、证明材料不能证明其报价合理性的；</w:t>
      </w:r>
    </w:p>
    <w:p w14:paraId="7D83F25F">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6）投标文件附有采购人不能接受的条款；</w:t>
      </w:r>
    </w:p>
    <w:p w14:paraId="210C59D3">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7）投标文件中提供了与采购无关的赠品、回扣或者其他商品、服务；</w:t>
      </w:r>
    </w:p>
    <w:p w14:paraId="6D0E9A10">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8) 违反国家及政府部门相关法律、法规、文件规定的</w:t>
      </w:r>
      <w:r>
        <w:rPr>
          <w:rFonts w:hint="default" w:ascii="宋体" w:hAnsi="宋体" w:cs="宋体"/>
          <w:sz w:val="24"/>
          <w:szCs w:val="24"/>
        </w:rPr>
        <w:t>。</w:t>
      </w:r>
    </w:p>
    <w:p w14:paraId="3845816C">
      <w:pPr>
        <w:pStyle w:val="15"/>
        <w:adjustRightInd w:val="0"/>
        <w:snapToGrid w:val="0"/>
        <w:spacing w:line="360" w:lineRule="auto"/>
        <w:ind w:firstLine="457" w:firstLineChars="196"/>
        <w:rPr>
          <w:rFonts w:hint="default" w:hAnsi="宋体" w:cs="宋体"/>
          <w:b/>
          <w:bCs/>
          <w:sz w:val="24"/>
          <w:szCs w:val="24"/>
        </w:rPr>
      </w:pPr>
      <w:r>
        <w:rPr>
          <w:rFonts w:hAnsi="宋体" w:cs="宋体"/>
          <w:b/>
          <w:bCs/>
          <w:sz w:val="24"/>
          <w:szCs w:val="24"/>
        </w:rPr>
        <w:t>4.参与同一个采购包（标段）的供应商存在下列情形之一且无法合理解释的，其投标（响应）文件无效：</w:t>
      </w:r>
    </w:p>
    <w:p w14:paraId="4F6BF05B">
      <w:pPr>
        <w:pStyle w:val="15"/>
        <w:snapToGrid w:val="0"/>
        <w:spacing w:line="360" w:lineRule="auto"/>
        <w:ind w:firstLine="454" w:firstLineChars="196"/>
        <w:rPr>
          <w:rFonts w:hint="default" w:hAnsi="宋体"/>
          <w:sz w:val="24"/>
          <w:szCs w:val="24"/>
        </w:rPr>
      </w:pPr>
      <w:r>
        <w:rPr>
          <w:rFonts w:hAnsi="宋体"/>
          <w:sz w:val="24"/>
          <w:szCs w:val="24"/>
        </w:rPr>
        <w:t>（1）不同供应商的电子投标（响应）文件上传计算机的网卡MAC地址或硬盘序列号等硬件信息相同的；</w:t>
      </w:r>
    </w:p>
    <w:p w14:paraId="63E8429F">
      <w:pPr>
        <w:pStyle w:val="15"/>
        <w:snapToGrid w:val="0"/>
        <w:spacing w:line="360" w:lineRule="auto"/>
        <w:ind w:firstLine="454" w:firstLineChars="196"/>
        <w:rPr>
          <w:rFonts w:hint="default" w:hAnsi="宋体"/>
          <w:sz w:val="24"/>
          <w:szCs w:val="24"/>
        </w:rPr>
      </w:pPr>
      <w:r>
        <w:rPr>
          <w:rFonts w:hAnsi="宋体"/>
          <w:sz w:val="24"/>
          <w:szCs w:val="24"/>
        </w:rPr>
        <w:t>（2）上传的电子投标（响应）文件若出现使用本项目其他投标（响应）供应商的数字证书加密的，或者加盖本项目其他投标（响应）供应商的电子印章的；</w:t>
      </w:r>
    </w:p>
    <w:p w14:paraId="4E2DD208">
      <w:pPr>
        <w:pStyle w:val="15"/>
        <w:snapToGrid w:val="0"/>
        <w:spacing w:line="360" w:lineRule="auto"/>
        <w:ind w:firstLine="454" w:firstLineChars="196"/>
        <w:rPr>
          <w:rFonts w:hint="default" w:hAnsi="宋体"/>
          <w:sz w:val="24"/>
          <w:szCs w:val="24"/>
        </w:rPr>
      </w:pPr>
      <w:r>
        <w:rPr>
          <w:rFonts w:hAnsi="宋体"/>
          <w:sz w:val="24"/>
          <w:szCs w:val="24"/>
        </w:rPr>
        <w:t xml:space="preserve">（3）不同供应商的投标（响应）文件的内容存在3处（含）以上错误一致的； </w:t>
      </w:r>
    </w:p>
    <w:p w14:paraId="6DA176CC">
      <w:pPr>
        <w:pStyle w:val="15"/>
        <w:snapToGrid w:val="0"/>
        <w:spacing w:line="360" w:lineRule="auto"/>
        <w:ind w:firstLine="454" w:firstLineChars="196"/>
        <w:rPr>
          <w:rFonts w:hint="default" w:hAnsi="宋体"/>
          <w:sz w:val="24"/>
          <w:szCs w:val="24"/>
        </w:rPr>
      </w:pPr>
      <w:r>
        <w:rPr>
          <w:rFonts w:hAnsi="宋体"/>
          <w:sz w:val="24"/>
          <w:szCs w:val="24"/>
        </w:rPr>
        <w:t>（4）不同供应商联系人为同一人或不同联系人的联系电话一致的。</w:t>
      </w:r>
    </w:p>
    <w:p w14:paraId="789CE0D5">
      <w:pPr>
        <w:spacing w:line="360" w:lineRule="auto"/>
        <w:ind w:firstLine="482" w:firstLineChars="200"/>
        <w:rPr>
          <w:rFonts w:hint="default"/>
          <w:b/>
          <w:sz w:val="24"/>
          <w:szCs w:val="24"/>
        </w:rPr>
      </w:pPr>
      <w:r>
        <w:rPr>
          <w:rFonts w:hint="default"/>
          <w:b/>
          <w:sz w:val="24"/>
          <w:szCs w:val="24"/>
        </w:rPr>
        <w:t>四、评审内容及标准</w:t>
      </w:r>
    </w:p>
    <w:p w14:paraId="2FDC4F0C">
      <w:pPr>
        <w:pStyle w:val="15"/>
        <w:spacing w:line="360" w:lineRule="auto"/>
        <w:ind w:firstLine="300" w:firstLineChars="129"/>
        <w:rPr>
          <w:rFonts w:hint="default" w:ascii="Times New Roman" w:hAnsi="Times New Roman"/>
          <w:b/>
          <w:sz w:val="24"/>
          <w:szCs w:val="24"/>
        </w:rPr>
      </w:pPr>
      <w:r>
        <w:rPr>
          <w:rFonts w:hint="default" w:ascii="Times New Roman" w:hAnsi="Times New Roman"/>
          <w:b/>
          <w:sz w:val="24"/>
          <w:szCs w:val="24"/>
        </w:rPr>
        <w:t>（一）资信商务技术分（</w:t>
      </w:r>
      <w:r>
        <w:rPr>
          <w:rFonts w:ascii="Times New Roman" w:hAnsi="Times New Roman"/>
          <w:b/>
          <w:sz w:val="24"/>
          <w:szCs w:val="24"/>
        </w:rPr>
        <w:t>80</w:t>
      </w:r>
      <w:r>
        <w:rPr>
          <w:rFonts w:hint="default" w:ascii="Times New Roman" w:hAnsi="Times New Roman"/>
          <w:b/>
          <w:sz w:val="24"/>
          <w:szCs w:val="24"/>
        </w:rPr>
        <w:t>分）</w:t>
      </w:r>
    </w:p>
    <w:tbl>
      <w:tblPr>
        <w:tblStyle w:val="42"/>
        <w:tblW w:w="55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260"/>
        <w:gridCol w:w="8257"/>
        <w:gridCol w:w="719"/>
      </w:tblGrid>
      <w:tr w14:paraId="5093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15" w:type="pct"/>
            <w:vAlign w:val="center"/>
          </w:tcPr>
          <w:p w14:paraId="2723C28A">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序号</w:t>
            </w:r>
          </w:p>
        </w:tc>
        <w:tc>
          <w:tcPr>
            <w:tcW w:w="589" w:type="pct"/>
            <w:vAlign w:val="center"/>
          </w:tcPr>
          <w:p w14:paraId="7992776C">
            <w:pPr>
              <w:spacing w:line="360" w:lineRule="auto"/>
              <w:jc w:val="center"/>
              <w:rPr>
                <w:rFonts w:hint="default" w:ascii="宋体" w:hAnsi="宋体" w:cs="宋体"/>
                <w:bCs/>
                <w:sz w:val="24"/>
                <w:szCs w:val="24"/>
              </w:rPr>
            </w:pPr>
            <w:r>
              <w:rPr>
                <w:rFonts w:ascii="宋体" w:hAnsi="宋体" w:cs="宋体"/>
                <w:sz w:val="24"/>
                <w:szCs w:val="24"/>
              </w:rPr>
              <w:t>评审内容</w:t>
            </w:r>
          </w:p>
        </w:tc>
        <w:tc>
          <w:tcPr>
            <w:tcW w:w="3858" w:type="pct"/>
            <w:vAlign w:val="center"/>
          </w:tcPr>
          <w:p w14:paraId="54EE7C46">
            <w:pPr>
              <w:spacing w:line="360" w:lineRule="auto"/>
              <w:jc w:val="center"/>
              <w:rPr>
                <w:rFonts w:hint="default" w:ascii="宋体" w:hAnsi="宋体" w:cs="宋体"/>
                <w:bCs/>
                <w:sz w:val="24"/>
                <w:szCs w:val="24"/>
              </w:rPr>
            </w:pPr>
            <w:r>
              <w:rPr>
                <w:rFonts w:ascii="宋体" w:hAnsi="宋体" w:cs="宋体"/>
                <w:sz w:val="24"/>
                <w:szCs w:val="24"/>
              </w:rPr>
              <w:t>评审细则</w:t>
            </w:r>
          </w:p>
        </w:tc>
        <w:tc>
          <w:tcPr>
            <w:tcW w:w="336" w:type="pct"/>
            <w:vAlign w:val="center"/>
          </w:tcPr>
          <w:p w14:paraId="1B66759B">
            <w:pPr>
              <w:spacing w:line="360" w:lineRule="auto"/>
              <w:ind w:right="-21" w:rightChars="-10"/>
              <w:jc w:val="center"/>
              <w:rPr>
                <w:rFonts w:hint="default" w:ascii="宋体" w:hAnsi="宋体" w:cs="宋体"/>
                <w:bCs/>
                <w:sz w:val="24"/>
                <w:szCs w:val="24"/>
              </w:rPr>
            </w:pPr>
            <w:r>
              <w:rPr>
                <w:rFonts w:ascii="宋体" w:hAnsi="宋体" w:cs="宋体"/>
                <w:bCs/>
                <w:sz w:val="24"/>
                <w:szCs w:val="24"/>
              </w:rPr>
              <w:t>分值</w:t>
            </w:r>
          </w:p>
        </w:tc>
      </w:tr>
      <w:tr w14:paraId="2D36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5" w:type="pct"/>
            <w:vAlign w:val="center"/>
          </w:tcPr>
          <w:p w14:paraId="22F95444">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1</w:t>
            </w:r>
          </w:p>
        </w:tc>
        <w:tc>
          <w:tcPr>
            <w:tcW w:w="589" w:type="pct"/>
            <w:shd w:val="clear" w:color="auto" w:fill="auto"/>
            <w:vAlign w:val="center"/>
          </w:tcPr>
          <w:p w14:paraId="061C242C">
            <w:pPr>
              <w:spacing w:line="360" w:lineRule="auto"/>
              <w:ind w:right="-21" w:rightChars="-10"/>
              <w:jc w:val="center"/>
              <w:rPr>
                <w:rFonts w:hint="default" w:ascii="宋体" w:hAnsi="宋体" w:cs="宋体"/>
                <w:bCs/>
                <w:sz w:val="24"/>
                <w:szCs w:val="24"/>
              </w:rPr>
            </w:pPr>
            <w:r>
              <w:rPr>
                <w:rFonts w:ascii="宋体" w:hAnsi="宋体" w:cs="宋体"/>
                <w:bCs/>
                <w:sz w:val="24"/>
                <w:szCs w:val="24"/>
              </w:rPr>
              <w:t>经验业绩</w:t>
            </w:r>
          </w:p>
        </w:tc>
        <w:tc>
          <w:tcPr>
            <w:tcW w:w="3858" w:type="pct"/>
            <w:shd w:val="clear" w:color="auto" w:fill="auto"/>
            <w:vAlign w:val="center"/>
          </w:tcPr>
          <w:p w14:paraId="5401DF23">
            <w:pPr>
              <w:spacing w:line="360" w:lineRule="auto"/>
              <w:ind w:right="-21" w:rightChars="-10"/>
              <w:rPr>
                <w:rFonts w:hint="default" w:ascii="宋体" w:hAnsi="宋体" w:cs="宋体"/>
                <w:bCs/>
                <w:sz w:val="24"/>
                <w:szCs w:val="24"/>
              </w:rPr>
            </w:pPr>
            <w:r>
              <w:rPr>
                <w:rFonts w:ascii="宋体" w:hAnsi="宋体" w:cs="宋体"/>
                <w:bCs/>
                <w:sz w:val="24"/>
                <w:szCs w:val="24"/>
              </w:rPr>
              <w:t>【客观分】投标人自2023年1月1日（以合同签订时间为准）以来具有类似项目业绩的，每提供1个业绩得1分，本项最高得2分，同一业主不同合同只能算1个业绩。</w:t>
            </w:r>
          </w:p>
          <w:p w14:paraId="3BB3B4B7">
            <w:pPr>
              <w:spacing w:line="360" w:lineRule="auto"/>
              <w:ind w:right="-21" w:rightChars="-10"/>
              <w:rPr>
                <w:rFonts w:hint="default" w:ascii="宋体" w:hAnsi="宋体" w:cs="宋体"/>
                <w:bCs/>
                <w:sz w:val="24"/>
                <w:szCs w:val="24"/>
              </w:rPr>
            </w:pPr>
            <w:r>
              <w:rPr>
                <w:rFonts w:ascii="宋体" w:hAnsi="宋体" w:cs="宋体"/>
                <w:bCs/>
                <w:sz w:val="24"/>
                <w:szCs w:val="24"/>
              </w:rPr>
              <w:t>证明材料：提供合同复印件加盖公章。</w:t>
            </w:r>
          </w:p>
        </w:tc>
        <w:tc>
          <w:tcPr>
            <w:tcW w:w="336" w:type="pct"/>
            <w:vAlign w:val="center"/>
          </w:tcPr>
          <w:p w14:paraId="57EFA275">
            <w:pPr>
              <w:spacing w:line="360" w:lineRule="auto"/>
              <w:ind w:right="-21" w:rightChars="-10"/>
              <w:jc w:val="center"/>
              <w:rPr>
                <w:rFonts w:hint="default" w:ascii="宋体" w:hAnsi="宋体" w:cs="宋体"/>
                <w:bCs/>
                <w:sz w:val="24"/>
                <w:szCs w:val="24"/>
              </w:rPr>
            </w:pPr>
            <w:r>
              <w:rPr>
                <w:rFonts w:ascii="宋体" w:hAnsi="宋体" w:cs="宋体"/>
                <w:bCs/>
                <w:sz w:val="24"/>
                <w:szCs w:val="24"/>
              </w:rPr>
              <w:t>2</w:t>
            </w:r>
          </w:p>
        </w:tc>
      </w:tr>
      <w:tr w14:paraId="178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5" w:type="pct"/>
            <w:shd w:val="clear" w:color="auto" w:fill="auto"/>
            <w:vAlign w:val="center"/>
          </w:tcPr>
          <w:p w14:paraId="393CD128">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2</w:t>
            </w:r>
          </w:p>
        </w:tc>
        <w:tc>
          <w:tcPr>
            <w:tcW w:w="589" w:type="pct"/>
            <w:shd w:val="clear" w:color="auto" w:fill="auto"/>
            <w:vAlign w:val="center"/>
          </w:tcPr>
          <w:p w14:paraId="380CE021">
            <w:pPr>
              <w:spacing w:line="360" w:lineRule="auto"/>
              <w:ind w:right="-21" w:rightChars="-10"/>
              <w:rPr>
                <w:rFonts w:hint="default" w:ascii="宋体" w:hAnsi="宋体" w:cs="宋体"/>
                <w:bCs/>
                <w:sz w:val="24"/>
                <w:szCs w:val="24"/>
                <w:highlight w:val="yellow"/>
              </w:rPr>
            </w:pPr>
            <w:r>
              <w:rPr>
                <w:rFonts w:ascii="宋体" w:hAnsi="宋体" w:cs="宋体"/>
                <w:bCs/>
                <w:sz w:val="24"/>
                <w:szCs w:val="24"/>
              </w:rPr>
              <w:t>认证证书</w:t>
            </w:r>
          </w:p>
        </w:tc>
        <w:tc>
          <w:tcPr>
            <w:tcW w:w="3858" w:type="pct"/>
            <w:shd w:val="clear" w:color="auto" w:fill="auto"/>
            <w:vAlign w:val="center"/>
          </w:tcPr>
          <w:p w14:paraId="020F098C">
            <w:pPr>
              <w:spacing w:line="360" w:lineRule="auto"/>
              <w:ind w:right="-21" w:rightChars="-10"/>
              <w:rPr>
                <w:rFonts w:hint="default" w:ascii="宋体" w:hAnsi="宋体" w:cs="宋体"/>
                <w:bCs/>
                <w:sz w:val="24"/>
                <w:szCs w:val="24"/>
              </w:rPr>
            </w:pPr>
            <w:r>
              <w:rPr>
                <w:rFonts w:ascii="宋体" w:hAnsi="宋体" w:cs="宋体"/>
                <w:bCs/>
                <w:sz w:val="24"/>
                <w:szCs w:val="24"/>
              </w:rPr>
              <w:t>【客观分】投标人具有有效的质量管理体系认证证书、信息安全管理体系认证证书，每个得1分，本项最高得2分。</w:t>
            </w:r>
          </w:p>
          <w:p w14:paraId="3ED464F1">
            <w:pPr>
              <w:spacing w:line="360" w:lineRule="auto"/>
              <w:ind w:right="-21" w:rightChars="-10"/>
              <w:rPr>
                <w:rFonts w:hint="default" w:ascii="宋体" w:hAnsi="宋体" w:cs="宋体"/>
                <w:bCs/>
                <w:sz w:val="24"/>
                <w:szCs w:val="24"/>
              </w:rPr>
            </w:pPr>
            <w:r>
              <w:rPr>
                <w:rFonts w:ascii="宋体" w:hAnsi="宋体" w:cs="宋体"/>
                <w:bCs/>
                <w:sz w:val="24"/>
                <w:szCs w:val="24"/>
              </w:rPr>
              <w:t>注：需同时提供有效认证证书复印件和证书须在全国认证认可信息公共服务平台(http://cx.cnca.cn/CertECloud/result/skipResultList?certItemOne=A)上证书状态为“有效”的查询结果网页截图，否则不得分。。</w:t>
            </w:r>
          </w:p>
          <w:p w14:paraId="3B227A0F">
            <w:pPr>
              <w:spacing w:line="360" w:lineRule="auto"/>
              <w:ind w:right="-21" w:rightChars="-10"/>
              <w:rPr>
                <w:rFonts w:hint="default" w:ascii="宋体" w:hAnsi="宋体" w:cs="宋体"/>
                <w:bCs/>
                <w:sz w:val="24"/>
                <w:szCs w:val="24"/>
                <w:highlight w:val="yellow"/>
              </w:rPr>
            </w:pPr>
            <w:r>
              <w:rPr>
                <w:rFonts w:ascii="宋体" w:hAnsi="宋体" w:cs="宋体"/>
                <w:bCs/>
                <w:sz w:val="24"/>
                <w:szCs w:val="24"/>
              </w:rPr>
              <w:t>注：投标文件中提供有效的证书扫描件加盖投标人公章，否则不得分。</w:t>
            </w:r>
          </w:p>
        </w:tc>
        <w:tc>
          <w:tcPr>
            <w:tcW w:w="336" w:type="pct"/>
            <w:vAlign w:val="center"/>
          </w:tcPr>
          <w:p w14:paraId="19571A20">
            <w:pPr>
              <w:spacing w:line="360" w:lineRule="auto"/>
              <w:ind w:right="-21" w:rightChars="-10"/>
              <w:jc w:val="center"/>
              <w:rPr>
                <w:rFonts w:hint="default" w:ascii="宋体" w:hAnsi="宋体" w:cs="宋体"/>
                <w:bCs/>
                <w:sz w:val="24"/>
                <w:szCs w:val="24"/>
              </w:rPr>
            </w:pPr>
            <w:r>
              <w:rPr>
                <w:rFonts w:ascii="宋体" w:hAnsi="宋体" w:cs="宋体"/>
                <w:bCs/>
                <w:sz w:val="24"/>
                <w:szCs w:val="24"/>
              </w:rPr>
              <w:t>2</w:t>
            </w:r>
          </w:p>
        </w:tc>
      </w:tr>
      <w:tr w14:paraId="41C6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 w:type="pct"/>
            <w:shd w:val="clear" w:color="auto" w:fill="auto"/>
            <w:vAlign w:val="center"/>
          </w:tcPr>
          <w:p w14:paraId="1A13091D">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3</w:t>
            </w:r>
          </w:p>
        </w:tc>
        <w:tc>
          <w:tcPr>
            <w:tcW w:w="589" w:type="pct"/>
            <w:shd w:val="clear" w:color="auto" w:fill="auto"/>
            <w:vAlign w:val="center"/>
          </w:tcPr>
          <w:p w14:paraId="3007D6E2">
            <w:pPr>
              <w:spacing w:line="360" w:lineRule="auto"/>
              <w:ind w:right="-21" w:rightChars="-10"/>
              <w:jc w:val="center"/>
              <w:rPr>
                <w:rFonts w:hint="default" w:ascii="宋体" w:hAnsi="宋体" w:cs="宋体"/>
                <w:bCs/>
                <w:sz w:val="24"/>
                <w:szCs w:val="24"/>
              </w:rPr>
            </w:pPr>
            <w:r>
              <w:rPr>
                <w:rFonts w:ascii="宋体" w:hAnsi="宋体" w:cs="宋体"/>
                <w:bCs/>
                <w:sz w:val="24"/>
                <w:szCs w:val="24"/>
              </w:rPr>
              <w:t>响应情况</w:t>
            </w:r>
          </w:p>
        </w:tc>
        <w:tc>
          <w:tcPr>
            <w:tcW w:w="3858" w:type="pct"/>
            <w:shd w:val="clear" w:color="auto" w:fill="auto"/>
            <w:vAlign w:val="center"/>
          </w:tcPr>
          <w:p w14:paraId="339566E0">
            <w:pPr>
              <w:spacing w:line="360" w:lineRule="auto"/>
              <w:ind w:right="-21" w:rightChars="-10"/>
              <w:rPr>
                <w:rFonts w:hint="default" w:ascii="宋体" w:hAnsi="宋体" w:cs="宋体"/>
                <w:bCs/>
                <w:sz w:val="24"/>
                <w:szCs w:val="24"/>
              </w:rPr>
            </w:pPr>
            <w:r>
              <w:rPr>
                <w:rFonts w:ascii="宋体" w:hAnsi="宋体" w:cs="宋体"/>
                <w:bCs/>
                <w:sz w:val="24"/>
                <w:szCs w:val="24"/>
              </w:rPr>
              <w:t>【客观分】</w:t>
            </w:r>
            <w:r>
              <w:rPr>
                <w:rFonts w:ascii="宋体" w:hAnsi="宋体" w:cs="宋体"/>
                <w:sz w:val="24"/>
                <w:szCs w:val="24"/>
              </w:rPr>
              <w:t>针对招标文件第四章“二、项目具体要求”、“三、业务考核与费用结算”、“四、合规、监管与争议解决”、“六、保密要求”、“八、其他部分”的响应情况，完全响应招标文件要求的，得20分；存在负偏离的，每项扣2分，扣完为止。</w:t>
            </w:r>
          </w:p>
        </w:tc>
        <w:tc>
          <w:tcPr>
            <w:tcW w:w="336" w:type="pct"/>
            <w:vAlign w:val="center"/>
          </w:tcPr>
          <w:p w14:paraId="699D1D7B">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20</w:t>
            </w:r>
          </w:p>
        </w:tc>
      </w:tr>
      <w:tr w14:paraId="1D02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15" w:type="pct"/>
            <w:shd w:val="clear" w:color="auto" w:fill="auto"/>
            <w:vAlign w:val="center"/>
          </w:tcPr>
          <w:p w14:paraId="1307E755">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4</w:t>
            </w:r>
          </w:p>
        </w:tc>
        <w:tc>
          <w:tcPr>
            <w:tcW w:w="589" w:type="pct"/>
            <w:vAlign w:val="center"/>
          </w:tcPr>
          <w:p w14:paraId="63C9183F">
            <w:pPr>
              <w:spacing w:line="360" w:lineRule="auto"/>
              <w:ind w:right="-21" w:rightChars="-10"/>
              <w:jc w:val="center"/>
              <w:rPr>
                <w:rFonts w:hint="default" w:ascii="宋体" w:hAnsi="宋体" w:cs="宋体"/>
                <w:bCs/>
                <w:sz w:val="24"/>
                <w:szCs w:val="24"/>
              </w:rPr>
            </w:pPr>
            <w:r>
              <w:rPr>
                <w:rFonts w:ascii="宋体" w:hAnsi="宋体" w:cs="宋体"/>
                <w:bCs/>
                <w:sz w:val="24"/>
                <w:szCs w:val="24"/>
              </w:rPr>
              <w:t>项目理解</w:t>
            </w:r>
          </w:p>
        </w:tc>
        <w:tc>
          <w:tcPr>
            <w:tcW w:w="3858" w:type="pct"/>
            <w:vAlign w:val="center"/>
          </w:tcPr>
          <w:p w14:paraId="4FC0D291">
            <w:pPr>
              <w:spacing w:line="360" w:lineRule="auto"/>
              <w:ind w:right="-21" w:rightChars="-10"/>
              <w:rPr>
                <w:rFonts w:hint="default" w:ascii="宋体" w:hAnsi="宋体" w:cs="宋体"/>
                <w:bCs/>
                <w:sz w:val="24"/>
                <w:szCs w:val="24"/>
              </w:rPr>
            </w:pPr>
            <w:r>
              <w:rPr>
                <w:rFonts w:ascii="宋体" w:hAnsi="宋体" w:cs="宋体"/>
                <w:bCs/>
                <w:sz w:val="24"/>
                <w:szCs w:val="24"/>
              </w:rPr>
              <w:t>【主观分】根据投标人针对所投项目理解，内容包括但不限于服务内容、情况、实施等情况的理解、分析，项目实施过程中的关键点、重点、难点以及相应的控制措施、解决思路、方法等的情况进行评分（评审分值为1分或2分或3分或4分或5分)，未提供不得分。</w:t>
            </w:r>
          </w:p>
        </w:tc>
        <w:tc>
          <w:tcPr>
            <w:tcW w:w="336" w:type="pct"/>
            <w:vAlign w:val="center"/>
          </w:tcPr>
          <w:p w14:paraId="64BC0DEC">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24A9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A77C887">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5</w:t>
            </w:r>
          </w:p>
        </w:tc>
        <w:tc>
          <w:tcPr>
            <w:tcW w:w="589" w:type="pct"/>
            <w:vAlign w:val="center"/>
          </w:tcPr>
          <w:p w14:paraId="11B4AF61">
            <w:pPr>
              <w:spacing w:line="360" w:lineRule="auto"/>
              <w:ind w:right="-21" w:rightChars="-10"/>
              <w:jc w:val="center"/>
              <w:rPr>
                <w:rFonts w:hint="default" w:ascii="宋体" w:hAnsi="宋体" w:cs="宋体"/>
                <w:bCs/>
                <w:sz w:val="24"/>
                <w:szCs w:val="24"/>
              </w:rPr>
            </w:pPr>
            <w:r>
              <w:rPr>
                <w:rFonts w:ascii="宋体" w:hAnsi="宋体" w:cs="宋体"/>
                <w:bCs/>
                <w:sz w:val="24"/>
                <w:szCs w:val="24"/>
              </w:rPr>
              <w:t>合规运营方案</w:t>
            </w:r>
          </w:p>
        </w:tc>
        <w:tc>
          <w:tcPr>
            <w:tcW w:w="3858" w:type="pct"/>
            <w:vAlign w:val="center"/>
          </w:tcPr>
          <w:p w14:paraId="18757686">
            <w:pPr>
              <w:widowControl/>
              <w:spacing w:line="360" w:lineRule="auto"/>
              <w:ind w:right="-21" w:rightChars="-10"/>
              <w:rPr>
                <w:rFonts w:hint="default" w:ascii="宋体" w:hAnsi="宋体" w:cs="宋体"/>
                <w:bCs/>
                <w:sz w:val="24"/>
                <w:szCs w:val="24"/>
              </w:rPr>
            </w:pPr>
            <w:r>
              <w:rPr>
                <w:rFonts w:ascii="宋体" w:hAnsi="宋体" w:cs="宋体"/>
                <w:bCs/>
                <w:sz w:val="24"/>
                <w:szCs w:val="24"/>
              </w:rPr>
              <w:t>【主观分】根据投标人提供的建立“策划初稿→合规审核→医院终审”三级审核流程，明确节点及时限，并提供《内容合规审核表》、《患者案例授权书》模板（含隐私隐匿条款）进行综合评分（评审分值为1分或2分或3分或4分或5分)，未提供不得分。</w:t>
            </w:r>
          </w:p>
        </w:tc>
        <w:tc>
          <w:tcPr>
            <w:tcW w:w="336" w:type="pct"/>
            <w:vAlign w:val="center"/>
          </w:tcPr>
          <w:p w14:paraId="36E401A0">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7BDA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134D7B5A">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6</w:t>
            </w:r>
          </w:p>
        </w:tc>
        <w:tc>
          <w:tcPr>
            <w:tcW w:w="589" w:type="pct"/>
            <w:vAlign w:val="center"/>
          </w:tcPr>
          <w:p w14:paraId="4F3244FA">
            <w:pPr>
              <w:widowControl/>
              <w:spacing w:line="360" w:lineRule="auto"/>
              <w:ind w:right="-21" w:rightChars="-10"/>
              <w:jc w:val="center"/>
              <w:rPr>
                <w:rFonts w:hint="default" w:ascii="宋体" w:hAnsi="宋体" w:cs="宋体"/>
                <w:bCs/>
                <w:sz w:val="24"/>
                <w:szCs w:val="24"/>
              </w:rPr>
            </w:pPr>
            <w:r>
              <w:rPr>
                <w:rFonts w:ascii="宋体" w:hAnsi="宋体" w:cs="宋体"/>
                <w:bCs/>
                <w:sz w:val="24"/>
                <w:szCs w:val="24"/>
              </w:rPr>
              <w:t>线上运营方案</w:t>
            </w:r>
          </w:p>
        </w:tc>
        <w:tc>
          <w:tcPr>
            <w:tcW w:w="3858" w:type="pct"/>
            <w:vAlign w:val="center"/>
          </w:tcPr>
          <w:p w14:paraId="74DAEE0B">
            <w:pPr>
              <w:widowControl/>
              <w:spacing w:line="360" w:lineRule="auto"/>
              <w:ind w:right="-21" w:rightChars="-10"/>
              <w:rPr>
                <w:rFonts w:hint="default" w:ascii="宋体" w:hAnsi="宋体" w:cs="宋体"/>
                <w:bCs/>
                <w:sz w:val="24"/>
                <w:szCs w:val="24"/>
              </w:rPr>
            </w:pPr>
            <w:r>
              <w:rPr>
                <w:rFonts w:ascii="宋体" w:hAnsi="宋体" w:cs="宋体"/>
                <w:bCs/>
                <w:sz w:val="24"/>
                <w:szCs w:val="24"/>
              </w:rPr>
              <w:t>【主观分】根据投标人提供的微信公众号/视频号、抖音、小红书、大众点评（美团）等平台运营定位说明书、认证流程清单、权限划分协议、内容选题计划表、直播排期表、引流策略方案等进行综合评分（评审分值为1分或2分或3分或4分或5分)，未提供不得分。</w:t>
            </w:r>
          </w:p>
        </w:tc>
        <w:tc>
          <w:tcPr>
            <w:tcW w:w="336" w:type="pct"/>
            <w:vAlign w:val="center"/>
          </w:tcPr>
          <w:p w14:paraId="7FB98DE9">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646C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6D500989">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7</w:t>
            </w:r>
          </w:p>
        </w:tc>
        <w:tc>
          <w:tcPr>
            <w:tcW w:w="589" w:type="pct"/>
            <w:vAlign w:val="center"/>
          </w:tcPr>
          <w:p w14:paraId="4EB8FF4A">
            <w:pPr>
              <w:widowControl/>
              <w:spacing w:line="360" w:lineRule="auto"/>
              <w:ind w:right="-21" w:rightChars="-10"/>
              <w:jc w:val="center"/>
              <w:rPr>
                <w:rFonts w:hint="default" w:ascii="宋体" w:hAnsi="宋体" w:cs="宋体"/>
                <w:bCs/>
                <w:sz w:val="24"/>
                <w:szCs w:val="24"/>
              </w:rPr>
            </w:pPr>
            <w:r>
              <w:rPr>
                <w:rFonts w:ascii="宋体" w:hAnsi="宋体" w:cs="宋体"/>
                <w:bCs/>
                <w:sz w:val="24"/>
                <w:szCs w:val="24"/>
              </w:rPr>
              <w:t>流量保证措施</w:t>
            </w:r>
          </w:p>
        </w:tc>
        <w:tc>
          <w:tcPr>
            <w:tcW w:w="3858" w:type="pct"/>
            <w:vAlign w:val="center"/>
          </w:tcPr>
          <w:p w14:paraId="110444A4">
            <w:pPr>
              <w:widowControl/>
              <w:spacing w:line="360" w:lineRule="auto"/>
              <w:ind w:right="-21" w:rightChars="-10"/>
              <w:rPr>
                <w:rFonts w:hint="default" w:ascii="宋体" w:hAnsi="宋体" w:cs="宋体"/>
                <w:bCs/>
                <w:sz w:val="24"/>
                <w:szCs w:val="24"/>
              </w:rPr>
            </w:pPr>
            <w:r>
              <w:rPr>
                <w:rFonts w:ascii="宋体" w:hAnsi="宋体" w:cs="宋体"/>
                <w:bCs/>
                <w:sz w:val="24"/>
                <w:szCs w:val="24"/>
              </w:rPr>
              <w:t>【主观分】根据投标人提供的运营流量控制及保证措施的合理性、可行性、及规范性进行综合评分（评审分值为1分或2分或3分或4分或5分)，未提供不得分。</w:t>
            </w:r>
          </w:p>
        </w:tc>
        <w:tc>
          <w:tcPr>
            <w:tcW w:w="336" w:type="pct"/>
            <w:vAlign w:val="center"/>
          </w:tcPr>
          <w:p w14:paraId="25BCE5E5">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7FF4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274335C7">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8</w:t>
            </w:r>
          </w:p>
        </w:tc>
        <w:tc>
          <w:tcPr>
            <w:tcW w:w="589" w:type="pct"/>
            <w:vAlign w:val="center"/>
          </w:tcPr>
          <w:p w14:paraId="03CDC91C">
            <w:pPr>
              <w:widowControl/>
              <w:spacing w:line="360" w:lineRule="auto"/>
              <w:ind w:right="-21" w:rightChars="-10"/>
              <w:jc w:val="center"/>
              <w:rPr>
                <w:rFonts w:hint="default" w:ascii="宋体" w:hAnsi="宋体" w:cs="宋体"/>
                <w:bCs/>
                <w:sz w:val="24"/>
                <w:szCs w:val="24"/>
              </w:rPr>
            </w:pPr>
            <w:r>
              <w:rPr>
                <w:rFonts w:ascii="宋体" w:hAnsi="宋体" w:cs="宋体"/>
                <w:bCs/>
                <w:sz w:val="24"/>
                <w:szCs w:val="24"/>
              </w:rPr>
              <w:t>线下活动与学术建设方案</w:t>
            </w:r>
          </w:p>
        </w:tc>
        <w:tc>
          <w:tcPr>
            <w:tcW w:w="3858" w:type="pct"/>
            <w:vAlign w:val="center"/>
          </w:tcPr>
          <w:p w14:paraId="69C873BA">
            <w:pPr>
              <w:widowControl/>
              <w:spacing w:line="360" w:lineRule="auto"/>
              <w:ind w:right="-21" w:rightChars="-10"/>
              <w:rPr>
                <w:rFonts w:hint="default" w:ascii="宋体" w:hAnsi="宋体" w:cs="宋体"/>
                <w:bCs/>
                <w:sz w:val="24"/>
                <w:szCs w:val="24"/>
              </w:rPr>
            </w:pPr>
            <w:r>
              <w:rPr>
                <w:rFonts w:ascii="宋体" w:hAnsi="宋体" w:cs="宋体"/>
                <w:bCs/>
                <w:sz w:val="24"/>
                <w:szCs w:val="24"/>
              </w:rPr>
              <w:t>【主观分】根据投标人提供线下活动与学术建设的活动排期表、合作意向函、场地布局图、引流方案、活动流程表、直播引流计划、学术会议方案、嘉宾邀请名单等进行综合评分（评审分值为1分或2分或3分或4分或5分)，未提供不得分。</w:t>
            </w:r>
          </w:p>
        </w:tc>
        <w:tc>
          <w:tcPr>
            <w:tcW w:w="336" w:type="pct"/>
            <w:vAlign w:val="center"/>
          </w:tcPr>
          <w:p w14:paraId="56F7F264">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673D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496C5EE2">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9</w:t>
            </w:r>
          </w:p>
        </w:tc>
        <w:tc>
          <w:tcPr>
            <w:tcW w:w="589" w:type="pct"/>
            <w:shd w:val="clear" w:color="auto" w:fill="auto"/>
            <w:vAlign w:val="center"/>
          </w:tcPr>
          <w:p w14:paraId="01D8DC49">
            <w:pPr>
              <w:widowControl/>
              <w:spacing w:line="360" w:lineRule="auto"/>
              <w:ind w:right="-21" w:rightChars="-10"/>
              <w:rPr>
                <w:rFonts w:hint="default" w:ascii="宋体" w:hAnsi="宋体" w:cs="宋体"/>
                <w:bCs/>
                <w:sz w:val="24"/>
                <w:szCs w:val="24"/>
              </w:rPr>
            </w:pPr>
            <w:r>
              <w:rPr>
                <w:rFonts w:ascii="宋体" w:hAnsi="宋体" w:cs="宋体"/>
                <w:bCs/>
                <w:sz w:val="24"/>
                <w:szCs w:val="24"/>
              </w:rPr>
              <w:t>业绩达成保障方案</w:t>
            </w:r>
          </w:p>
        </w:tc>
        <w:tc>
          <w:tcPr>
            <w:tcW w:w="3858" w:type="pct"/>
            <w:shd w:val="clear" w:color="auto" w:fill="auto"/>
            <w:vAlign w:val="center"/>
          </w:tcPr>
          <w:p w14:paraId="6F51D95C">
            <w:pPr>
              <w:widowControl/>
              <w:spacing w:line="360" w:lineRule="auto"/>
              <w:ind w:right="-21" w:rightChars="-10"/>
              <w:rPr>
                <w:rFonts w:hint="default" w:ascii="宋体" w:hAnsi="宋体" w:cs="宋体"/>
                <w:bCs/>
                <w:sz w:val="24"/>
                <w:szCs w:val="24"/>
              </w:rPr>
            </w:pPr>
            <w:r>
              <w:rPr>
                <w:rFonts w:ascii="宋体" w:hAnsi="宋体" w:cs="宋体"/>
                <w:bCs/>
                <w:sz w:val="24"/>
                <w:szCs w:val="24"/>
              </w:rPr>
              <w:t>【主观分】根据投标人提供的首年季度环比≥30%、次年同比≥60% 目标的保证措施方案进行综合评分（评审分值为1分或2分或3分或4分或5分)，未提供不得分。</w:t>
            </w:r>
          </w:p>
        </w:tc>
        <w:tc>
          <w:tcPr>
            <w:tcW w:w="336" w:type="pct"/>
            <w:vAlign w:val="center"/>
          </w:tcPr>
          <w:p w14:paraId="27B86AF2">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021D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5" w:type="pct"/>
            <w:shd w:val="clear" w:color="auto" w:fill="auto"/>
            <w:vAlign w:val="center"/>
          </w:tcPr>
          <w:p w14:paraId="53C82FEE">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10</w:t>
            </w:r>
          </w:p>
        </w:tc>
        <w:tc>
          <w:tcPr>
            <w:tcW w:w="589" w:type="pct"/>
            <w:vAlign w:val="center"/>
          </w:tcPr>
          <w:p w14:paraId="7F439B6A">
            <w:pPr>
              <w:widowControl/>
              <w:spacing w:line="360" w:lineRule="auto"/>
              <w:ind w:right="-21" w:rightChars="-10"/>
              <w:jc w:val="center"/>
              <w:rPr>
                <w:rFonts w:hint="default" w:ascii="宋体" w:hAnsi="宋体" w:cs="宋体"/>
                <w:bCs/>
                <w:sz w:val="24"/>
                <w:szCs w:val="24"/>
              </w:rPr>
            </w:pPr>
            <w:r>
              <w:rPr>
                <w:rFonts w:ascii="宋体" w:hAnsi="宋体" w:cs="宋体"/>
                <w:bCs/>
                <w:sz w:val="24"/>
                <w:szCs w:val="24"/>
              </w:rPr>
              <w:t>版权、知识产权解决方案</w:t>
            </w:r>
          </w:p>
        </w:tc>
        <w:tc>
          <w:tcPr>
            <w:tcW w:w="3858" w:type="pct"/>
            <w:vAlign w:val="center"/>
          </w:tcPr>
          <w:p w14:paraId="74CF4D98">
            <w:pPr>
              <w:widowControl/>
              <w:spacing w:line="360" w:lineRule="auto"/>
              <w:ind w:right="-21" w:rightChars="-10"/>
              <w:jc w:val="left"/>
              <w:rPr>
                <w:rFonts w:hint="default" w:ascii="宋体" w:hAnsi="宋体" w:cs="宋体"/>
                <w:bCs/>
                <w:sz w:val="24"/>
                <w:szCs w:val="24"/>
              </w:rPr>
            </w:pPr>
            <w:r>
              <w:rPr>
                <w:rFonts w:ascii="宋体" w:hAnsi="宋体" w:cs="宋体"/>
                <w:bCs/>
                <w:sz w:val="24"/>
                <w:szCs w:val="24"/>
              </w:rPr>
              <w:t>【客观分】投标人须承诺项目运营全过程中无版权、知识产权问题的得3分。（需提供承诺函，承诺函格式自拟，未提供不得分）。</w:t>
            </w:r>
          </w:p>
        </w:tc>
        <w:tc>
          <w:tcPr>
            <w:tcW w:w="336" w:type="pct"/>
            <w:vAlign w:val="center"/>
          </w:tcPr>
          <w:p w14:paraId="78BBEBDE">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3</w:t>
            </w:r>
          </w:p>
        </w:tc>
      </w:tr>
      <w:tr w14:paraId="427F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59BB11D3">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11</w:t>
            </w:r>
          </w:p>
        </w:tc>
        <w:tc>
          <w:tcPr>
            <w:tcW w:w="589" w:type="pct"/>
            <w:vAlign w:val="center"/>
          </w:tcPr>
          <w:p w14:paraId="537FC258">
            <w:pPr>
              <w:widowControl/>
              <w:spacing w:line="360" w:lineRule="auto"/>
              <w:ind w:right="-21" w:rightChars="-10"/>
              <w:jc w:val="center"/>
              <w:rPr>
                <w:rFonts w:hint="default" w:ascii="宋体" w:hAnsi="宋体" w:cs="宋体"/>
                <w:bCs/>
                <w:sz w:val="24"/>
                <w:szCs w:val="24"/>
              </w:rPr>
            </w:pPr>
            <w:r>
              <w:rPr>
                <w:rFonts w:ascii="宋体" w:hAnsi="宋体" w:cs="宋体"/>
                <w:bCs/>
                <w:sz w:val="24"/>
                <w:szCs w:val="24"/>
              </w:rPr>
              <w:t>安全保密方案</w:t>
            </w:r>
          </w:p>
        </w:tc>
        <w:tc>
          <w:tcPr>
            <w:tcW w:w="3858" w:type="pct"/>
            <w:vAlign w:val="center"/>
          </w:tcPr>
          <w:p w14:paraId="0C2220EB">
            <w:pPr>
              <w:widowControl/>
              <w:spacing w:line="360" w:lineRule="auto"/>
              <w:ind w:right="-21" w:rightChars="-10"/>
              <w:jc w:val="left"/>
              <w:rPr>
                <w:rFonts w:hint="default" w:ascii="宋体" w:hAnsi="宋体" w:cs="宋体"/>
                <w:bCs/>
                <w:sz w:val="24"/>
                <w:szCs w:val="24"/>
              </w:rPr>
            </w:pPr>
            <w:r>
              <w:rPr>
                <w:rFonts w:ascii="宋体" w:hAnsi="宋体" w:cs="宋体"/>
                <w:bCs/>
                <w:sz w:val="24"/>
                <w:szCs w:val="24"/>
              </w:rPr>
              <w:t>【主观分】</w:t>
            </w:r>
            <w:r>
              <w:rPr>
                <w:rFonts w:ascii="宋体" w:hAnsi="宋体" w:cs="宋体"/>
                <w:bCs/>
                <w:sz w:val="24"/>
                <w:szCs w:val="24"/>
                <w:lang w:val="zh-CN"/>
              </w:rPr>
              <w:t>根据投标人为本项目提供的安全保密方案，内容包括但不限于安全责任制度、数据资料保密管理措施等的情况进行综合评分</w:t>
            </w:r>
            <w:r>
              <w:rPr>
                <w:rFonts w:ascii="宋体" w:hAnsi="宋体" w:cs="宋体"/>
                <w:bCs/>
                <w:sz w:val="24"/>
                <w:szCs w:val="24"/>
              </w:rPr>
              <w:t>（评审分值为1分或2分或3分或4分或5分)，未提供不得分。</w:t>
            </w:r>
          </w:p>
        </w:tc>
        <w:tc>
          <w:tcPr>
            <w:tcW w:w="336" w:type="pct"/>
            <w:vAlign w:val="center"/>
          </w:tcPr>
          <w:p w14:paraId="5EC90599">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21B2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3839233D">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12</w:t>
            </w:r>
          </w:p>
        </w:tc>
        <w:tc>
          <w:tcPr>
            <w:tcW w:w="589" w:type="pct"/>
            <w:vAlign w:val="center"/>
          </w:tcPr>
          <w:p w14:paraId="666D5AD3">
            <w:pPr>
              <w:widowControl/>
              <w:spacing w:line="360" w:lineRule="auto"/>
              <w:ind w:right="-21" w:rightChars="-10"/>
              <w:jc w:val="center"/>
              <w:rPr>
                <w:rFonts w:hint="default" w:ascii="宋体" w:hAnsi="宋体" w:cs="宋体"/>
                <w:bCs/>
                <w:sz w:val="24"/>
                <w:szCs w:val="24"/>
              </w:rPr>
            </w:pPr>
            <w:r>
              <w:rPr>
                <w:rFonts w:ascii="宋体" w:hAnsi="宋体" w:cs="宋体"/>
                <w:bCs/>
                <w:sz w:val="24"/>
                <w:szCs w:val="24"/>
              </w:rPr>
              <w:t>应急预案</w:t>
            </w:r>
          </w:p>
        </w:tc>
        <w:tc>
          <w:tcPr>
            <w:tcW w:w="3858" w:type="pct"/>
            <w:vAlign w:val="center"/>
          </w:tcPr>
          <w:p w14:paraId="63B3344B">
            <w:pPr>
              <w:widowControl/>
              <w:spacing w:line="360" w:lineRule="auto"/>
              <w:ind w:right="-21" w:rightChars="-10"/>
              <w:jc w:val="left"/>
              <w:rPr>
                <w:rFonts w:hint="default" w:ascii="宋体" w:hAnsi="宋体" w:eastAsia="方正仿宋_GB2312" w:cs="宋体"/>
                <w:bCs/>
                <w:sz w:val="24"/>
                <w:szCs w:val="24"/>
              </w:rPr>
            </w:pPr>
            <w:r>
              <w:rPr>
                <w:rFonts w:ascii="宋体" w:hAnsi="宋体" w:cs="宋体"/>
                <w:bCs/>
                <w:sz w:val="24"/>
                <w:szCs w:val="24"/>
              </w:rPr>
              <w:t>【主观分】</w:t>
            </w:r>
            <w:r>
              <w:rPr>
                <w:rFonts w:cs="仿宋_GB2312" w:asciiTheme="minorEastAsia" w:hAnsiTheme="minorEastAsia" w:eastAsiaTheme="minorEastAsia"/>
                <w:sz w:val="24"/>
                <w:szCs w:val="24"/>
              </w:rPr>
              <w:t>根据投标人提供的发生</w:t>
            </w:r>
            <w:r>
              <w:rPr>
                <w:rFonts w:hint="default" w:cs="仿宋_GB2312" w:asciiTheme="minorEastAsia" w:hAnsiTheme="minorEastAsia" w:eastAsiaTheme="minorEastAsia"/>
                <w:sz w:val="24"/>
                <w:szCs w:val="24"/>
              </w:rPr>
              <w:t>纠纷</w:t>
            </w:r>
            <w:r>
              <w:rPr>
                <w:rFonts w:cs="仿宋_GB2312" w:asciiTheme="minorEastAsia" w:hAnsiTheme="minorEastAsia" w:eastAsiaTheme="minorEastAsia"/>
                <w:sz w:val="24"/>
                <w:szCs w:val="24"/>
              </w:rPr>
              <w:t>或</w:t>
            </w:r>
            <w:r>
              <w:rPr>
                <w:rFonts w:hint="default" w:cs="仿宋_GB2312" w:asciiTheme="minorEastAsia" w:hAnsiTheme="minorEastAsia" w:eastAsiaTheme="minorEastAsia"/>
                <w:sz w:val="24"/>
                <w:szCs w:val="24"/>
              </w:rPr>
              <w:t>处罚</w:t>
            </w:r>
            <w:r>
              <w:rPr>
                <w:rFonts w:cs="仿宋_GB2312" w:asciiTheme="minorEastAsia" w:hAnsiTheme="minorEastAsia" w:eastAsiaTheme="minorEastAsia"/>
                <w:sz w:val="24"/>
                <w:szCs w:val="24"/>
              </w:rPr>
              <w:t>或投诉等事件的应急预案的可行性、合理性及完整性</w:t>
            </w:r>
            <w:r>
              <w:rPr>
                <w:rFonts w:ascii="宋体" w:hAnsi="宋体" w:cs="宋体"/>
                <w:bCs/>
                <w:sz w:val="24"/>
                <w:szCs w:val="24"/>
                <w:lang w:val="zh-CN"/>
              </w:rPr>
              <w:t>进行综合评分</w:t>
            </w:r>
            <w:r>
              <w:rPr>
                <w:rFonts w:ascii="宋体" w:hAnsi="宋体" w:cs="宋体"/>
                <w:bCs/>
                <w:sz w:val="24"/>
                <w:szCs w:val="24"/>
              </w:rPr>
              <w:t>（评审分值为1分或2分或3分或4分或5分)，未提供不得分。</w:t>
            </w:r>
          </w:p>
        </w:tc>
        <w:tc>
          <w:tcPr>
            <w:tcW w:w="336" w:type="pct"/>
            <w:vAlign w:val="center"/>
          </w:tcPr>
          <w:p w14:paraId="3140E1BA">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6B7C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42587115">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13</w:t>
            </w:r>
          </w:p>
        </w:tc>
        <w:tc>
          <w:tcPr>
            <w:tcW w:w="589" w:type="pct"/>
            <w:vAlign w:val="center"/>
          </w:tcPr>
          <w:p w14:paraId="338C402A">
            <w:pPr>
              <w:widowControl/>
              <w:spacing w:line="360" w:lineRule="auto"/>
              <w:ind w:right="-21" w:rightChars="-10"/>
              <w:jc w:val="center"/>
              <w:rPr>
                <w:rFonts w:hint="default" w:ascii="宋体" w:hAnsi="宋体" w:cs="宋体"/>
                <w:bCs/>
                <w:sz w:val="24"/>
                <w:szCs w:val="24"/>
              </w:rPr>
            </w:pPr>
            <w:r>
              <w:rPr>
                <w:rFonts w:cs="仿宋_GB2312" w:asciiTheme="minorEastAsia" w:hAnsiTheme="minorEastAsia" w:eastAsiaTheme="minorEastAsia"/>
                <w:sz w:val="24"/>
                <w:szCs w:val="24"/>
              </w:rPr>
              <w:t>保障措施</w:t>
            </w:r>
          </w:p>
        </w:tc>
        <w:tc>
          <w:tcPr>
            <w:tcW w:w="3858" w:type="pct"/>
            <w:vAlign w:val="center"/>
          </w:tcPr>
          <w:p w14:paraId="20EE914D">
            <w:pPr>
              <w:widowControl/>
              <w:spacing w:line="360" w:lineRule="auto"/>
              <w:ind w:right="-21" w:rightChars="-10"/>
              <w:jc w:val="left"/>
              <w:rPr>
                <w:rFonts w:hint="default" w:ascii="宋体" w:hAnsi="宋体" w:cs="宋体"/>
                <w:bCs/>
                <w:sz w:val="24"/>
                <w:szCs w:val="24"/>
              </w:rPr>
            </w:pPr>
            <w:r>
              <w:rPr>
                <w:rFonts w:ascii="宋体" w:hAnsi="宋体" w:cs="宋体"/>
                <w:bCs/>
                <w:sz w:val="24"/>
                <w:szCs w:val="24"/>
              </w:rPr>
              <w:t>【主观分】</w:t>
            </w:r>
            <w:r>
              <w:rPr>
                <w:rFonts w:cs="仿宋_GB2312" w:asciiTheme="minorEastAsia" w:hAnsiTheme="minorEastAsia" w:eastAsiaTheme="minorEastAsia"/>
                <w:sz w:val="24"/>
                <w:szCs w:val="24"/>
              </w:rPr>
              <w:t>根据</w:t>
            </w:r>
            <w:r>
              <w:rPr>
                <w:rFonts w:hint="default" w:cs="仿宋_GB2312" w:asciiTheme="minorEastAsia" w:hAnsiTheme="minorEastAsia" w:eastAsiaTheme="minorEastAsia"/>
                <w:sz w:val="24"/>
                <w:szCs w:val="24"/>
              </w:rPr>
              <w:t>因</w:t>
            </w:r>
            <w:r>
              <w:rPr>
                <w:rFonts w:cs="仿宋_GB2312" w:asciiTheme="minorEastAsia" w:hAnsiTheme="minorEastAsia" w:eastAsiaTheme="minorEastAsia"/>
                <w:sz w:val="24"/>
                <w:szCs w:val="24"/>
              </w:rPr>
              <w:t>投标人</w:t>
            </w:r>
            <w:r>
              <w:rPr>
                <w:rFonts w:hint="default" w:cs="仿宋_GB2312" w:asciiTheme="minorEastAsia" w:hAnsiTheme="minorEastAsia" w:eastAsiaTheme="minorEastAsia"/>
                <w:sz w:val="24"/>
                <w:szCs w:val="24"/>
              </w:rPr>
              <w:t>操作导致账号被封禁、限制或出现安全漏洞</w:t>
            </w:r>
            <w:r>
              <w:rPr>
                <w:rFonts w:cs="仿宋_GB2312" w:asciiTheme="minorEastAsia" w:hAnsiTheme="minorEastAsia" w:eastAsiaTheme="minorEastAsia"/>
                <w:sz w:val="24"/>
                <w:szCs w:val="24"/>
              </w:rPr>
              <w:t>，投标人能在规定的时间内恢复的保障措施的可行性、合理性及完整性</w:t>
            </w:r>
            <w:r>
              <w:rPr>
                <w:rFonts w:ascii="宋体" w:hAnsi="宋体" w:cs="宋体"/>
                <w:bCs/>
                <w:sz w:val="24"/>
                <w:szCs w:val="24"/>
                <w:lang w:val="zh-CN"/>
              </w:rPr>
              <w:t>进行综合评分</w:t>
            </w:r>
            <w:r>
              <w:rPr>
                <w:rFonts w:ascii="宋体" w:hAnsi="宋体" w:cs="宋体"/>
                <w:bCs/>
                <w:sz w:val="24"/>
                <w:szCs w:val="24"/>
              </w:rPr>
              <w:t>（评审分值为1分或2分或3分或4分或5分)，未提供不得分。</w:t>
            </w:r>
          </w:p>
        </w:tc>
        <w:tc>
          <w:tcPr>
            <w:tcW w:w="336" w:type="pct"/>
            <w:vAlign w:val="center"/>
          </w:tcPr>
          <w:p w14:paraId="361ACBF9">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r w14:paraId="2BDC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215" w:type="pct"/>
            <w:shd w:val="clear" w:color="auto" w:fill="auto"/>
            <w:vAlign w:val="center"/>
          </w:tcPr>
          <w:p w14:paraId="5D220B60">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14</w:t>
            </w:r>
          </w:p>
        </w:tc>
        <w:tc>
          <w:tcPr>
            <w:tcW w:w="589" w:type="pct"/>
            <w:vMerge w:val="restart"/>
            <w:vAlign w:val="center"/>
          </w:tcPr>
          <w:p w14:paraId="2B628ABF">
            <w:pPr>
              <w:spacing w:line="360" w:lineRule="auto"/>
              <w:ind w:right="-21" w:rightChars="-10"/>
              <w:jc w:val="center"/>
              <w:rPr>
                <w:rFonts w:hint="default" w:ascii="宋体" w:hAnsi="宋体" w:cs="宋体"/>
                <w:bCs/>
                <w:sz w:val="24"/>
                <w:szCs w:val="24"/>
              </w:rPr>
            </w:pPr>
            <w:r>
              <w:rPr>
                <w:rFonts w:ascii="宋体" w:hAnsi="宋体" w:cs="宋体"/>
                <w:bCs/>
                <w:sz w:val="24"/>
                <w:szCs w:val="24"/>
              </w:rPr>
              <w:t>团队配置</w:t>
            </w:r>
          </w:p>
        </w:tc>
        <w:tc>
          <w:tcPr>
            <w:tcW w:w="3858" w:type="pct"/>
            <w:vAlign w:val="center"/>
          </w:tcPr>
          <w:p w14:paraId="33AAAEE3">
            <w:pPr>
              <w:spacing w:before="152" w:after="160" w:line="360" w:lineRule="auto"/>
              <w:ind w:right="-21" w:rightChars="-10"/>
              <w:rPr>
                <w:rFonts w:hint="default" w:ascii="宋体" w:hAnsi="宋体" w:cs="宋体"/>
                <w:bCs/>
                <w:sz w:val="24"/>
                <w:szCs w:val="24"/>
              </w:rPr>
            </w:pPr>
            <w:r>
              <w:rPr>
                <w:rFonts w:ascii="宋体" w:hAnsi="宋体" w:cs="宋体"/>
                <w:bCs/>
                <w:sz w:val="24"/>
                <w:szCs w:val="24"/>
              </w:rPr>
              <w:t>【客观分】拟派</w:t>
            </w:r>
            <w:r>
              <w:rPr>
                <w:rFonts w:ascii="宋体" w:hAnsi="宋体" w:cs="宋体"/>
                <w:sz w:val="24"/>
                <w:szCs w:val="24"/>
              </w:rPr>
              <w:t>运营总监具有同类项目运营管理工作经验满五年（计算时间截止到投标截止时间）的得1分；满八年（计算时间截止到投标截止时间）的得3分，提供相关工作经验证明材料及为本单位员工的证明材料，不提供证明的不得分。</w:t>
            </w:r>
          </w:p>
        </w:tc>
        <w:tc>
          <w:tcPr>
            <w:tcW w:w="336" w:type="pct"/>
            <w:vAlign w:val="center"/>
          </w:tcPr>
          <w:p w14:paraId="488EF19D">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3</w:t>
            </w:r>
          </w:p>
        </w:tc>
      </w:tr>
      <w:tr w14:paraId="4E27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08BF2302">
            <w:pPr>
              <w:adjustRightInd w:val="0"/>
              <w:snapToGrid w:val="0"/>
              <w:spacing w:line="360" w:lineRule="auto"/>
              <w:jc w:val="center"/>
              <w:rPr>
                <w:rFonts w:hint="default" w:ascii="宋体" w:hAnsi="宋体" w:cs="宋体"/>
                <w:bCs/>
                <w:sz w:val="24"/>
                <w:szCs w:val="24"/>
              </w:rPr>
            </w:pPr>
            <w:r>
              <w:rPr>
                <w:rFonts w:ascii="宋体" w:hAnsi="宋体" w:cs="宋体"/>
                <w:bCs/>
                <w:sz w:val="24"/>
                <w:szCs w:val="24"/>
              </w:rPr>
              <w:t>15</w:t>
            </w:r>
          </w:p>
        </w:tc>
        <w:tc>
          <w:tcPr>
            <w:tcW w:w="589" w:type="pct"/>
            <w:vMerge w:val="continue"/>
            <w:vAlign w:val="center"/>
          </w:tcPr>
          <w:p w14:paraId="751B477D">
            <w:pPr>
              <w:spacing w:line="360" w:lineRule="auto"/>
              <w:ind w:right="-21" w:rightChars="-10"/>
              <w:jc w:val="left"/>
              <w:rPr>
                <w:rFonts w:hint="default" w:ascii="宋体" w:hAnsi="宋体" w:cs="宋体"/>
                <w:bCs/>
                <w:sz w:val="24"/>
                <w:szCs w:val="24"/>
              </w:rPr>
            </w:pPr>
          </w:p>
        </w:tc>
        <w:tc>
          <w:tcPr>
            <w:tcW w:w="3858" w:type="pct"/>
            <w:vAlign w:val="center"/>
          </w:tcPr>
          <w:p w14:paraId="21280577">
            <w:pPr>
              <w:spacing w:line="360" w:lineRule="auto"/>
              <w:ind w:right="-21" w:rightChars="-10"/>
              <w:rPr>
                <w:rFonts w:hint="default" w:ascii="宋体" w:hAnsi="宋体" w:cs="宋体"/>
                <w:bCs/>
                <w:sz w:val="24"/>
                <w:szCs w:val="24"/>
                <w:lang w:val="zh-CN"/>
              </w:rPr>
            </w:pPr>
            <w:r>
              <w:rPr>
                <w:rFonts w:ascii="宋体" w:hAnsi="宋体" w:cs="宋体"/>
                <w:bCs/>
                <w:sz w:val="24"/>
                <w:szCs w:val="24"/>
              </w:rPr>
              <w:t>【主观分】</w:t>
            </w:r>
            <w:r>
              <w:rPr>
                <w:rFonts w:ascii="宋体" w:hAnsi="宋体" w:cs="宋体"/>
                <w:sz w:val="24"/>
                <w:szCs w:val="24"/>
              </w:rPr>
              <w:t>根</w:t>
            </w:r>
            <w:r>
              <w:rPr>
                <w:rFonts w:ascii="宋体" w:hAnsi="宋体" w:cs="宋体"/>
                <w:bCs/>
                <w:sz w:val="24"/>
                <w:szCs w:val="24"/>
              </w:rPr>
              <w:t>据拟投入本次项目实施人员情况：包括①工作履历、技术能力、②职称、类似项目经验等、③专业分布等情况进行</w:t>
            </w:r>
            <w:r>
              <w:rPr>
                <w:rFonts w:ascii="宋体" w:hAnsi="宋体" w:cs="宋体"/>
                <w:bCs/>
                <w:sz w:val="24"/>
                <w:szCs w:val="24"/>
                <w:lang w:val="zh-CN"/>
              </w:rPr>
              <w:t>综合评分</w:t>
            </w:r>
            <w:r>
              <w:rPr>
                <w:rFonts w:ascii="宋体" w:hAnsi="宋体" w:cs="宋体"/>
                <w:bCs/>
                <w:sz w:val="24"/>
                <w:szCs w:val="24"/>
              </w:rPr>
              <w:t>（评审分值为1分或2分或3分或4分或5分)，未提供不得分。</w:t>
            </w:r>
          </w:p>
        </w:tc>
        <w:tc>
          <w:tcPr>
            <w:tcW w:w="336" w:type="pct"/>
            <w:vAlign w:val="center"/>
          </w:tcPr>
          <w:p w14:paraId="2B79527A">
            <w:pPr>
              <w:spacing w:line="360" w:lineRule="auto"/>
              <w:ind w:right="-21" w:rightChars="-10"/>
              <w:jc w:val="center"/>
              <w:rPr>
                <w:rFonts w:hint="default" w:ascii="宋体" w:hAnsi="宋体" w:cs="宋体"/>
                <w:bCs/>
                <w:kern w:val="0"/>
                <w:sz w:val="24"/>
                <w:szCs w:val="24"/>
              </w:rPr>
            </w:pPr>
            <w:r>
              <w:rPr>
                <w:rFonts w:ascii="宋体" w:hAnsi="宋体" w:cs="宋体"/>
                <w:bCs/>
                <w:kern w:val="0"/>
                <w:sz w:val="24"/>
                <w:szCs w:val="24"/>
              </w:rPr>
              <w:t>5</w:t>
            </w:r>
          </w:p>
        </w:tc>
      </w:tr>
    </w:tbl>
    <w:p w14:paraId="7D96262F">
      <w:pPr>
        <w:pStyle w:val="24"/>
        <w:rPr>
          <w:rFonts w:hint="default" w:ascii="Times New Roman" w:hAnsi="Times New Roman"/>
          <w:b/>
          <w:sz w:val="24"/>
          <w:szCs w:val="24"/>
        </w:rPr>
      </w:pPr>
    </w:p>
    <w:p w14:paraId="79312E3D">
      <w:pPr>
        <w:pStyle w:val="15"/>
        <w:adjustRightInd w:val="0"/>
        <w:snapToGrid w:val="0"/>
        <w:spacing w:line="360" w:lineRule="auto"/>
        <w:ind w:firstLine="466" w:firstLineChars="200"/>
        <w:rPr>
          <w:rFonts w:hint="default" w:ascii="Times New Roman" w:hAnsi="Times New Roman"/>
          <w:b/>
          <w:bCs/>
          <w:sz w:val="24"/>
        </w:rPr>
      </w:pPr>
      <w:r>
        <w:rPr>
          <w:rFonts w:hint="default" w:ascii="Times New Roman" w:hAnsi="Times New Roman"/>
          <w:b/>
          <w:sz w:val="24"/>
        </w:rPr>
        <w:t>（二）</w:t>
      </w:r>
      <w:r>
        <w:rPr>
          <w:rFonts w:hint="default" w:ascii="Times New Roman" w:hAnsi="Times New Roman"/>
          <w:b/>
          <w:bCs/>
          <w:sz w:val="24"/>
        </w:rPr>
        <w:t>价格分（</w:t>
      </w:r>
      <w:r>
        <w:rPr>
          <w:rFonts w:ascii="Times New Roman" w:hAnsi="Times New Roman"/>
          <w:b/>
          <w:bCs/>
          <w:sz w:val="24"/>
          <w:u w:val="single"/>
        </w:rPr>
        <w:t>20</w:t>
      </w:r>
      <w:r>
        <w:rPr>
          <w:rFonts w:hint="default" w:ascii="Times New Roman" w:hAnsi="Times New Roman"/>
          <w:b/>
          <w:bCs/>
          <w:sz w:val="24"/>
        </w:rPr>
        <w:t>分）</w:t>
      </w:r>
    </w:p>
    <w:p w14:paraId="45A29343">
      <w:pPr>
        <w:adjustRightInd w:val="0"/>
        <w:snapToGrid w:val="0"/>
        <w:spacing w:line="360" w:lineRule="auto"/>
        <w:ind w:firstLine="480" w:firstLineChars="200"/>
        <w:rPr>
          <w:rFonts w:hint="default" w:hAnsi="宋体" w:cs="宋体"/>
          <w:sz w:val="24"/>
          <w:szCs w:val="24"/>
        </w:rPr>
      </w:pPr>
      <w:bookmarkStart w:id="70" w:name="_Toc19310"/>
      <w:bookmarkStart w:id="71" w:name="_Toc15860"/>
      <w:bookmarkStart w:id="72" w:name="_Toc703"/>
      <w:bookmarkStart w:id="73" w:name="_Toc6030"/>
      <w:bookmarkStart w:id="74" w:name="_Toc26914"/>
      <w:bookmarkStart w:id="75" w:name="_Toc1736"/>
      <w:bookmarkStart w:id="76" w:name="_Toc4320"/>
      <w:r>
        <w:rPr>
          <w:rFonts w:hAnsi="宋体" w:cs="宋体"/>
          <w:sz w:val="24"/>
          <w:szCs w:val="24"/>
        </w:rPr>
        <w:t>价格分采用低价优先法计算，即满足招标文件要求且投标价格最低的投标报价为评标基准价，其价格分为满分。其他投标人的价格分按照下列公式计算：</w:t>
      </w:r>
      <w:bookmarkEnd w:id="70"/>
      <w:bookmarkEnd w:id="71"/>
      <w:bookmarkEnd w:id="72"/>
    </w:p>
    <w:p w14:paraId="60913E54">
      <w:pPr>
        <w:adjustRightInd w:val="0"/>
        <w:snapToGrid w:val="0"/>
        <w:spacing w:line="360" w:lineRule="auto"/>
        <w:ind w:firstLine="480" w:firstLineChars="200"/>
        <w:rPr>
          <w:rFonts w:hint="default"/>
          <w:sz w:val="24"/>
          <w:szCs w:val="24"/>
        </w:rPr>
      </w:pPr>
      <w:bookmarkStart w:id="77" w:name="_Toc27767"/>
      <w:bookmarkStart w:id="78" w:name="_Toc9941"/>
      <w:bookmarkStart w:id="79" w:name="_Toc25325"/>
      <w:r>
        <w:rPr>
          <w:rFonts w:hAnsi="宋体" w:cs="宋体"/>
          <w:sz w:val="24"/>
          <w:szCs w:val="24"/>
        </w:rPr>
        <w:t>价格分=（评标基准价/投标报价）×</w:t>
      </w:r>
      <w:bookmarkEnd w:id="73"/>
      <w:bookmarkEnd w:id="74"/>
      <w:bookmarkEnd w:id="75"/>
      <w:bookmarkEnd w:id="76"/>
      <w:r>
        <w:rPr>
          <w:rFonts w:hAnsi="宋体" w:cs="宋体"/>
          <w:sz w:val="24"/>
          <w:szCs w:val="24"/>
        </w:rPr>
        <w:t>20</w:t>
      </w:r>
      <w:bookmarkEnd w:id="77"/>
      <w:bookmarkEnd w:id="78"/>
      <w:bookmarkEnd w:id="79"/>
    </w:p>
    <w:p w14:paraId="147F9AE0">
      <w:pPr>
        <w:autoSpaceDE w:val="0"/>
        <w:autoSpaceDN w:val="0"/>
        <w:adjustRightInd w:val="0"/>
        <w:snapToGrid w:val="0"/>
        <w:spacing w:line="360" w:lineRule="auto"/>
        <w:ind w:firstLine="482"/>
        <w:rPr>
          <w:rFonts w:hint="default" w:ascii="宋体" w:cs="仿宋_GB2312"/>
          <w:b/>
          <w:bCs/>
          <w:sz w:val="24"/>
        </w:rPr>
      </w:pPr>
      <w:r>
        <w:rPr>
          <w:rFonts w:ascii="宋体" w:cs="仿宋_GB2312"/>
          <w:b/>
          <w:bCs/>
          <w:sz w:val="24"/>
          <w:lang w:val="zh-CN"/>
        </w:rPr>
        <w:t>落实政府采购政策说明：</w:t>
      </w:r>
      <w:r>
        <w:rPr>
          <w:rFonts w:ascii="宋体" w:cs="仿宋_GB2312"/>
          <w:b/>
          <w:bCs/>
          <w:sz w:val="24"/>
        </w:rPr>
        <w:t>详见“第二章 投标人须知前附表”</w:t>
      </w:r>
    </w:p>
    <w:p w14:paraId="28613FDD">
      <w:pPr>
        <w:spacing w:line="360" w:lineRule="auto"/>
        <w:ind w:firstLine="482" w:firstLineChars="200"/>
        <w:rPr>
          <w:rFonts w:hint="default"/>
          <w:b/>
          <w:sz w:val="24"/>
          <w:szCs w:val="24"/>
        </w:rPr>
      </w:pPr>
      <w:r>
        <w:rPr>
          <w:b/>
          <w:sz w:val="24"/>
          <w:szCs w:val="24"/>
        </w:rPr>
        <w:t>五</w:t>
      </w:r>
      <w:r>
        <w:rPr>
          <w:rFonts w:hint="default"/>
          <w:b/>
          <w:sz w:val="24"/>
          <w:szCs w:val="24"/>
        </w:rPr>
        <w:t>、询标</w:t>
      </w:r>
    </w:p>
    <w:p w14:paraId="741D75EC">
      <w:pPr>
        <w:pStyle w:val="15"/>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对投标文件中存在含义不清楚的内容，必要时评标委员会要求</w:t>
      </w:r>
      <w:r>
        <w:rPr>
          <w:rFonts w:ascii="Times New Roman" w:hAnsi="Times New Roman"/>
          <w:bCs/>
          <w:sz w:val="24"/>
        </w:rPr>
        <w:t>供应商</w:t>
      </w:r>
      <w:r>
        <w:rPr>
          <w:rFonts w:hint="default" w:ascii="Times New Roman" w:hAnsi="Times New Roman"/>
          <w:bCs/>
          <w:sz w:val="24"/>
        </w:rPr>
        <w:t>作必要的澄清、说明或补正。询标记录需</w:t>
      </w:r>
      <w:r>
        <w:rPr>
          <w:rFonts w:ascii="Times New Roman" w:hAnsi="Times New Roman"/>
          <w:bCs/>
          <w:sz w:val="24"/>
        </w:rPr>
        <w:t>供应商</w:t>
      </w:r>
      <w:r>
        <w:rPr>
          <w:rFonts w:hint="default" w:ascii="Times New Roman" w:hAnsi="Times New Roman"/>
          <w:bCs/>
          <w:sz w:val="24"/>
        </w:rPr>
        <w:t>授权代表签字确认</w:t>
      </w:r>
      <w:r>
        <w:rPr>
          <w:rFonts w:ascii="Times New Roman" w:hAnsi="Times New Roman"/>
          <w:bCs/>
          <w:sz w:val="24"/>
        </w:rPr>
        <w:t>或供应商盖章确认</w:t>
      </w:r>
      <w:r>
        <w:rPr>
          <w:rFonts w:hint="default" w:ascii="Times New Roman" w:hAnsi="Times New Roman"/>
          <w:bCs/>
          <w:sz w:val="24"/>
        </w:rPr>
        <w:t>，它将作为投标文件的一部分。</w:t>
      </w:r>
    </w:p>
    <w:p w14:paraId="3444C85A">
      <w:pPr>
        <w:spacing w:line="360" w:lineRule="auto"/>
        <w:ind w:firstLine="482" w:firstLineChars="200"/>
        <w:rPr>
          <w:rFonts w:hint="default"/>
          <w:b/>
          <w:sz w:val="24"/>
          <w:szCs w:val="24"/>
        </w:rPr>
      </w:pPr>
      <w:r>
        <w:rPr>
          <w:b/>
          <w:sz w:val="24"/>
          <w:szCs w:val="24"/>
        </w:rPr>
        <w:t>六、修改评标结果</w:t>
      </w:r>
    </w:p>
    <w:p w14:paraId="5A83900C">
      <w:pPr>
        <w:pStyle w:val="15"/>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评标结果汇总完成后，除下列情形外，任何人不得修改评标结果：</w:t>
      </w:r>
    </w:p>
    <w:p w14:paraId="65E651B6">
      <w:pPr>
        <w:pStyle w:val="15"/>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（一）分值汇总计算错误的</w:t>
      </w:r>
    </w:p>
    <w:p w14:paraId="4AD7B0D8">
      <w:pPr>
        <w:pStyle w:val="15"/>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（二）分项评分超出评分标准范围的；</w:t>
      </w:r>
    </w:p>
    <w:p w14:paraId="1CC066F8">
      <w:pPr>
        <w:pStyle w:val="15"/>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（三）评标委员会成员对客观评审因素评分不一致的；</w:t>
      </w:r>
    </w:p>
    <w:p w14:paraId="6A82B6FF">
      <w:pPr>
        <w:pStyle w:val="15"/>
        <w:adjustRightInd w:val="0"/>
        <w:snapToGrid w:val="0"/>
        <w:spacing w:line="360" w:lineRule="auto"/>
        <w:ind w:firstLine="464" w:firstLineChars="200"/>
        <w:rPr>
          <w:rFonts w:hint="default" w:ascii="Times New Roman" w:hAnsi="Times New Roman"/>
          <w:bCs/>
          <w:sz w:val="24"/>
        </w:rPr>
        <w:sectPr>
          <w:headerReference r:id="rId8" w:type="default"/>
          <w:footerReference r:id="rId9" w:type="default"/>
          <w:pgSz w:w="11906" w:h="16838"/>
          <w:pgMar w:top="1134" w:right="1247" w:bottom="1247" w:left="1304" w:header="794" w:footer="794" w:gutter="0"/>
          <w:cols w:space="720" w:num="1"/>
          <w:docGrid w:linePitch="312" w:charSpace="0"/>
        </w:sectPr>
      </w:pPr>
      <w:r>
        <w:rPr>
          <w:rFonts w:hint="default" w:ascii="Times New Roman" w:hAnsi="Times New Roman"/>
          <w:bCs/>
          <w:sz w:val="24"/>
        </w:rPr>
        <w:t>（四）经评标委员会认定评分畸高、畸低的。</w:t>
      </w:r>
    </w:p>
    <w:p w14:paraId="3F973276">
      <w:pPr>
        <w:pStyle w:val="6"/>
        <w:snapToGrid w:val="0"/>
        <w:spacing w:before="156" w:after="156" w:line="360" w:lineRule="auto"/>
        <w:jc w:val="center"/>
        <w:outlineLvl w:val="0"/>
        <w:rPr>
          <w:rFonts w:hint="default" w:ascii="Times New Roman" w:hAnsi="Times New Roman"/>
          <w:b/>
          <w:sz w:val="36"/>
          <w:szCs w:val="36"/>
        </w:rPr>
      </w:pPr>
      <w:bookmarkStart w:id="80" w:name="_Toc5663"/>
      <w:bookmarkStart w:id="81" w:name="_Toc22004"/>
      <w:r>
        <w:rPr>
          <w:rFonts w:hint="default" w:ascii="Times New Roman" w:hAnsi="Times New Roman"/>
          <w:b/>
          <w:sz w:val="36"/>
          <w:szCs w:val="36"/>
        </w:rPr>
        <w:t>第四章采购内容及需求</w:t>
      </w:r>
      <w:bookmarkEnd w:id="80"/>
      <w:bookmarkEnd w:id="81"/>
    </w:p>
    <w:p w14:paraId="051D5F5A">
      <w:pPr>
        <w:widowControl/>
        <w:numPr>
          <w:ilvl w:val="0"/>
          <w:numId w:val="5"/>
        </w:numPr>
        <w:spacing w:line="560" w:lineRule="exact"/>
        <w:ind w:firstLine="482" w:firstLineChars="200"/>
        <w:rPr>
          <w:rFonts w:hint="default" w:ascii="宋体" w:hAnsi="宋体" w:cs="宋体"/>
          <w:b/>
          <w:bCs/>
          <w:color w:val="000000"/>
          <w:sz w:val="24"/>
          <w:szCs w:val="24"/>
        </w:rPr>
      </w:pPr>
      <w:r>
        <w:rPr>
          <w:rFonts w:ascii="宋体" w:hAnsi="宋体" w:cs="宋体"/>
          <w:b/>
          <w:bCs/>
          <w:color w:val="000000"/>
          <w:sz w:val="24"/>
          <w:szCs w:val="24"/>
        </w:rPr>
        <w:t>项目内容</w:t>
      </w:r>
    </w:p>
    <w:p w14:paraId="20F91A8A">
      <w:pPr>
        <w:widowControl/>
        <w:spacing w:line="560" w:lineRule="exact"/>
        <w:ind w:firstLine="480" w:firstLineChars="200"/>
        <w:rPr>
          <w:rFonts w:hint="default" w:ascii="宋体" w:hAnsi="宋体" w:cs="宋体"/>
          <w:color w:val="000000"/>
          <w:sz w:val="24"/>
          <w:szCs w:val="24"/>
        </w:rPr>
      </w:pPr>
      <w:r>
        <w:rPr>
          <w:rFonts w:ascii="宋体" w:hAnsi="宋体" w:cs="宋体"/>
          <w:color w:val="000000"/>
          <w:sz w:val="24"/>
          <w:szCs w:val="24"/>
        </w:rPr>
        <w:t>1.项目概况</w:t>
      </w:r>
    </w:p>
    <w:p w14:paraId="2197DBC5">
      <w:pPr>
        <w:widowControl/>
        <w:spacing w:line="560" w:lineRule="exact"/>
        <w:ind w:firstLine="480" w:firstLineChars="200"/>
        <w:rPr>
          <w:rFonts w:hint="default" w:ascii="宋体" w:hAnsi="宋体" w:cs="宋体"/>
          <w:color w:val="000000"/>
          <w:sz w:val="24"/>
          <w:szCs w:val="24"/>
        </w:rPr>
      </w:pPr>
      <w:r>
        <w:rPr>
          <w:rFonts w:ascii="宋体" w:hAnsi="宋体" w:cs="宋体"/>
          <w:color w:val="000000"/>
          <w:sz w:val="24"/>
          <w:szCs w:val="24"/>
        </w:rPr>
        <w:t>为快速推进医学整形美容科（西溪）科室医疗业务发展，提升医疗服务能力，满足市场需求，推动实现医院科室品牌的可持续发展</w:t>
      </w:r>
      <w:r>
        <w:rPr>
          <w:rFonts w:ascii="宋体" w:hAnsi="宋体" w:cs="宋体"/>
          <w:color w:val="000000"/>
          <w:kern w:val="0"/>
          <w:sz w:val="24"/>
          <w:szCs w:val="24"/>
        </w:rPr>
        <w:t>。</w:t>
      </w:r>
      <w:r>
        <w:rPr>
          <w:rFonts w:ascii="宋体" w:hAnsi="宋体" w:cs="宋体"/>
          <w:color w:val="000000"/>
          <w:sz w:val="24"/>
          <w:szCs w:val="24"/>
        </w:rPr>
        <w:t>浙江省中医院拟采购医学整形美容科（西溪）运营服务。</w:t>
      </w:r>
    </w:p>
    <w:p w14:paraId="2966B2CF">
      <w:pPr>
        <w:widowControl/>
        <w:spacing w:line="560" w:lineRule="exact"/>
        <w:ind w:firstLine="480" w:firstLineChars="200"/>
        <w:rPr>
          <w:rFonts w:hint="default" w:ascii="宋体" w:hAnsi="宋体" w:cs="宋体"/>
          <w:color w:val="000000"/>
          <w:sz w:val="24"/>
          <w:szCs w:val="24"/>
        </w:rPr>
      </w:pPr>
      <w:r>
        <w:rPr>
          <w:rFonts w:ascii="宋体" w:hAnsi="宋体" w:cs="宋体"/>
          <w:color w:val="000000"/>
          <w:sz w:val="24"/>
          <w:szCs w:val="24"/>
        </w:rPr>
        <w:t>2.项目预算：960万元</w:t>
      </w:r>
    </w:p>
    <w:p w14:paraId="4B0651FE">
      <w:pPr>
        <w:widowControl/>
        <w:spacing w:line="560" w:lineRule="exact"/>
        <w:ind w:firstLine="480" w:firstLineChars="200"/>
        <w:rPr>
          <w:rFonts w:hint="default" w:ascii="宋体" w:hAnsi="宋体" w:cs="宋体"/>
          <w:color w:val="000000"/>
          <w:sz w:val="24"/>
          <w:szCs w:val="24"/>
        </w:rPr>
      </w:pPr>
      <w:r>
        <w:rPr>
          <w:rFonts w:ascii="宋体" w:hAnsi="宋体" w:cs="宋体"/>
          <w:color w:val="000000"/>
          <w:sz w:val="24"/>
          <w:szCs w:val="24"/>
        </w:rPr>
        <w:t>3.服务期限：2年。</w:t>
      </w:r>
    </w:p>
    <w:p w14:paraId="53210A1B">
      <w:pPr>
        <w:widowControl/>
        <w:numPr>
          <w:ilvl w:val="0"/>
          <w:numId w:val="5"/>
        </w:numPr>
        <w:spacing w:line="560" w:lineRule="exact"/>
        <w:ind w:firstLine="482" w:firstLineChars="200"/>
        <w:rPr>
          <w:rFonts w:hint="default" w:ascii="宋体" w:hAnsi="宋体" w:cs="宋体"/>
          <w:b/>
          <w:bCs/>
          <w:color w:val="000000"/>
          <w:sz w:val="24"/>
          <w:szCs w:val="24"/>
        </w:rPr>
      </w:pPr>
      <w:r>
        <w:rPr>
          <w:rFonts w:ascii="宋体" w:hAnsi="宋体" w:cs="宋体"/>
          <w:b/>
          <w:bCs/>
          <w:color w:val="000000"/>
          <w:sz w:val="24"/>
          <w:szCs w:val="24"/>
        </w:rPr>
        <w:t>项目具体要求</w:t>
      </w:r>
    </w:p>
    <w:p w14:paraId="198FC972">
      <w:pPr>
        <w:spacing w:line="560" w:lineRule="exact"/>
        <w:ind w:firstLine="482" w:firstLineChars="200"/>
        <w:rPr>
          <w:rFonts w:hint="default" w:ascii="宋体" w:hAnsi="宋体" w:cs="宋体"/>
          <w:b/>
          <w:color w:val="000000"/>
          <w:kern w:val="0"/>
          <w:sz w:val="24"/>
          <w:szCs w:val="24"/>
        </w:rPr>
      </w:pPr>
      <w:r>
        <w:rPr>
          <w:rFonts w:ascii="宋体" w:hAnsi="宋体" w:cs="宋体"/>
          <w:b/>
          <w:color w:val="000000"/>
          <w:kern w:val="0"/>
          <w:sz w:val="24"/>
          <w:szCs w:val="24"/>
        </w:rPr>
        <w:t>1.合规运营要求</w:t>
      </w:r>
    </w:p>
    <w:p w14:paraId="21CC0B2A">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sz w:val="24"/>
          <w:szCs w:val="24"/>
        </w:rPr>
        <w:t>所有宣传推广（含线上平台内容、活动物料、科普信息等）需严格遵</w:t>
      </w:r>
      <w:r>
        <w:rPr>
          <w:rFonts w:ascii="宋体" w:hAnsi="宋体" w:cs="宋体"/>
          <w:color w:val="000000" w:themeColor="text1"/>
          <w:sz w:val="24"/>
          <w:szCs w:val="24"/>
          <w14:textFill>
            <w14:solidFill>
              <w14:schemeClr w14:val="tx1"/>
            </w14:solidFill>
          </w14:textFill>
        </w:rPr>
        <w:t>循《广告法》、《医疗广告管理办法》等法规及各平台推广规则，常规业务内容发布需经采购人进行审核，确保内容正确、准确，通过后实施，杜绝虚假宣传、疗效承诺，患者案例需提前征得患方同意、规范签署书面授权书并隐去隐私信息。接受医院医务部、宣传统战部监管，配合医院重要宣传，服从医院统一指挥。</w:t>
      </w:r>
    </w:p>
    <w:p w14:paraId="5F8CE9DA">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因虚假广告、虚假宣传等引发的医疗纠纷、民事赔偿及行政处罚等，由供应商承担全部赔偿及法律责任，对相关纠纷提供全额责任托底，保障医院名誉及利益不受损害。</w:t>
      </w:r>
    </w:p>
    <w:p w14:paraId="01EB2978">
      <w:pPr>
        <w:spacing w:line="560" w:lineRule="exact"/>
        <w:ind w:firstLine="480" w:firstLineChars="200"/>
        <w:rPr>
          <w:rFonts w:hint="default" w:ascii="宋体" w:hAnsi="宋体" w:cs="宋体"/>
          <w:b/>
          <w:color w:val="000000" w:themeColor="text1"/>
          <w:kern w:val="0"/>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供应商需严格遵循医院保密要求，未经医院/患方书面同意不得向第三方披露医疗数据、个人隐私等保密信息（法律法规另有规定或监管部门要求除外）。</w:t>
      </w:r>
    </w:p>
    <w:p w14:paraId="164B8468">
      <w:pPr>
        <w:spacing w:line="560" w:lineRule="exact"/>
        <w:ind w:firstLine="482" w:firstLineChars="200"/>
        <w:rPr>
          <w:rFonts w:hint="default"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2.核心工作内容</w:t>
      </w:r>
    </w:p>
    <w:p w14:paraId="34D0A5D5">
      <w:pPr>
        <w:spacing w:line="560" w:lineRule="exact"/>
        <w:ind w:firstLine="482" w:firstLineChars="200"/>
        <w:rPr>
          <w:rFonts w:hint="default"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2.1.全平台线上运营</w:t>
      </w:r>
    </w:p>
    <w:p w14:paraId="45A3FBA5">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2.1.1.覆盖平台：微信公众号/视频号、抖音、小红书、大众点评（美团）等，需经医院审核后完成合规账号开通及认证（大众点评标注“非营利性医疗机构”）。账号归属权为浙江省中医院，运营团队具有账号使用权。</w:t>
      </w:r>
    </w:p>
    <w:p w14:paraId="51AFF414">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2.1.2.内容要求：聚焦公益科普、专家资质公示、就诊指南、活动动态，无疗效性描述、违规对比图及血腥画面等。</w:t>
      </w:r>
    </w:p>
    <w:p w14:paraId="6235099F">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2.1.3.使用患者案例宣传需签署书面授权书并隐去隐私信息。</w:t>
      </w:r>
    </w:p>
    <w:p w14:paraId="7AB18A67">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2.1.4.引流要求：各平台运营账号推广引流方向均为浙江省中医院。</w:t>
      </w:r>
    </w:p>
    <w:p w14:paraId="66DB0802">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2.1.5.运营流量要求：各平台月原创内容（图文/视频/直播等）≥5篇；原创度/阅读完成率≥15%；粉丝月增/用户互动率≥10%。总曝光：月度≥1.5万次；月直播≥2场，场均观看≥600人、时长≥60分钟。月新增微信用户≥50人；月有效加微咨询≥50条；咨询到院率≥40%。</w:t>
      </w:r>
    </w:p>
    <w:p w14:paraId="559C0C4D">
      <w:pPr>
        <w:spacing w:line="560" w:lineRule="exact"/>
        <w:ind w:firstLine="482" w:firstLineChars="200"/>
        <w:rPr>
          <w:rFonts w:hint="default" w:ascii="宋体" w:hAnsi="宋体" w:cs="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2.2.线下活动与学术建设</w:t>
      </w:r>
    </w:p>
    <w:p w14:paraId="7F101B00">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大型义诊/宣讲：每季度≥1场，覆盖周边区政府、街道、2000人以上企事业单位等，每场场地≥150㎡、参与≥100人，完成引流指标（年门诊人次增量≥1万，其中非药物治疗人次占比≥50%；年手术台次≥900台；中医美容类收入占比≥10%；门诊患者满意度占比≥90%，门诊患者满意度调查问卷详见附件1），相关费用包含在报价内。</w:t>
      </w:r>
    </w:p>
    <w:p w14:paraId="3445A3A2">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2.2.2.节假日专题活动：每年≥3场，线下场地≥100㎡、参与≥50人，线上直播观看≥1000人，相关费用包含在报价内。</w:t>
      </w:r>
    </w:p>
    <w:p w14:paraId="3000F86E">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2.2.3.学术建设：年均承办省级学术会议/宣讲≥1场（场地≥300㎡、参与≥200人），相关活动经医院审核，相关费用包含在报价内。</w:t>
      </w:r>
    </w:p>
    <w:p w14:paraId="00130C9D">
      <w:pPr>
        <w:spacing w:line="560" w:lineRule="exact"/>
        <w:ind w:firstLine="482" w:firstLineChars="200"/>
        <w:rPr>
          <w:rFonts w:hint="default"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2.3.团队与服务支持</w:t>
      </w:r>
    </w:p>
    <w:p w14:paraId="5B1CFCEB">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2.3.1.搭建咨询及运营服务团队，明确合规服务标准与岗位职责。</w:t>
      </w:r>
    </w:p>
    <w:p w14:paraId="38BC7C98">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2.3.2.派驻4名全职运营人员（本科及以上学历）驻场办公，工作时间与医院行政班（8：00-17:00）时间一致，可根据需求延长时间，上岗前需有供应商对其进行该岗位技术要求等相关培训，并接受采购人上岗前进行相关制度规范培训，经双方考核合格后方可正式入岗，相关岗位人员具体要求如下：</w:t>
      </w:r>
    </w:p>
    <w:p w14:paraId="1C57052B">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运营总监：3年及以上医美机构运营管理经验；</w:t>
      </w:r>
    </w:p>
    <w:p w14:paraId="3DA662B6">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策划运营专员：策划/运营专业毕业，3年及以上同岗位经验；</w:t>
      </w:r>
    </w:p>
    <w:p w14:paraId="73BDE3C5">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拍摄剪辑专员：2年及以上摄影相关经验；</w:t>
      </w:r>
    </w:p>
    <w:p w14:paraId="19445214">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医美咨询专员：2年及以上医美咨询经验（不涉及实时诊疗）</w:t>
      </w:r>
    </w:p>
    <w:p w14:paraId="46478503">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根据医院实际工作需求，4人工作职责可交叉。</w:t>
      </w:r>
    </w:p>
    <w:p w14:paraId="4C545F11">
      <w:pPr>
        <w:widowControl/>
        <w:numPr>
          <w:ilvl w:val="0"/>
          <w:numId w:val="5"/>
        </w:numPr>
        <w:spacing w:line="560" w:lineRule="exact"/>
        <w:ind w:firstLine="482" w:firstLineChars="200"/>
        <w:rPr>
          <w:rFonts w:hint="default"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业务考核与费用结算</w:t>
      </w:r>
    </w:p>
    <w:p w14:paraId="6EBD2886">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1.核心财务指标（KPI）</w:t>
      </w:r>
    </w:p>
    <w:p w14:paraId="0E70B468">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1.1.自首月有效收入达成100万元月度目标的次月起作为首季度计算运营服务费；首个合同年，季度有效收入环比增长率不低于30%。若季度增长不达标，以1200万元/年为结算基数，首年整体有效收入较该基数增长不低于100%。</w:t>
      </w:r>
    </w:p>
    <w:p w14:paraId="0A938E27">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1.2.第二个合同年度，有效收入较上一年度同比增长率不低于60%。</w:t>
      </w:r>
    </w:p>
    <w:p w14:paraId="3979C538">
      <w:pPr>
        <w:spacing w:line="560" w:lineRule="exact"/>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注：有效收入计算方式为治疗收入+手术收入-不可收费耗材支出-设备折旧成本-月度绩效总额。其中：月度绩效总额为季度结算日时已完成核算的前三个月金额或年度清算时已完成核算的前十二个月所有该科室人员月奖。</w:t>
      </w:r>
    </w:p>
    <w:p w14:paraId="26C43BE8">
      <w:pPr>
        <w:spacing w:line="560" w:lineRule="exact"/>
        <w:ind w:left="567"/>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2.费用与结算规则</w:t>
      </w:r>
    </w:p>
    <w:p w14:paraId="06BE1D63">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2.1.费用计算方式</w:t>
      </w:r>
    </w:p>
    <w:p w14:paraId="536E1FEC">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运营服务费=（实际有效收入-保底有效收入）×折扣（折扣≤30%），包含派驻人员固定薪酬、浮动薪酬、运营相关费用、税费等所有支出。</w:t>
      </w:r>
    </w:p>
    <w:p w14:paraId="7DF3EB26">
      <w:pPr>
        <w:spacing w:line="560" w:lineRule="exact"/>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举例：第一季度实际有效收入为400万元，按保底有效收入300万元计算，运营服务费=（400-300）*折扣。</w:t>
      </w:r>
    </w:p>
    <w:p w14:paraId="57A381ED">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2.2.结算周期</w:t>
      </w:r>
    </w:p>
    <w:p w14:paraId="022FBA10">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2.2.1.季度预结算：季度结束后次月10日前，供应商提交过程指标完成报告，双方完成上季度业绩核对，采购人审核确认后15个工作日内支付。核对结果作为季度预结算的唯一依据。</w:t>
      </w:r>
    </w:p>
    <w:p w14:paraId="6BDCAD63">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首年保底有效收入核算规则如下：若季度业绩环比增长率≥30%，首季度保底有效收入为300万元，第二季度起保底有效收入按上季度实际有效收入核算；若季度业绩环比增长率＜30%，当季不结算运营管理费，下季度的保底有效收入按300万元*（1+30%）</w:t>
      </w:r>
      <w:r>
        <w:rPr>
          <w:rFonts w:ascii="宋体" w:hAnsi="宋体" w:cs="宋体"/>
          <w:color w:val="000000" w:themeColor="text1"/>
          <w:sz w:val="24"/>
          <w:szCs w:val="24"/>
          <w:vertAlign w:val="superscript"/>
          <w14:textFill>
            <w14:solidFill>
              <w14:schemeClr w14:val="tx1"/>
            </w14:solidFill>
          </w14:textFill>
        </w:rPr>
        <w:t>季度数-1</w:t>
      </w:r>
      <w:r>
        <w:rPr>
          <w:rFonts w:ascii="宋体" w:hAnsi="宋体" w:cs="宋体"/>
          <w:color w:val="000000" w:themeColor="text1"/>
          <w:sz w:val="24"/>
          <w:szCs w:val="24"/>
          <w14:textFill>
            <w14:solidFill>
              <w14:schemeClr w14:val="tx1"/>
            </w14:solidFill>
          </w14:textFill>
        </w:rPr>
        <w:t>核算。</w:t>
      </w:r>
    </w:p>
    <w:p w14:paraId="34F8485E">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次年保底有效收入核算规则如下：若季度业绩同比增长率≥60%，保底有效收入按上年同期实际有效收入核算；若季度业绩同比增长率＜60%，当季不结算运营管理费；若首年同期季度未达标，次年该季度保底有效收入按上一年度该季度目标有效收入同比增长60%核算。</w:t>
      </w:r>
    </w:p>
    <w:p w14:paraId="014CF84E">
      <w:pPr>
        <w:spacing w:line="560" w:lineRule="exact"/>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注：上一年度该季度目标有效收入为300万元*（1+30%）</w:t>
      </w:r>
      <w:r>
        <w:rPr>
          <w:rFonts w:ascii="宋体" w:hAnsi="宋体" w:cs="宋体"/>
          <w:color w:val="000000" w:themeColor="text1"/>
          <w:sz w:val="24"/>
          <w:szCs w:val="24"/>
          <w:vertAlign w:val="superscript"/>
          <w14:textFill>
            <w14:solidFill>
              <w14:schemeClr w14:val="tx1"/>
            </w14:solidFill>
          </w14:textFill>
        </w:rPr>
        <w:t>当年季度数-1</w:t>
      </w:r>
      <w:r>
        <w:rPr>
          <w:rFonts w:ascii="宋体" w:hAnsi="宋体" w:cs="宋体"/>
          <w:color w:val="000000" w:themeColor="text1"/>
          <w:sz w:val="24"/>
          <w:szCs w:val="24"/>
          <w14:textFill>
            <w14:solidFill>
              <w14:schemeClr w14:val="tx1"/>
            </w14:solidFill>
          </w14:textFill>
        </w:rPr>
        <w:t>。</w:t>
      </w:r>
    </w:p>
    <w:p w14:paraId="56D0EC9B">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2.2.2.年度结算：如季度增长未达标，但年度增长达标的，于第一个合同年结束后进行年度结算。</w:t>
      </w:r>
    </w:p>
    <w:p w14:paraId="15A1A76F">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首年年度保底有效收入按2400万元计算。</w:t>
      </w:r>
    </w:p>
    <w:p w14:paraId="303802E1">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次年年度保底有效收入核算规则如下：若首年完成年度增长指标，次年保底有效收入按首年实际有效收入增长60%核算；若首年未完成年度增长指标，次年保底有效收入按2400万元增长60%为基数核算。</w:t>
      </w:r>
    </w:p>
    <w:p w14:paraId="6718CCFE">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2.3.实际支付金额应当扣除预付款金额。</w:t>
      </w:r>
    </w:p>
    <w:p w14:paraId="18BF1E83">
      <w:pPr>
        <w:spacing w:line="560" w:lineRule="exact"/>
        <w:ind w:firstLine="482" w:firstLineChars="200"/>
        <w:rPr>
          <w:rFonts w:hint="default" w:ascii="宋体" w:hAnsi="宋体" w:cs="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四、合规、监管与争议解决</w:t>
      </w:r>
    </w:p>
    <w:p w14:paraId="2038D9C6">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1.合规与监管</w:t>
      </w:r>
    </w:p>
    <w:p w14:paraId="67B303EB">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1.1.供应商的所有运营行为，包括但不限于宣传内容、患者沟通、数据使用等，均须严格遵守《中华人民共和国广告法》、《医疗广告管理办法》、《医疗机构管理条例实施细则》、《网络安全法》、《个人信息保护法》等国家法律法规、部门规章，以及浙江省、杭州市地方性法规和采购人的内部管理制度。</w:t>
      </w:r>
      <w:r>
        <w:rPr>
          <w:rFonts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lang w:val="en-US" w:eastAsia="zh-CN"/>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1.2. 供应商应设立专门的内容合规官或小组，建立三级审核（策划-合规-采购人终审）机制。所有拟对外发布的内容（包括但不限于文案、视频、图片、直播脚本）须在发布前至少 3个工作日 提交医院指定的对接部门进行书面审核，未经审核通过不得发布。</w:t>
      </w:r>
      <w:r>
        <w:rPr>
          <w:rFonts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lang w:val="en-US" w:eastAsia="zh-CN"/>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1.3.患者案例的使用，除需获得患者合法、有效的书面授权（授权书模板需经采购人审核）并隐匿全部可识别个人信息外，还须在发布前单独报采购人审核。</w:t>
      </w:r>
    </w:p>
    <w:p w14:paraId="49228610">
      <w:pPr>
        <w:spacing w:line="560" w:lineRule="exact"/>
        <w:ind w:left="638" w:leftChars="304"/>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2.责任承担</w:t>
      </w:r>
    </w:p>
    <w:p w14:paraId="5E3C8D0A">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2.1.因供应商或其人员的原因，包括但不限于发布虚假、违规宣传内容，泄露患者隐私，不当承诺疗效等，所引发的任何民事纠纷、行政投诉、处罚或媒体负面舆情，供应商为第一责任方。</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2.2.对于前款所述情况导致的直接经济损失（包括对患者的赔偿、行政罚款、合理的律师费等），供应商应在收到采购人通知及相关凭证后 15个工作日 内予以全额赔偿。</w:t>
      </w:r>
    </w:p>
    <w:p w14:paraId="5458167F">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2.3.若纠纷或处罚涉及双方混合原因，应根据过错比例划分责任。</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2.4. 纠纷处理流程：一旦发生可能引发纠纷的事件，供应商须在 1小时内口头通报、4小时内书面报告采购人指定联系人，并立即启动应急预案。双方应组成联合工作小组，统一口径，协作处理。供应商负责提供所有相关素材、沟通记录作为处理依据。</w:t>
      </w:r>
    </w:p>
    <w:p w14:paraId="391E6F65">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3.知识产权与数据归属</w:t>
      </w:r>
    </w:p>
    <w:p w14:paraId="50B558A1">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3.1.运营期间，为履行本合同所产生的所有工作成果（包括但不限于文案、设计、视频、音频、摄影作品、活动方案、数据分析报告、软件代码等）的知识产权（包括著作权、专利申请权等）自创作完成之日起全部、排他性地归采购人所有。供应商享有署名权，但行使署名权不得有损采购人声誉。</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3.2.所有运营平台账号的所有权、粉丝资源、运营数据（包括后台数据、用户画像等）均归采购人所有。供应商应在合同终止后 5个工作日内，完成全部账号、密码、后台数据的清点与移交，并提供持续 30日 的技术支持以确保平稳过渡。</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3.3.因供应商操作导致账号被封禁、限制或出现安全漏洞，供应商应在 24小时内采取一切必要措施恢复，并承担因此产生的一切损失（包括但不限于推广费损失、粉丝流失导致的估值损失）。</w:t>
      </w:r>
    </w:p>
    <w:p w14:paraId="36A0057A">
      <w:pPr>
        <w:spacing w:line="560" w:lineRule="exact"/>
        <w:ind w:firstLine="482" w:firstLineChars="200"/>
        <w:rPr>
          <w:rFonts w:hint="default"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五、报价要求</w:t>
      </w:r>
    </w:p>
    <w:p w14:paraId="0FB244BD">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1.运营服务费计算方式：详见上述；</w:t>
      </w:r>
    </w:p>
    <w:p w14:paraId="1392128C">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2.报价要求：计算运营服务费的折扣率报价不高于30%，供应商报价需符合市场合理水平。</w:t>
      </w:r>
    </w:p>
    <w:p w14:paraId="157E712D">
      <w:pPr>
        <w:spacing w:line="560" w:lineRule="exact"/>
        <w:ind w:firstLine="482" w:firstLineChars="200"/>
        <w:rPr>
          <w:rFonts w:hint="default"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六、保密要求</w:t>
      </w:r>
    </w:p>
    <w:p w14:paraId="4A0EB4C2">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供应商需对医院患者个人信息、业务数据、运营方案等核心信息严格保密，未经医院/患方同意不得向第三方披露，法律法规另有规定或监管部门要求披露的除外。</w:t>
      </w:r>
    </w:p>
    <w:p w14:paraId="377467BD">
      <w:pPr>
        <w:spacing w:line="560" w:lineRule="exact"/>
        <w:ind w:firstLine="482" w:firstLineChars="200"/>
        <w:rPr>
          <w:rFonts w:hint="default" w:ascii="宋体" w:hAnsi="宋体" w:cs="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七、商务要求</w:t>
      </w:r>
    </w:p>
    <w:p w14:paraId="0350DC28">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履约保证金：合同签订后7个工作日内供应商向采购人递交合同预估金额的1%作为履约保证金，履约保证金形式：汇票、同城支票、银行转帐，也接受金融机构、担保机构出具的以保函形式提交的履约保证金。服务期届满后，无质量、售后服务问题和其他纠纷的，无息退还履约保证金。</w:t>
      </w:r>
    </w:p>
    <w:p w14:paraId="1F63AA54">
      <w:pPr>
        <w:spacing w:line="360" w:lineRule="auto"/>
        <w:ind w:firstLine="480" w:firstLineChars="200"/>
        <w:rPr>
          <w:rStyle w:val="49"/>
          <w:rFonts w:hint="default" w:ascii="宋体" w:hAnsi="宋体" w:cs="宋体"/>
          <w:sz w:val="24"/>
          <w:szCs w:val="24"/>
        </w:rPr>
      </w:pPr>
      <w:r>
        <w:rPr>
          <w:rFonts w:ascii="宋体" w:hAnsi="宋体" w:cs="宋体"/>
          <w:color w:val="000000" w:themeColor="text1"/>
          <w:sz w:val="24"/>
          <w:szCs w:val="24"/>
          <w14:textFill>
            <w14:solidFill>
              <w14:schemeClr w14:val="tx1"/>
            </w14:solidFill>
          </w14:textFill>
        </w:rPr>
        <w:t>2.付款方式</w:t>
      </w:r>
    </w:p>
    <w:p w14:paraId="78EB1E20">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 季度预结算</w:t>
      </w:r>
    </w:p>
    <w:p w14:paraId="3C9740E0">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每季度结束后次月，供应商提交《季度运营服务费结算申请》及佐证材料。</w:t>
      </w:r>
    </w:p>
    <w:p w14:paraId="4EC91AC7">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采购人审核通过后，支付当季度应付运营服务费。</w:t>
      </w:r>
    </w:p>
    <w:p w14:paraId="1F1A89F6">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若当季度实际有效收入低于保底收入，当季度运营服务费为0，不予支付。</w:t>
      </w:r>
    </w:p>
    <w:p w14:paraId="037BFB05">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 年度清算</w:t>
      </w:r>
    </w:p>
    <w:p w14:paraId="38B461D6">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2.2.1.每个合同年结束后，进行年度总清算。</w:t>
      </w:r>
    </w:p>
    <w:p w14:paraId="3202A887">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年度应付总额 =（全年实际有效收入总额 - 全年保底收入总额）× 折扣率。</w:t>
      </w:r>
    </w:p>
    <w:p w14:paraId="6D7077F4">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2.2.2.支付/退还机制</w:t>
      </w:r>
    </w:p>
    <w:p w14:paraId="0640F28C">
      <w:pPr>
        <w:pStyle w:val="12"/>
        <w:spacing w:line="360" w:lineRule="auto"/>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若年度应付总额 ＞ 0，采购人支付剩余款项（即年度应付总额 - 已支付季度预结算总额）。</w:t>
      </w:r>
    </w:p>
    <w:p w14:paraId="4F659B3A">
      <w:pPr>
        <w:pStyle w:val="12"/>
        <w:spacing w:line="360" w:lineRule="auto"/>
        <w:rPr>
          <w:rStyle w:val="49"/>
          <w:rFonts w:hint="default" w:ascii="宋体" w:hAnsi="宋体" w:cs="宋体"/>
          <w:sz w:val="24"/>
          <w:szCs w:val="24"/>
        </w:rPr>
      </w:pPr>
      <w:r>
        <w:rPr>
          <w:rFonts w:ascii="宋体" w:hAnsi="宋体" w:cs="宋体"/>
          <w:color w:val="000000" w:themeColor="text1"/>
          <w:sz w:val="24"/>
          <w:szCs w:val="24"/>
          <w14:textFill>
            <w14:solidFill>
              <w14:schemeClr w14:val="tx1"/>
            </w14:solidFill>
          </w14:textFill>
        </w:rPr>
        <w:t xml:space="preserve">    若年度应付总额 ≤ 0，供应商应在15个工作日内，将采购人超额支付的结算款项全额退还至采购人账户。</w:t>
      </w:r>
    </w:p>
    <w:p w14:paraId="57942205">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3.预付款条款：合同生效且供应商派驻人员全部到位并经医院考核合格后7个工作日内，采购人支付年度预算价</w:t>
      </w:r>
      <w:r>
        <w:rPr>
          <w:rFonts w:ascii="宋体" w:hAnsi="宋体" w:cs="宋体"/>
          <w:color w:val="000000" w:themeColor="text1"/>
          <w:sz w:val="24"/>
          <w:szCs w:val="24"/>
          <w:highlight w:val="none"/>
          <w14:textFill>
            <w14:solidFill>
              <w14:schemeClr w14:val="tx1"/>
            </w14:solidFill>
          </w14:textFill>
        </w:rPr>
        <w:t>的20%作为预付款，供应商须同时提交由银行、保险公司等金融机构出具的等额预付款保函。在签订合</w:t>
      </w:r>
      <w:r>
        <w:rPr>
          <w:rFonts w:ascii="宋体" w:hAnsi="宋体" w:cs="宋体"/>
          <w:color w:val="000000" w:themeColor="text1"/>
          <w:sz w:val="24"/>
          <w:szCs w:val="24"/>
          <w14:textFill>
            <w14:solidFill>
              <w14:schemeClr w14:val="tx1"/>
            </w14:solidFill>
          </w14:textFill>
        </w:rPr>
        <w:t>同时，供应商明确表示无需预付款或者主动降低预付款比例的，可以在合同签订时约定。</w:t>
      </w:r>
    </w:p>
    <w:p w14:paraId="3E6221AB">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4.人员管理</w:t>
      </w:r>
    </w:p>
    <w:p w14:paraId="008F1532">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4.1.供应商指派的运营总监、策划运营专员须常驻医院，未经医院书面同意不得更换。其他人员如需更换，应提前15日书面通知医院，并推荐同等或更优资历的候选人，经医院考核合格后方可更换。</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4.2.供应商应为其派驻人员购买足额商业保险（包括但不限于雇主责任险、公众责任险），其人员在工作期间发生的一切人身损害、财产损失或对第三方造成的损害，均由供应商承担全部责任。</w:t>
      </w:r>
    </w:p>
    <w:p w14:paraId="2399EA90">
      <w:pPr>
        <w:spacing w:line="560" w:lineRule="exact"/>
        <w:ind w:firstLine="482" w:firstLineChars="200"/>
        <w:rPr>
          <w:rFonts w:hint="default"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八、其他部分</w:t>
      </w:r>
    </w:p>
    <w:p w14:paraId="0BF93D3D">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1.不可抗力：定义不可抗力事件范围及通知义务。受影响方应在其发生后 3日 内书面通知对方。因不可抗力导致合同无法履行超过 60日，任何一方有权解除合同。</w:t>
      </w:r>
    </w:p>
    <w:p w14:paraId="51603443">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2.合同解除：除约定解除外，如供应商出现以下情形，医院有权单方解除合同，没收履约保证金，并追究违约责任：</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2.1.连续两个季度“考核收入”未达到保底收入的 80%；</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2.2.发生重大合规或舆情事件，对医院声誉造成严重损害；</w:t>
      </w:r>
      <w:r>
        <w:rPr>
          <w:rFonts w:ascii="宋体" w:hAnsi="宋体" w:cs="宋体"/>
          <w:color w:val="000000" w:themeColor="text1"/>
          <w:sz w:val="24"/>
          <w:szCs w:val="24"/>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 xml:space="preserve">    2.3.未经同意将核心服务转包或分包。</w:t>
      </w:r>
    </w:p>
    <w:p w14:paraId="1FC857A8">
      <w:pPr>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3.争议解决：因本合同引起或与本合同有关的任何争议，双方应友好协商解决；协商不成的，任何一方均有权向医院所在地有管辖权的人民法院 提起诉讼。败诉方应承担胜诉方为解决争议所支付的合理费用，包括但不限于律师费、保全费、鉴定费等。</w:t>
      </w:r>
      <w:r>
        <w:rPr>
          <w:rFonts w:ascii="宋体" w:hAnsi="宋体" w:cs="宋体"/>
          <w:color w:val="000000" w:themeColor="text1"/>
          <w:sz w:val="24"/>
          <w:szCs w:val="24"/>
          <w14:textFill>
            <w14:solidFill>
              <w14:schemeClr w14:val="tx1"/>
            </w14:solidFill>
          </w14:textFill>
        </w:rPr>
        <w:br w:type="textWrapping"/>
      </w:r>
    </w:p>
    <w:p w14:paraId="72F1E16A">
      <w:pPr>
        <w:spacing w:line="240" w:lineRule="atLeast"/>
        <w:outlineLvl w:val="0"/>
        <w:rPr>
          <w:rFonts w:ascii="Times New Roman" w:hAnsi="Times New Roman" w:eastAsia="宋体" w:cs="Times New Roman"/>
          <w:b/>
          <w:bCs/>
          <w:kern w:val="0"/>
          <w:sz w:val="36"/>
          <w:szCs w:val="21"/>
        </w:rPr>
      </w:pPr>
      <w:r>
        <w:rPr>
          <w:rFonts w:hint="eastAsia" w:ascii="宋体" w:hAnsi="宋体" w:cs="宋体"/>
          <w:b/>
          <w:bCs/>
          <w:color w:val="000000" w:themeColor="text1"/>
          <w:sz w:val="24"/>
          <w:szCs w:val="24"/>
          <w:lang w:val="en-US" w:eastAsia="zh-CN"/>
          <w14:textFill>
            <w14:solidFill>
              <w14:schemeClr w14:val="tx1"/>
            </w14:solidFill>
          </w14:textFill>
        </w:rPr>
        <w:t>附件1：门诊患者满意度调查问卷（服务期内若有变动，以采购人提供的最新版本为准）</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br w:type="textWrapping"/>
      </w:r>
      <w:r>
        <w:rPr>
          <w:rFonts w:hint="eastAsia" w:ascii="Times New Roman" w:hAnsi="Times New Roman" w:eastAsia="宋体" w:cs="Times New Roman"/>
          <w:b/>
          <w:bCs/>
          <w:kern w:val="0"/>
          <w:sz w:val="24"/>
          <w:szCs w:val="24"/>
        </w:rPr>
        <w:t>一</w:t>
      </w:r>
      <w:r>
        <w:rPr>
          <w:rFonts w:ascii="Times New Roman" w:hAnsi="Times New Roman" w:eastAsia="宋体" w:cs="Times New Roman"/>
          <w:b/>
          <w:bCs/>
          <w:kern w:val="0"/>
          <w:sz w:val="24"/>
          <w:szCs w:val="24"/>
        </w:rPr>
        <w:t>、基础信息部分</w:t>
      </w:r>
    </w:p>
    <w:tbl>
      <w:tblPr>
        <w:tblStyle w:val="42"/>
        <w:tblW w:w="9685" w:type="dxa"/>
        <w:jc w:val="center"/>
        <w:tblLayout w:type="fixed"/>
        <w:tblCellMar>
          <w:top w:w="0" w:type="dxa"/>
          <w:left w:w="108" w:type="dxa"/>
          <w:bottom w:w="0" w:type="dxa"/>
          <w:right w:w="108" w:type="dxa"/>
        </w:tblCellMar>
      </w:tblPr>
      <w:tblGrid>
        <w:gridCol w:w="3598"/>
        <w:gridCol w:w="6087"/>
      </w:tblGrid>
      <w:tr w14:paraId="6C7B5583">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77CAE3A8">
            <w:pPr>
              <w:widowControl/>
              <w:adjustRightInd w:val="0"/>
              <w:snapToGrid w:val="0"/>
              <w:jc w:val="center"/>
              <w:rPr>
                <w:rFonts w:ascii="Times New Roman" w:hAnsi="Times New Roman" w:cs="Times New Roman"/>
                <w:b/>
                <w:bCs/>
                <w:color w:val="auto"/>
                <w:kern w:val="0"/>
                <w:sz w:val="24"/>
                <w:szCs w:val="24"/>
              </w:rPr>
            </w:pPr>
            <w:r>
              <w:rPr>
                <w:rFonts w:hint="eastAsia" w:ascii="Times New Roman" w:hAnsi="Times New Roman" w:cs="Times New Roman"/>
                <w:b/>
                <w:bCs/>
                <w:color w:val="auto"/>
                <w:kern w:val="0"/>
                <w:sz w:val="24"/>
                <w:szCs w:val="24"/>
              </w:rPr>
              <w:t>题目</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3376B83D">
            <w:pPr>
              <w:widowControl/>
              <w:adjustRightInd w:val="0"/>
              <w:snapToGrid w:val="0"/>
              <w:jc w:val="center"/>
              <w:rPr>
                <w:rFonts w:ascii="Times New Roman" w:hAnsi="Times New Roman" w:cs="Times New Roman"/>
                <w:b/>
                <w:bCs/>
                <w:color w:val="auto"/>
                <w:kern w:val="0"/>
                <w:sz w:val="24"/>
                <w:szCs w:val="24"/>
              </w:rPr>
            </w:pPr>
            <w:r>
              <w:rPr>
                <w:rFonts w:hint="eastAsia" w:ascii="Times New Roman" w:hAnsi="Times New Roman" w:cs="Times New Roman"/>
                <w:b/>
                <w:bCs/>
                <w:color w:val="auto"/>
                <w:kern w:val="0"/>
                <w:sz w:val="24"/>
                <w:szCs w:val="24"/>
              </w:rPr>
              <w:t>选项</w:t>
            </w:r>
          </w:p>
        </w:tc>
      </w:tr>
      <w:tr w14:paraId="1B6CFAE8">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0914A7AC">
            <w:pPr>
              <w:rPr>
                <w:color w:val="auto"/>
                <w:sz w:val="24"/>
                <w:szCs w:val="24"/>
              </w:rPr>
            </w:pPr>
            <w:r>
              <w:rPr>
                <w:rFonts w:hint="eastAsia"/>
                <w:color w:val="auto"/>
                <w:sz w:val="24"/>
                <w:szCs w:val="24"/>
              </w:rPr>
              <w:t>1.患者</w:t>
            </w:r>
            <w:r>
              <w:rPr>
                <w:color w:val="auto"/>
                <w:sz w:val="24"/>
                <w:szCs w:val="24"/>
              </w:rPr>
              <w:t>的性别</w:t>
            </w:r>
            <w:r>
              <w:rPr>
                <w:rFonts w:hint="eastAsia"/>
                <w:color w:val="auto"/>
                <w:sz w:val="24"/>
                <w:szCs w:val="24"/>
              </w:rPr>
              <w:t xml:space="preserve">   </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3CA0A9B6">
            <w:pPr>
              <w:rPr>
                <w:color w:val="auto"/>
                <w:sz w:val="24"/>
                <w:szCs w:val="24"/>
              </w:rPr>
            </w:pPr>
            <w:r>
              <w:rPr>
                <w:color w:val="auto"/>
                <w:sz w:val="24"/>
                <w:szCs w:val="24"/>
              </w:rPr>
              <w:t>1.男 | 2.女</w:t>
            </w:r>
          </w:p>
        </w:tc>
      </w:tr>
      <w:tr w14:paraId="1789F29C">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4C50B8BF">
            <w:pPr>
              <w:rPr>
                <w:color w:val="auto"/>
                <w:sz w:val="24"/>
                <w:szCs w:val="24"/>
              </w:rPr>
            </w:pPr>
            <w:r>
              <w:rPr>
                <w:rFonts w:hint="eastAsia"/>
                <w:color w:val="auto"/>
                <w:sz w:val="24"/>
                <w:szCs w:val="24"/>
              </w:rPr>
              <w:t>2.患者的</w:t>
            </w:r>
            <w:r>
              <w:rPr>
                <w:color w:val="auto"/>
                <w:sz w:val="24"/>
                <w:szCs w:val="24"/>
              </w:rPr>
              <w:t>年龄</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01072954">
            <w:pPr>
              <w:rPr>
                <w:color w:val="auto"/>
                <w:sz w:val="24"/>
                <w:szCs w:val="24"/>
              </w:rPr>
            </w:pPr>
            <w:r>
              <w:rPr>
                <w:color w:val="auto"/>
                <w:sz w:val="24"/>
                <w:szCs w:val="24"/>
              </w:rPr>
              <w:t>1.18岁及以下 |2.19-39岁|3.40-59岁|4.60-79岁|5. 80岁及以上</w:t>
            </w:r>
          </w:p>
        </w:tc>
      </w:tr>
      <w:tr w14:paraId="50206ABF">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35B00896">
            <w:pPr>
              <w:rPr>
                <w:color w:val="auto"/>
                <w:sz w:val="24"/>
                <w:szCs w:val="24"/>
              </w:rPr>
            </w:pPr>
            <w:r>
              <w:rPr>
                <w:rFonts w:hint="eastAsia"/>
                <w:color w:val="auto"/>
                <w:sz w:val="24"/>
                <w:szCs w:val="24"/>
              </w:rPr>
              <w:t>3</w:t>
            </w:r>
            <w:r>
              <w:rPr>
                <w:color w:val="auto"/>
                <w:sz w:val="24"/>
                <w:szCs w:val="24"/>
              </w:rPr>
              <w:t xml:space="preserve">. </w:t>
            </w:r>
            <w:r>
              <w:rPr>
                <w:rFonts w:hint="eastAsia"/>
                <w:color w:val="auto"/>
                <w:sz w:val="24"/>
                <w:szCs w:val="24"/>
              </w:rPr>
              <w:t>您的最高学历</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4B4909DE">
            <w:pPr>
              <w:rPr>
                <w:color w:val="auto"/>
                <w:sz w:val="24"/>
                <w:szCs w:val="24"/>
              </w:rPr>
            </w:pPr>
            <w:r>
              <w:rPr>
                <w:rFonts w:hint="eastAsia"/>
                <w:color w:val="auto"/>
                <w:sz w:val="24"/>
                <w:szCs w:val="24"/>
              </w:rPr>
              <w:t>4.研究生3.本科或大专2.高中或中专1.初中及以下</w:t>
            </w:r>
          </w:p>
        </w:tc>
      </w:tr>
      <w:tr w14:paraId="68C3E91A">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5EA06111">
            <w:pPr>
              <w:rPr>
                <w:color w:val="auto"/>
                <w:sz w:val="24"/>
                <w:szCs w:val="24"/>
              </w:rPr>
            </w:pPr>
            <w:r>
              <w:rPr>
                <w:color w:val="auto"/>
                <w:sz w:val="24"/>
                <w:szCs w:val="24"/>
              </w:rPr>
              <w:t>4.</w:t>
            </w:r>
            <w:r>
              <w:rPr>
                <w:rFonts w:hint="eastAsia"/>
                <w:color w:val="auto"/>
                <w:sz w:val="24"/>
                <w:szCs w:val="24"/>
              </w:rPr>
              <w:t>患者的长期居住地</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7155B46F">
            <w:pPr>
              <w:rPr>
                <w:color w:val="auto"/>
                <w:sz w:val="24"/>
                <w:szCs w:val="24"/>
              </w:rPr>
            </w:pPr>
            <w:r>
              <w:rPr>
                <w:rFonts w:hint="eastAsia"/>
                <w:color w:val="auto"/>
                <w:sz w:val="24"/>
                <w:szCs w:val="24"/>
              </w:rPr>
              <w:t>1.</w:t>
            </w:r>
            <w:r>
              <w:rPr>
                <w:color w:val="auto"/>
                <w:sz w:val="24"/>
                <w:szCs w:val="24"/>
              </w:rPr>
              <w:t>本市</w:t>
            </w:r>
            <w:r>
              <w:rPr>
                <w:rFonts w:hint="eastAsia"/>
                <w:color w:val="auto"/>
                <w:sz w:val="24"/>
                <w:szCs w:val="24"/>
              </w:rPr>
              <w:t>（区、县）</w:t>
            </w:r>
            <w:r>
              <w:rPr>
                <w:color w:val="auto"/>
                <w:sz w:val="24"/>
                <w:szCs w:val="24"/>
              </w:rPr>
              <w:t xml:space="preserve"> | 2.</w:t>
            </w:r>
            <w:r>
              <w:rPr>
                <w:rFonts w:hint="eastAsia"/>
                <w:color w:val="auto"/>
                <w:sz w:val="24"/>
                <w:szCs w:val="24"/>
              </w:rPr>
              <w:t>本省其它城市|3.外省（市）|4.港澳台|5.国外</w:t>
            </w:r>
          </w:p>
        </w:tc>
      </w:tr>
      <w:tr w14:paraId="77C695A1">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4F8BE44F">
            <w:pPr>
              <w:rPr>
                <w:color w:val="auto"/>
                <w:sz w:val="24"/>
                <w:szCs w:val="24"/>
              </w:rPr>
            </w:pPr>
            <w:r>
              <w:rPr>
                <w:color w:val="auto"/>
                <w:sz w:val="24"/>
                <w:szCs w:val="24"/>
              </w:rPr>
              <w:t>5</w:t>
            </w:r>
            <w:r>
              <w:rPr>
                <w:rFonts w:hint="eastAsia"/>
                <w:color w:val="auto"/>
                <w:sz w:val="24"/>
                <w:szCs w:val="24"/>
              </w:rPr>
              <w:t>.患者费用</w:t>
            </w:r>
            <w:r>
              <w:rPr>
                <w:color w:val="auto"/>
                <w:sz w:val="24"/>
                <w:szCs w:val="24"/>
              </w:rPr>
              <w:t>类别</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350036D7">
            <w:pPr>
              <w:rPr>
                <w:color w:val="auto"/>
                <w:sz w:val="24"/>
                <w:szCs w:val="24"/>
              </w:rPr>
            </w:pPr>
            <w:r>
              <w:rPr>
                <w:rFonts w:hint="eastAsia"/>
                <w:color w:val="auto"/>
                <w:sz w:val="24"/>
                <w:szCs w:val="24"/>
              </w:rPr>
              <w:t>1</w:t>
            </w:r>
            <w:r>
              <w:rPr>
                <w:color w:val="auto"/>
                <w:sz w:val="24"/>
                <w:szCs w:val="24"/>
              </w:rPr>
              <w:t>.城镇职工医保</w:t>
            </w:r>
            <w:r>
              <w:rPr>
                <w:rFonts w:hint="eastAsia"/>
                <w:color w:val="auto"/>
                <w:sz w:val="24"/>
                <w:szCs w:val="24"/>
              </w:rPr>
              <w:t>（含离休干部医保）</w:t>
            </w:r>
            <w:r>
              <w:rPr>
                <w:color w:val="auto"/>
                <w:sz w:val="24"/>
                <w:szCs w:val="24"/>
              </w:rPr>
              <w:t>|</w:t>
            </w:r>
            <w:r>
              <w:rPr>
                <w:rFonts w:hint="eastAsia"/>
                <w:color w:val="auto"/>
                <w:sz w:val="24"/>
                <w:szCs w:val="24"/>
              </w:rPr>
              <w:t>2</w:t>
            </w:r>
            <w:r>
              <w:rPr>
                <w:color w:val="auto"/>
                <w:sz w:val="24"/>
                <w:szCs w:val="24"/>
              </w:rPr>
              <w:t>.</w:t>
            </w:r>
            <w:r>
              <w:rPr>
                <w:rFonts w:hint="eastAsia"/>
                <w:color w:val="auto"/>
                <w:sz w:val="24"/>
                <w:szCs w:val="24"/>
              </w:rPr>
              <w:t>城乡</w:t>
            </w:r>
            <w:r>
              <w:rPr>
                <w:color w:val="auto"/>
                <w:sz w:val="24"/>
                <w:szCs w:val="24"/>
              </w:rPr>
              <w:t>居民医保</w:t>
            </w:r>
            <w:r>
              <w:rPr>
                <w:rFonts w:hint="eastAsia"/>
                <w:color w:val="auto"/>
                <w:sz w:val="24"/>
                <w:szCs w:val="24"/>
              </w:rPr>
              <w:t>（含城镇居民和新农合）</w:t>
            </w:r>
            <w:r>
              <w:rPr>
                <w:color w:val="auto"/>
                <w:sz w:val="24"/>
                <w:szCs w:val="24"/>
              </w:rPr>
              <w:t>|</w:t>
            </w:r>
            <w:r>
              <w:rPr>
                <w:rFonts w:hint="eastAsia"/>
                <w:color w:val="auto"/>
                <w:sz w:val="24"/>
                <w:szCs w:val="24"/>
              </w:rPr>
              <w:t>3</w:t>
            </w:r>
            <w:r>
              <w:rPr>
                <w:color w:val="auto"/>
                <w:sz w:val="24"/>
                <w:szCs w:val="24"/>
              </w:rPr>
              <w:t>.</w:t>
            </w:r>
            <w:r>
              <w:rPr>
                <w:rFonts w:hint="eastAsia"/>
                <w:color w:val="auto"/>
                <w:sz w:val="24"/>
                <w:szCs w:val="24"/>
              </w:rPr>
              <w:t>生育保险</w:t>
            </w:r>
            <w:r>
              <w:rPr>
                <w:color w:val="auto"/>
                <w:sz w:val="24"/>
                <w:szCs w:val="24"/>
              </w:rPr>
              <w:t>|</w:t>
            </w:r>
            <w:r>
              <w:rPr>
                <w:rFonts w:hint="eastAsia"/>
                <w:color w:val="auto"/>
                <w:sz w:val="24"/>
                <w:szCs w:val="24"/>
              </w:rPr>
              <w:t>4</w:t>
            </w:r>
            <w:r>
              <w:rPr>
                <w:color w:val="auto"/>
                <w:sz w:val="24"/>
                <w:szCs w:val="24"/>
              </w:rPr>
              <w:t>.</w:t>
            </w:r>
            <w:r>
              <w:rPr>
                <w:rFonts w:hint="eastAsia"/>
                <w:color w:val="auto"/>
                <w:sz w:val="24"/>
                <w:szCs w:val="24"/>
              </w:rPr>
              <w:t>工伤保险</w:t>
            </w:r>
            <w:r>
              <w:rPr>
                <w:color w:val="auto"/>
                <w:sz w:val="24"/>
                <w:szCs w:val="24"/>
              </w:rPr>
              <w:t>|</w:t>
            </w:r>
            <w:r>
              <w:rPr>
                <w:rFonts w:hint="eastAsia"/>
                <w:color w:val="auto"/>
                <w:sz w:val="24"/>
                <w:szCs w:val="24"/>
              </w:rPr>
              <w:t>5</w:t>
            </w:r>
            <w:r>
              <w:rPr>
                <w:color w:val="auto"/>
                <w:sz w:val="24"/>
                <w:szCs w:val="24"/>
              </w:rPr>
              <w:t>.</w:t>
            </w:r>
            <w:r>
              <w:rPr>
                <w:rFonts w:hint="eastAsia"/>
                <w:color w:val="auto"/>
                <w:sz w:val="24"/>
                <w:szCs w:val="24"/>
              </w:rPr>
              <w:t>商业保险</w:t>
            </w:r>
            <w:r>
              <w:rPr>
                <w:color w:val="auto"/>
                <w:sz w:val="24"/>
                <w:szCs w:val="24"/>
              </w:rPr>
              <w:t>|</w:t>
            </w:r>
            <w:r>
              <w:rPr>
                <w:rFonts w:hint="eastAsia"/>
                <w:color w:val="auto"/>
                <w:sz w:val="24"/>
                <w:szCs w:val="24"/>
              </w:rPr>
              <w:t>6</w:t>
            </w:r>
            <w:r>
              <w:rPr>
                <w:color w:val="auto"/>
                <w:sz w:val="24"/>
                <w:szCs w:val="24"/>
              </w:rPr>
              <w:t>.公费医疗|</w:t>
            </w:r>
            <w:r>
              <w:rPr>
                <w:rFonts w:hint="eastAsia"/>
                <w:color w:val="auto"/>
                <w:sz w:val="24"/>
                <w:szCs w:val="24"/>
              </w:rPr>
              <w:t>7</w:t>
            </w:r>
            <w:r>
              <w:rPr>
                <w:color w:val="auto"/>
                <w:sz w:val="24"/>
                <w:szCs w:val="24"/>
              </w:rPr>
              <w:t>.</w:t>
            </w:r>
            <w:r>
              <w:rPr>
                <w:rFonts w:hint="eastAsia"/>
                <w:color w:val="auto"/>
                <w:sz w:val="24"/>
                <w:szCs w:val="24"/>
              </w:rPr>
              <w:t>军队医改</w:t>
            </w:r>
            <w:r>
              <w:rPr>
                <w:color w:val="auto"/>
                <w:sz w:val="24"/>
                <w:szCs w:val="24"/>
              </w:rPr>
              <w:t>|</w:t>
            </w:r>
            <w:r>
              <w:rPr>
                <w:rFonts w:hint="eastAsia"/>
                <w:color w:val="auto"/>
                <w:sz w:val="24"/>
                <w:szCs w:val="24"/>
              </w:rPr>
              <w:t>8</w:t>
            </w:r>
            <w:r>
              <w:rPr>
                <w:color w:val="auto"/>
                <w:sz w:val="24"/>
                <w:szCs w:val="24"/>
              </w:rPr>
              <w:t>.</w:t>
            </w:r>
            <w:r>
              <w:rPr>
                <w:rFonts w:hint="eastAsia"/>
                <w:color w:val="auto"/>
                <w:sz w:val="24"/>
                <w:szCs w:val="24"/>
              </w:rPr>
              <w:t>异地医保</w:t>
            </w:r>
            <w:r>
              <w:rPr>
                <w:color w:val="auto"/>
                <w:sz w:val="24"/>
                <w:szCs w:val="24"/>
              </w:rPr>
              <w:t>|</w:t>
            </w:r>
            <w:r>
              <w:rPr>
                <w:rFonts w:hint="eastAsia"/>
                <w:color w:val="auto"/>
                <w:sz w:val="24"/>
                <w:szCs w:val="24"/>
              </w:rPr>
              <w:t>9</w:t>
            </w:r>
            <w:r>
              <w:rPr>
                <w:color w:val="auto"/>
                <w:sz w:val="24"/>
                <w:szCs w:val="24"/>
              </w:rPr>
              <w:t>.</w:t>
            </w:r>
            <w:r>
              <w:rPr>
                <w:rFonts w:hint="eastAsia"/>
                <w:color w:val="auto"/>
                <w:sz w:val="24"/>
                <w:szCs w:val="24"/>
              </w:rPr>
              <w:t>异地联网</w:t>
            </w:r>
            <w:r>
              <w:rPr>
                <w:color w:val="auto"/>
                <w:sz w:val="24"/>
                <w:szCs w:val="24"/>
              </w:rPr>
              <w:t>|</w:t>
            </w:r>
            <w:r>
              <w:rPr>
                <w:rFonts w:hint="eastAsia"/>
                <w:color w:val="auto"/>
                <w:sz w:val="24"/>
                <w:szCs w:val="24"/>
              </w:rPr>
              <w:t>10</w:t>
            </w:r>
            <w:r>
              <w:rPr>
                <w:color w:val="auto"/>
                <w:sz w:val="24"/>
                <w:szCs w:val="24"/>
              </w:rPr>
              <w:t>.</w:t>
            </w:r>
            <w:r>
              <w:rPr>
                <w:rFonts w:hint="eastAsia"/>
                <w:color w:val="auto"/>
                <w:sz w:val="24"/>
                <w:szCs w:val="24"/>
              </w:rPr>
              <w:t>自费|11.其他</w:t>
            </w:r>
          </w:p>
        </w:tc>
      </w:tr>
      <w:tr w14:paraId="297828BC">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4E572EFE">
            <w:pPr>
              <w:rPr>
                <w:color w:val="auto"/>
                <w:sz w:val="24"/>
                <w:szCs w:val="24"/>
              </w:rPr>
            </w:pPr>
            <w:r>
              <w:rPr>
                <w:rFonts w:hint="eastAsia"/>
                <w:color w:val="auto"/>
                <w:sz w:val="24"/>
                <w:szCs w:val="24"/>
              </w:rPr>
              <w:t>6</w:t>
            </w:r>
            <w:r>
              <w:rPr>
                <w:color w:val="auto"/>
                <w:sz w:val="24"/>
                <w:szCs w:val="24"/>
              </w:rPr>
              <w:t>.</w:t>
            </w:r>
            <w:r>
              <w:rPr>
                <w:rFonts w:hint="eastAsia"/>
                <w:color w:val="auto"/>
                <w:sz w:val="24"/>
                <w:szCs w:val="24"/>
              </w:rPr>
              <w:t>您挂号的类型</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1EF994CD">
            <w:pPr>
              <w:rPr>
                <w:color w:val="auto"/>
                <w:sz w:val="24"/>
                <w:szCs w:val="24"/>
              </w:rPr>
            </w:pPr>
            <w:r>
              <w:rPr>
                <w:rFonts w:hint="eastAsia"/>
                <w:color w:val="auto"/>
                <w:sz w:val="24"/>
                <w:szCs w:val="24"/>
              </w:rPr>
              <w:t>A普通号  B非普通号（含专家号、特需门诊等）</w:t>
            </w:r>
          </w:p>
        </w:tc>
      </w:tr>
      <w:tr w14:paraId="77F31153">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6C4074F3">
            <w:pPr>
              <w:rPr>
                <w:color w:val="auto"/>
                <w:sz w:val="24"/>
                <w:szCs w:val="24"/>
              </w:rPr>
            </w:pPr>
            <w:r>
              <w:rPr>
                <w:color w:val="auto"/>
                <w:sz w:val="24"/>
                <w:szCs w:val="24"/>
              </w:rPr>
              <w:t>7</w:t>
            </w:r>
            <w:r>
              <w:rPr>
                <w:rFonts w:hint="eastAsia"/>
                <w:color w:val="auto"/>
                <w:sz w:val="24"/>
                <w:szCs w:val="24"/>
              </w:rPr>
              <w:t>.患者</w:t>
            </w:r>
            <w:r>
              <w:rPr>
                <w:color w:val="auto"/>
                <w:sz w:val="24"/>
                <w:szCs w:val="24"/>
              </w:rPr>
              <w:t>职业类型</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0A2E409C">
            <w:pPr>
              <w:rPr>
                <w:color w:val="auto"/>
                <w:sz w:val="24"/>
                <w:szCs w:val="24"/>
              </w:rPr>
            </w:pPr>
            <w:r>
              <w:rPr>
                <w:rFonts w:hint="eastAsia"/>
                <w:color w:val="auto"/>
                <w:sz w:val="24"/>
                <w:szCs w:val="24"/>
              </w:rPr>
              <w:t>1</w:t>
            </w:r>
            <w:r>
              <w:rPr>
                <w:color w:val="auto"/>
                <w:sz w:val="24"/>
                <w:szCs w:val="24"/>
              </w:rPr>
              <w:t>.学生|</w:t>
            </w:r>
            <w:r>
              <w:rPr>
                <w:rFonts w:hint="eastAsia"/>
                <w:color w:val="auto"/>
                <w:sz w:val="24"/>
                <w:szCs w:val="24"/>
              </w:rPr>
              <w:t>2</w:t>
            </w:r>
            <w:r>
              <w:rPr>
                <w:color w:val="auto"/>
                <w:sz w:val="24"/>
                <w:szCs w:val="24"/>
              </w:rPr>
              <w:t>.</w:t>
            </w:r>
            <w:r>
              <w:rPr>
                <w:rFonts w:hint="eastAsia"/>
                <w:color w:val="auto"/>
                <w:sz w:val="24"/>
                <w:szCs w:val="24"/>
              </w:rPr>
              <w:t>公司职员</w:t>
            </w:r>
            <w:r>
              <w:rPr>
                <w:color w:val="auto"/>
                <w:sz w:val="24"/>
                <w:szCs w:val="24"/>
              </w:rPr>
              <w:t>|</w:t>
            </w:r>
            <w:r>
              <w:rPr>
                <w:rFonts w:hint="eastAsia"/>
                <w:color w:val="auto"/>
                <w:sz w:val="24"/>
                <w:szCs w:val="24"/>
              </w:rPr>
              <w:t>3</w:t>
            </w:r>
            <w:r>
              <w:rPr>
                <w:color w:val="auto"/>
                <w:sz w:val="24"/>
                <w:szCs w:val="24"/>
              </w:rPr>
              <w:t>.</w:t>
            </w:r>
            <w:r>
              <w:rPr>
                <w:rFonts w:hint="eastAsia"/>
                <w:color w:val="auto"/>
                <w:sz w:val="24"/>
                <w:szCs w:val="24"/>
              </w:rPr>
              <w:t>企事业高管|4.工人|5</w:t>
            </w:r>
            <w:r>
              <w:rPr>
                <w:color w:val="auto"/>
                <w:sz w:val="24"/>
                <w:szCs w:val="24"/>
              </w:rPr>
              <w:t>.农民|</w:t>
            </w:r>
            <w:r>
              <w:rPr>
                <w:rFonts w:hint="eastAsia"/>
                <w:color w:val="auto"/>
                <w:sz w:val="24"/>
                <w:szCs w:val="24"/>
              </w:rPr>
              <w:t>6</w:t>
            </w:r>
            <w:r>
              <w:rPr>
                <w:color w:val="auto"/>
                <w:sz w:val="24"/>
                <w:szCs w:val="24"/>
              </w:rPr>
              <w:t>.</w:t>
            </w:r>
            <w:r>
              <w:rPr>
                <w:rFonts w:hint="eastAsia"/>
                <w:color w:val="auto"/>
                <w:sz w:val="24"/>
                <w:szCs w:val="24"/>
              </w:rPr>
              <w:t>公务员</w:t>
            </w:r>
            <w:r>
              <w:rPr>
                <w:color w:val="auto"/>
                <w:sz w:val="24"/>
                <w:szCs w:val="24"/>
              </w:rPr>
              <w:t>|</w:t>
            </w:r>
            <w:r>
              <w:rPr>
                <w:rFonts w:hint="eastAsia"/>
                <w:color w:val="auto"/>
                <w:sz w:val="24"/>
                <w:szCs w:val="24"/>
              </w:rPr>
              <w:t>7.军人|8</w:t>
            </w:r>
            <w:r>
              <w:rPr>
                <w:color w:val="auto"/>
                <w:sz w:val="24"/>
                <w:szCs w:val="24"/>
              </w:rPr>
              <w:t>.</w:t>
            </w:r>
            <w:r>
              <w:rPr>
                <w:rFonts w:hint="eastAsia"/>
                <w:color w:val="auto"/>
                <w:sz w:val="24"/>
                <w:szCs w:val="24"/>
              </w:rPr>
              <w:t>（离）</w:t>
            </w:r>
            <w:r>
              <w:rPr>
                <w:color w:val="auto"/>
                <w:sz w:val="24"/>
                <w:szCs w:val="24"/>
              </w:rPr>
              <w:t>退休|</w:t>
            </w:r>
            <w:r>
              <w:rPr>
                <w:rFonts w:hint="eastAsia"/>
                <w:color w:val="auto"/>
                <w:sz w:val="24"/>
                <w:szCs w:val="24"/>
              </w:rPr>
              <w:t>9.</w:t>
            </w:r>
            <w:r>
              <w:rPr>
                <w:color w:val="auto"/>
                <w:sz w:val="24"/>
                <w:szCs w:val="24"/>
              </w:rPr>
              <w:t>自由职业者|</w:t>
            </w:r>
            <w:r>
              <w:rPr>
                <w:rFonts w:hint="eastAsia"/>
                <w:color w:val="auto"/>
                <w:sz w:val="24"/>
                <w:szCs w:val="24"/>
              </w:rPr>
              <w:t>10</w:t>
            </w:r>
            <w:r>
              <w:rPr>
                <w:color w:val="auto"/>
                <w:sz w:val="24"/>
                <w:szCs w:val="24"/>
              </w:rPr>
              <w:t>.</w:t>
            </w:r>
            <w:r>
              <w:rPr>
                <w:rFonts w:hint="eastAsia"/>
                <w:color w:val="auto"/>
                <w:sz w:val="24"/>
                <w:szCs w:val="24"/>
              </w:rPr>
              <w:t>个体经营|11.</w:t>
            </w:r>
            <w:r>
              <w:rPr>
                <w:color w:val="auto"/>
                <w:sz w:val="24"/>
                <w:szCs w:val="24"/>
              </w:rPr>
              <w:t>无业</w:t>
            </w:r>
            <w:r>
              <w:rPr>
                <w:rFonts w:hint="eastAsia"/>
                <w:color w:val="auto"/>
                <w:sz w:val="24"/>
                <w:szCs w:val="24"/>
              </w:rPr>
              <w:t>|12.</w:t>
            </w:r>
            <w:r>
              <w:rPr>
                <w:color w:val="auto"/>
                <w:sz w:val="24"/>
                <w:szCs w:val="24"/>
              </w:rPr>
              <w:t>其他</w:t>
            </w:r>
          </w:p>
        </w:tc>
      </w:tr>
      <w:tr w14:paraId="2FA202D3">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right w:val="single" w:color="auto" w:sz="4" w:space="0"/>
            </w:tcBorders>
            <w:shd w:val="clear" w:color="auto" w:fill="auto"/>
            <w:noWrap/>
            <w:vAlign w:val="center"/>
          </w:tcPr>
          <w:p w14:paraId="7F1CD684">
            <w:pPr>
              <w:rPr>
                <w:color w:val="auto"/>
                <w:sz w:val="24"/>
                <w:szCs w:val="24"/>
              </w:rPr>
            </w:pPr>
            <w:r>
              <w:rPr>
                <w:rFonts w:hint="eastAsia"/>
                <w:color w:val="auto"/>
                <w:sz w:val="24"/>
                <w:szCs w:val="24"/>
              </w:rPr>
              <w:t>8</w:t>
            </w:r>
            <w:r>
              <w:rPr>
                <w:color w:val="auto"/>
                <w:sz w:val="24"/>
                <w:szCs w:val="24"/>
              </w:rPr>
              <w:t>.</w:t>
            </w:r>
            <w:r>
              <w:rPr>
                <w:rFonts w:hint="eastAsia"/>
                <w:color w:val="auto"/>
                <w:sz w:val="24"/>
                <w:szCs w:val="24"/>
              </w:rPr>
              <w:t>患者的家庭年收入</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244A1053">
            <w:pPr>
              <w:rPr>
                <w:color w:val="auto"/>
                <w:sz w:val="24"/>
                <w:szCs w:val="24"/>
              </w:rPr>
            </w:pPr>
            <w:r>
              <w:rPr>
                <w:rFonts w:hint="eastAsia"/>
                <w:color w:val="auto"/>
                <w:sz w:val="24"/>
                <w:szCs w:val="24"/>
              </w:rPr>
              <w:t>1.3万元以下|2.3-10万元|3.10-20万元|4.20-50万|5.50万以上</w:t>
            </w:r>
          </w:p>
        </w:tc>
      </w:tr>
      <w:tr w14:paraId="3897104D">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F2C96">
            <w:pPr>
              <w:rPr>
                <w:color w:val="auto"/>
                <w:sz w:val="24"/>
                <w:szCs w:val="24"/>
              </w:rPr>
            </w:pPr>
            <w:r>
              <w:rPr>
                <w:color w:val="auto"/>
                <w:sz w:val="24"/>
                <w:szCs w:val="24"/>
              </w:rPr>
              <w:t>9</w:t>
            </w:r>
            <w:r>
              <w:rPr>
                <w:rFonts w:hint="eastAsia"/>
                <w:color w:val="auto"/>
                <w:sz w:val="24"/>
                <w:szCs w:val="24"/>
              </w:rPr>
              <w:t>.选择该院最主要的理由(单选)</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1C489965">
            <w:pPr>
              <w:rPr>
                <w:color w:val="auto"/>
                <w:sz w:val="24"/>
                <w:szCs w:val="24"/>
              </w:rPr>
            </w:pPr>
            <w:r>
              <w:rPr>
                <w:rFonts w:hint="eastAsia"/>
                <w:color w:val="auto"/>
                <w:sz w:val="24"/>
                <w:szCs w:val="24"/>
              </w:rPr>
              <w:t>1.医院名气大|2.专家多|3.技术高|4.服务态度好|5.就近方便|6.设备先进|7.就诊环境好|8.收费合理|9.他人介绍|10.院内有熟人|11.其他</w:t>
            </w:r>
          </w:p>
        </w:tc>
      </w:tr>
      <w:tr w14:paraId="20D177E5">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A972D">
            <w:pPr>
              <w:rPr>
                <w:color w:val="auto"/>
                <w:sz w:val="24"/>
                <w:szCs w:val="24"/>
              </w:rPr>
            </w:pPr>
            <w:r>
              <w:rPr>
                <w:color w:val="auto"/>
                <w:sz w:val="24"/>
                <w:szCs w:val="24"/>
              </w:rPr>
              <w:t>10</w:t>
            </w:r>
            <w:r>
              <w:rPr>
                <w:rFonts w:hint="eastAsia"/>
                <w:color w:val="auto"/>
                <w:sz w:val="24"/>
                <w:szCs w:val="24"/>
              </w:rPr>
              <w:t>.您的挂号方式</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171A57F6">
            <w:pPr>
              <w:rPr>
                <w:color w:val="auto"/>
                <w:sz w:val="24"/>
                <w:szCs w:val="24"/>
              </w:rPr>
            </w:pPr>
            <w:r>
              <w:rPr>
                <w:rFonts w:hint="eastAsia"/>
                <w:color w:val="auto"/>
                <w:sz w:val="24"/>
                <w:szCs w:val="24"/>
              </w:rPr>
              <w:t>1.医院窗口|2.医院自助|3.电话预约|4.网络预约|5.手机APP预约|6.微信预约|</w:t>
            </w:r>
            <w:r>
              <w:rPr>
                <w:color w:val="auto"/>
                <w:sz w:val="24"/>
                <w:szCs w:val="24"/>
              </w:rPr>
              <w:t>7.其他方式</w:t>
            </w:r>
          </w:p>
        </w:tc>
      </w:tr>
      <w:tr w14:paraId="5DA51D97">
        <w:tblPrEx>
          <w:tblCellMar>
            <w:top w:w="0" w:type="dxa"/>
            <w:left w:w="108" w:type="dxa"/>
            <w:bottom w:w="0" w:type="dxa"/>
            <w:right w:w="108" w:type="dxa"/>
          </w:tblCellMar>
        </w:tblPrEx>
        <w:trPr>
          <w:trHeight w:val="397" w:hRule="atLeast"/>
          <w:jc w:val="center"/>
        </w:trPr>
        <w:tc>
          <w:tcPr>
            <w:tcW w:w="3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3B580">
            <w:pPr>
              <w:rPr>
                <w:color w:val="auto"/>
                <w:sz w:val="24"/>
                <w:szCs w:val="24"/>
              </w:rPr>
            </w:pPr>
            <w:r>
              <w:rPr>
                <w:color w:val="auto"/>
                <w:sz w:val="24"/>
                <w:szCs w:val="24"/>
              </w:rPr>
              <w:t>11</w:t>
            </w:r>
            <w:r>
              <w:rPr>
                <w:rFonts w:hint="eastAsia"/>
                <w:color w:val="auto"/>
                <w:sz w:val="24"/>
                <w:szCs w:val="24"/>
              </w:rPr>
              <w:t>.是否复诊</w:t>
            </w:r>
          </w:p>
        </w:tc>
        <w:tc>
          <w:tcPr>
            <w:tcW w:w="6087" w:type="dxa"/>
            <w:tcBorders>
              <w:top w:val="single" w:color="auto" w:sz="4" w:space="0"/>
              <w:left w:val="nil"/>
              <w:bottom w:val="single" w:color="auto" w:sz="4" w:space="0"/>
              <w:right w:val="single" w:color="auto" w:sz="4" w:space="0"/>
            </w:tcBorders>
            <w:shd w:val="clear" w:color="auto" w:fill="auto"/>
            <w:noWrap/>
            <w:vAlign w:val="center"/>
          </w:tcPr>
          <w:p w14:paraId="5E29FC71">
            <w:pPr>
              <w:rPr>
                <w:color w:val="auto"/>
                <w:sz w:val="24"/>
                <w:szCs w:val="24"/>
              </w:rPr>
            </w:pPr>
            <w:r>
              <w:rPr>
                <w:rFonts w:hint="eastAsia"/>
                <w:color w:val="auto"/>
                <w:sz w:val="24"/>
                <w:szCs w:val="24"/>
              </w:rPr>
              <w:t>1.初诊</w:t>
            </w:r>
            <w:r>
              <w:rPr>
                <w:color w:val="auto"/>
                <w:sz w:val="24"/>
                <w:szCs w:val="24"/>
              </w:rPr>
              <w:t>|2.</w:t>
            </w:r>
            <w:r>
              <w:rPr>
                <w:rFonts w:hint="eastAsia"/>
                <w:color w:val="auto"/>
                <w:sz w:val="24"/>
                <w:szCs w:val="24"/>
              </w:rPr>
              <w:t>复诊</w:t>
            </w:r>
          </w:p>
        </w:tc>
      </w:tr>
    </w:tbl>
    <w:p w14:paraId="1B6F7948">
      <w:pPr>
        <w:spacing w:line="240" w:lineRule="atLeas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w:t>
      </w:r>
      <w:r>
        <w:rPr>
          <w:rFonts w:ascii="Times New Roman" w:hAnsi="Times New Roman" w:eastAsia="宋体" w:cs="Times New Roman"/>
          <w:b/>
          <w:bCs/>
          <w:kern w:val="0"/>
          <w:sz w:val="24"/>
          <w:szCs w:val="24"/>
        </w:rPr>
        <w:t>、正式问卷部分</w:t>
      </w:r>
    </w:p>
    <w:tbl>
      <w:tblPr>
        <w:tblStyle w:val="42"/>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7185"/>
      </w:tblGrid>
      <w:tr w14:paraId="213C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2517" w:type="dxa"/>
            <w:vAlign w:val="center"/>
          </w:tcPr>
          <w:p w14:paraId="457F5D2D">
            <w:pPr>
              <w:widowControl/>
              <w:adjustRightInd w:val="0"/>
              <w:snapToGrid w:val="0"/>
              <w:jc w:val="center"/>
              <w:rPr>
                <w:rFonts w:ascii="Times New Roman" w:hAnsi="Times New Roman" w:cs="宋体"/>
                <w:b/>
                <w:color w:val="auto"/>
                <w:kern w:val="0"/>
                <w:sz w:val="24"/>
                <w:szCs w:val="24"/>
              </w:rPr>
            </w:pPr>
            <w:r>
              <w:rPr>
                <w:rFonts w:hint="eastAsia" w:ascii="Times New Roman" w:hAnsi="Times New Roman" w:cs="宋体"/>
                <w:b/>
                <w:color w:val="auto"/>
                <w:kern w:val="0"/>
                <w:sz w:val="24"/>
                <w:szCs w:val="24"/>
              </w:rPr>
              <w:t>题目</w:t>
            </w:r>
          </w:p>
        </w:tc>
        <w:tc>
          <w:tcPr>
            <w:tcW w:w="7185" w:type="dxa"/>
            <w:vAlign w:val="center"/>
          </w:tcPr>
          <w:p w14:paraId="3E123CCE">
            <w:pPr>
              <w:widowControl/>
              <w:adjustRightInd w:val="0"/>
              <w:snapToGrid w:val="0"/>
              <w:jc w:val="center"/>
              <w:rPr>
                <w:rFonts w:ascii="Times New Roman" w:hAnsi="Times New Roman" w:cs="宋体"/>
                <w:b/>
                <w:color w:val="auto"/>
                <w:kern w:val="0"/>
                <w:sz w:val="24"/>
                <w:szCs w:val="24"/>
              </w:rPr>
            </w:pPr>
            <w:r>
              <w:rPr>
                <w:rFonts w:hint="eastAsia" w:ascii="Times New Roman" w:hAnsi="Times New Roman" w:cs="宋体"/>
                <w:b/>
                <w:color w:val="auto"/>
                <w:kern w:val="0"/>
                <w:sz w:val="24"/>
                <w:szCs w:val="24"/>
              </w:rPr>
              <w:t>选项</w:t>
            </w:r>
          </w:p>
        </w:tc>
      </w:tr>
      <w:tr w14:paraId="7041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17" w:type="dxa"/>
            <w:vAlign w:val="center"/>
          </w:tcPr>
          <w:p w14:paraId="588D623F">
            <w:pPr>
              <w:rPr>
                <w:color w:val="auto"/>
                <w:sz w:val="24"/>
                <w:szCs w:val="24"/>
              </w:rPr>
            </w:pPr>
            <w:r>
              <w:rPr>
                <w:rFonts w:hint="eastAsia"/>
                <w:color w:val="auto"/>
                <w:sz w:val="24"/>
                <w:szCs w:val="24"/>
              </w:rPr>
              <w:t>您认为医院的空间布局是否便利？（</w:t>
            </w:r>
            <w:r>
              <w:rPr>
                <w:rFonts w:hint="eastAsia" w:ascii="宋体" w:eastAsia="宋体" w:cs="宋体"/>
                <w:color w:val="auto"/>
                <w:kern w:val="0"/>
                <w:sz w:val="24"/>
                <w:szCs w:val="24"/>
              </w:rPr>
              <w:t>如分诊、挂号、诊室、检查、收费等部门的楼层、距离）</w:t>
            </w:r>
            <w:r>
              <w:rPr>
                <w:rFonts w:hint="eastAsia"/>
                <w:color w:val="auto"/>
                <w:sz w:val="24"/>
                <w:szCs w:val="24"/>
              </w:rPr>
              <w:t>）</w:t>
            </w:r>
          </w:p>
        </w:tc>
        <w:tc>
          <w:tcPr>
            <w:tcW w:w="7185" w:type="dxa"/>
            <w:vAlign w:val="center"/>
          </w:tcPr>
          <w:p w14:paraId="556DF3B6">
            <w:pPr>
              <w:rPr>
                <w:color w:val="auto"/>
                <w:sz w:val="24"/>
                <w:szCs w:val="24"/>
              </w:rPr>
            </w:pPr>
            <w:r>
              <w:rPr>
                <w:rFonts w:hint="eastAsia"/>
                <w:color w:val="auto"/>
                <w:sz w:val="24"/>
                <w:szCs w:val="24"/>
              </w:rPr>
              <w:t>5</w:t>
            </w:r>
            <w:r>
              <w:rPr>
                <w:color w:val="auto"/>
                <w:sz w:val="24"/>
                <w:szCs w:val="24"/>
              </w:rPr>
              <w:t>.</w:t>
            </w:r>
            <w:r>
              <w:rPr>
                <w:rFonts w:hint="eastAsia"/>
                <w:color w:val="auto"/>
                <w:sz w:val="24"/>
                <w:szCs w:val="24"/>
              </w:rPr>
              <w:t>非常便利|</w:t>
            </w:r>
            <w:r>
              <w:rPr>
                <w:color w:val="auto"/>
                <w:sz w:val="24"/>
                <w:szCs w:val="24"/>
              </w:rPr>
              <w:t>4.</w:t>
            </w:r>
            <w:r>
              <w:rPr>
                <w:rFonts w:hint="eastAsia"/>
                <w:color w:val="auto"/>
                <w:sz w:val="24"/>
                <w:szCs w:val="24"/>
              </w:rPr>
              <w:t>比较便利|</w:t>
            </w:r>
            <w:r>
              <w:rPr>
                <w:color w:val="auto"/>
                <w:sz w:val="24"/>
                <w:szCs w:val="24"/>
              </w:rPr>
              <w:t>3.</w:t>
            </w:r>
            <w:r>
              <w:rPr>
                <w:rFonts w:hint="eastAsia"/>
                <w:color w:val="auto"/>
                <w:sz w:val="24"/>
                <w:szCs w:val="24"/>
              </w:rPr>
              <w:t>便利|</w:t>
            </w:r>
            <w:r>
              <w:rPr>
                <w:color w:val="auto"/>
                <w:sz w:val="24"/>
                <w:szCs w:val="24"/>
              </w:rPr>
              <w:t>2.</w:t>
            </w:r>
            <w:r>
              <w:rPr>
                <w:rFonts w:hint="eastAsia"/>
                <w:color w:val="auto"/>
                <w:sz w:val="24"/>
                <w:szCs w:val="24"/>
              </w:rPr>
              <w:t>比较不便利|</w:t>
            </w:r>
            <w:r>
              <w:rPr>
                <w:color w:val="auto"/>
                <w:sz w:val="24"/>
                <w:szCs w:val="24"/>
              </w:rPr>
              <w:t>1.</w:t>
            </w:r>
            <w:r>
              <w:rPr>
                <w:rFonts w:hint="eastAsia"/>
                <w:color w:val="auto"/>
                <w:sz w:val="24"/>
                <w:szCs w:val="24"/>
              </w:rPr>
              <w:t>非常不便利</w:t>
            </w:r>
          </w:p>
        </w:tc>
      </w:tr>
      <w:tr w14:paraId="5C19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440AE01D">
            <w:pPr>
              <w:rPr>
                <w:color w:val="auto"/>
                <w:sz w:val="24"/>
                <w:szCs w:val="24"/>
              </w:rPr>
            </w:pPr>
            <w:r>
              <w:rPr>
                <w:rFonts w:hint="eastAsia"/>
                <w:color w:val="auto"/>
                <w:sz w:val="24"/>
                <w:szCs w:val="24"/>
              </w:rPr>
              <w:t>1.您对导诊人员或志愿者为您提供的指引服务满意吗？</w:t>
            </w:r>
          </w:p>
        </w:tc>
        <w:tc>
          <w:tcPr>
            <w:tcW w:w="7185" w:type="dxa"/>
            <w:vAlign w:val="center"/>
          </w:tcPr>
          <w:p w14:paraId="6141CF1F">
            <w:pPr>
              <w:rPr>
                <w:color w:val="auto"/>
                <w:sz w:val="24"/>
                <w:szCs w:val="24"/>
              </w:rPr>
            </w:pPr>
            <w:r>
              <w:rPr>
                <w:rFonts w:hint="eastAsia"/>
                <w:color w:val="auto"/>
                <w:sz w:val="24"/>
                <w:szCs w:val="24"/>
              </w:rPr>
              <w:t>5.很满意|4.满意|3.一般|2.不满意|1.很不满意|0.未接触</w:t>
            </w:r>
          </w:p>
        </w:tc>
      </w:tr>
      <w:tr w14:paraId="2A26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05DFA3BD">
            <w:pPr>
              <w:rPr>
                <w:color w:val="auto"/>
                <w:sz w:val="24"/>
                <w:szCs w:val="24"/>
              </w:rPr>
            </w:pPr>
            <w:r>
              <w:rPr>
                <w:rFonts w:hint="eastAsia"/>
                <w:color w:val="auto"/>
                <w:sz w:val="24"/>
                <w:szCs w:val="24"/>
              </w:rPr>
              <w:t>2.您认为门诊就医的引导设施（如各楼层的指示牌或路标）清晰准确吗？</w:t>
            </w:r>
          </w:p>
        </w:tc>
        <w:tc>
          <w:tcPr>
            <w:tcW w:w="7185" w:type="dxa"/>
            <w:vAlign w:val="center"/>
          </w:tcPr>
          <w:p w14:paraId="0F2F6922">
            <w:pPr>
              <w:rPr>
                <w:color w:val="auto"/>
                <w:sz w:val="24"/>
                <w:szCs w:val="24"/>
              </w:rPr>
            </w:pPr>
            <w:r>
              <w:rPr>
                <w:rFonts w:hint="eastAsia"/>
                <w:color w:val="auto"/>
                <w:sz w:val="24"/>
                <w:szCs w:val="24"/>
              </w:rPr>
              <w:t>5.很准确|4.准确|3.一般|2.不准确|1.很不明确|0.没注意</w:t>
            </w:r>
            <w:r>
              <w:rPr>
                <w:color w:val="auto"/>
                <w:sz w:val="24"/>
                <w:szCs w:val="24"/>
              </w:rPr>
              <w:t xml:space="preserve"> </w:t>
            </w:r>
          </w:p>
        </w:tc>
      </w:tr>
      <w:tr w14:paraId="58CD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4578C405">
            <w:pPr>
              <w:autoSpaceDE w:val="0"/>
              <w:autoSpaceDN w:val="0"/>
              <w:adjustRightInd w:val="0"/>
              <w:jc w:val="left"/>
              <w:rPr>
                <w:color w:val="auto"/>
                <w:sz w:val="24"/>
                <w:szCs w:val="24"/>
              </w:rPr>
            </w:pPr>
            <w:r>
              <w:rPr>
                <w:rFonts w:hint="eastAsia"/>
                <w:color w:val="auto"/>
                <w:sz w:val="24"/>
                <w:szCs w:val="24"/>
              </w:rPr>
              <w:t>3.您认为医院公布的当天门诊医生个人信息、出诊及停诊信息准确吗？</w:t>
            </w:r>
          </w:p>
        </w:tc>
        <w:tc>
          <w:tcPr>
            <w:tcW w:w="7185" w:type="dxa"/>
            <w:vAlign w:val="center"/>
          </w:tcPr>
          <w:p w14:paraId="496F868C">
            <w:pPr>
              <w:rPr>
                <w:color w:val="auto"/>
                <w:sz w:val="24"/>
                <w:szCs w:val="24"/>
              </w:rPr>
            </w:pPr>
            <w:r>
              <w:rPr>
                <w:rFonts w:hint="eastAsia"/>
                <w:color w:val="auto"/>
                <w:sz w:val="24"/>
                <w:szCs w:val="24"/>
              </w:rPr>
              <w:t xml:space="preserve">5.很准确|4.准确|3.一般|2.不准确|1.没看到   </w:t>
            </w:r>
          </w:p>
        </w:tc>
      </w:tr>
      <w:tr w14:paraId="1688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3104C2DE">
            <w:pPr>
              <w:rPr>
                <w:color w:val="auto"/>
                <w:sz w:val="24"/>
                <w:szCs w:val="24"/>
              </w:rPr>
            </w:pPr>
            <w:r>
              <w:rPr>
                <w:rFonts w:hint="eastAsia" w:ascii="宋体" w:eastAsia="宋体" w:cs="宋体"/>
                <w:color w:val="auto"/>
                <w:kern w:val="0"/>
                <w:sz w:val="24"/>
                <w:szCs w:val="24"/>
              </w:rPr>
              <w:t>您认为医院挂号是否方便？</w:t>
            </w:r>
          </w:p>
        </w:tc>
        <w:tc>
          <w:tcPr>
            <w:tcW w:w="7185" w:type="dxa"/>
            <w:vAlign w:val="center"/>
          </w:tcPr>
          <w:p w14:paraId="4E414341">
            <w:pPr>
              <w:rPr>
                <w:color w:val="auto"/>
                <w:sz w:val="24"/>
                <w:szCs w:val="24"/>
              </w:rPr>
            </w:pPr>
            <w:r>
              <w:rPr>
                <w:rFonts w:hint="eastAsia"/>
                <w:color w:val="auto"/>
                <w:sz w:val="24"/>
                <w:szCs w:val="24"/>
              </w:rPr>
              <w:t>5</w:t>
            </w:r>
            <w:r>
              <w:rPr>
                <w:color w:val="auto"/>
                <w:sz w:val="24"/>
                <w:szCs w:val="24"/>
              </w:rPr>
              <w:t>.</w:t>
            </w:r>
            <w:r>
              <w:rPr>
                <w:rFonts w:hint="eastAsia" w:ascii="宋体" w:eastAsia="宋体" w:cs="宋体"/>
                <w:color w:val="auto"/>
                <w:kern w:val="0"/>
                <w:sz w:val="24"/>
                <w:szCs w:val="24"/>
              </w:rPr>
              <w:t>非常方便</w:t>
            </w:r>
            <w:r>
              <w:rPr>
                <w:rFonts w:hint="eastAsia"/>
                <w:color w:val="auto"/>
                <w:sz w:val="24"/>
                <w:szCs w:val="24"/>
              </w:rPr>
              <w:t>|</w:t>
            </w:r>
            <w:r>
              <w:rPr>
                <w:color w:val="auto"/>
                <w:sz w:val="24"/>
                <w:szCs w:val="24"/>
              </w:rPr>
              <w:t>4.</w:t>
            </w:r>
            <w:r>
              <w:rPr>
                <w:rFonts w:hint="eastAsia" w:ascii="宋体" w:eastAsia="宋体" w:cs="宋体"/>
                <w:color w:val="auto"/>
                <w:kern w:val="0"/>
                <w:sz w:val="24"/>
                <w:szCs w:val="24"/>
              </w:rPr>
              <w:t>比较方便</w:t>
            </w:r>
            <w:r>
              <w:rPr>
                <w:rFonts w:hint="eastAsia"/>
                <w:color w:val="auto"/>
                <w:sz w:val="24"/>
                <w:szCs w:val="24"/>
              </w:rPr>
              <w:t>|</w:t>
            </w:r>
            <w:r>
              <w:rPr>
                <w:color w:val="auto"/>
                <w:sz w:val="24"/>
                <w:szCs w:val="24"/>
              </w:rPr>
              <w:t>3.</w:t>
            </w:r>
            <w:r>
              <w:rPr>
                <w:rFonts w:hint="eastAsia"/>
                <w:color w:val="auto"/>
                <w:sz w:val="24"/>
                <w:szCs w:val="24"/>
              </w:rPr>
              <w:t xml:space="preserve"> 一般|</w:t>
            </w:r>
            <w:r>
              <w:rPr>
                <w:color w:val="auto"/>
                <w:sz w:val="24"/>
                <w:szCs w:val="24"/>
              </w:rPr>
              <w:t>2.</w:t>
            </w:r>
            <w:r>
              <w:rPr>
                <w:rFonts w:hint="eastAsia" w:ascii="宋体" w:eastAsia="宋体" w:cs="宋体"/>
                <w:color w:val="auto"/>
                <w:kern w:val="0"/>
                <w:sz w:val="24"/>
                <w:szCs w:val="24"/>
              </w:rPr>
              <w:t>不太方便</w:t>
            </w:r>
            <w:r>
              <w:rPr>
                <w:rFonts w:hint="eastAsia"/>
                <w:color w:val="auto"/>
                <w:sz w:val="24"/>
                <w:szCs w:val="24"/>
              </w:rPr>
              <w:t>|</w:t>
            </w:r>
            <w:r>
              <w:rPr>
                <w:color w:val="auto"/>
                <w:sz w:val="24"/>
                <w:szCs w:val="24"/>
              </w:rPr>
              <w:t>1.</w:t>
            </w:r>
            <w:r>
              <w:rPr>
                <w:rFonts w:hint="eastAsia" w:ascii="宋体" w:eastAsia="宋体" w:cs="宋体"/>
                <w:color w:val="auto"/>
                <w:kern w:val="0"/>
                <w:sz w:val="24"/>
                <w:szCs w:val="24"/>
              </w:rPr>
              <w:t>非常不方便</w:t>
            </w:r>
          </w:p>
        </w:tc>
      </w:tr>
      <w:tr w14:paraId="014B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6D8B21F3">
            <w:pPr>
              <w:rPr>
                <w:color w:val="auto"/>
                <w:sz w:val="24"/>
                <w:szCs w:val="24"/>
              </w:rPr>
            </w:pPr>
            <w:r>
              <w:rPr>
                <w:rFonts w:hint="eastAsia"/>
                <w:color w:val="auto"/>
                <w:sz w:val="24"/>
                <w:szCs w:val="24"/>
              </w:rPr>
              <w:t>您认为挂号/收费服务人员对您是否尊重？</w:t>
            </w:r>
          </w:p>
        </w:tc>
        <w:tc>
          <w:tcPr>
            <w:tcW w:w="7185" w:type="dxa"/>
            <w:vAlign w:val="center"/>
          </w:tcPr>
          <w:p w14:paraId="36C22B62">
            <w:pPr>
              <w:rPr>
                <w:color w:val="auto"/>
                <w:sz w:val="24"/>
                <w:szCs w:val="24"/>
              </w:rPr>
            </w:pPr>
            <w:r>
              <w:rPr>
                <w:rFonts w:hint="eastAsia"/>
                <w:color w:val="auto"/>
                <w:sz w:val="24"/>
                <w:szCs w:val="24"/>
              </w:rPr>
              <w:t>5</w:t>
            </w:r>
            <w:r>
              <w:rPr>
                <w:color w:val="auto"/>
                <w:sz w:val="24"/>
                <w:szCs w:val="24"/>
              </w:rPr>
              <w:t>.</w:t>
            </w:r>
            <w:r>
              <w:rPr>
                <w:rFonts w:hint="eastAsia"/>
                <w:color w:val="auto"/>
                <w:sz w:val="24"/>
                <w:szCs w:val="24"/>
              </w:rPr>
              <w:t>非常尊重|</w:t>
            </w:r>
            <w:r>
              <w:rPr>
                <w:color w:val="auto"/>
                <w:sz w:val="24"/>
                <w:szCs w:val="24"/>
              </w:rPr>
              <w:t>4.</w:t>
            </w:r>
            <w:r>
              <w:rPr>
                <w:rFonts w:hint="eastAsia"/>
                <w:color w:val="auto"/>
                <w:sz w:val="24"/>
                <w:szCs w:val="24"/>
              </w:rPr>
              <w:t>比较尊重|</w:t>
            </w:r>
            <w:r>
              <w:rPr>
                <w:color w:val="auto"/>
                <w:sz w:val="24"/>
                <w:szCs w:val="24"/>
              </w:rPr>
              <w:t>3.</w:t>
            </w:r>
            <w:r>
              <w:rPr>
                <w:rFonts w:hint="eastAsia"/>
                <w:color w:val="auto"/>
                <w:sz w:val="24"/>
                <w:szCs w:val="24"/>
              </w:rPr>
              <w:t>一般|</w:t>
            </w:r>
            <w:r>
              <w:rPr>
                <w:color w:val="auto"/>
                <w:sz w:val="24"/>
                <w:szCs w:val="24"/>
              </w:rPr>
              <w:t>2.</w:t>
            </w:r>
            <w:r>
              <w:rPr>
                <w:rFonts w:hint="eastAsia"/>
                <w:color w:val="auto"/>
                <w:sz w:val="24"/>
                <w:szCs w:val="24"/>
              </w:rPr>
              <w:t>不太尊重|</w:t>
            </w:r>
            <w:r>
              <w:rPr>
                <w:color w:val="auto"/>
                <w:sz w:val="24"/>
                <w:szCs w:val="24"/>
              </w:rPr>
              <w:t>1.</w:t>
            </w:r>
            <w:r>
              <w:rPr>
                <w:rFonts w:hint="eastAsia"/>
                <w:color w:val="auto"/>
                <w:sz w:val="24"/>
                <w:szCs w:val="24"/>
              </w:rPr>
              <w:t>非常不尊重</w:t>
            </w:r>
          </w:p>
        </w:tc>
      </w:tr>
      <w:tr w14:paraId="358C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4B910A00">
            <w:pPr>
              <w:rPr>
                <w:color w:val="auto"/>
                <w:sz w:val="24"/>
                <w:szCs w:val="24"/>
              </w:rPr>
            </w:pPr>
            <w:r>
              <w:rPr>
                <w:rFonts w:hint="eastAsia"/>
                <w:color w:val="auto"/>
                <w:sz w:val="24"/>
                <w:szCs w:val="24"/>
              </w:rPr>
              <w:t>4.您挂号等候了多长时间？</w:t>
            </w:r>
            <w:r>
              <w:rPr>
                <w:color w:val="auto"/>
                <w:sz w:val="24"/>
                <w:szCs w:val="24"/>
              </w:rPr>
              <w:t xml:space="preserve"> </w:t>
            </w:r>
          </w:p>
        </w:tc>
        <w:tc>
          <w:tcPr>
            <w:tcW w:w="7185" w:type="dxa"/>
            <w:vAlign w:val="center"/>
          </w:tcPr>
          <w:p w14:paraId="1DEE2EF3">
            <w:pPr>
              <w:rPr>
                <w:color w:val="auto"/>
                <w:sz w:val="24"/>
                <w:szCs w:val="24"/>
              </w:rPr>
            </w:pPr>
            <w:r>
              <w:rPr>
                <w:rFonts w:hint="eastAsia"/>
                <w:color w:val="auto"/>
                <w:sz w:val="24"/>
                <w:szCs w:val="24"/>
              </w:rPr>
              <w:t xml:space="preserve">5.10分钟以内|4.10到15分钟|3.15到20分钟|2.20到30分钟|1.30分钟以上                             </w:t>
            </w:r>
          </w:p>
        </w:tc>
      </w:tr>
      <w:tr w14:paraId="488E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30CEAC75">
            <w:pPr>
              <w:rPr>
                <w:color w:val="auto"/>
                <w:sz w:val="24"/>
                <w:szCs w:val="24"/>
              </w:rPr>
            </w:pPr>
            <w:r>
              <w:rPr>
                <w:rFonts w:hint="eastAsia"/>
                <w:color w:val="auto"/>
                <w:sz w:val="24"/>
                <w:szCs w:val="24"/>
              </w:rPr>
              <w:t>5.您缴费等候了多长时间？</w:t>
            </w:r>
          </w:p>
        </w:tc>
        <w:tc>
          <w:tcPr>
            <w:tcW w:w="7185" w:type="dxa"/>
            <w:vAlign w:val="center"/>
          </w:tcPr>
          <w:p w14:paraId="0BC60778">
            <w:pPr>
              <w:rPr>
                <w:color w:val="auto"/>
                <w:sz w:val="24"/>
                <w:szCs w:val="24"/>
              </w:rPr>
            </w:pPr>
            <w:r>
              <w:rPr>
                <w:rFonts w:hint="eastAsia"/>
                <w:color w:val="auto"/>
                <w:sz w:val="24"/>
                <w:szCs w:val="24"/>
              </w:rPr>
              <w:t xml:space="preserve">5.10分钟以内|4.10到15分钟|3.15到20分钟|2.20到30分钟|1.30分钟以上                             </w:t>
            </w:r>
          </w:p>
        </w:tc>
      </w:tr>
      <w:tr w14:paraId="759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2490E484">
            <w:pPr>
              <w:rPr>
                <w:color w:val="auto"/>
                <w:sz w:val="24"/>
                <w:szCs w:val="24"/>
              </w:rPr>
            </w:pPr>
            <w:r>
              <w:rPr>
                <w:rFonts w:hint="eastAsia"/>
                <w:color w:val="auto"/>
                <w:sz w:val="24"/>
                <w:szCs w:val="24"/>
              </w:rPr>
              <w:t>6.您对就诊等候区秩序满意吗?</w:t>
            </w:r>
          </w:p>
        </w:tc>
        <w:tc>
          <w:tcPr>
            <w:tcW w:w="7185" w:type="dxa"/>
            <w:vAlign w:val="center"/>
          </w:tcPr>
          <w:p w14:paraId="0D32E429">
            <w:pPr>
              <w:rPr>
                <w:color w:val="auto"/>
                <w:sz w:val="24"/>
                <w:szCs w:val="24"/>
              </w:rPr>
            </w:pPr>
            <w:r>
              <w:rPr>
                <w:rFonts w:hint="eastAsia"/>
                <w:color w:val="auto"/>
                <w:sz w:val="24"/>
                <w:szCs w:val="24"/>
              </w:rPr>
              <w:t>5.很满意|4.满意|3.一般|2.不满意|1.很不满意</w:t>
            </w:r>
          </w:p>
        </w:tc>
      </w:tr>
      <w:tr w14:paraId="1F4B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3F4055E2">
            <w:pPr>
              <w:rPr>
                <w:color w:val="auto"/>
                <w:sz w:val="24"/>
                <w:szCs w:val="24"/>
              </w:rPr>
            </w:pPr>
            <w:r>
              <w:rPr>
                <w:rFonts w:hint="eastAsia"/>
                <w:color w:val="auto"/>
                <w:sz w:val="24"/>
                <w:szCs w:val="24"/>
              </w:rPr>
              <w:t>7.您等候医生看病大约用了多长时间？</w:t>
            </w:r>
          </w:p>
        </w:tc>
        <w:tc>
          <w:tcPr>
            <w:tcW w:w="7185" w:type="dxa"/>
            <w:vAlign w:val="center"/>
          </w:tcPr>
          <w:p w14:paraId="1BF0E3FD">
            <w:pPr>
              <w:rPr>
                <w:color w:val="auto"/>
                <w:sz w:val="24"/>
                <w:szCs w:val="24"/>
              </w:rPr>
            </w:pPr>
            <w:r>
              <w:rPr>
                <w:rFonts w:hint="eastAsia"/>
                <w:color w:val="auto"/>
                <w:sz w:val="24"/>
                <w:szCs w:val="24"/>
              </w:rPr>
              <w:t xml:space="preserve">5.10分钟以内|4.10到15分钟|3.15到20分钟|2.20到30分钟|1.30分钟以上    </w:t>
            </w:r>
          </w:p>
        </w:tc>
      </w:tr>
      <w:tr w14:paraId="7FD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3EA0CB17">
            <w:pPr>
              <w:rPr>
                <w:color w:val="auto"/>
                <w:sz w:val="24"/>
                <w:szCs w:val="24"/>
              </w:rPr>
            </w:pPr>
            <w:r>
              <w:rPr>
                <w:rFonts w:hint="eastAsia"/>
                <w:color w:val="auto"/>
                <w:sz w:val="24"/>
                <w:szCs w:val="24"/>
              </w:rPr>
              <w:t>您认为医生对你是否尊重？</w:t>
            </w:r>
          </w:p>
        </w:tc>
        <w:tc>
          <w:tcPr>
            <w:tcW w:w="7185" w:type="dxa"/>
            <w:vAlign w:val="center"/>
          </w:tcPr>
          <w:p w14:paraId="6F4F8149">
            <w:pPr>
              <w:rPr>
                <w:color w:val="auto"/>
                <w:sz w:val="24"/>
                <w:szCs w:val="24"/>
              </w:rPr>
            </w:pPr>
            <w:r>
              <w:rPr>
                <w:rFonts w:hint="eastAsia"/>
                <w:color w:val="auto"/>
                <w:sz w:val="24"/>
                <w:szCs w:val="24"/>
              </w:rPr>
              <w:t>5</w:t>
            </w:r>
            <w:r>
              <w:rPr>
                <w:color w:val="auto"/>
                <w:sz w:val="24"/>
                <w:szCs w:val="24"/>
              </w:rPr>
              <w:t>.</w:t>
            </w:r>
            <w:r>
              <w:rPr>
                <w:rFonts w:hint="eastAsia"/>
                <w:color w:val="auto"/>
                <w:sz w:val="24"/>
                <w:szCs w:val="24"/>
              </w:rPr>
              <w:t>非常尊重|</w:t>
            </w:r>
            <w:r>
              <w:rPr>
                <w:color w:val="auto"/>
                <w:sz w:val="24"/>
                <w:szCs w:val="24"/>
              </w:rPr>
              <w:t>4.</w:t>
            </w:r>
            <w:r>
              <w:rPr>
                <w:rFonts w:hint="eastAsia"/>
                <w:color w:val="auto"/>
                <w:sz w:val="24"/>
                <w:szCs w:val="24"/>
              </w:rPr>
              <w:t>比较尊重|</w:t>
            </w:r>
            <w:r>
              <w:rPr>
                <w:color w:val="auto"/>
                <w:sz w:val="24"/>
                <w:szCs w:val="24"/>
              </w:rPr>
              <w:t>3.</w:t>
            </w:r>
            <w:r>
              <w:rPr>
                <w:rFonts w:hint="eastAsia"/>
                <w:color w:val="auto"/>
                <w:sz w:val="24"/>
                <w:szCs w:val="24"/>
              </w:rPr>
              <w:t>一般|</w:t>
            </w:r>
            <w:r>
              <w:rPr>
                <w:color w:val="auto"/>
                <w:sz w:val="24"/>
                <w:szCs w:val="24"/>
              </w:rPr>
              <w:t>2.</w:t>
            </w:r>
            <w:r>
              <w:rPr>
                <w:rFonts w:hint="eastAsia"/>
                <w:color w:val="auto"/>
                <w:sz w:val="24"/>
                <w:szCs w:val="24"/>
              </w:rPr>
              <w:t>不太尊重|</w:t>
            </w:r>
            <w:r>
              <w:rPr>
                <w:color w:val="auto"/>
                <w:sz w:val="24"/>
                <w:szCs w:val="24"/>
              </w:rPr>
              <w:t>1.</w:t>
            </w:r>
            <w:r>
              <w:rPr>
                <w:rFonts w:hint="eastAsia"/>
                <w:color w:val="auto"/>
                <w:sz w:val="24"/>
                <w:szCs w:val="24"/>
              </w:rPr>
              <w:t>非常不尊重</w:t>
            </w:r>
          </w:p>
        </w:tc>
      </w:tr>
      <w:tr w14:paraId="7FF9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073C28C3">
            <w:pPr>
              <w:rPr>
                <w:color w:val="auto"/>
                <w:sz w:val="24"/>
                <w:szCs w:val="24"/>
              </w:rPr>
            </w:pPr>
            <w:r>
              <w:rPr>
                <w:rFonts w:hint="eastAsia"/>
                <w:color w:val="auto"/>
                <w:sz w:val="24"/>
                <w:szCs w:val="24"/>
              </w:rPr>
              <w:t>8.门诊医生为您看病大约用了多长时间？</w:t>
            </w:r>
          </w:p>
        </w:tc>
        <w:tc>
          <w:tcPr>
            <w:tcW w:w="7185" w:type="dxa"/>
            <w:vAlign w:val="center"/>
          </w:tcPr>
          <w:p w14:paraId="7ADB1139">
            <w:pPr>
              <w:rPr>
                <w:color w:val="auto"/>
                <w:sz w:val="24"/>
                <w:szCs w:val="24"/>
              </w:rPr>
            </w:pPr>
            <w:r>
              <w:rPr>
                <w:rFonts w:hint="eastAsia"/>
                <w:color w:val="auto"/>
                <w:sz w:val="24"/>
                <w:szCs w:val="24"/>
              </w:rPr>
              <w:t>5.超过10分钟|4.8到10分钟|3.5到8分钟|2.3到5分钟|1.3分钟以内</w:t>
            </w:r>
          </w:p>
        </w:tc>
      </w:tr>
      <w:tr w14:paraId="43CB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232FD591">
            <w:pPr>
              <w:rPr>
                <w:color w:val="auto"/>
                <w:sz w:val="24"/>
                <w:szCs w:val="24"/>
              </w:rPr>
            </w:pPr>
            <w:r>
              <w:rPr>
                <w:rFonts w:hint="eastAsia"/>
                <w:color w:val="auto"/>
                <w:sz w:val="24"/>
                <w:szCs w:val="24"/>
              </w:rPr>
              <w:t>9.您对医生询问病情和检查的耐心细致程度满意吗？</w:t>
            </w:r>
          </w:p>
        </w:tc>
        <w:tc>
          <w:tcPr>
            <w:tcW w:w="7185" w:type="dxa"/>
            <w:vAlign w:val="center"/>
          </w:tcPr>
          <w:p w14:paraId="6C82024A">
            <w:pPr>
              <w:rPr>
                <w:color w:val="auto"/>
                <w:sz w:val="24"/>
                <w:szCs w:val="24"/>
              </w:rPr>
            </w:pPr>
            <w:r>
              <w:rPr>
                <w:rFonts w:hint="eastAsia"/>
                <w:color w:val="auto"/>
                <w:sz w:val="24"/>
                <w:szCs w:val="24"/>
              </w:rPr>
              <w:t>5.非常耐心细致|4.较为耐心细致|3.一般|2.不耐心细致|1.敷衍了事</w:t>
            </w:r>
          </w:p>
        </w:tc>
      </w:tr>
      <w:tr w14:paraId="3E94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17" w:type="dxa"/>
            <w:vAlign w:val="center"/>
          </w:tcPr>
          <w:p w14:paraId="5B0B4424">
            <w:pPr>
              <w:rPr>
                <w:color w:val="auto"/>
                <w:sz w:val="24"/>
                <w:szCs w:val="24"/>
              </w:rPr>
            </w:pPr>
            <w:r>
              <w:rPr>
                <w:rFonts w:hint="eastAsia"/>
                <w:color w:val="auto"/>
                <w:sz w:val="24"/>
                <w:szCs w:val="24"/>
              </w:rPr>
              <w:t>10.您对医生解释告知检查结果、治疗方案及用药计划满意吗？</w:t>
            </w:r>
          </w:p>
        </w:tc>
        <w:tc>
          <w:tcPr>
            <w:tcW w:w="7185" w:type="dxa"/>
            <w:vAlign w:val="center"/>
          </w:tcPr>
          <w:p w14:paraId="69C9B2C8">
            <w:pPr>
              <w:rPr>
                <w:color w:val="auto"/>
                <w:sz w:val="24"/>
                <w:szCs w:val="24"/>
              </w:rPr>
            </w:pPr>
            <w:r>
              <w:rPr>
                <w:rFonts w:hint="eastAsia"/>
                <w:color w:val="auto"/>
                <w:sz w:val="24"/>
                <w:szCs w:val="24"/>
              </w:rPr>
              <w:t>5.已告知，非常满意|4.已告知，基本满意|3.已告知，不太满意|2.已告知，不满意|1.未告知</w:t>
            </w:r>
          </w:p>
        </w:tc>
      </w:tr>
      <w:tr w14:paraId="37F4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75410A23">
            <w:pPr>
              <w:rPr>
                <w:color w:val="auto"/>
                <w:sz w:val="24"/>
                <w:szCs w:val="24"/>
              </w:rPr>
            </w:pPr>
            <w:r>
              <w:rPr>
                <w:rFonts w:hint="eastAsia"/>
                <w:color w:val="auto"/>
                <w:sz w:val="24"/>
                <w:szCs w:val="24"/>
              </w:rPr>
              <w:t>护士对你是否尊重？</w:t>
            </w:r>
          </w:p>
        </w:tc>
        <w:tc>
          <w:tcPr>
            <w:tcW w:w="7185" w:type="dxa"/>
            <w:vAlign w:val="center"/>
          </w:tcPr>
          <w:p w14:paraId="7E01A7AD">
            <w:pPr>
              <w:rPr>
                <w:color w:val="auto"/>
                <w:sz w:val="24"/>
                <w:szCs w:val="24"/>
              </w:rPr>
            </w:pPr>
            <w:r>
              <w:rPr>
                <w:rFonts w:hint="eastAsia"/>
                <w:color w:val="auto"/>
                <w:sz w:val="24"/>
                <w:szCs w:val="24"/>
              </w:rPr>
              <w:t>5</w:t>
            </w:r>
            <w:r>
              <w:rPr>
                <w:color w:val="auto"/>
                <w:sz w:val="24"/>
                <w:szCs w:val="24"/>
              </w:rPr>
              <w:t>.</w:t>
            </w:r>
            <w:r>
              <w:rPr>
                <w:rFonts w:hint="eastAsia"/>
                <w:color w:val="auto"/>
                <w:sz w:val="24"/>
                <w:szCs w:val="24"/>
              </w:rPr>
              <w:t>非常尊重|</w:t>
            </w:r>
            <w:r>
              <w:rPr>
                <w:color w:val="auto"/>
                <w:sz w:val="24"/>
                <w:szCs w:val="24"/>
              </w:rPr>
              <w:t>4.</w:t>
            </w:r>
            <w:r>
              <w:rPr>
                <w:rFonts w:hint="eastAsia"/>
                <w:color w:val="auto"/>
                <w:sz w:val="24"/>
                <w:szCs w:val="24"/>
              </w:rPr>
              <w:t>比较尊重|</w:t>
            </w:r>
            <w:r>
              <w:rPr>
                <w:color w:val="auto"/>
                <w:sz w:val="24"/>
                <w:szCs w:val="24"/>
              </w:rPr>
              <w:t>3.</w:t>
            </w:r>
            <w:r>
              <w:rPr>
                <w:rFonts w:hint="eastAsia"/>
                <w:color w:val="auto"/>
                <w:sz w:val="24"/>
                <w:szCs w:val="24"/>
              </w:rPr>
              <w:t>一般|</w:t>
            </w:r>
            <w:r>
              <w:rPr>
                <w:color w:val="auto"/>
                <w:sz w:val="24"/>
                <w:szCs w:val="24"/>
              </w:rPr>
              <w:t>2.</w:t>
            </w:r>
            <w:r>
              <w:rPr>
                <w:rFonts w:hint="eastAsia"/>
                <w:color w:val="auto"/>
                <w:sz w:val="24"/>
                <w:szCs w:val="24"/>
              </w:rPr>
              <w:t>不太尊重|</w:t>
            </w:r>
            <w:r>
              <w:rPr>
                <w:color w:val="auto"/>
                <w:sz w:val="24"/>
                <w:szCs w:val="24"/>
              </w:rPr>
              <w:t>1.</w:t>
            </w:r>
            <w:r>
              <w:rPr>
                <w:rFonts w:hint="eastAsia"/>
                <w:color w:val="auto"/>
                <w:sz w:val="24"/>
                <w:szCs w:val="24"/>
              </w:rPr>
              <w:t>非常不尊重</w:t>
            </w:r>
          </w:p>
        </w:tc>
      </w:tr>
      <w:tr w14:paraId="42FD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1FF04157">
            <w:pPr>
              <w:rPr>
                <w:color w:val="auto"/>
                <w:sz w:val="24"/>
                <w:szCs w:val="24"/>
              </w:rPr>
            </w:pPr>
            <w:r>
              <w:rPr>
                <w:rFonts w:hint="eastAsia"/>
                <w:color w:val="auto"/>
                <w:sz w:val="24"/>
                <w:szCs w:val="24"/>
              </w:rPr>
              <w:t>护士是否仔细倾听您讲话？</w:t>
            </w:r>
          </w:p>
        </w:tc>
        <w:tc>
          <w:tcPr>
            <w:tcW w:w="7185" w:type="dxa"/>
            <w:vAlign w:val="center"/>
          </w:tcPr>
          <w:p w14:paraId="6D0833C6">
            <w:pPr>
              <w:rPr>
                <w:color w:val="auto"/>
                <w:sz w:val="24"/>
                <w:szCs w:val="24"/>
              </w:rPr>
            </w:pPr>
            <w:r>
              <w:rPr>
                <w:rFonts w:hint="eastAsia"/>
                <w:color w:val="auto"/>
                <w:sz w:val="24"/>
                <w:szCs w:val="24"/>
              </w:rPr>
              <w:t>5</w:t>
            </w:r>
            <w:r>
              <w:rPr>
                <w:color w:val="auto"/>
                <w:sz w:val="24"/>
                <w:szCs w:val="24"/>
              </w:rPr>
              <w:t>.</w:t>
            </w:r>
            <w:r>
              <w:rPr>
                <w:rFonts w:hint="eastAsia"/>
                <w:color w:val="auto"/>
                <w:sz w:val="24"/>
                <w:szCs w:val="24"/>
              </w:rPr>
              <w:t>非常仔细|</w:t>
            </w:r>
            <w:r>
              <w:rPr>
                <w:color w:val="auto"/>
                <w:sz w:val="24"/>
                <w:szCs w:val="24"/>
              </w:rPr>
              <w:t>4.</w:t>
            </w:r>
            <w:r>
              <w:rPr>
                <w:rFonts w:hint="eastAsia"/>
                <w:color w:val="auto"/>
                <w:sz w:val="24"/>
                <w:szCs w:val="24"/>
              </w:rPr>
              <w:t>比较仔细|</w:t>
            </w:r>
            <w:r>
              <w:rPr>
                <w:color w:val="auto"/>
                <w:sz w:val="24"/>
                <w:szCs w:val="24"/>
              </w:rPr>
              <w:t>3.</w:t>
            </w:r>
            <w:r>
              <w:rPr>
                <w:rFonts w:hint="eastAsia"/>
                <w:color w:val="auto"/>
                <w:sz w:val="24"/>
                <w:szCs w:val="24"/>
              </w:rPr>
              <w:t>一般|</w:t>
            </w:r>
            <w:r>
              <w:rPr>
                <w:color w:val="auto"/>
                <w:sz w:val="24"/>
                <w:szCs w:val="24"/>
              </w:rPr>
              <w:t>2.</w:t>
            </w:r>
            <w:r>
              <w:rPr>
                <w:rFonts w:hint="eastAsia"/>
                <w:color w:val="auto"/>
                <w:sz w:val="24"/>
                <w:szCs w:val="24"/>
              </w:rPr>
              <w:t>不太仔细|</w:t>
            </w:r>
            <w:r>
              <w:rPr>
                <w:color w:val="auto"/>
                <w:sz w:val="24"/>
                <w:szCs w:val="24"/>
              </w:rPr>
              <w:t>1.</w:t>
            </w:r>
            <w:r>
              <w:rPr>
                <w:rFonts w:hint="eastAsia"/>
                <w:color w:val="auto"/>
                <w:sz w:val="24"/>
                <w:szCs w:val="24"/>
              </w:rPr>
              <w:t>非常不仔细</w:t>
            </w:r>
          </w:p>
        </w:tc>
      </w:tr>
      <w:tr w14:paraId="051E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1C9F8387">
            <w:pPr>
              <w:rPr>
                <w:color w:val="auto"/>
                <w:sz w:val="24"/>
                <w:szCs w:val="24"/>
              </w:rPr>
            </w:pPr>
            <w:r>
              <w:rPr>
                <w:rFonts w:hint="eastAsia"/>
                <w:color w:val="auto"/>
                <w:sz w:val="24"/>
                <w:szCs w:val="24"/>
              </w:rPr>
              <w:t>护士是否用您听得懂的方式解释问题？</w:t>
            </w:r>
          </w:p>
        </w:tc>
        <w:tc>
          <w:tcPr>
            <w:tcW w:w="7185" w:type="dxa"/>
            <w:vAlign w:val="center"/>
          </w:tcPr>
          <w:p w14:paraId="3B8EF5A6">
            <w:pPr>
              <w:rPr>
                <w:color w:val="auto"/>
                <w:sz w:val="24"/>
                <w:szCs w:val="24"/>
              </w:rPr>
            </w:pPr>
            <w:r>
              <w:rPr>
                <w:rFonts w:hint="eastAsia"/>
                <w:color w:val="auto"/>
                <w:sz w:val="24"/>
                <w:szCs w:val="24"/>
              </w:rPr>
              <w:t>5</w:t>
            </w:r>
            <w:r>
              <w:rPr>
                <w:color w:val="auto"/>
                <w:sz w:val="24"/>
                <w:szCs w:val="24"/>
              </w:rPr>
              <w:t>.</w:t>
            </w:r>
            <w:r>
              <w:rPr>
                <w:rFonts w:hint="eastAsia"/>
                <w:color w:val="auto"/>
                <w:sz w:val="24"/>
                <w:szCs w:val="24"/>
              </w:rPr>
              <w:t>完全能听懂|</w:t>
            </w:r>
            <w:r>
              <w:rPr>
                <w:color w:val="auto"/>
                <w:sz w:val="24"/>
                <w:szCs w:val="24"/>
              </w:rPr>
              <w:t>4.</w:t>
            </w:r>
            <w:r>
              <w:rPr>
                <w:rFonts w:hint="eastAsia"/>
                <w:color w:val="auto"/>
                <w:sz w:val="24"/>
                <w:szCs w:val="24"/>
              </w:rPr>
              <w:t>基本能听懂|</w:t>
            </w:r>
            <w:r>
              <w:rPr>
                <w:color w:val="auto"/>
                <w:sz w:val="24"/>
                <w:szCs w:val="24"/>
              </w:rPr>
              <w:t>3.</w:t>
            </w:r>
            <w:r>
              <w:rPr>
                <w:rFonts w:hint="eastAsia"/>
                <w:color w:val="auto"/>
                <w:sz w:val="24"/>
                <w:szCs w:val="24"/>
              </w:rPr>
              <w:t>一般|</w:t>
            </w:r>
            <w:r>
              <w:rPr>
                <w:color w:val="auto"/>
                <w:sz w:val="24"/>
                <w:szCs w:val="24"/>
              </w:rPr>
              <w:t>2.</w:t>
            </w:r>
            <w:r>
              <w:rPr>
                <w:rFonts w:hint="eastAsia"/>
                <w:color w:val="auto"/>
                <w:sz w:val="24"/>
                <w:szCs w:val="24"/>
              </w:rPr>
              <w:t>基本听不懂|</w:t>
            </w:r>
            <w:r>
              <w:rPr>
                <w:color w:val="auto"/>
                <w:sz w:val="24"/>
                <w:szCs w:val="24"/>
              </w:rPr>
              <w:t>1.</w:t>
            </w:r>
            <w:r>
              <w:rPr>
                <w:rFonts w:hint="eastAsia"/>
                <w:color w:val="auto"/>
                <w:sz w:val="24"/>
                <w:szCs w:val="24"/>
              </w:rPr>
              <w:t>完全听不懂</w:t>
            </w:r>
          </w:p>
        </w:tc>
      </w:tr>
      <w:tr w14:paraId="4B6E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4BCDD4CF">
            <w:pPr>
              <w:rPr>
                <w:color w:val="auto"/>
                <w:sz w:val="24"/>
                <w:szCs w:val="24"/>
              </w:rPr>
            </w:pPr>
            <w:r>
              <w:rPr>
                <w:rFonts w:hint="eastAsia"/>
                <w:color w:val="auto"/>
                <w:sz w:val="24"/>
                <w:szCs w:val="24"/>
              </w:rPr>
              <w:t>11.在门诊诊断或治疗时，您对医务人员关注并保护您的隐私满意吗？</w:t>
            </w:r>
            <w:r>
              <w:rPr>
                <w:color w:val="auto"/>
                <w:sz w:val="24"/>
                <w:szCs w:val="24"/>
              </w:rPr>
              <w:t xml:space="preserve"> </w:t>
            </w:r>
          </w:p>
        </w:tc>
        <w:tc>
          <w:tcPr>
            <w:tcW w:w="7185" w:type="dxa"/>
            <w:vAlign w:val="center"/>
          </w:tcPr>
          <w:p w14:paraId="15523E2F">
            <w:pPr>
              <w:rPr>
                <w:color w:val="auto"/>
                <w:sz w:val="24"/>
                <w:szCs w:val="24"/>
              </w:rPr>
            </w:pPr>
            <w:r>
              <w:rPr>
                <w:rFonts w:hint="eastAsia"/>
                <w:color w:val="auto"/>
                <w:sz w:val="24"/>
                <w:szCs w:val="24"/>
              </w:rPr>
              <w:t>5.很满意|4.满意|3.一般|2.不满意|1.很不满意</w:t>
            </w:r>
          </w:p>
        </w:tc>
      </w:tr>
      <w:tr w14:paraId="1CBB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3599C0BF">
            <w:pPr>
              <w:rPr>
                <w:color w:val="auto"/>
                <w:sz w:val="24"/>
                <w:szCs w:val="24"/>
              </w:rPr>
            </w:pPr>
            <w:r>
              <w:rPr>
                <w:rFonts w:hint="eastAsia"/>
                <w:color w:val="auto"/>
                <w:sz w:val="24"/>
                <w:szCs w:val="24"/>
              </w:rPr>
              <w:t>12.您对门诊检验科检查（血、尿、便等常规检查）等候时间满意吗？</w:t>
            </w:r>
          </w:p>
        </w:tc>
        <w:tc>
          <w:tcPr>
            <w:tcW w:w="7185" w:type="dxa"/>
            <w:vAlign w:val="center"/>
          </w:tcPr>
          <w:p w14:paraId="32F66719">
            <w:pPr>
              <w:rPr>
                <w:color w:val="auto"/>
                <w:sz w:val="24"/>
                <w:szCs w:val="24"/>
              </w:rPr>
            </w:pPr>
            <w:r>
              <w:rPr>
                <w:rFonts w:hint="eastAsia"/>
                <w:color w:val="auto"/>
                <w:sz w:val="24"/>
                <w:szCs w:val="24"/>
              </w:rPr>
              <w:t>5.很满意|4.满意|3.一般|2.不满意|1.很不满意|0.未检查</w:t>
            </w:r>
          </w:p>
        </w:tc>
      </w:tr>
      <w:tr w14:paraId="3D9A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6DD93E99">
            <w:pPr>
              <w:rPr>
                <w:color w:val="auto"/>
                <w:sz w:val="24"/>
                <w:szCs w:val="24"/>
              </w:rPr>
            </w:pPr>
            <w:r>
              <w:rPr>
                <w:rFonts w:hint="eastAsia"/>
                <w:color w:val="auto"/>
                <w:sz w:val="24"/>
                <w:szCs w:val="24"/>
              </w:rPr>
              <w:t>13.您对门诊检验科检查（血、尿、便等常规检查）出报告时间满意吗？</w:t>
            </w:r>
          </w:p>
        </w:tc>
        <w:tc>
          <w:tcPr>
            <w:tcW w:w="7185" w:type="dxa"/>
            <w:vAlign w:val="center"/>
          </w:tcPr>
          <w:p w14:paraId="01AE5E16">
            <w:pPr>
              <w:rPr>
                <w:color w:val="auto"/>
                <w:sz w:val="24"/>
                <w:szCs w:val="24"/>
              </w:rPr>
            </w:pPr>
            <w:r>
              <w:rPr>
                <w:rFonts w:hint="eastAsia"/>
                <w:color w:val="auto"/>
                <w:sz w:val="24"/>
                <w:szCs w:val="24"/>
              </w:rPr>
              <w:t>5.很满意|4.满意|3.一般|2.不满意|1.很不满意|0.未检查</w:t>
            </w:r>
          </w:p>
        </w:tc>
      </w:tr>
      <w:tr w14:paraId="53E6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7B36AEA2">
            <w:pPr>
              <w:rPr>
                <w:color w:val="auto"/>
                <w:sz w:val="24"/>
                <w:szCs w:val="24"/>
              </w:rPr>
            </w:pPr>
            <w:r>
              <w:rPr>
                <w:rFonts w:hint="eastAsia"/>
                <w:color w:val="auto"/>
                <w:sz w:val="24"/>
                <w:szCs w:val="24"/>
              </w:rPr>
              <w:t>14.您对门诊放射检查（含X光、CT、MRI）等候时间满意吗？</w:t>
            </w:r>
          </w:p>
        </w:tc>
        <w:tc>
          <w:tcPr>
            <w:tcW w:w="7185" w:type="dxa"/>
            <w:vAlign w:val="center"/>
          </w:tcPr>
          <w:p w14:paraId="737CDF68">
            <w:pPr>
              <w:rPr>
                <w:color w:val="auto"/>
                <w:sz w:val="24"/>
                <w:szCs w:val="24"/>
              </w:rPr>
            </w:pPr>
            <w:r>
              <w:rPr>
                <w:rFonts w:hint="eastAsia"/>
                <w:color w:val="auto"/>
                <w:sz w:val="24"/>
                <w:szCs w:val="24"/>
              </w:rPr>
              <w:t>5.很满意|4.满意|3.一般|2.不满意|1.很不满意|0.未检查</w:t>
            </w:r>
          </w:p>
        </w:tc>
      </w:tr>
      <w:tr w14:paraId="5674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28010570">
            <w:pPr>
              <w:rPr>
                <w:color w:val="auto"/>
                <w:sz w:val="24"/>
                <w:szCs w:val="24"/>
              </w:rPr>
            </w:pPr>
            <w:r>
              <w:rPr>
                <w:rFonts w:hint="eastAsia"/>
                <w:color w:val="auto"/>
                <w:sz w:val="24"/>
                <w:szCs w:val="24"/>
              </w:rPr>
              <w:t>15.您对门诊放射检查（含X光、CT、MRI）出报告时间满意吗？</w:t>
            </w:r>
          </w:p>
        </w:tc>
        <w:tc>
          <w:tcPr>
            <w:tcW w:w="7185" w:type="dxa"/>
            <w:vAlign w:val="center"/>
          </w:tcPr>
          <w:p w14:paraId="1BFB7DD4">
            <w:pPr>
              <w:rPr>
                <w:color w:val="auto"/>
                <w:sz w:val="24"/>
                <w:szCs w:val="24"/>
              </w:rPr>
            </w:pPr>
            <w:r>
              <w:rPr>
                <w:rFonts w:hint="eastAsia"/>
                <w:color w:val="auto"/>
                <w:sz w:val="24"/>
                <w:szCs w:val="24"/>
              </w:rPr>
              <w:t>5.很满意|4.满意|3.一般|2.不满意|1.很不满意|0.未检查</w:t>
            </w:r>
          </w:p>
        </w:tc>
      </w:tr>
      <w:tr w14:paraId="662B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4AB50F83">
            <w:pPr>
              <w:rPr>
                <w:color w:val="auto"/>
                <w:sz w:val="24"/>
                <w:szCs w:val="24"/>
              </w:rPr>
            </w:pPr>
            <w:r>
              <w:rPr>
                <w:rFonts w:hint="eastAsia"/>
                <w:color w:val="auto"/>
                <w:sz w:val="24"/>
                <w:szCs w:val="24"/>
              </w:rPr>
              <w:t>16.您对门诊超声科检查等候时间满意吗？</w:t>
            </w:r>
          </w:p>
        </w:tc>
        <w:tc>
          <w:tcPr>
            <w:tcW w:w="7185" w:type="dxa"/>
            <w:vAlign w:val="center"/>
          </w:tcPr>
          <w:p w14:paraId="690A88BC">
            <w:pPr>
              <w:rPr>
                <w:color w:val="auto"/>
                <w:sz w:val="24"/>
                <w:szCs w:val="24"/>
              </w:rPr>
            </w:pPr>
            <w:r>
              <w:rPr>
                <w:rFonts w:hint="eastAsia"/>
                <w:color w:val="auto"/>
                <w:sz w:val="24"/>
                <w:szCs w:val="24"/>
              </w:rPr>
              <w:t>5.很满意|4.满意|3.一般|2.不满意|1.很不满意|0.未检查</w:t>
            </w:r>
          </w:p>
        </w:tc>
      </w:tr>
      <w:tr w14:paraId="1BEA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0659BD81">
            <w:pPr>
              <w:rPr>
                <w:color w:val="auto"/>
                <w:sz w:val="24"/>
                <w:szCs w:val="24"/>
              </w:rPr>
            </w:pPr>
            <w:r>
              <w:rPr>
                <w:rFonts w:hint="eastAsia"/>
                <w:color w:val="auto"/>
                <w:sz w:val="24"/>
                <w:szCs w:val="24"/>
              </w:rPr>
              <w:t>17.您对门诊超声科检查出报告时间满意吗？</w:t>
            </w:r>
          </w:p>
        </w:tc>
        <w:tc>
          <w:tcPr>
            <w:tcW w:w="7185" w:type="dxa"/>
            <w:vAlign w:val="center"/>
          </w:tcPr>
          <w:p w14:paraId="3243E75A">
            <w:pPr>
              <w:rPr>
                <w:color w:val="auto"/>
                <w:sz w:val="24"/>
                <w:szCs w:val="24"/>
              </w:rPr>
            </w:pPr>
            <w:r>
              <w:rPr>
                <w:rFonts w:hint="eastAsia"/>
                <w:color w:val="auto"/>
                <w:sz w:val="24"/>
                <w:szCs w:val="24"/>
              </w:rPr>
              <w:t>5.很满意|4.满意|3.一般|2.不满意|1.很不满意|0.未检查</w:t>
            </w:r>
          </w:p>
        </w:tc>
      </w:tr>
      <w:tr w14:paraId="70DC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7E0A9454">
            <w:pPr>
              <w:rPr>
                <w:color w:val="auto"/>
                <w:sz w:val="24"/>
                <w:szCs w:val="24"/>
              </w:rPr>
            </w:pPr>
            <w:r>
              <w:rPr>
                <w:rFonts w:hint="eastAsia"/>
                <w:color w:val="auto"/>
                <w:sz w:val="24"/>
                <w:szCs w:val="24"/>
              </w:rPr>
              <w:t>18.您对门诊提供的健康咨询、宣教资料、轮椅等便民服务满意吗？</w:t>
            </w:r>
          </w:p>
        </w:tc>
        <w:tc>
          <w:tcPr>
            <w:tcW w:w="7185" w:type="dxa"/>
            <w:vAlign w:val="center"/>
          </w:tcPr>
          <w:p w14:paraId="2081B790">
            <w:pPr>
              <w:rPr>
                <w:color w:val="auto"/>
                <w:sz w:val="24"/>
                <w:szCs w:val="24"/>
              </w:rPr>
            </w:pPr>
            <w:r>
              <w:rPr>
                <w:rFonts w:hint="eastAsia"/>
                <w:color w:val="auto"/>
                <w:sz w:val="24"/>
                <w:szCs w:val="24"/>
              </w:rPr>
              <w:t>5.很满意|4.满意|3.一般|2.不满意|1.很不满意</w:t>
            </w:r>
          </w:p>
        </w:tc>
      </w:tr>
      <w:tr w14:paraId="527C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1034431E">
            <w:pPr>
              <w:rPr>
                <w:color w:val="auto"/>
                <w:sz w:val="24"/>
                <w:szCs w:val="24"/>
              </w:rPr>
            </w:pPr>
            <w:r>
              <w:rPr>
                <w:rFonts w:hint="eastAsia"/>
                <w:color w:val="auto"/>
                <w:sz w:val="24"/>
                <w:szCs w:val="24"/>
              </w:rPr>
              <w:t>19.您对医院门诊卫生间的卫生状况和设施配备满意吗？</w:t>
            </w:r>
          </w:p>
        </w:tc>
        <w:tc>
          <w:tcPr>
            <w:tcW w:w="7185" w:type="dxa"/>
            <w:vAlign w:val="center"/>
          </w:tcPr>
          <w:p w14:paraId="4114922C">
            <w:pPr>
              <w:rPr>
                <w:color w:val="auto"/>
                <w:sz w:val="24"/>
                <w:szCs w:val="24"/>
              </w:rPr>
            </w:pPr>
            <w:r>
              <w:rPr>
                <w:rFonts w:hint="eastAsia"/>
                <w:color w:val="auto"/>
                <w:sz w:val="24"/>
                <w:szCs w:val="24"/>
              </w:rPr>
              <w:t>5.很满意|4.满意|3.一般|2.不满意|1.很不满意|0.不清楚</w:t>
            </w:r>
          </w:p>
        </w:tc>
      </w:tr>
      <w:tr w14:paraId="0EF1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5ADEABF3">
            <w:pPr>
              <w:rPr>
                <w:color w:val="auto"/>
                <w:sz w:val="24"/>
                <w:szCs w:val="24"/>
              </w:rPr>
            </w:pPr>
            <w:r>
              <w:rPr>
                <w:rFonts w:hint="eastAsia"/>
                <w:color w:val="auto"/>
                <w:sz w:val="24"/>
                <w:szCs w:val="24"/>
              </w:rPr>
              <w:t>20您对门诊环境卫生状况满意吗？</w:t>
            </w:r>
            <w:r>
              <w:rPr>
                <w:color w:val="auto"/>
                <w:sz w:val="24"/>
                <w:szCs w:val="24"/>
              </w:rPr>
              <w:t xml:space="preserve"> </w:t>
            </w:r>
          </w:p>
        </w:tc>
        <w:tc>
          <w:tcPr>
            <w:tcW w:w="7185" w:type="dxa"/>
            <w:vAlign w:val="center"/>
          </w:tcPr>
          <w:p w14:paraId="7E8750F0">
            <w:pPr>
              <w:rPr>
                <w:color w:val="auto"/>
                <w:sz w:val="24"/>
                <w:szCs w:val="24"/>
              </w:rPr>
            </w:pPr>
            <w:r>
              <w:rPr>
                <w:rFonts w:hint="eastAsia"/>
                <w:color w:val="auto"/>
                <w:sz w:val="24"/>
                <w:szCs w:val="24"/>
              </w:rPr>
              <w:t>5.很满意|4.满意|3.一般|2.不满意|1.很不满意</w:t>
            </w:r>
          </w:p>
        </w:tc>
      </w:tr>
      <w:tr w14:paraId="6571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0A0590EA">
            <w:pPr>
              <w:rPr>
                <w:color w:val="auto"/>
                <w:sz w:val="24"/>
                <w:szCs w:val="24"/>
              </w:rPr>
            </w:pPr>
            <w:r>
              <w:rPr>
                <w:rFonts w:hint="eastAsia"/>
                <w:color w:val="auto"/>
                <w:sz w:val="24"/>
                <w:szCs w:val="24"/>
              </w:rPr>
              <w:t>21</w:t>
            </w:r>
            <w:r>
              <w:rPr>
                <w:color w:val="auto"/>
                <w:sz w:val="24"/>
                <w:szCs w:val="24"/>
              </w:rPr>
              <w:t>.</w:t>
            </w:r>
            <w:r>
              <w:rPr>
                <w:rFonts w:hint="eastAsia"/>
                <w:color w:val="auto"/>
                <w:sz w:val="24"/>
                <w:szCs w:val="24"/>
              </w:rPr>
              <w:t>您对医院的安全保卫措施满意吗？</w:t>
            </w:r>
          </w:p>
        </w:tc>
        <w:tc>
          <w:tcPr>
            <w:tcW w:w="7185" w:type="dxa"/>
            <w:vAlign w:val="center"/>
          </w:tcPr>
          <w:p w14:paraId="1C1A1265">
            <w:pPr>
              <w:rPr>
                <w:color w:val="auto"/>
                <w:sz w:val="24"/>
                <w:szCs w:val="24"/>
              </w:rPr>
            </w:pPr>
            <w:r>
              <w:rPr>
                <w:rFonts w:hint="eastAsia"/>
                <w:color w:val="auto"/>
                <w:sz w:val="24"/>
                <w:szCs w:val="24"/>
              </w:rPr>
              <w:t>5.很满意|4.满意|3.一般|2.不满意|1.很不满意</w:t>
            </w:r>
          </w:p>
        </w:tc>
      </w:tr>
      <w:tr w14:paraId="77F5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72DF4539">
            <w:pPr>
              <w:rPr>
                <w:color w:val="auto"/>
                <w:sz w:val="24"/>
                <w:szCs w:val="24"/>
              </w:rPr>
            </w:pPr>
            <w:r>
              <w:rPr>
                <w:rFonts w:hint="eastAsia"/>
                <w:color w:val="auto"/>
                <w:sz w:val="24"/>
                <w:szCs w:val="24"/>
              </w:rPr>
              <w:t>22.您认为医院公布的投诉部门、接待时间及联系电话等信息清晰吗？</w:t>
            </w:r>
          </w:p>
        </w:tc>
        <w:tc>
          <w:tcPr>
            <w:tcW w:w="7185" w:type="dxa"/>
            <w:vAlign w:val="center"/>
          </w:tcPr>
          <w:p w14:paraId="6E7AEF68">
            <w:pPr>
              <w:rPr>
                <w:color w:val="auto"/>
                <w:sz w:val="24"/>
                <w:szCs w:val="24"/>
              </w:rPr>
            </w:pPr>
            <w:r>
              <w:rPr>
                <w:rFonts w:hint="eastAsia"/>
                <w:color w:val="auto"/>
                <w:sz w:val="24"/>
                <w:szCs w:val="24"/>
              </w:rPr>
              <w:t>5.很清晰|4.清晰|3.一般|2.不清晰|1.没找到|0.没注意</w:t>
            </w:r>
          </w:p>
        </w:tc>
      </w:tr>
      <w:tr w14:paraId="6403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75B7D136">
            <w:pPr>
              <w:rPr>
                <w:color w:val="auto"/>
                <w:sz w:val="24"/>
                <w:szCs w:val="24"/>
              </w:rPr>
            </w:pPr>
            <w:r>
              <w:rPr>
                <w:rFonts w:hint="eastAsia"/>
                <w:color w:val="auto"/>
                <w:sz w:val="24"/>
                <w:szCs w:val="24"/>
              </w:rPr>
              <w:t>看病期间，您的抱怨和不满能否及时得到回应？</w:t>
            </w:r>
          </w:p>
        </w:tc>
        <w:tc>
          <w:tcPr>
            <w:tcW w:w="7185" w:type="dxa"/>
            <w:vAlign w:val="center"/>
          </w:tcPr>
          <w:p w14:paraId="5A304890">
            <w:pPr>
              <w:rPr>
                <w:color w:val="auto"/>
                <w:sz w:val="24"/>
                <w:szCs w:val="24"/>
              </w:rPr>
            </w:pPr>
            <w:r>
              <w:rPr>
                <w:color w:val="auto"/>
                <w:sz w:val="24"/>
                <w:szCs w:val="24"/>
              </w:rPr>
              <w:t>5</w:t>
            </w:r>
            <w:r>
              <w:rPr>
                <w:rFonts w:hint="eastAsia"/>
                <w:color w:val="auto"/>
                <w:sz w:val="24"/>
                <w:szCs w:val="24"/>
              </w:rPr>
              <w:t>.非常及时|</w:t>
            </w:r>
            <w:r>
              <w:rPr>
                <w:color w:val="auto"/>
                <w:sz w:val="24"/>
                <w:szCs w:val="24"/>
              </w:rPr>
              <w:t>4</w:t>
            </w:r>
            <w:r>
              <w:rPr>
                <w:rFonts w:hint="eastAsia"/>
                <w:color w:val="auto"/>
                <w:sz w:val="24"/>
                <w:szCs w:val="24"/>
              </w:rPr>
              <w:t>.比较及时|</w:t>
            </w:r>
            <w:r>
              <w:rPr>
                <w:color w:val="auto"/>
                <w:sz w:val="24"/>
                <w:szCs w:val="24"/>
              </w:rPr>
              <w:t>3.</w:t>
            </w:r>
            <w:r>
              <w:rPr>
                <w:rFonts w:hint="eastAsia"/>
                <w:color w:val="auto"/>
                <w:sz w:val="24"/>
                <w:szCs w:val="24"/>
              </w:rPr>
              <w:t>一般|2.不太及时1.非常不及时|</w:t>
            </w:r>
            <w:r>
              <w:rPr>
                <w:color w:val="auto"/>
                <w:sz w:val="24"/>
                <w:szCs w:val="24"/>
              </w:rPr>
              <w:t>0</w:t>
            </w:r>
            <w:r>
              <w:rPr>
                <w:rFonts w:hint="eastAsia"/>
                <w:color w:val="auto"/>
                <w:sz w:val="24"/>
                <w:szCs w:val="24"/>
              </w:rPr>
              <w:t>.我没有抱怨和不满</w:t>
            </w:r>
          </w:p>
        </w:tc>
      </w:tr>
      <w:tr w14:paraId="510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772575E0">
            <w:pPr>
              <w:rPr>
                <w:color w:val="auto"/>
                <w:sz w:val="24"/>
                <w:szCs w:val="24"/>
              </w:rPr>
            </w:pPr>
            <w:r>
              <w:rPr>
                <w:rFonts w:hint="eastAsia"/>
                <w:color w:val="auto"/>
                <w:sz w:val="24"/>
                <w:szCs w:val="24"/>
              </w:rPr>
              <w:t>23.结合病情，您认为此次支付的医疗费用能接受吗？</w:t>
            </w:r>
          </w:p>
        </w:tc>
        <w:tc>
          <w:tcPr>
            <w:tcW w:w="7185" w:type="dxa"/>
            <w:vAlign w:val="center"/>
          </w:tcPr>
          <w:p w14:paraId="23BA782C">
            <w:pPr>
              <w:rPr>
                <w:color w:val="auto"/>
                <w:sz w:val="24"/>
                <w:szCs w:val="24"/>
              </w:rPr>
            </w:pPr>
            <w:r>
              <w:rPr>
                <w:rFonts w:hint="eastAsia"/>
                <w:color w:val="auto"/>
                <w:sz w:val="24"/>
                <w:szCs w:val="24"/>
              </w:rPr>
              <w:t>5.比预期要便宜|4.与预期相符|3.有点贵但能接受|2.很贵|1.无法接受</w:t>
            </w:r>
          </w:p>
        </w:tc>
      </w:tr>
      <w:tr w14:paraId="27B4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38A868A4">
            <w:pPr>
              <w:rPr>
                <w:color w:val="auto"/>
                <w:sz w:val="24"/>
                <w:szCs w:val="24"/>
              </w:rPr>
            </w:pPr>
            <w:r>
              <w:rPr>
                <w:rFonts w:hint="eastAsia"/>
                <w:color w:val="auto"/>
                <w:sz w:val="24"/>
                <w:szCs w:val="24"/>
              </w:rPr>
              <w:t>24.您等候取药大约用了多长时间？</w:t>
            </w:r>
          </w:p>
        </w:tc>
        <w:tc>
          <w:tcPr>
            <w:tcW w:w="7185" w:type="dxa"/>
            <w:vAlign w:val="center"/>
          </w:tcPr>
          <w:p w14:paraId="4DDD87D0">
            <w:pPr>
              <w:rPr>
                <w:color w:val="auto"/>
                <w:sz w:val="24"/>
                <w:szCs w:val="24"/>
              </w:rPr>
            </w:pPr>
            <w:r>
              <w:rPr>
                <w:rFonts w:hint="eastAsia"/>
                <w:color w:val="auto"/>
                <w:sz w:val="24"/>
                <w:szCs w:val="24"/>
              </w:rPr>
              <w:t>5.10分钟以内|4.10到15分钟|3.15到20分钟|2.20到30分钟|1.30分钟以上</w:t>
            </w:r>
          </w:p>
        </w:tc>
      </w:tr>
      <w:tr w14:paraId="041D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236716C4">
            <w:pPr>
              <w:rPr>
                <w:color w:val="auto"/>
                <w:sz w:val="24"/>
                <w:szCs w:val="24"/>
              </w:rPr>
            </w:pPr>
            <w:r>
              <w:rPr>
                <w:rFonts w:hint="eastAsia"/>
                <w:color w:val="auto"/>
                <w:sz w:val="24"/>
                <w:szCs w:val="24"/>
              </w:rPr>
              <w:t>25.您对药房人员介绍药物用法、用量、注意事项等满意吗？</w:t>
            </w:r>
          </w:p>
        </w:tc>
        <w:tc>
          <w:tcPr>
            <w:tcW w:w="7185" w:type="dxa"/>
            <w:vAlign w:val="center"/>
          </w:tcPr>
          <w:p w14:paraId="7F8BE191">
            <w:pPr>
              <w:rPr>
                <w:color w:val="auto"/>
                <w:sz w:val="24"/>
                <w:szCs w:val="24"/>
              </w:rPr>
            </w:pPr>
            <w:r>
              <w:rPr>
                <w:rFonts w:hint="eastAsia"/>
                <w:color w:val="auto"/>
                <w:sz w:val="24"/>
                <w:szCs w:val="24"/>
              </w:rPr>
              <w:t>5.很满意|4.满意|3.一般|2.不满意|1.没介绍</w:t>
            </w:r>
          </w:p>
        </w:tc>
      </w:tr>
      <w:tr w14:paraId="0D82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shd w:val="clear" w:color="auto" w:fill="auto"/>
            <w:vAlign w:val="center"/>
          </w:tcPr>
          <w:p w14:paraId="3461373E">
            <w:pPr>
              <w:rPr>
                <w:color w:val="auto"/>
                <w:sz w:val="24"/>
                <w:szCs w:val="24"/>
              </w:rPr>
            </w:pPr>
            <w:r>
              <w:rPr>
                <w:rFonts w:hint="eastAsia"/>
                <w:color w:val="auto"/>
                <w:sz w:val="24"/>
                <w:szCs w:val="24"/>
              </w:rPr>
              <w:t>您对医院门诊工作人员服务态度满意吗？</w:t>
            </w:r>
          </w:p>
        </w:tc>
        <w:tc>
          <w:tcPr>
            <w:tcW w:w="7185" w:type="dxa"/>
            <w:shd w:val="clear" w:color="auto" w:fill="auto"/>
            <w:vAlign w:val="center"/>
          </w:tcPr>
          <w:p w14:paraId="0C8AF2A4">
            <w:pPr>
              <w:rPr>
                <w:color w:val="auto"/>
                <w:sz w:val="24"/>
                <w:szCs w:val="24"/>
              </w:rPr>
            </w:pPr>
            <w:r>
              <w:rPr>
                <w:rFonts w:hint="eastAsia"/>
                <w:color w:val="auto"/>
                <w:sz w:val="24"/>
                <w:szCs w:val="24"/>
              </w:rPr>
              <w:t xml:space="preserve">5.很满意|4.满意|3.一般|2.不满意|1.很不满意    </w:t>
            </w:r>
          </w:p>
        </w:tc>
      </w:tr>
      <w:tr w14:paraId="4BBD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17" w:type="dxa"/>
            <w:vAlign w:val="center"/>
          </w:tcPr>
          <w:p w14:paraId="3770B7F3">
            <w:pPr>
              <w:rPr>
                <w:color w:val="auto"/>
                <w:sz w:val="24"/>
                <w:szCs w:val="24"/>
              </w:rPr>
            </w:pPr>
            <w:r>
              <w:rPr>
                <w:rFonts w:hint="eastAsia"/>
                <w:color w:val="auto"/>
                <w:sz w:val="24"/>
                <w:szCs w:val="24"/>
              </w:rPr>
              <w:t>您对以下哪类门诊工作人员的服务态度最不满意？</w:t>
            </w:r>
          </w:p>
        </w:tc>
        <w:tc>
          <w:tcPr>
            <w:tcW w:w="7185" w:type="dxa"/>
            <w:vAlign w:val="center"/>
          </w:tcPr>
          <w:p w14:paraId="2A7795AA">
            <w:pPr>
              <w:rPr>
                <w:color w:val="auto"/>
                <w:sz w:val="24"/>
                <w:szCs w:val="24"/>
              </w:rPr>
            </w:pPr>
            <w:r>
              <w:rPr>
                <w:rFonts w:hint="eastAsia"/>
                <w:color w:val="auto"/>
                <w:sz w:val="24"/>
                <w:szCs w:val="24"/>
              </w:rPr>
              <w:t>1.导诊员|2.挂号/收费员|3.门诊医生|4.门诊护士|5.检验人员|6.放射工作人员|7.超声检查人员|8.药房工作人员|9.保洁员|10.保安|11.投诉接待人员|</w:t>
            </w:r>
            <w:r>
              <w:rPr>
                <w:color w:val="auto"/>
                <w:sz w:val="24"/>
                <w:szCs w:val="24"/>
              </w:rPr>
              <w:t>12.</w:t>
            </w:r>
            <w:r>
              <w:rPr>
                <w:rFonts w:hint="eastAsia"/>
                <w:color w:val="auto"/>
                <w:sz w:val="24"/>
                <w:szCs w:val="24"/>
              </w:rPr>
              <w:t xml:space="preserve">都满意  </w:t>
            </w:r>
          </w:p>
        </w:tc>
      </w:tr>
      <w:tr w14:paraId="5A00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7232A64E">
            <w:pPr>
              <w:rPr>
                <w:color w:val="auto"/>
                <w:sz w:val="24"/>
                <w:szCs w:val="24"/>
              </w:rPr>
            </w:pPr>
            <w:r>
              <w:rPr>
                <w:rFonts w:hint="eastAsia"/>
                <w:color w:val="auto"/>
                <w:sz w:val="24"/>
                <w:szCs w:val="24"/>
              </w:rPr>
              <w:t>您对医院门诊总体服务满意吗？</w:t>
            </w:r>
          </w:p>
        </w:tc>
        <w:tc>
          <w:tcPr>
            <w:tcW w:w="7185" w:type="dxa"/>
            <w:vAlign w:val="center"/>
          </w:tcPr>
          <w:p w14:paraId="473E0068">
            <w:pPr>
              <w:rPr>
                <w:color w:val="auto"/>
                <w:sz w:val="24"/>
                <w:szCs w:val="24"/>
              </w:rPr>
            </w:pPr>
            <w:r>
              <w:rPr>
                <w:rFonts w:hint="eastAsia"/>
                <w:color w:val="auto"/>
                <w:sz w:val="24"/>
                <w:szCs w:val="24"/>
              </w:rPr>
              <w:t>5.很满意|4.满意|3.一般|2.不满意|1.很不满意</w:t>
            </w:r>
          </w:p>
        </w:tc>
      </w:tr>
      <w:tr w14:paraId="2115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5D59987C">
            <w:pPr>
              <w:rPr>
                <w:color w:val="auto"/>
                <w:sz w:val="24"/>
                <w:szCs w:val="24"/>
              </w:rPr>
            </w:pPr>
            <w:r>
              <w:rPr>
                <w:rFonts w:hint="eastAsia"/>
                <w:color w:val="auto"/>
                <w:sz w:val="24"/>
                <w:szCs w:val="24"/>
              </w:rPr>
              <w:t>如果您</w:t>
            </w:r>
            <w:r>
              <w:rPr>
                <w:color w:val="auto"/>
                <w:sz w:val="24"/>
                <w:szCs w:val="24"/>
              </w:rPr>
              <w:t>需要医疗健康服务时</w:t>
            </w:r>
            <w:r>
              <w:rPr>
                <w:rFonts w:hint="eastAsia"/>
                <w:color w:val="auto"/>
                <w:sz w:val="24"/>
                <w:szCs w:val="24"/>
              </w:rPr>
              <w:t>，您会再次选择该院吗？</w:t>
            </w:r>
          </w:p>
        </w:tc>
        <w:tc>
          <w:tcPr>
            <w:tcW w:w="7185" w:type="dxa"/>
            <w:vAlign w:val="center"/>
          </w:tcPr>
          <w:p w14:paraId="446580A4">
            <w:pPr>
              <w:rPr>
                <w:color w:val="auto"/>
                <w:sz w:val="24"/>
                <w:szCs w:val="24"/>
              </w:rPr>
            </w:pPr>
            <w:r>
              <w:rPr>
                <w:color w:val="auto"/>
                <w:sz w:val="24"/>
                <w:szCs w:val="24"/>
              </w:rPr>
              <w:t>5.</w:t>
            </w:r>
            <w:r>
              <w:rPr>
                <w:rFonts w:hint="eastAsia"/>
                <w:color w:val="auto"/>
                <w:sz w:val="24"/>
                <w:szCs w:val="24"/>
              </w:rPr>
              <w:t>肯定会</w:t>
            </w:r>
            <w:r>
              <w:rPr>
                <w:color w:val="auto"/>
                <w:sz w:val="24"/>
                <w:szCs w:val="24"/>
              </w:rPr>
              <w:t>|4.</w:t>
            </w:r>
            <w:r>
              <w:rPr>
                <w:rFonts w:hint="eastAsia"/>
                <w:color w:val="auto"/>
                <w:sz w:val="24"/>
                <w:szCs w:val="24"/>
              </w:rPr>
              <w:t>会</w:t>
            </w:r>
            <w:r>
              <w:rPr>
                <w:color w:val="auto"/>
                <w:sz w:val="24"/>
                <w:szCs w:val="24"/>
              </w:rPr>
              <w:t>|3.</w:t>
            </w:r>
            <w:r>
              <w:rPr>
                <w:rFonts w:hint="eastAsia"/>
                <w:color w:val="auto"/>
                <w:sz w:val="24"/>
                <w:szCs w:val="24"/>
              </w:rPr>
              <w:t>不好说</w:t>
            </w:r>
            <w:r>
              <w:rPr>
                <w:color w:val="auto"/>
                <w:sz w:val="24"/>
                <w:szCs w:val="24"/>
              </w:rPr>
              <w:t>|2.不</w:t>
            </w:r>
            <w:r>
              <w:rPr>
                <w:rFonts w:hint="eastAsia"/>
                <w:color w:val="auto"/>
                <w:sz w:val="24"/>
                <w:szCs w:val="24"/>
              </w:rPr>
              <w:t>会</w:t>
            </w:r>
            <w:r>
              <w:rPr>
                <w:color w:val="auto"/>
                <w:sz w:val="24"/>
                <w:szCs w:val="24"/>
              </w:rPr>
              <w:t>|1.</w:t>
            </w:r>
            <w:r>
              <w:rPr>
                <w:rFonts w:hint="eastAsia"/>
                <w:color w:val="auto"/>
                <w:sz w:val="24"/>
                <w:szCs w:val="24"/>
              </w:rPr>
              <w:t>肯定不会</w:t>
            </w:r>
          </w:p>
        </w:tc>
      </w:tr>
      <w:tr w14:paraId="28A2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06339138">
            <w:pPr>
              <w:rPr>
                <w:color w:val="auto"/>
                <w:sz w:val="24"/>
                <w:szCs w:val="24"/>
              </w:rPr>
            </w:pPr>
            <w:r>
              <w:rPr>
                <w:rFonts w:hint="eastAsia"/>
                <w:color w:val="auto"/>
                <w:sz w:val="24"/>
                <w:szCs w:val="24"/>
              </w:rPr>
              <w:t>当亲友需要医疗</w:t>
            </w:r>
            <w:r>
              <w:rPr>
                <w:color w:val="auto"/>
                <w:sz w:val="24"/>
                <w:szCs w:val="24"/>
              </w:rPr>
              <w:t>健康服务</w:t>
            </w:r>
            <w:r>
              <w:rPr>
                <w:rFonts w:hint="eastAsia"/>
                <w:color w:val="auto"/>
                <w:sz w:val="24"/>
                <w:szCs w:val="24"/>
              </w:rPr>
              <w:t>时，您会推荐他们选择该院吗？</w:t>
            </w:r>
          </w:p>
        </w:tc>
        <w:tc>
          <w:tcPr>
            <w:tcW w:w="7185" w:type="dxa"/>
            <w:vAlign w:val="center"/>
          </w:tcPr>
          <w:p w14:paraId="28F576B6">
            <w:pPr>
              <w:rPr>
                <w:color w:val="auto"/>
                <w:sz w:val="24"/>
                <w:szCs w:val="24"/>
              </w:rPr>
            </w:pPr>
            <w:r>
              <w:rPr>
                <w:color w:val="auto"/>
                <w:sz w:val="24"/>
                <w:szCs w:val="24"/>
              </w:rPr>
              <w:t>5.</w:t>
            </w:r>
            <w:r>
              <w:rPr>
                <w:rFonts w:hint="eastAsia"/>
                <w:color w:val="auto"/>
                <w:sz w:val="24"/>
                <w:szCs w:val="24"/>
              </w:rPr>
              <w:t>肯定会</w:t>
            </w:r>
            <w:r>
              <w:rPr>
                <w:color w:val="auto"/>
                <w:sz w:val="24"/>
                <w:szCs w:val="24"/>
              </w:rPr>
              <w:t>|4.</w:t>
            </w:r>
            <w:r>
              <w:rPr>
                <w:rFonts w:hint="eastAsia"/>
                <w:color w:val="auto"/>
                <w:sz w:val="24"/>
                <w:szCs w:val="24"/>
              </w:rPr>
              <w:t>会</w:t>
            </w:r>
            <w:r>
              <w:rPr>
                <w:color w:val="auto"/>
                <w:sz w:val="24"/>
                <w:szCs w:val="24"/>
              </w:rPr>
              <w:t>|3.</w:t>
            </w:r>
            <w:r>
              <w:rPr>
                <w:rFonts w:hint="eastAsia"/>
                <w:color w:val="auto"/>
                <w:sz w:val="24"/>
                <w:szCs w:val="24"/>
              </w:rPr>
              <w:t>不好说</w:t>
            </w:r>
            <w:r>
              <w:rPr>
                <w:color w:val="auto"/>
                <w:sz w:val="24"/>
                <w:szCs w:val="24"/>
              </w:rPr>
              <w:t>|2.不</w:t>
            </w:r>
            <w:r>
              <w:rPr>
                <w:rFonts w:hint="eastAsia"/>
                <w:color w:val="auto"/>
                <w:sz w:val="24"/>
                <w:szCs w:val="24"/>
              </w:rPr>
              <w:t>会</w:t>
            </w:r>
            <w:r>
              <w:rPr>
                <w:color w:val="auto"/>
                <w:sz w:val="24"/>
                <w:szCs w:val="24"/>
              </w:rPr>
              <w:t>|1.</w:t>
            </w:r>
            <w:r>
              <w:rPr>
                <w:rFonts w:hint="eastAsia"/>
                <w:color w:val="auto"/>
                <w:sz w:val="24"/>
                <w:szCs w:val="24"/>
              </w:rPr>
              <w:t>肯定不会</w:t>
            </w:r>
          </w:p>
        </w:tc>
      </w:tr>
      <w:tr w14:paraId="1571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23E7BDAD">
            <w:pPr>
              <w:rPr>
                <w:color w:val="auto"/>
                <w:sz w:val="24"/>
                <w:szCs w:val="24"/>
              </w:rPr>
            </w:pPr>
            <w:r>
              <w:rPr>
                <w:rFonts w:hint="eastAsia"/>
                <w:color w:val="auto"/>
                <w:sz w:val="24"/>
                <w:szCs w:val="24"/>
              </w:rPr>
              <w:t>医生是否接受红包或贵重物品？</w:t>
            </w:r>
          </w:p>
        </w:tc>
        <w:tc>
          <w:tcPr>
            <w:tcW w:w="7185" w:type="dxa"/>
            <w:vAlign w:val="center"/>
          </w:tcPr>
          <w:p w14:paraId="3E85619E">
            <w:pPr>
              <w:rPr>
                <w:color w:val="auto"/>
                <w:sz w:val="24"/>
                <w:szCs w:val="24"/>
              </w:rPr>
            </w:pPr>
            <w:r>
              <w:rPr>
                <w:rFonts w:hint="eastAsia"/>
                <w:color w:val="auto"/>
                <w:sz w:val="24"/>
                <w:szCs w:val="24"/>
              </w:rPr>
              <w:t>（1）是  （2）否</w:t>
            </w:r>
          </w:p>
        </w:tc>
      </w:tr>
      <w:tr w14:paraId="5E19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064B2045">
            <w:pPr>
              <w:rPr>
                <w:color w:val="auto"/>
                <w:sz w:val="24"/>
                <w:szCs w:val="24"/>
              </w:rPr>
            </w:pPr>
            <w:r>
              <w:rPr>
                <w:rFonts w:hint="eastAsia"/>
                <w:color w:val="auto"/>
                <w:sz w:val="24"/>
                <w:szCs w:val="24"/>
              </w:rPr>
              <w:t>医生是否推荐您去医院外的某堂、某馆等看？</w:t>
            </w:r>
          </w:p>
        </w:tc>
        <w:tc>
          <w:tcPr>
            <w:tcW w:w="7185" w:type="dxa"/>
            <w:vAlign w:val="center"/>
          </w:tcPr>
          <w:p w14:paraId="7ECCB89D">
            <w:pPr>
              <w:rPr>
                <w:color w:val="auto"/>
                <w:sz w:val="24"/>
                <w:szCs w:val="24"/>
              </w:rPr>
            </w:pPr>
            <w:r>
              <w:rPr>
                <w:rFonts w:hint="eastAsia"/>
                <w:color w:val="auto"/>
                <w:sz w:val="24"/>
                <w:szCs w:val="24"/>
              </w:rPr>
              <w:t>（1）是  （2）否</w:t>
            </w:r>
          </w:p>
        </w:tc>
      </w:tr>
      <w:tr w14:paraId="7A70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17" w:type="dxa"/>
            <w:vAlign w:val="center"/>
          </w:tcPr>
          <w:p w14:paraId="4C50C3FB">
            <w:pPr>
              <w:rPr>
                <w:color w:val="auto"/>
                <w:sz w:val="24"/>
                <w:szCs w:val="24"/>
              </w:rPr>
            </w:pPr>
            <w:r>
              <w:rPr>
                <w:rFonts w:hint="eastAsia"/>
                <w:color w:val="auto"/>
                <w:sz w:val="24"/>
                <w:szCs w:val="24"/>
              </w:rPr>
              <w:t>医生是否推荐您去医院外检查？</w:t>
            </w:r>
          </w:p>
        </w:tc>
        <w:tc>
          <w:tcPr>
            <w:tcW w:w="7185" w:type="dxa"/>
            <w:vAlign w:val="center"/>
          </w:tcPr>
          <w:p w14:paraId="76CD3F33">
            <w:pPr>
              <w:rPr>
                <w:color w:val="auto"/>
                <w:sz w:val="24"/>
                <w:szCs w:val="24"/>
              </w:rPr>
            </w:pPr>
            <w:r>
              <w:rPr>
                <w:rFonts w:hint="eastAsia"/>
                <w:color w:val="auto"/>
                <w:sz w:val="24"/>
                <w:szCs w:val="24"/>
              </w:rPr>
              <w:t>（1）是  （2）否</w:t>
            </w:r>
          </w:p>
        </w:tc>
      </w:tr>
      <w:tr w14:paraId="2661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17" w:type="dxa"/>
            <w:vAlign w:val="center"/>
          </w:tcPr>
          <w:p w14:paraId="7BB880BF">
            <w:pPr>
              <w:rPr>
                <w:color w:val="auto"/>
                <w:sz w:val="24"/>
                <w:szCs w:val="24"/>
              </w:rPr>
            </w:pPr>
            <w:r>
              <w:rPr>
                <w:rFonts w:hint="eastAsia"/>
                <w:color w:val="auto"/>
                <w:sz w:val="24"/>
                <w:szCs w:val="24"/>
              </w:rPr>
              <w:t>是否有违规收费?</w:t>
            </w:r>
          </w:p>
        </w:tc>
        <w:tc>
          <w:tcPr>
            <w:tcW w:w="7185" w:type="dxa"/>
            <w:vAlign w:val="center"/>
          </w:tcPr>
          <w:p w14:paraId="3F42B80A">
            <w:pPr>
              <w:rPr>
                <w:color w:val="auto"/>
                <w:sz w:val="24"/>
                <w:szCs w:val="24"/>
              </w:rPr>
            </w:pPr>
            <w:r>
              <w:rPr>
                <w:rFonts w:hint="eastAsia"/>
                <w:color w:val="auto"/>
                <w:sz w:val="24"/>
                <w:szCs w:val="24"/>
              </w:rPr>
              <w:t>（1）是  （2）否</w:t>
            </w:r>
          </w:p>
        </w:tc>
      </w:tr>
    </w:tbl>
    <w:p w14:paraId="6B616D13">
      <w:pPr>
        <w:spacing w:line="56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12079D8">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p>
    <w:p w14:paraId="0FEB8127">
      <w:pPr>
        <w:rPr>
          <w:rFonts w:hint="default"/>
        </w:rPr>
      </w:pPr>
    </w:p>
    <w:p w14:paraId="2232FCA2">
      <w:pPr>
        <w:rPr>
          <w:rFonts w:hint="default"/>
          <w:b/>
          <w:sz w:val="36"/>
          <w:szCs w:val="36"/>
        </w:rPr>
      </w:pPr>
      <w:bookmarkStart w:id="82" w:name="_Toc6507"/>
      <w:bookmarkStart w:id="83" w:name="_Toc15889"/>
      <w:bookmarkStart w:id="84" w:name="_Toc55237637"/>
      <w:r>
        <w:rPr>
          <w:b/>
          <w:sz w:val="36"/>
          <w:szCs w:val="36"/>
        </w:rPr>
        <w:br w:type="page"/>
      </w:r>
    </w:p>
    <w:p w14:paraId="0EDB3C0F">
      <w:pPr>
        <w:pStyle w:val="6"/>
        <w:tabs>
          <w:tab w:val="left" w:pos="1050"/>
        </w:tabs>
        <w:adjustRightInd w:val="0"/>
        <w:snapToGrid w:val="0"/>
        <w:spacing w:beforeLines="0" w:afterLines="0" w:line="360" w:lineRule="auto"/>
        <w:jc w:val="center"/>
        <w:outlineLvl w:val="0"/>
        <w:rPr>
          <w:rFonts w:hint="default" w:ascii="Times New Roman" w:hAnsi="Times New Roman"/>
          <w:b/>
          <w:sz w:val="36"/>
          <w:szCs w:val="36"/>
        </w:rPr>
      </w:pPr>
      <w:r>
        <w:rPr>
          <w:rFonts w:ascii="Times New Roman" w:hAnsi="Times New Roman"/>
          <w:b/>
          <w:sz w:val="36"/>
          <w:szCs w:val="36"/>
        </w:rPr>
        <w:t xml:space="preserve">第五章  </w:t>
      </w:r>
      <w:r>
        <w:rPr>
          <w:rFonts w:hint="default" w:ascii="Times New Roman" w:hAnsi="Times New Roman"/>
          <w:b/>
          <w:sz w:val="36"/>
          <w:szCs w:val="36"/>
        </w:rPr>
        <w:t>合同主要条款</w:t>
      </w:r>
      <w:bookmarkEnd w:id="82"/>
      <w:bookmarkEnd w:id="83"/>
    </w:p>
    <w:p w14:paraId="708EA95A">
      <w:pPr>
        <w:spacing w:line="360" w:lineRule="auto"/>
        <w:ind w:right="-185" w:rightChars="-88" w:firstLine="422" w:firstLineChars="200"/>
        <w:rPr>
          <w:rFonts w:hint="default" w:asciiTheme="minorEastAsia" w:hAnsiTheme="minorEastAsia" w:eastAsiaTheme="minorEastAsia"/>
          <w:b/>
          <w:szCs w:val="21"/>
        </w:rPr>
      </w:pPr>
      <w:r>
        <w:rPr>
          <w:rFonts w:asciiTheme="minorEastAsia" w:hAnsiTheme="minorEastAsia" w:eastAsiaTheme="minorEastAsia"/>
          <w:b/>
          <w:szCs w:val="21"/>
        </w:rPr>
        <w:t>（本条款为买卖双方必须遵守的基本条款，买卖双方可根据实际情况签订合同文本；正式合同以双方签字盖章的文本为准。）</w:t>
      </w:r>
    </w:p>
    <w:p w14:paraId="5B9DBFC5">
      <w:pPr>
        <w:snapToGrid w:val="0"/>
        <w:jc w:val="center"/>
        <w:rPr>
          <w:rFonts w:hint="default" w:ascii="宋体" w:hAnsi="宋体"/>
          <w:b/>
          <w:sz w:val="30"/>
        </w:rPr>
      </w:pPr>
      <w:bookmarkStart w:id="85" w:name="_Toc2160"/>
    </w:p>
    <w:p w14:paraId="0B1DBC88">
      <w:pPr>
        <w:spacing w:line="360" w:lineRule="auto"/>
        <w:ind w:firstLine="422"/>
        <w:jc w:val="left"/>
        <w:rPr>
          <w:rFonts w:hint="default" w:ascii="宋体" w:hAnsi="宋体" w:cs="宋体"/>
          <w:b/>
          <w:sz w:val="24"/>
          <w:szCs w:val="24"/>
          <w:u w:val="single"/>
        </w:rPr>
      </w:pPr>
      <w:r>
        <w:rPr>
          <w:rFonts w:ascii="宋体" w:hAnsi="宋体" w:cs="宋体"/>
          <w:b/>
          <w:sz w:val="24"/>
          <w:szCs w:val="24"/>
        </w:rPr>
        <w:t>合同编号：</w:t>
      </w:r>
    </w:p>
    <w:p w14:paraId="416CF351">
      <w:pPr>
        <w:spacing w:line="360" w:lineRule="auto"/>
        <w:ind w:firstLine="420"/>
        <w:rPr>
          <w:rFonts w:hint="default" w:ascii="宋体" w:hAnsi="宋体" w:cs="宋体"/>
          <w:sz w:val="24"/>
          <w:szCs w:val="24"/>
        </w:rPr>
      </w:pPr>
      <w:r>
        <w:rPr>
          <w:rFonts w:ascii="宋体" w:hAnsi="宋体" w:cs="宋体"/>
          <w:sz w:val="24"/>
          <w:szCs w:val="24"/>
        </w:rPr>
        <w:t>甲方：</w:t>
      </w:r>
    </w:p>
    <w:p w14:paraId="1A470DB3">
      <w:pPr>
        <w:spacing w:line="360" w:lineRule="auto"/>
        <w:ind w:firstLine="420"/>
        <w:rPr>
          <w:rFonts w:hint="default" w:ascii="宋体" w:hAnsi="宋体" w:cs="宋体"/>
          <w:sz w:val="24"/>
          <w:szCs w:val="24"/>
        </w:rPr>
      </w:pPr>
      <w:r>
        <w:rPr>
          <w:rFonts w:ascii="宋体" w:hAnsi="宋体" w:cs="宋体"/>
          <w:sz w:val="24"/>
          <w:szCs w:val="24"/>
        </w:rPr>
        <w:t xml:space="preserve">乙方： </w:t>
      </w:r>
    </w:p>
    <w:p w14:paraId="3FDBD971">
      <w:pPr>
        <w:spacing w:line="360" w:lineRule="auto"/>
        <w:ind w:firstLine="420"/>
        <w:jc w:val="left"/>
        <w:rPr>
          <w:rFonts w:hint="default" w:ascii="宋体" w:hAnsi="宋体" w:cs="宋体"/>
          <w:sz w:val="24"/>
          <w:szCs w:val="24"/>
        </w:rPr>
      </w:pPr>
    </w:p>
    <w:p w14:paraId="3F7E8328">
      <w:pPr>
        <w:spacing w:line="360" w:lineRule="auto"/>
        <w:ind w:firstLine="420"/>
        <w:jc w:val="left"/>
        <w:rPr>
          <w:rFonts w:hint="default" w:ascii="宋体" w:hAnsi="宋体" w:cs="宋体"/>
          <w:sz w:val="24"/>
          <w:szCs w:val="24"/>
        </w:rPr>
      </w:pPr>
      <w:r>
        <w:rPr>
          <w:rFonts w:ascii="宋体" w:hAnsi="宋体" w:cs="宋体"/>
          <w:sz w:val="24"/>
          <w:szCs w:val="24"/>
        </w:rPr>
        <w:t>根据</w:t>
      </w:r>
      <w:r>
        <w:rPr>
          <w:rFonts w:hint="eastAsia" w:ascii="宋体" w:hAnsi="宋体" w:cs="宋体"/>
          <w:sz w:val="24"/>
          <w:szCs w:val="24"/>
          <w:lang w:val="en-US" w:eastAsia="zh-CN"/>
        </w:rPr>
        <w:t xml:space="preserve">  </w:t>
      </w:r>
      <w:r>
        <w:rPr>
          <w:rFonts w:ascii="宋体" w:hAnsi="宋体" w:cs="宋体"/>
          <w:sz w:val="24"/>
          <w:szCs w:val="24"/>
        </w:rPr>
        <w:t>年</w:t>
      </w:r>
      <w:r>
        <w:rPr>
          <w:rFonts w:hint="eastAsia" w:ascii="宋体" w:hAnsi="宋体" w:cs="宋体"/>
          <w:sz w:val="24"/>
          <w:szCs w:val="24"/>
          <w:lang w:val="en-US" w:eastAsia="zh-CN"/>
        </w:rPr>
        <w:t xml:space="preserve">  </w:t>
      </w:r>
      <w:r>
        <w:rPr>
          <w:rFonts w:ascii="宋体" w:hAnsi="宋体" w:cs="宋体"/>
          <w:sz w:val="24"/>
          <w:szCs w:val="24"/>
        </w:rPr>
        <w:t>月</w:t>
      </w:r>
      <w:r>
        <w:rPr>
          <w:rFonts w:hint="eastAsia" w:ascii="宋体" w:hAnsi="宋体" w:cs="宋体"/>
          <w:sz w:val="24"/>
          <w:szCs w:val="24"/>
          <w:lang w:val="en-US" w:eastAsia="zh-CN"/>
        </w:rPr>
        <w:t xml:space="preserve">  </w:t>
      </w:r>
      <w:r>
        <w:rPr>
          <w:rFonts w:ascii="宋体" w:hAnsi="宋体" w:cs="宋体"/>
          <w:sz w:val="24"/>
          <w:szCs w:val="24"/>
        </w:rPr>
        <w:t>日项目的采购结果和采购文件的要求，并依照《中华人民共和国民法典》等有关法律、行政法规的规定，同时在平等、公平、诚实和信用的原则下，经双方协商一致，订立本合同。</w:t>
      </w:r>
    </w:p>
    <w:p w14:paraId="2734A80E">
      <w:pPr>
        <w:spacing w:line="360" w:lineRule="auto"/>
        <w:ind w:firstLine="420"/>
        <w:rPr>
          <w:rFonts w:hint="default" w:ascii="宋体" w:hAnsi="宋体" w:cs="宋体"/>
          <w:sz w:val="24"/>
          <w:szCs w:val="24"/>
        </w:rPr>
      </w:pPr>
      <w:r>
        <w:rPr>
          <w:rFonts w:ascii="宋体" w:hAnsi="宋体" w:cs="宋体"/>
          <w:sz w:val="24"/>
          <w:szCs w:val="24"/>
        </w:rPr>
        <w:t>一、</w:t>
      </w:r>
      <w:r>
        <w:rPr>
          <w:rFonts w:ascii="宋体" w:hAnsi="宋体" w:cs="宋体"/>
          <w:b/>
          <w:bCs/>
          <w:sz w:val="24"/>
          <w:szCs w:val="24"/>
        </w:rPr>
        <w:t>合同文件的组成</w:t>
      </w:r>
    </w:p>
    <w:p w14:paraId="63F2D62F">
      <w:pPr>
        <w:spacing w:line="360" w:lineRule="auto"/>
        <w:ind w:firstLine="420"/>
        <w:jc w:val="left"/>
        <w:rPr>
          <w:rFonts w:hint="default" w:ascii="宋体" w:hAnsi="宋体" w:cs="宋体"/>
          <w:sz w:val="24"/>
          <w:szCs w:val="24"/>
        </w:rPr>
      </w:pPr>
      <w:r>
        <w:rPr>
          <w:rFonts w:ascii="宋体" w:hAnsi="宋体" w:cs="宋体"/>
          <w:sz w:val="24"/>
          <w:szCs w:val="24"/>
        </w:rPr>
        <w:t>采购文件（包括答疑、询标文件、澄清承诺）、响应文件、成交通知书等依法均为本合同的附件，享有与本合同同等的法律效力。构成合同的各文件的解释顺序是：合同、成交通知书、询标纪要、澄清承诺、响应文件、补充文件（答疑等）、采购文件、国家有关标准和规范。响应文件及其附件（含询标纪要）如有负偏离采购文件要求的内容，则无条件按采购文件执行。</w:t>
      </w:r>
    </w:p>
    <w:p w14:paraId="2B0B3639">
      <w:pPr>
        <w:spacing w:line="360" w:lineRule="auto"/>
        <w:ind w:firstLine="422"/>
        <w:rPr>
          <w:rFonts w:hint="default" w:ascii="宋体" w:hAnsi="宋体" w:cs="宋体"/>
          <w:b/>
          <w:sz w:val="24"/>
          <w:szCs w:val="24"/>
        </w:rPr>
      </w:pPr>
      <w:r>
        <w:rPr>
          <w:rFonts w:ascii="宋体" w:hAnsi="宋体" w:cs="宋体"/>
          <w:b/>
          <w:sz w:val="24"/>
          <w:szCs w:val="24"/>
        </w:rPr>
        <w:t>二、服务内容和要求</w:t>
      </w:r>
    </w:p>
    <w:p w14:paraId="4C473179">
      <w:pPr>
        <w:widowControl/>
        <w:adjustRightInd w:val="0"/>
        <w:spacing w:line="360" w:lineRule="auto"/>
        <w:ind w:firstLine="420"/>
        <w:jc w:val="left"/>
        <w:rPr>
          <w:rFonts w:hint="default" w:ascii="宋体" w:hAnsi="宋体" w:cs="宋体"/>
          <w:sz w:val="24"/>
          <w:szCs w:val="24"/>
        </w:rPr>
      </w:pPr>
      <w:r>
        <w:rPr>
          <w:rFonts w:ascii="宋体" w:hAnsi="宋体" w:cs="宋体"/>
          <w:sz w:val="24"/>
          <w:szCs w:val="24"/>
        </w:rPr>
        <w:t>1.核心工作内容：</w:t>
      </w:r>
    </w:p>
    <w:p w14:paraId="49FBB725">
      <w:pPr>
        <w:spacing w:line="360" w:lineRule="auto"/>
        <w:ind w:firstLine="422"/>
        <w:rPr>
          <w:rFonts w:hint="default" w:ascii="宋体" w:hAnsi="宋体" w:cs="宋体"/>
          <w:sz w:val="24"/>
          <w:szCs w:val="24"/>
        </w:rPr>
      </w:pPr>
      <w:r>
        <w:rPr>
          <w:rFonts w:ascii="宋体" w:hAnsi="宋体" w:cs="宋体"/>
          <w:sz w:val="24"/>
          <w:szCs w:val="24"/>
        </w:rPr>
        <w:t>1.1.全平台线上运营</w:t>
      </w:r>
    </w:p>
    <w:p w14:paraId="4AFCB9BB">
      <w:pPr>
        <w:spacing w:line="360" w:lineRule="auto"/>
        <w:ind w:firstLine="422"/>
        <w:rPr>
          <w:rFonts w:hint="default" w:ascii="宋体" w:hAnsi="宋体" w:cs="宋体"/>
          <w:sz w:val="24"/>
          <w:szCs w:val="24"/>
        </w:rPr>
      </w:pPr>
      <w:r>
        <w:rPr>
          <w:rFonts w:ascii="宋体" w:hAnsi="宋体" w:cs="宋体"/>
          <w:sz w:val="24"/>
          <w:szCs w:val="24"/>
        </w:rPr>
        <w:t>1.1.1.覆盖平台：微信公众号/视频号、抖音、小红书、大众点评（美团）等，需经甲方审核后完成合规账号开通及认证（大众点评标注“非营利性医疗机构”）。账号归属权为甲方，运营团队具有账号使用权。</w:t>
      </w:r>
    </w:p>
    <w:p w14:paraId="1C94642C">
      <w:pPr>
        <w:spacing w:line="360" w:lineRule="auto"/>
        <w:ind w:firstLine="422"/>
        <w:rPr>
          <w:rFonts w:hint="default" w:ascii="宋体" w:hAnsi="宋体" w:cs="宋体"/>
          <w:sz w:val="24"/>
          <w:szCs w:val="24"/>
        </w:rPr>
      </w:pPr>
      <w:r>
        <w:rPr>
          <w:rFonts w:ascii="宋体" w:hAnsi="宋体" w:cs="宋体"/>
          <w:sz w:val="24"/>
          <w:szCs w:val="24"/>
        </w:rPr>
        <w:t>1.1.2.内容要求：聚焦公益科普、专家资质公示、就诊指南、活动动态，无疗效性描述、违规对比图及血腥画面等。</w:t>
      </w:r>
    </w:p>
    <w:p w14:paraId="26AB6DAC">
      <w:pPr>
        <w:spacing w:line="360" w:lineRule="auto"/>
        <w:ind w:firstLine="422"/>
        <w:rPr>
          <w:rFonts w:hint="default" w:ascii="宋体" w:hAnsi="宋体" w:cs="宋体"/>
          <w:sz w:val="24"/>
          <w:szCs w:val="24"/>
        </w:rPr>
      </w:pPr>
      <w:r>
        <w:rPr>
          <w:rFonts w:ascii="宋体" w:hAnsi="宋体" w:cs="宋体"/>
          <w:sz w:val="24"/>
          <w:szCs w:val="24"/>
        </w:rPr>
        <w:t>1.1.3.使用患者案例宣传需签署书面授权书并隐去隐私信息。</w:t>
      </w:r>
    </w:p>
    <w:p w14:paraId="4204202B">
      <w:pPr>
        <w:spacing w:line="360" w:lineRule="auto"/>
        <w:ind w:firstLine="422"/>
        <w:rPr>
          <w:rFonts w:hint="default" w:ascii="宋体" w:hAnsi="宋体" w:cs="宋体"/>
          <w:sz w:val="24"/>
          <w:szCs w:val="24"/>
        </w:rPr>
      </w:pPr>
      <w:r>
        <w:rPr>
          <w:rFonts w:ascii="宋体" w:hAnsi="宋体" w:cs="宋体"/>
          <w:sz w:val="24"/>
          <w:szCs w:val="24"/>
        </w:rPr>
        <w:t>1.1.4.引流要求：各平台运营账号推广引流方向均为甲方。</w:t>
      </w:r>
    </w:p>
    <w:p w14:paraId="53168246">
      <w:pPr>
        <w:spacing w:line="360" w:lineRule="auto"/>
        <w:ind w:firstLine="422"/>
        <w:rPr>
          <w:rFonts w:hint="default" w:ascii="宋体" w:hAnsi="宋体" w:cs="宋体"/>
          <w:sz w:val="24"/>
          <w:szCs w:val="24"/>
        </w:rPr>
      </w:pPr>
      <w:r>
        <w:rPr>
          <w:rFonts w:ascii="宋体" w:hAnsi="宋体" w:cs="宋体"/>
          <w:sz w:val="24"/>
          <w:szCs w:val="24"/>
        </w:rPr>
        <w:t>1.1.5.运营流量要求：各平台月原创内容（图文/视频/直播等）≥5篇；原创度/阅读完成率≥15%；粉丝月增/用户互动率≥10%。总曝光：月度≥1.5万次；月直播≥2场，场均观看≥600人、时长≥60分钟。月新增微信用户≥50人；月有效加微咨询≥50条；咨询到院率≥40%。</w:t>
      </w:r>
    </w:p>
    <w:p w14:paraId="44DA4E7E">
      <w:pPr>
        <w:spacing w:line="360" w:lineRule="auto"/>
        <w:ind w:firstLine="422"/>
        <w:rPr>
          <w:rFonts w:hint="default" w:ascii="宋体" w:hAnsi="宋体" w:cs="宋体"/>
          <w:sz w:val="24"/>
          <w:szCs w:val="24"/>
        </w:rPr>
      </w:pPr>
      <w:r>
        <w:rPr>
          <w:rFonts w:ascii="宋体" w:hAnsi="宋体" w:cs="宋体"/>
          <w:sz w:val="24"/>
          <w:szCs w:val="24"/>
        </w:rPr>
        <w:t>1.2.线下活动与学术建设</w:t>
      </w:r>
    </w:p>
    <w:p w14:paraId="2E669628">
      <w:pPr>
        <w:spacing w:line="360" w:lineRule="auto"/>
        <w:ind w:firstLine="422"/>
        <w:rPr>
          <w:rFonts w:hint="default" w:ascii="宋体" w:hAnsi="宋体" w:cs="宋体"/>
          <w:sz w:val="24"/>
          <w:szCs w:val="24"/>
        </w:rPr>
      </w:pPr>
      <w:r>
        <w:rPr>
          <w:rFonts w:ascii="宋体" w:hAnsi="宋体" w:cs="宋体"/>
          <w:sz w:val="24"/>
          <w:szCs w:val="24"/>
        </w:rPr>
        <w:t>1.2.1.大型义诊/宣讲：每季度≥1场，覆盖周边区政府、街道、2000人以上企事业单位等，每场场地≥150㎡、参与≥100人，</w:t>
      </w:r>
      <w:r>
        <w:rPr>
          <w:rFonts w:hint="eastAsia" w:ascii="宋体" w:hAnsi="宋体" w:cs="宋体"/>
          <w:sz w:val="24"/>
          <w:szCs w:val="24"/>
        </w:rPr>
        <w:t>完成引流指标（年门诊人次增量≥1万，其中非药物治疗人次占比≥50%；年手术台次≥900台；中医美容类收入占比≥10%；门诊患者满意度占比≥90%，</w:t>
      </w:r>
      <w:r>
        <w:rPr>
          <w:rFonts w:ascii="宋体" w:hAnsi="宋体" w:cs="宋体"/>
          <w:sz w:val="24"/>
          <w:szCs w:val="24"/>
        </w:rPr>
        <w:t>相关费用包含在报价内。</w:t>
      </w:r>
    </w:p>
    <w:p w14:paraId="0A1F3E31">
      <w:pPr>
        <w:spacing w:line="360" w:lineRule="auto"/>
        <w:ind w:firstLine="422"/>
        <w:rPr>
          <w:rFonts w:hint="default" w:ascii="宋体" w:hAnsi="宋体" w:cs="宋体"/>
          <w:sz w:val="24"/>
          <w:szCs w:val="24"/>
        </w:rPr>
      </w:pPr>
      <w:r>
        <w:rPr>
          <w:rFonts w:ascii="宋体" w:hAnsi="宋体" w:cs="宋体"/>
          <w:sz w:val="24"/>
          <w:szCs w:val="24"/>
        </w:rPr>
        <w:t>1.2.2.节假日专题活动：每年≥3场，线下场地≥100㎡、参与≥50人，线上直播观看≥1000人，相关费用包含在报价内。</w:t>
      </w:r>
    </w:p>
    <w:p w14:paraId="3612B4EF">
      <w:pPr>
        <w:spacing w:line="360" w:lineRule="auto"/>
        <w:ind w:firstLine="422"/>
        <w:rPr>
          <w:rFonts w:hint="default" w:ascii="宋体" w:hAnsi="宋体" w:cs="宋体"/>
          <w:sz w:val="24"/>
          <w:szCs w:val="24"/>
        </w:rPr>
      </w:pPr>
      <w:r>
        <w:rPr>
          <w:rFonts w:ascii="宋体" w:hAnsi="宋体" w:cs="宋体"/>
          <w:sz w:val="24"/>
          <w:szCs w:val="24"/>
        </w:rPr>
        <w:t>1.2.3.学术建设：年均承办省级学术会议/宣讲≥1场（场地≥300㎡、参与≥200人），相关活动经甲方审核，相关费用包含在报价内。</w:t>
      </w:r>
    </w:p>
    <w:p w14:paraId="5F81BD91">
      <w:pPr>
        <w:spacing w:line="360" w:lineRule="auto"/>
        <w:ind w:firstLine="422"/>
        <w:rPr>
          <w:rFonts w:hint="default" w:ascii="宋体" w:hAnsi="宋体" w:cs="宋体"/>
          <w:sz w:val="24"/>
          <w:szCs w:val="24"/>
        </w:rPr>
      </w:pPr>
      <w:r>
        <w:rPr>
          <w:rFonts w:ascii="宋体" w:hAnsi="宋体" w:cs="宋体"/>
          <w:sz w:val="24"/>
          <w:szCs w:val="24"/>
        </w:rPr>
        <w:t>1.3.团队与服务支持</w:t>
      </w:r>
    </w:p>
    <w:p w14:paraId="2A6E3290">
      <w:pPr>
        <w:spacing w:line="360" w:lineRule="auto"/>
        <w:ind w:firstLine="422"/>
        <w:rPr>
          <w:rFonts w:hint="default" w:ascii="宋体" w:hAnsi="宋体" w:cs="宋体"/>
          <w:sz w:val="24"/>
          <w:szCs w:val="24"/>
        </w:rPr>
      </w:pPr>
      <w:r>
        <w:rPr>
          <w:rFonts w:ascii="宋体" w:hAnsi="宋体" w:cs="宋体"/>
          <w:sz w:val="24"/>
          <w:szCs w:val="24"/>
        </w:rPr>
        <w:t>1.3.1.搭建咨询及运营服务团队，明确合规服务标准与岗位职责。</w:t>
      </w:r>
    </w:p>
    <w:p w14:paraId="544AC0CC">
      <w:pPr>
        <w:spacing w:line="360" w:lineRule="auto"/>
        <w:ind w:firstLine="422"/>
        <w:rPr>
          <w:rFonts w:hint="default" w:ascii="宋体" w:hAnsi="宋体" w:cs="宋体"/>
          <w:sz w:val="24"/>
          <w:szCs w:val="24"/>
        </w:rPr>
      </w:pPr>
      <w:r>
        <w:rPr>
          <w:rFonts w:ascii="宋体" w:hAnsi="宋体" w:cs="宋体"/>
          <w:sz w:val="24"/>
          <w:szCs w:val="24"/>
        </w:rPr>
        <w:t>1.3.2.派驻4名全职运营人员（本科及以上学历）驻场办公，工作时间与甲方行政班（8：00-17:00）时间一致，可根据需求延长时间，上岗前需有乙方对其进行该岗位技术要求等相关培训，并接受甲方上岗前进行相关制度规范培训，经双方考核合格后方可正式入岗，相关岗位人员具体要求如下：</w:t>
      </w:r>
    </w:p>
    <w:p w14:paraId="65B7CAFC">
      <w:pPr>
        <w:spacing w:line="360" w:lineRule="auto"/>
        <w:ind w:firstLine="422"/>
        <w:rPr>
          <w:rFonts w:hint="default" w:ascii="宋体" w:hAnsi="宋体" w:cs="宋体"/>
          <w:sz w:val="24"/>
          <w:szCs w:val="24"/>
        </w:rPr>
      </w:pPr>
      <w:r>
        <w:rPr>
          <w:rFonts w:ascii="宋体" w:hAnsi="宋体" w:cs="宋体"/>
          <w:sz w:val="24"/>
          <w:szCs w:val="24"/>
        </w:rPr>
        <w:t>运营总监：3年及以上医美机构运营管理经验；</w:t>
      </w:r>
    </w:p>
    <w:p w14:paraId="48993ECB">
      <w:pPr>
        <w:spacing w:line="360" w:lineRule="auto"/>
        <w:ind w:firstLine="422"/>
        <w:rPr>
          <w:rFonts w:hint="default" w:ascii="宋体" w:hAnsi="宋体" w:cs="宋体"/>
          <w:sz w:val="24"/>
          <w:szCs w:val="24"/>
        </w:rPr>
      </w:pPr>
      <w:r>
        <w:rPr>
          <w:rFonts w:ascii="宋体" w:hAnsi="宋体" w:cs="宋体"/>
          <w:sz w:val="24"/>
          <w:szCs w:val="24"/>
        </w:rPr>
        <w:t>策划运营专员：策划/运营专业毕业，3年及以上同岗位经验；</w:t>
      </w:r>
    </w:p>
    <w:p w14:paraId="1F83DBF2">
      <w:pPr>
        <w:spacing w:line="360" w:lineRule="auto"/>
        <w:ind w:firstLine="422"/>
        <w:rPr>
          <w:rFonts w:hint="default" w:ascii="宋体" w:hAnsi="宋体" w:cs="宋体"/>
          <w:sz w:val="24"/>
          <w:szCs w:val="24"/>
        </w:rPr>
      </w:pPr>
      <w:r>
        <w:rPr>
          <w:rFonts w:ascii="宋体" w:hAnsi="宋体" w:cs="宋体"/>
          <w:sz w:val="24"/>
          <w:szCs w:val="24"/>
        </w:rPr>
        <w:t>拍摄剪辑专员：2年及以上摄影相关经验；</w:t>
      </w:r>
    </w:p>
    <w:p w14:paraId="6443D336">
      <w:pPr>
        <w:spacing w:line="360" w:lineRule="auto"/>
        <w:ind w:firstLine="422"/>
        <w:rPr>
          <w:rFonts w:hint="default" w:ascii="宋体" w:hAnsi="宋体" w:cs="宋体"/>
          <w:sz w:val="24"/>
          <w:szCs w:val="24"/>
        </w:rPr>
      </w:pPr>
      <w:r>
        <w:rPr>
          <w:rFonts w:ascii="宋体" w:hAnsi="宋体" w:cs="宋体"/>
          <w:sz w:val="24"/>
          <w:szCs w:val="24"/>
        </w:rPr>
        <w:t>医美咨询专员：2年及以上医美咨询经验（不涉及实时诊疗）</w:t>
      </w:r>
    </w:p>
    <w:p w14:paraId="3E07C785">
      <w:pPr>
        <w:spacing w:line="360" w:lineRule="auto"/>
        <w:ind w:firstLine="422"/>
        <w:rPr>
          <w:rFonts w:hint="default" w:ascii="宋体" w:hAnsi="宋体" w:cs="宋体"/>
          <w:sz w:val="24"/>
          <w:szCs w:val="24"/>
        </w:rPr>
      </w:pPr>
      <w:r>
        <w:rPr>
          <w:rFonts w:ascii="宋体" w:hAnsi="宋体" w:cs="宋体"/>
          <w:sz w:val="24"/>
          <w:szCs w:val="24"/>
        </w:rPr>
        <w:t>根据甲方实际工作需求，4人工作职责可交叉。</w:t>
      </w:r>
    </w:p>
    <w:p w14:paraId="7222C781">
      <w:pPr>
        <w:spacing w:line="360" w:lineRule="auto"/>
        <w:ind w:firstLine="422"/>
        <w:rPr>
          <w:rFonts w:hint="default" w:ascii="宋体" w:hAnsi="宋体" w:cs="宋体"/>
          <w:b/>
          <w:sz w:val="24"/>
          <w:szCs w:val="24"/>
        </w:rPr>
      </w:pPr>
      <w:r>
        <w:rPr>
          <w:rFonts w:ascii="宋体" w:hAnsi="宋体" w:cs="宋体"/>
          <w:b/>
          <w:sz w:val="24"/>
          <w:szCs w:val="24"/>
        </w:rPr>
        <w:t>第三条  双方责任与权利</w:t>
      </w:r>
    </w:p>
    <w:p w14:paraId="497327FC">
      <w:pPr>
        <w:pStyle w:val="14"/>
        <w:spacing w:after="0" w:line="360" w:lineRule="auto"/>
        <w:ind w:firstLine="420"/>
        <w:rPr>
          <w:rFonts w:hint="default" w:ascii="宋体" w:hAnsi="宋体" w:cs="宋体"/>
          <w:bCs/>
          <w:sz w:val="24"/>
          <w:szCs w:val="24"/>
        </w:rPr>
      </w:pPr>
      <w:r>
        <w:rPr>
          <w:rFonts w:ascii="宋体" w:hAnsi="宋体" w:cs="宋体"/>
          <w:bCs/>
          <w:sz w:val="24"/>
          <w:szCs w:val="24"/>
        </w:rPr>
        <w:t>1、甲方责任与权利</w:t>
      </w:r>
    </w:p>
    <w:p w14:paraId="6109DA3D">
      <w:pPr>
        <w:pStyle w:val="14"/>
        <w:spacing w:after="0" w:line="360" w:lineRule="auto"/>
        <w:ind w:firstLine="420"/>
        <w:rPr>
          <w:rFonts w:hint="default" w:ascii="宋体" w:hAnsi="宋体" w:cs="宋体"/>
          <w:bCs/>
          <w:sz w:val="24"/>
          <w:szCs w:val="24"/>
        </w:rPr>
      </w:pPr>
      <w:r>
        <w:rPr>
          <w:rFonts w:ascii="宋体" w:hAnsi="宋体" w:cs="宋体"/>
          <w:bCs/>
          <w:sz w:val="24"/>
          <w:szCs w:val="24"/>
        </w:rPr>
        <w:t>1.1甲方应当为乙方工作提供良好的外部条件，并按照合同约定支付款项。</w:t>
      </w:r>
    </w:p>
    <w:p w14:paraId="37103194">
      <w:pPr>
        <w:pStyle w:val="14"/>
        <w:spacing w:after="0" w:line="360" w:lineRule="auto"/>
        <w:ind w:firstLine="420"/>
        <w:rPr>
          <w:rFonts w:hint="default" w:ascii="宋体" w:hAnsi="宋体" w:cs="宋体"/>
          <w:bCs/>
          <w:sz w:val="24"/>
          <w:szCs w:val="24"/>
        </w:rPr>
      </w:pPr>
      <w:r>
        <w:rPr>
          <w:rFonts w:ascii="宋体" w:hAnsi="宋体" w:cs="宋体"/>
          <w:bCs/>
          <w:sz w:val="24"/>
          <w:szCs w:val="24"/>
        </w:rPr>
        <w:t>1.2甲方应当按双方约定的内容和时间，向乙方提供与项目有关的资料。</w:t>
      </w:r>
    </w:p>
    <w:p w14:paraId="75109116">
      <w:pPr>
        <w:pStyle w:val="14"/>
        <w:spacing w:after="0" w:line="360" w:lineRule="auto"/>
        <w:ind w:firstLine="420"/>
        <w:rPr>
          <w:rFonts w:hint="default" w:ascii="宋体" w:hAnsi="宋体" w:cs="宋体"/>
          <w:bCs/>
          <w:sz w:val="24"/>
          <w:szCs w:val="24"/>
        </w:rPr>
      </w:pPr>
      <w:r>
        <w:rPr>
          <w:rFonts w:ascii="宋体" w:hAnsi="宋体" w:cs="宋体"/>
          <w:bCs/>
          <w:sz w:val="24"/>
          <w:szCs w:val="24"/>
        </w:rPr>
        <w:t>1.3甲方应授权一名熟悉本项目情况的项目代表【  】，负责与乙方联系。更换代表，要提前通知乙方。</w:t>
      </w:r>
    </w:p>
    <w:p w14:paraId="53CBEBBA">
      <w:pPr>
        <w:pStyle w:val="14"/>
        <w:spacing w:after="0" w:line="360" w:lineRule="auto"/>
        <w:ind w:firstLine="420"/>
        <w:rPr>
          <w:rFonts w:hint="default" w:ascii="宋体" w:hAnsi="宋体" w:cs="宋体"/>
          <w:bCs/>
          <w:sz w:val="24"/>
          <w:szCs w:val="24"/>
        </w:rPr>
      </w:pPr>
      <w:r>
        <w:rPr>
          <w:rFonts w:ascii="宋体" w:hAnsi="宋体" w:cs="宋体"/>
          <w:bCs/>
          <w:sz w:val="24"/>
          <w:szCs w:val="24"/>
        </w:rPr>
        <w:t>1.4甲方对乙方提供的服务方案具有审定权、修改权，并有权在不超过本协议约定服务内容的前提下要求乙方按甲方要求修改服务方案及内容。</w:t>
      </w:r>
    </w:p>
    <w:p w14:paraId="2900952A">
      <w:pPr>
        <w:pStyle w:val="14"/>
        <w:spacing w:after="0" w:line="360" w:lineRule="auto"/>
        <w:ind w:firstLine="420"/>
        <w:rPr>
          <w:rFonts w:hint="default" w:ascii="宋体" w:hAnsi="宋体" w:cs="宋体"/>
          <w:bCs/>
          <w:sz w:val="24"/>
          <w:szCs w:val="24"/>
        </w:rPr>
      </w:pPr>
      <w:r>
        <w:rPr>
          <w:rFonts w:ascii="宋体" w:hAnsi="宋体" w:cs="宋体"/>
          <w:bCs/>
          <w:sz w:val="24"/>
          <w:szCs w:val="24"/>
        </w:rPr>
        <w:t>1.5甲方有权随时对乙方服务情况进行监督、检查。</w:t>
      </w:r>
    </w:p>
    <w:p w14:paraId="2AA54498">
      <w:pPr>
        <w:pStyle w:val="14"/>
        <w:spacing w:after="0" w:line="360" w:lineRule="auto"/>
        <w:ind w:firstLine="420"/>
        <w:rPr>
          <w:rFonts w:hint="default" w:ascii="宋体" w:hAnsi="宋体" w:cs="宋体"/>
          <w:sz w:val="24"/>
          <w:szCs w:val="24"/>
        </w:rPr>
      </w:pPr>
      <w:r>
        <w:rPr>
          <w:rFonts w:ascii="宋体" w:hAnsi="宋体" w:cs="宋体"/>
          <w:sz w:val="24"/>
          <w:szCs w:val="24"/>
        </w:rPr>
        <w:t>2、乙方责任与权利</w:t>
      </w:r>
    </w:p>
    <w:p w14:paraId="711C8AD0">
      <w:pPr>
        <w:pStyle w:val="14"/>
        <w:spacing w:after="0" w:line="360" w:lineRule="auto"/>
        <w:ind w:firstLine="420"/>
        <w:rPr>
          <w:rFonts w:hint="default" w:ascii="宋体" w:hAnsi="宋体" w:cs="宋体"/>
          <w:sz w:val="24"/>
          <w:szCs w:val="24"/>
        </w:rPr>
      </w:pPr>
      <w:r>
        <w:rPr>
          <w:rFonts w:ascii="宋体" w:hAnsi="宋体" w:cs="宋体"/>
          <w:sz w:val="24"/>
          <w:szCs w:val="24"/>
        </w:rPr>
        <w:t>2.1乙方应指派一名有类似项目经验并具有良好沟通能力的授权项目代表【  】，负责与甲方的联络。更换代表应至少提前两天书面通知甲方并获得甲方的同意，否则甲方有权解除合同。</w:t>
      </w:r>
    </w:p>
    <w:p w14:paraId="524D99F9">
      <w:pPr>
        <w:pStyle w:val="14"/>
        <w:spacing w:after="0" w:line="360" w:lineRule="auto"/>
        <w:ind w:firstLine="420"/>
        <w:rPr>
          <w:rFonts w:hint="default" w:ascii="宋体" w:hAnsi="宋体" w:cs="宋体"/>
          <w:sz w:val="24"/>
          <w:szCs w:val="24"/>
        </w:rPr>
      </w:pPr>
      <w:r>
        <w:rPr>
          <w:rFonts w:ascii="宋体" w:hAnsi="宋体" w:cs="宋体"/>
          <w:sz w:val="24"/>
          <w:szCs w:val="24"/>
        </w:rPr>
        <w:t>2.2乙方向甲方委派4名项目常驻人员为（注明常驻人员名单）：【        】，人员应当固定，乙方保证项目组人员具备完成此次服务的相关资质、经验、技术等条件，乙方更换人员必须经甲方书面同意，否则甲方有权解除合同。</w:t>
      </w:r>
    </w:p>
    <w:p w14:paraId="4713EFD7">
      <w:pPr>
        <w:pStyle w:val="14"/>
        <w:spacing w:after="0" w:line="360" w:lineRule="auto"/>
        <w:ind w:firstLine="420"/>
        <w:rPr>
          <w:rFonts w:hint="default" w:ascii="宋体" w:hAnsi="宋体" w:cs="宋体"/>
          <w:sz w:val="24"/>
          <w:szCs w:val="24"/>
        </w:rPr>
      </w:pPr>
      <w:r>
        <w:rPr>
          <w:rFonts w:ascii="宋体" w:hAnsi="宋体" w:cs="宋体"/>
          <w:sz w:val="24"/>
          <w:szCs w:val="24"/>
        </w:rPr>
        <w:t>2.3乙方在履行本合同义务的期间，应运用合理的技能，认真、勤奋地工作，按照合同约定的内容及时间完成服务。</w:t>
      </w:r>
    </w:p>
    <w:p w14:paraId="6D83961B">
      <w:pPr>
        <w:pStyle w:val="14"/>
        <w:spacing w:after="0" w:line="360" w:lineRule="auto"/>
        <w:ind w:firstLine="420"/>
        <w:rPr>
          <w:rFonts w:hint="default" w:ascii="宋体" w:hAnsi="宋体" w:cs="宋体"/>
          <w:sz w:val="24"/>
          <w:szCs w:val="24"/>
        </w:rPr>
      </w:pPr>
      <w:r>
        <w:rPr>
          <w:rFonts w:ascii="宋体" w:hAnsi="宋体" w:cs="宋体"/>
          <w:sz w:val="24"/>
          <w:szCs w:val="24"/>
        </w:rPr>
        <w:t>2.4乙方负责服务期间的安全工作，如因乙方原因导致人身、财产损害或消防事故等，乙方应承担全部责任。</w:t>
      </w:r>
    </w:p>
    <w:p w14:paraId="240EFCE3">
      <w:pPr>
        <w:pStyle w:val="14"/>
        <w:spacing w:after="0" w:line="360" w:lineRule="auto"/>
        <w:ind w:firstLine="420"/>
        <w:rPr>
          <w:rFonts w:hint="default" w:ascii="宋体" w:hAnsi="宋体" w:cs="宋体"/>
          <w:sz w:val="24"/>
          <w:szCs w:val="24"/>
        </w:rPr>
      </w:pPr>
      <w:r>
        <w:rPr>
          <w:rFonts w:ascii="宋体" w:hAnsi="宋体" w:cs="宋体"/>
          <w:sz w:val="24"/>
          <w:szCs w:val="24"/>
        </w:rPr>
        <w:t>2.5乙方在工作准备及实施过程中，应接受甲方任何形式的了解、询问、检查，及时与甲方沟通工作完成情况。</w:t>
      </w:r>
    </w:p>
    <w:p w14:paraId="6BDBC1C6">
      <w:pPr>
        <w:pStyle w:val="14"/>
        <w:spacing w:after="0" w:line="360" w:lineRule="auto"/>
        <w:ind w:firstLine="420"/>
        <w:rPr>
          <w:rFonts w:hint="default" w:ascii="宋体" w:hAnsi="宋体" w:cs="宋体"/>
          <w:sz w:val="24"/>
          <w:szCs w:val="24"/>
        </w:rPr>
      </w:pPr>
      <w:r>
        <w:rPr>
          <w:rFonts w:ascii="宋体" w:hAnsi="宋体" w:cs="宋体"/>
          <w:sz w:val="24"/>
          <w:szCs w:val="24"/>
        </w:rPr>
        <w:t>2.6其它：（注：按双方协商内容在合同签署过程中补充填写。）</w:t>
      </w:r>
    </w:p>
    <w:p w14:paraId="3AF8CB4B">
      <w:pPr>
        <w:spacing w:line="360" w:lineRule="auto"/>
        <w:ind w:firstLine="422"/>
        <w:rPr>
          <w:rFonts w:hint="default" w:ascii="宋体" w:hAnsi="宋体" w:cs="宋体"/>
          <w:b/>
          <w:sz w:val="24"/>
          <w:szCs w:val="24"/>
          <w:highlight w:val="none"/>
        </w:rPr>
      </w:pPr>
      <w:r>
        <w:rPr>
          <w:rFonts w:ascii="宋体" w:hAnsi="宋体" w:cs="宋体"/>
          <w:b/>
          <w:sz w:val="24"/>
          <w:szCs w:val="24"/>
        </w:rPr>
        <w:t>第四条  服务期限及业务考核与费用结算</w:t>
      </w:r>
    </w:p>
    <w:p w14:paraId="655410C3">
      <w:pPr>
        <w:autoSpaceDE w:val="0"/>
        <w:autoSpaceDN w:val="0"/>
        <w:adjustRightInd w:val="0"/>
        <w:snapToGrid w:val="0"/>
        <w:spacing w:line="360" w:lineRule="auto"/>
        <w:ind w:firstLine="480" w:firstLineChars="200"/>
        <w:textAlignment w:val="bottom"/>
        <w:rPr>
          <w:rFonts w:hint="default" w:ascii="宋体" w:hAnsi="宋体" w:cs="宋体"/>
          <w:sz w:val="24"/>
          <w:highlight w:val="none"/>
        </w:rPr>
      </w:pPr>
      <w:r>
        <w:rPr>
          <w:rFonts w:ascii="宋体" w:hAnsi="宋体" w:cs="宋体"/>
          <w:sz w:val="24"/>
          <w:szCs w:val="24"/>
          <w:highlight w:val="none"/>
        </w:rPr>
        <w:t>1、本项目服务期2年，合同时间为</w:t>
      </w:r>
      <w:r>
        <w:rPr>
          <w:rFonts w:hint="eastAsia" w:ascii="宋体" w:hAnsi="宋体" w:cs="宋体"/>
          <w:sz w:val="24"/>
          <w:szCs w:val="24"/>
          <w:highlight w:val="none"/>
          <w:lang w:val="en-US" w:eastAsia="zh-CN"/>
        </w:rPr>
        <w:t xml:space="preserve">  </w:t>
      </w:r>
      <w:r>
        <w:rPr>
          <w:rFonts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日至</w:t>
      </w:r>
      <w:r>
        <w:rPr>
          <w:rFonts w:hint="eastAsia" w:ascii="宋体" w:hAnsi="宋体" w:cs="宋体"/>
          <w:sz w:val="24"/>
          <w:szCs w:val="24"/>
          <w:highlight w:val="none"/>
          <w:lang w:val="en-US" w:eastAsia="zh-CN"/>
        </w:rPr>
        <w:t xml:space="preserve">  </w:t>
      </w:r>
      <w:r>
        <w:rPr>
          <w:rFonts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日。</w:t>
      </w:r>
      <w:r>
        <w:rPr>
          <w:rFonts w:ascii="宋体" w:hAnsi="宋体" w:cs="宋体"/>
          <w:sz w:val="24"/>
          <w:highlight w:val="none"/>
        </w:rPr>
        <w:t>合同服务期(2年)满或合同服务期内结算金额达到</w:t>
      </w:r>
      <w:bookmarkStart w:id="86" w:name="OLE_LINK3"/>
      <w:bookmarkStart w:id="87" w:name="OLE_LINK4"/>
      <w:r>
        <w:rPr>
          <w:rFonts w:ascii="宋体" w:hAnsi="宋体" w:cs="宋体"/>
          <w:sz w:val="24"/>
          <w:highlight w:val="none"/>
        </w:rPr>
        <w:t>本项目预算金额(960万元)</w:t>
      </w:r>
      <w:bookmarkEnd w:id="86"/>
      <w:bookmarkEnd w:id="87"/>
      <w:r>
        <w:rPr>
          <w:rFonts w:ascii="宋体" w:hAnsi="宋体" w:cs="宋体"/>
          <w:sz w:val="24"/>
          <w:highlight w:val="none"/>
        </w:rPr>
        <w:t>为止，以先到为准。</w:t>
      </w:r>
    </w:p>
    <w:p w14:paraId="3CFDF63A">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sz w:val="24"/>
          <w:szCs w:val="24"/>
        </w:rPr>
        <w:t>2、</w:t>
      </w:r>
      <w:r>
        <w:rPr>
          <w:rFonts w:ascii="宋体" w:hAnsi="宋体" w:cs="宋体"/>
          <w:color w:val="000000" w:themeColor="text1"/>
          <w:sz w:val="24"/>
          <w:szCs w:val="24"/>
          <w14:textFill>
            <w14:solidFill>
              <w14:schemeClr w14:val="tx1"/>
            </w14:solidFill>
          </w14:textFill>
        </w:rPr>
        <w:t>核心财务指标（KPI）</w:t>
      </w:r>
    </w:p>
    <w:p w14:paraId="59DCED15">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自首月有效收入达成100万元月度目标的次月起作为首季度计算运营服务费；首个合同年，季度有效收入环比增长率不低于30%。若季度增长不达标，以1200万元/年为结算基数，首年整体有效收入较该基数增长不低于100%。</w:t>
      </w:r>
    </w:p>
    <w:p w14:paraId="1B92B31A">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2.2.第二个合同年度，有效收入较上一年度同比增长率不低于60%。</w:t>
      </w:r>
    </w:p>
    <w:p w14:paraId="536165CE">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注：有效收入计算方式为治疗收入+手术收入-不可收费耗材支出-设备折旧成本-月度绩效总额。其中：月度绩效总额为季度结算日时已完成核算的前三个月金额或年度清算时已完成核算的前十二个月所有该科室人员月奖。</w:t>
      </w:r>
    </w:p>
    <w:p w14:paraId="0B989862">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3、费用与结算规则</w:t>
      </w:r>
    </w:p>
    <w:p w14:paraId="561FD41C">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3.1.费用计算方式</w:t>
      </w:r>
    </w:p>
    <w:p w14:paraId="292B30F7">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运营服务费=（实际有效收入-保底有效收入）×折扣（折扣≤30%），包含派驻人员固定薪酬、浮动薪酬、运营相关费用、税费等所有支出。</w:t>
      </w:r>
    </w:p>
    <w:p w14:paraId="3EFEDFFA">
      <w:pPr>
        <w:spacing w:line="560" w:lineRule="exact"/>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举例：第一季度实际有效收入为400万元，按保底有效收入300万元计算，运营服务费=（400-300）*折扣。</w:t>
      </w:r>
    </w:p>
    <w:p w14:paraId="706ABB29">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3.2.结算周期</w:t>
      </w:r>
    </w:p>
    <w:p w14:paraId="228618FF">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3.2.1.季度预结算：季度结束后次月10日前，乙方提交过程指标完成报告，双方完成上季度业绩核对，甲方审核确认后15个工作日内支付。核对结果作为季度预结算的唯一依据。</w:t>
      </w:r>
    </w:p>
    <w:p w14:paraId="3534CE55">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首年保底有效收入核算规则如下：若季度业绩环比增长率≥30%，首季度保底有效收入为300万元，第二季度起保底有效收入按上季度实际有效收入核算；若季度业绩环比增长率＜30%，当季不结算运营管理费，下季度的保底有效收入按300万元*（1+30%）</w:t>
      </w:r>
      <w:r>
        <w:rPr>
          <w:rFonts w:ascii="宋体" w:hAnsi="宋体" w:cs="宋体"/>
          <w:color w:val="000000" w:themeColor="text1"/>
          <w:sz w:val="24"/>
          <w:szCs w:val="24"/>
          <w:vertAlign w:val="superscript"/>
          <w14:textFill>
            <w14:solidFill>
              <w14:schemeClr w14:val="tx1"/>
            </w14:solidFill>
          </w14:textFill>
        </w:rPr>
        <w:t>季度数-1</w:t>
      </w:r>
      <w:r>
        <w:rPr>
          <w:rFonts w:ascii="宋体" w:hAnsi="宋体" w:cs="宋体"/>
          <w:color w:val="000000" w:themeColor="text1"/>
          <w:sz w:val="24"/>
          <w:szCs w:val="24"/>
          <w14:textFill>
            <w14:solidFill>
              <w14:schemeClr w14:val="tx1"/>
            </w14:solidFill>
          </w14:textFill>
        </w:rPr>
        <w:t>核算。</w:t>
      </w:r>
    </w:p>
    <w:p w14:paraId="792943BE">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次年保底有效收入核算规则如下：若季度业绩同比增长率≥60%，保底有效收入按上年同期实际有效收入核算；若季度业绩同比增长率＜60%，当季不结算运营管理费；若首年同期季度未达标，次年该季度保底有效收入按上一年度该季度目标有效收入同比增长60%核算。</w:t>
      </w:r>
    </w:p>
    <w:p w14:paraId="7E4C60D0">
      <w:pPr>
        <w:spacing w:line="560" w:lineRule="exact"/>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注：上一年度该季度目标有效收入为300万元*（1+30%）</w:t>
      </w:r>
      <w:r>
        <w:rPr>
          <w:rFonts w:ascii="宋体" w:hAnsi="宋体" w:cs="宋体"/>
          <w:color w:val="000000" w:themeColor="text1"/>
          <w:sz w:val="24"/>
          <w:szCs w:val="24"/>
          <w:vertAlign w:val="superscript"/>
          <w14:textFill>
            <w14:solidFill>
              <w14:schemeClr w14:val="tx1"/>
            </w14:solidFill>
          </w14:textFill>
        </w:rPr>
        <w:t>当年季度数-1</w:t>
      </w:r>
      <w:r>
        <w:rPr>
          <w:rFonts w:ascii="宋体" w:hAnsi="宋体" w:cs="宋体"/>
          <w:color w:val="000000" w:themeColor="text1"/>
          <w:sz w:val="24"/>
          <w:szCs w:val="24"/>
          <w14:textFill>
            <w14:solidFill>
              <w14:schemeClr w14:val="tx1"/>
            </w14:solidFill>
          </w14:textFill>
        </w:rPr>
        <w:t>。</w:t>
      </w:r>
    </w:p>
    <w:p w14:paraId="1FEC3EEA">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3.2.2.年度结算：如季度增长未达标，但年度增长达标的，于第一个合同年结束后进行年度结算。</w:t>
      </w:r>
    </w:p>
    <w:p w14:paraId="3E92497D">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首年年度保底有效收入按2400万元计算。</w:t>
      </w:r>
    </w:p>
    <w:p w14:paraId="5F291A62">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次年年度保底有效收入核算规则如下：若首年完成年度增长指标，次年保底有效收入按首年实际有效收入增长60%核算；若首年未完成年度增长指标，次年保底有效收入按2400万元增长60%为基数核算。</w:t>
      </w:r>
    </w:p>
    <w:p w14:paraId="6E51E906">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3.3.实际支付金额应当扣除预付款金额。</w:t>
      </w:r>
    </w:p>
    <w:p w14:paraId="42052F50">
      <w:pPr>
        <w:spacing w:line="360" w:lineRule="auto"/>
        <w:ind w:firstLine="420"/>
        <w:rPr>
          <w:rFonts w:hint="default" w:ascii="宋体" w:hAnsi="宋体" w:cs="宋体"/>
          <w:sz w:val="24"/>
          <w:szCs w:val="24"/>
          <w:lang w:val="zh-TW"/>
        </w:rPr>
      </w:pPr>
      <w:r>
        <w:rPr>
          <w:rFonts w:ascii="宋体" w:hAnsi="宋体" w:cs="宋体"/>
          <w:sz w:val="24"/>
          <w:szCs w:val="24"/>
        </w:rPr>
        <w:t>4、</w:t>
      </w:r>
      <w:r>
        <w:rPr>
          <w:rFonts w:ascii="宋体" w:hAnsi="宋体" w:cs="宋体"/>
          <w:sz w:val="24"/>
          <w:szCs w:val="24"/>
          <w:lang w:val="zh-TW"/>
        </w:rPr>
        <w:t>付款方式</w:t>
      </w:r>
      <w:r>
        <w:rPr>
          <w:rFonts w:ascii="宋体" w:hAnsi="宋体" w:cs="宋体"/>
          <w:sz w:val="24"/>
          <w:szCs w:val="24"/>
          <w:lang w:val="zh-TW" w:eastAsia="zh-TW"/>
        </w:rPr>
        <w:t>为</w:t>
      </w:r>
      <w:r>
        <w:rPr>
          <w:rFonts w:ascii="宋体" w:hAnsi="宋体" w:cs="宋体"/>
          <w:sz w:val="24"/>
          <w:szCs w:val="24"/>
          <w:lang w:val="zh-TW"/>
        </w:rPr>
        <w:t>：</w:t>
      </w:r>
    </w:p>
    <w:p w14:paraId="36AB2198">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4.1. 季度预结算</w:t>
      </w:r>
    </w:p>
    <w:p w14:paraId="09888ADD">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每季度结束后次月，乙方提交《季度运营服务费结算申请》及佐证材料。</w:t>
      </w:r>
    </w:p>
    <w:p w14:paraId="6FFC2850">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甲方审核通过后，支付当季度应付运营服务费。</w:t>
      </w:r>
    </w:p>
    <w:p w14:paraId="65E8EC9C">
      <w:pPr>
        <w:spacing w:line="560" w:lineRule="exact"/>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若当季度实际有效收入低于保底收入，当季度运营服务费为0，不予支付。</w:t>
      </w:r>
    </w:p>
    <w:p w14:paraId="5ECD360C">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4.2. 年度清算</w:t>
      </w:r>
    </w:p>
    <w:p w14:paraId="4EF92E14">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4.2.1.每个合同年结束后，进行年度总清算。</w:t>
      </w:r>
    </w:p>
    <w:p w14:paraId="5E9D683A">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年度应付总额 =（全年实际有效收入总额 - 全年保底收入总额）× 折扣率。</w:t>
      </w:r>
    </w:p>
    <w:p w14:paraId="06AB91E9">
      <w:pPr>
        <w:pStyle w:val="12"/>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4.2.2.支付/退还机制</w:t>
      </w:r>
    </w:p>
    <w:p w14:paraId="100374DD">
      <w:pPr>
        <w:pStyle w:val="12"/>
        <w:spacing w:line="360" w:lineRule="auto"/>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若年度应付总额 ＞ 0，甲方支付剩余款项（即年度应付总额 - 已支付季度预结算总额）。</w:t>
      </w:r>
    </w:p>
    <w:p w14:paraId="30F6105C">
      <w:pPr>
        <w:pStyle w:val="12"/>
        <w:spacing w:line="360" w:lineRule="auto"/>
        <w:rPr>
          <w:rStyle w:val="49"/>
          <w:rFonts w:hint="default" w:ascii="宋体" w:hAnsi="宋体" w:cs="宋体"/>
          <w:sz w:val="24"/>
          <w:szCs w:val="24"/>
        </w:rPr>
      </w:pPr>
      <w:r>
        <w:rPr>
          <w:rFonts w:ascii="宋体" w:hAnsi="宋体" w:cs="宋体"/>
          <w:color w:val="000000" w:themeColor="text1"/>
          <w:sz w:val="24"/>
          <w:szCs w:val="24"/>
          <w14:textFill>
            <w14:solidFill>
              <w14:schemeClr w14:val="tx1"/>
            </w14:solidFill>
          </w14:textFill>
        </w:rPr>
        <w:t xml:space="preserve">    若年度应付总额 ≤ 0，</w:t>
      </w:r>
      <w:r>
        <w:rPr>
          <w:rFonts w:ascii="宋体" w:hAnsi="宋体" w:cs="宋体"/>
          <w:sz w:val="24"/>
          <w:szCs w:val="24"/>
        </w:rPr>
        <w:t>乙方</w:t>
      </w:r>
      <w:r>
        <w:rPr>
          <w:rFonts w:ascii="宋体" w:hAnsi="宋体" w:cs="宋体"/>
          <w:color w:val="000000" w:themeColor="text1"/>
          <w:sz w:val="24"/>
          <w:szCs w:val="24"/>
          <w14:textFill>
            <w14:solidFill>
              <w14:schemeClr w14:val="tx1"/>
            </w14:solidFill>
          </w14:textFill>
        </w:rPr>
        <w:t>在15个工作日内，将甲方超额支付的结算款项全额退还至甲方账户。</w:t>
      </w:r>
    </w:p>
    <w:p w14:paraId="4148F8D6">
      <w:pPr>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5、预付款条款：合同生效且</w:t>
      </w:r>
      <w:r>
        <w:rPr>
          <w:rFonts w:ascii="宋体" w:hAnsi="宋体" w:cs="宋体"/>
          <w:sz w:val="24"/>
          <w:szCs w:val="24"/>
        </w:rPr>
        <w:t>乙方</w:t>
      </w:r>
      <w:r>
        <w:rPr>
          <w:rFonts w:ascii="宋体" w:hAnsi="宋体" w:cs="宋体"/>
          <w:color w:val="000000" w:themeColor="text1"/>
          <w:sz w:val="24"/>
          <w:szCs w:val="24"/>
          <w14:textFill>
            <w14:solidFill>
              <w14:schemeClr w14:val="tx1"/>
            </w14:solidFill>
          </w14:textFill>
        </w:rPr>
        <w:t>派驻人员全部到位并经甲方考核合格后7个工作日内，甲方支付年度</w:t>
      </w:r>
      <w:r>
        <w:rPr>
          <w:rFonts w:ascii="宋体" w:hAnsi="宋体" w:cs="宋体"/>
          <w:color w:val="000000" w:themeColor="text1"/>
          <w:sz w:val="24"/>
          <w:szCs w:val="24"/>
          <w:highlight w:val="none"/>
          <w14:textFill>
            <w14:solidFill>
              <w14:schemeClr w14:val="tx1"/>
            </w14:solidFill>
          </w14:textFill>
        </w:rPr>
        <w:t>预算价的20%作为</w:t>
      </w:r>
      <w:r>
        <w:rPr>
          <w:rFonts w:ascii="宋体" w:hAnsi="宋体" w:cs="宋体"/>
          <w:color w:val="000000" w:themeColor="text1"/>
          <w:sz w:val="24"/>
          <w:szCs w:val="24"/>
          <w14:textFill>
            <w14:solidFill>
              <w14:schemeClr w14:val="tx1"/>
            </w14:solidFill>
          </w14:textFill>
        </w:rPr>
        <w:t>预付款，</w:t>
      </w:r>
      <w:r>
        <w:rPr>
          <w:rFonts w:ascii="宋体" w:hAnsi="宋体" w:cs="宋体"/>
          <w:sz w:val="24"/>
          <w:szCs w:val="24"/>
        </w:rPr>
        <w:t>乙方</w:t>
      </w:r>
      <w:r>
        <w:rPr>
          <w:rFonts w:ascii="宋体" w:hAnsi="宋体" w:cs="宋体"/>
          <w:color w:val="000000" w:themeColor="text1"/>
          <w:sz w:val="24"/>
          <w:szCs w:val="24"/>
          <w14:textFill>
            <w14:solidFill>
              <w14:schemeClr w14:val="tx1"/>
            </w14:solidFill>
          </w14:textFill>
        </w:rPr>
        <w:t>须同时提交由银行、保险公司等金融机构出具的等额预付款保函。在签订合同时，</w:t>
      </w:r>
      <w:r>
        <w:rPr>
          <w:rFonts w:ascii="宋体" w:hAnsi="宋体" w:cs="宋体"/>
          <w:sz w:val="24"/>
          <w:szCs w:val="24"/>
        </w:rPr>
        <w:t>乙方</w:t>
      </w:r>
      <w:r>
        <w:rPr>
          <w:rFonts w:ascii="宋体" w:hAnsi="宋体" w:cs="宋体"/>
          <w:color w:val="000000" w:themeColor="text1"/>
          <w:sz w:val="24"/>
          <w:szCs w:val="24"/>
          <w14:textFill>
            <w14:solidFill>
              <w14:schemeClr w14:val="tx1"/>
            </w14:solidFill>
          </w14:textFill>
        </w:rPr>
        <w:t>明确表示无需预付款或者主动降低预付款比例的，可以在合同签订时约定。</w:t>
      </w:r>
    </w:p>
    <w:p w14:paraId="71F73BEE">
      <w:pPr>
        <w:spacing w:line="360" w:lineRule="auto"/>
        <w:ind w:firstLine="422"/>
        <w:rPr>
          <w:rFonts w:hint="default" w:ascii="宋体" w:hAnsi="宋体" w:cs="宋体"/>
          <w:b/>
          <w:sz w:val="24"/>
          <w:szCs w:val="24"/>
        </w:rPr>
      </w:pPr>
      <w:r>
        <w:rPr>
          <w:rFonts w:ascii="宋体" w:hAnsi="宋体" w:cs="宋体"/>
          <w:b/>
          <w:sz w:val="24"/>
          <w:szCs w:val="24"/>
        </w:rPr>
        <w:t>第五条  违约责任</w:t>
      </w:r>
    </w:p>
    <w:p w14:paraId="6213FA78">
      <w:pPr>
        <w:spacing w:line="360" w:lineRule="auto"/>
        <w:ind w:firstLine="420"/>
        <w:rPr>
          <w:rFonts w:hint="default" w:ascii="宋体" w:hAnsi="宋体" w:cs="宋体"/>
          <w:bCs/>
          <w:sz w:val="24"/>
          <w:szCs w:val="24"/>
        </w:rPr>
      </w:pPr>
      <w:r>
        <w:rPr>
          <w:rFonts w:ascii="宋体" w:hAnsi="宋体" w:cs="宋体"/>
          <w:bCs/>
          <w:sz w:val="24"/>
          <w:szCs w:val="24"/>
        </w:rPr>
        <w:t>1、甲、乙双方应严格履行本合同和投标文件中规定的内容，若对内容存在异议，经双方协商后更改，若一方未经允许且不按合同履行义务的应承担违约责任；造成对方损失的，应赔偿对方实际经济损失。</w:t>
      </w:r>
    </w:p>
    <w:p w14:paraId="7437166B">
      <w:pPr>
        <w:spacing w:line="360" w:lineRule="auto"/>
        <w:ind w:firstLine="420"/>
        <w:rPr>
          <w:rFonts w:hint="default" w:ascii="宋体" w:hAnsi="宋体" w:cs="宋体"/>
          <w:bCs/>
          <w:sz w:val="24"/>
          <w:szCs w:val="24"/>
        </w:rPr>
      </w:pPr>
      <w:r>
        <w:rPr>
          <w:rFonts w:ascii="宋体" w:hAnsi="宋体" w:cs="宋体"/>
          <w:bCs/>
          <w:sz w:val="24"/>
          <w:szCs w:val="24"/>
        </w:rPr>
        <w:t>2、如果甲方未按照合同约定支付价款，乙方有权要求其每天承担应付未付金额千分之一（1‰）的违约金，但违约金总额不超过合同</w:t>
      </w:r>
      <w:r>
        <w:rPr>
          <w:rFonts w:ascii="宋体" w:hAnsi="宋体" w:cs="宋体"/>
          <w:sz w:val="24"/>
          <w:szCs w:val="24"/>
        </w:rPr>
        <w:t>预算</w:t>
      </w:r>
      <w:r>
        <w:rPr>
          <w:rFonts w:ascii="宋体" w:hAnsi="宋体" w:cs="宋体"/>
          <w:bCs/>
          <w:sz w:val="24"/>
          <w:szCs w:val="24"/>
        </w:rPr>
        <w:t>总金额的百分之十（10%）；除本合同另有约定外，如果乙方未能按照本合同约定履行义务或无正当理由擅自解除本合同，甲方有权要求其承担合同总金额百分之十（10%）的违约金。</w:t>
      </w:r>
    </w:p>
    <w:p w14:paraId="0D7ED5A3">
      <w:pPr>
        <w:spacing w:line="360" w:lineRule="auto"/>
        <w:ind w:firstLine="420"/>
        <w:rPr>
          <w:rFonts w:hint="default" w:ascii="宋体" w:hAnsi="宋体" w:cs="宋体"/>
          <w:bCs/>
          <w:sz w:val="24"/>
          <w:szCs w:val="24"/>
        </w:rPr>
      </w:pPr>
      <w:r>
        <w:rPr>
          <w:rFonts w:ascii="宋体" w:hAnsi="宋体" w:cs="宋体"/>
          <w:bCs/>
          <w:sz w:val="24"/>
          <w:szCs w:val="24"/>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全部经济损失。</w:t>
      </w:r>
    </w:p>
    <w:p w14:paraId="25CFD681">
      <w:pPr>
        <w:spacing w:line="360" w:lineRule="auto"/>
        <w:ind w:firstLine="420"/>
        <w:rPr>
          <w:rFonts w:hint="default" w:ascii="宋体" w:hAnsi="宋体" w:cs="宋体"/>
          <w:bCs/>
          <w:sz w:val="24"/>
          <w:szCs w:val="24"/>
        </w:rPr>
      </w:pPr>
      <w:bookmarkStart w:id="88" w:name="_Hlk9793595"/>
      <w:r>
        <w:rPr>
          <w:rFonts w:ascii="宋体" w:hAnsi="宋体" w:cs="宋体"/>
          <w:bCs/>
          <w:sz w:val="24"/>
          <w:szCs w:val="24"/>
        </w:rPr>
        <w:t>4、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bookmarkEnd w:id="88"/>
      <w:r>
        <w:rPr>
          <w:rFonts w:ascii="宋体" w:hAnsi="宋体" w:cs="宋体"/>
          <w:bCs/>
          <w:sz w:val="24"/>
          <w:szCs w:val="24"/>
        </w:rPr>
        <w:t>。</w:t>
      </w:r>
    </w:p>
    <w:p w14:paraId="1CC7EF75">
      <w:pPr>
        <w:spacing w:line="360" w:lineRule="auto"/>
        <w:ind w:firstLine="422"/>
        <w:rPr>
          <w:rFonts w:hint="default" w:ascii="宋体" w:hAnsi="宋体" w:cs="宋体"/>
          <w:b/>
          <w:sz w:val="24"/>
          <w:szCs w:val="24"/>
        </w:rPr>
      </w:pPr>
      <w:r>
        <w:rPr>
          <w:rFonts w:ascii="宋体" w:hAnsi="宋体" w:cs="宋体"/>
          <w:b/>
          <w:sz w:val="24"/>
          <w:szCs w:val="24"/>
        </w:rPr>
        <w:t>第六条  其他</w:t>
      </w:r>
    </w:p>
    <w:p w14:paraId="1DBB6265">
      <w:pPr>
        <w:spacing w:line="360" w:lineRule="auto"/>
        <w:ind w:firstLine="420"/>
        <w:rPr>
          <w:rFonts w:hint="default" w:ascii="宋体" w:hAnsi="宋体" w:cs="宋体"/>
          <w:bCs/>
          <w:sz w:val="24"/>
          <w:szCs w:val="24"/>
        </w:rPr>
      </w:pPr>
      <w:r>
        <w:rPr>
          <w:rFonts w:ascii="宋体" w:hAnsi="宋体" w:cs="宋体"/>
          <w:bCs/>
          <w:sz w:val="24"/>
          <w:szCs w:val="24"/>
        </w:rPr>
        <w:t>1.不可抗力：定义不可抗力事件范围及通知义务。受影响方应在其发生后3日内书面通知对方。因不可抗力导致合同无法履行超过60日，任何一方有权解除合同。</w:t>
      </w:r>
    </w:p>
    <w:p w14:paraId="2FC365BA">
      <w:pPr>
        <w:spacing w:line="360" w:lineRule="auto"/>
        <w:ind w:firstLine="420"/>
        <w:rPr>
          <w:rFonts w:hint="default" w:ascii="宋体" w:hAnsi="宋体" w:cs="宋体"/>
          <w:bCs/>
          <w:sz w:val="24"/>
          <w:szCs w:val="24"/>
          <w:highlight w:val="none"/>
        </w:rPr>
      </w:pPr>
      <w:r>
        <w:rPr>
          <w:rFonts w:ascii="宋体" w:hAnsi="宋体" w:cs="宋体"/>
          <w:bCs/>
          <w:sz w:val="24"/>
          <w:szCs w:val="24"/>
        </w:rPr>
        <w:t>2.合同解除：除约定解除外，如</w:t>
      </w:r>
      <w:r>
        <w:rPr>
          <w:rFonts w:ascii="宋体" w:hAnsi="宋体" w:cs="宋体"/>
          <w:sz w:val="24"/>
          <w:szCs w:val="24"/>
        </w:rPr>
        <w:t>乙方</w:t>
      </w:r>
      <w:r>
        <w:rPr>
          <w:rFonts w:ascii="宋体" w:hAnsi="宋体" w:cs="宋体"/>
          <w:bCs/>
          <w:sz w:val="24"/>
          <w:szCs w:val="24"/>
        </w:rPr>
        <w:t>出现以下情形，甲方有权单方解除合同，没收履约保</w:t>
      </w:r>
      <w:r>
        <w:rPr>
          <w:rFonts w:ascii="宋体" w:hAnsi="宋体" w:cs="宋体"/>
          <w:bCs/>
          <w:sz w:val="24"/>
          <w:szCs w:val="24"/>
          <w:highlight w:val="none"/>
        </w:rPr>
        <w:t>证金，并追究违约责任：</w:t>
      </w:r>
    </w:p>
    <w:p w14:paraId="216E69EE">
      <w:pPr>
        <w:spacing w:line="360" w:lineRule="auto"/>
        <w:ind w:firstLine="420"/>
        <w:rPr>
          <w:rFonts w:hint="default" w:ascii="宋体" w:hAnsi="宋体" w:cs="宋体"/>
          <w:bCs/>
          <w:sz w:val="24"/>
          <w:szCs w:val="24"/>
          <w:highlight w:val="none"/>
        </w:rPr>
      </w:pPr>
      <w:r>
        <w:rPr>
          <w:rFonts w:ascii="宋体" w:hAnsi="宋体" w:cs="宋体"/>
          <w:bCs/>
          <w:sz w:val="24"/>
          <w:szCs w:val="24"/>
          <w:highlight w:val="none"/>
        </w:rPr>
        <w:t xml:space="preserve"> 2.1.连续两个季度“考核收入”未达到保底收入的 80%；</w:t>
      </w:r>
    </w:p>
    <w:p w14:paraId="244CF81A">
      <w:pPr>
        <w:spacing w:line="360" w:lineRule="auto"/>
        <w:ind w:firstLine="420"/>
        <w:rPr>
          <w:rFonts w:hint="default" w:ascii="宋体" w:hAnsi="宋体" w:cs="宋体"/>
          <w:bCs/>
          <w:sz w:val="24"/>
          <w:szCs w:val="24"/>
        </w:rPr>
      </w:pPr>
      <w:r>
        <w:rPr>
          <w:rFonts w:ascii="宋体" w:hAnsi="宋体" w:cs="宋体"/>
          <w:bCs/>
          <w:sz w:val="24"/>
          <w:szCs w:val="24"/>
        </w:rPr>
        <w:t xml:space="preserve"> 2.2.发生重大合规或舆情事件，对甲方声誉造成严重损害；</w:t>
      </w:r>
    </w:p>
    <w:p w14:paraId="1B285173">
      <w:pPr>
        <w:spacing w:line="360" w:lineRule="auto"/>
        <w:ind w:firstLine="420"/>
        <w:rPr>
          <w:rFonts w:hint="default" w:ascii="宋体" w:hAnsi="宋体" w:cs="宋体"/>
          <w:bCs/>
          <w:sz w:val="24"/>
          <w:szCs w:val="24"/>
        </w:rPr>
      </w:pPr>
      <w:r>
        <w:rPr>
          <w:rFonts w:ascii="宋体" w:hAnsi="宋体" w:cs="宋体"/>
          <w:bCs/>
          <w:sz w:val="24"/>
          <w:szCs w:val="24"/>
        </w:rPr>
        <w:t xml:space="preserve"> 2.3.未经同意将核心服务转包或分包。</w:t>
      </w:r>
    </w:p>
    <w:p w14:paraId="7B10BE24">
      <w:pPr>
        <w:spacing w:line="360" w:lineRule="auto"/>
        <w:ind w:firstLine="420"/>
        <w:rPr>
          <w:rFonts w:hint="default" w:ascii="宋体" w:hAnsi="宋体" w:cs="宋体"/>
          <w:bCs/>
          <w:sz w:val="24"/>
          <w:szCs w:val="24"/>
        </w:rPr>
      </w:pPr>
      <w:r>
        <w:rPr>
          <w:rFonts w:ascii="宋体" w:hAnsi="宋体" w:cs="宋体"/>
          <w:bCs/>
          <w:sz w:val="24"/>
          <w:szCs w:val="24"/>
        </w:rPr>
        <w:t>3.争议解决：因本合同引起或与本合同有关的任何争议，双方应友好协商解决；协商不成的，任何一方均有权向甲方所在地有管辖权的人民法院提起诉讼。败诉方应承担胜诉方为解决争议所支付的合理费用，包括但不限于律师费、保全费、鉴定费等。</w:t>
      </w:r>
    </w:p>
    <w:p w14:paraId="73FFB1C0">
      <w:pPr>
        <w:spacing w:line="360" w:lineRule="auto"/>
        <w:ind w:firstLine="420"/>
        <w:rPr>
          <w:rFonts w:hint="default" w:ascii="宋体" w:hAnsi="宋体" w:cs="宋体"/>
          <w:sz w:val="24"/>
          <w:szCs w:val="24"/>
        </w:rPr>
      </w:pPr>
      <w:r>
        <w:rPr>
          <w:rFonts w:ascii="宋体" w:hAnsi="宋体" w:cs="宋体"/>
          <w:sz w:val="24"/>
          <w:szCs w:val="24"/>
        </w:rPr>
        <w:t xml:space="preserve">4、本协议经甲、乙方双方法人代表或授权代表签字并加盖公章后生效。 </w:t>
      </w:r>
    </w:p>
    <w:p w14:paraId="5ECC63BB">
      <w:pPr>
        <w:spacing w:line="360" w:lineRule="auto"/>
        <w:ind w:firstLine="420"/>
        <w:rPr>
          <w:rFonts w:hint="default" w:ascii="宋体" w:hAnsi="宋体" w:cs="宋体"/>
          <w:sz w:val="24"/>
          <w:szCs w:val="24"/>
        </w:rPr>
      </w:pPr>
      <w:r>
        <w:rPr>
          <w:rFonts w:ascii="宋体" w:hAnsi="宋体" w:cs="宋体"/>
          <w:sz w:val="24"/>
          <w:szCs w:val="24"/>
        </w:rPr>
        <w:t>5、本协议一式六份，甲、乙方双方各三份。</w:t>
      </w:r>
    </w:p>
    <w:p w14:paraId="03D6341C">
      <w:pPr>
        <w:spacing w:line="360" w:lineRule="auto"/>
        <w:ind w:firstLine="420"/>
        <w:rPr>
          <w:rFonts w:hint="default" w:ascii="宋体" w:hAnsi="宋体" w:cs="宋体"/>
          <w:sz w:val="24"/>
          <w:szCs w:val="24"/>
        </w:rPr>
      </w:pPr>
    </w:p>
    <w:p w14:paraId="5834A480">
      <w:pPr>
        <w:spacing w:line="360" w:lineRule="auto"/>
        <w:ind w:firstLine="420"/>
        <w:jc w:val="left"/>
        <w:rPr>
          <w:rFonts w:hint="default" w:ascii="宋体" w:hAnsi="宋体" w:cs="宋体"/>
          <w:sz w:val="24"/>
          <w:szCs w:val="24"/>
        </w:rPr>
      </w:pPr>
      <w:r>
        <w:rPr>
          <w:rFonts w:ascii="宋体" w:hAnsi="宋体" w:cs="宋体"/>
          <w:sz w:val="24"/>
          <w:szCs w:val="24"/>
        </w:rPr>
        <w:t>甲方（盖章）：                        乙方（盖章）：</w:t>
      </w:r>
    </w:p>
    <w:p w14:paraId="0B06ACEF">
      <w:pPr>
        <w:spacing w:line="360" w:lineRule="auto"/>
        <w:ind w:firstLine="420"/>
        <w:jc w:val="left"/>
        <w:rPr>
          <w:rFonts w:hint="default" w:ascii="宋体" w:hAnsi="宋体" w:cs="宋体"/>
          <w:sz w:val="24"/>
          <w:szCs w:val="24"/>
        </w:rPr>
      </w:pPr>
      <w:r>
        <w:rPr>
          <w:rFonts w:ascii="宋体" w:hAnsi="宋体" w:cs="宋体"/>
          <w:sz w:val="24"/>
          <w:szCs w:val="24"/>
        </w:rPr>
        <w:t>法定代表人或委托人                    法定代表人或委托人</w:t>
      </w:r>
    </w:p>
    <w:p w14:paraId="621707D5">
      <w:pPr>
        <w:spacing w:line="360" w:lineRule="auto"/>
        <w:ind w:firstLine="420"/>
        <w:jc w:val="left"/>
        <w:rPr>
          <w:rFonts w:hint="default" w:ascii="宋体" w:hAnsi="宋体" w:cs="宋体"/>
          <w:sz w:val="24"/>
          <w:szCs w:val="24"/>
        </w:rPr>
      </w:pPr>
      <w:r>
        <w:rPr>
          <w:rFonts w:ascii="宋体" w:hAnsi="宋体" w:cs="宋体"/>
          <w:sz w:val="24"/>
          <w:szCs w:val="24"/>
        </w:rPr>
        <w:t>（签字）：                            （签字）：</w:t>
      </w:r>
    </w:p>
    <w:p w14:paraId="08A3DE2F">
      <w:pPr>
        <w:spacing w:line="360" w:lineRule="auto"/>
        <w:ind w:left="5039" w:leftChars="228" w:hanging="4560" w:hangingChars="1900"/>
        <w:jc w:val="left"/>
        <w:rPr>
          <w:rFonts w:hint="default" w:ascii="宋体" w:hAnsi="宋体" w:cs="宋体"/>
          <w:sz w:val="24"/>
          <w:szCs w:val="24"/>
        </w:rPr>
      </w:pPr>
      <w:r>
        <w:rPr>
          <w:rFonts w:ascii="宋体" w:hAnsi="宋体" w:cs="宋体"/>
          <w:sz w:val="24"/>
          <w:szCs w:val="24"/>
        </w:rPr>
        <w:t>地址：                                地址：</w:t>
      </w:r>
    </w:p>
    <w:p w14:paraId="1C2EBA15">
      <w:pPr>
        <w:spacing w:line="360" w:lineRule="auto"/>
        <w:ind w:firstLine="420"/>
        <w:jc w:val="left"/>
        <w:rPr>
          <w:rFonts w:hint="default" w:ascii="宋体" w:hAnsi="宋体" w:cs="宋体"/>
          <w:sz w:val="24"/>
          <w:szCs w:val="24"/>
        </w:rPr>
      </w:pPr>
      <w:r>
        <w:rPr>
          <w:rFonts w:ascii="宋体" w:hAnsi="宋体" w:cs="宋体"/>
          <w:sz w:val="24"/>
          <w:szCs w:val="24"/>
        </w:rPr>
        <w:t>邮编：                                邮编：</w:t>
      </w:r>
    </w:p>
    <w:p w14:paraId="7ABCF68A">
      <w:pPr>
        <w:spacing w:line="360" w:lineRule="auto"/>
        <w:ind w:firstLine="420"/>
        <w:jc w:val="left"/>
        <w:rPr>
          <w:rFonts w:hint="default" w:ascii="宋体" w:hAnsi="宋体" w:cs="宋体"/>
          <w:sz w:val="24"/>
          <w:szCs w:val="24"/>
        </w:rPr>
      </w:pPr>
      <w:r>
        <w:rPr>
          <w:rFonts w:ascii="宋体" w:hAnsi="宋体" w:cs="宋体"/>
          <w:sz w:val="24"/>
          <w:szCs w:val="24"/>
        </w:rPr>
        <w:t>电话：                                电话：</w:t>
      </w:r>
    </w:p>
    <w:p w14:paraId="2163377D">
      <w:pPr>
        <w:spacing w:line="360" w:lineRule="auto"/>
        <w:ind w:firstLine="420"/>
        <w:jc w:val="left"/>
        <w:rPr>
          <w:rFonts w:hint="default" w:ascii="宋体" w:hAnsi="宋体" w:cs="宋体"/>
          <w:sz w:val="24"/>
          <w:szCs w:val="24"/>
        </w:rPr>
      </w:pPr>
      <w:r>
        <w:rPr>
          <w:rFonts w:ascii="宋体" w:hAnsi="宋体" w:cs="宋体"/>
          <w:sz w:val="24"/>
          <w:szCs w:val="24"/>
        </w:rPr>
        <w:t>传真：                                传真：</w:t>
      </w:r>
    </w:p>
    <w:p w14:paraId="29E30201">
      <w:pPr>
        <w:spacing w:line="360" w:lineRule="auto"/>
        <w:ind w:left="5519" w:leftChars="228" w:hanging="5040" w:hangingChars="2100"/>
        <w:jc w:val="left"/>
        <w:rPr>
          <w:rFonts w:hint="default" w:ascii="宋体" w:hAnsi="宋体" w:cs="宋体"/>
          <w:sz w:val="24"/>
          <w:szCs w:val="24"/>
        </w:rPr>
      </w:pPr>
      <w:r>
        <w:rPr>
          <w:rFonts w:ascii="宋体" w:hAnsi="宋体" w:cs="宋体"/>
          <w:sz w:val="24"/>
          <w:szCs w:val="24"/>
        </w:rPr>
        <w:t>开户银行：                            开户银行：</w:t>
      </w:r>
    </w:p>
    <w:p w14:paraId="47697B32">
      <w:pPr>
        <w:spacing w:line="360" w:lineRule="auto"/>
        <w:ind w:firstLine="420"/>
        <w:jc w:val="left"/>
        <w:rPr>
          <w:rFonts w:hint="default" w:ascii="宋体" w:hAnsi="宋体" w:cs="宋体"/>
          <w:sz w:val="24"/>
          <w:szCs w:val="24"/>
        </w:rPr>
      </w:pPr>
      <w:r>
        <w:rPr>
          <w:rFonts w:ascii="宋体" w:hAnsi="宋体" w:cs="宋体"/>
          <w:sz w:val="24"/>
          <w:szCs w:val="24"/>
        </w:rPr>
        <w:t>账号：                                账号：</w:t>
      </w:r>
    </w:p>
    <w:p w14:paraId="382FEB06">
      <w:pPr>
        <w:spacing w:line="360" w:lineRule="auto"/>
        <w:ind w:firstLine="420"/>
        <w:rPr>
          <w:rFonts w:hint="default" w:ascii="宋体" w:hAnsi="宋体" w:cs="宋体"/>
          <w:sz w:val="24"/>
          <w:szCs w:val="24"/>
        </w:rPr>
      </w:pPr>
      <w:r>
        <w:rPr>
          <w:rFonts w:ascii="宋体" w:hAnsi="宋体" w:cs="宋体"/>
          <w:sz w:val="24"/>
          <w:szCs w:val="24"/>
        </w:rPr>
        <w:t>签约日期：     年    月    日</w:t>
      </w:r>
    </w:p>
    <w:p w14:paraId="258B0F7F">
      <w:pPr>
        <w:spacing w:line="360" w:lineRule="auto"/>
        <w:ind w:left="-361" w:leftChars="-172" w:right="-487" w:rightChars="-232" w:firstLine="422"/>
        <w:rPr>
          <w:rFonts w:hint="default" w:ascii="宋体" w:hAnsi="宋体" w:cs="宋体"/>
          <w:b/>
          <w:sz w:val="24"/>
          <w:szCs w:val="24"/>
        </w:rPr>
      </w:pPr>
    </w:p>
    <w:p w14:paraId="3409FC0D">
      <w:pPr>
        <w:spacing w:line="360" w:lineRule="auto"/>
        <w:ind w:left="-361" w:leftChars="-172" w:right="-487" w:rightChars="-232" w:firstLine="422"/>
        <w:rPr>
          <w:rFonts w:hint="default" w:ascii="宋体" w:hAnsi="宋体" w:cs="宋体"/>
          <w:b/>
          <w:sz w:val="24"/>
          <w:szCs w:val="24"/>
        </w:rPr>
      </w:pPr>
      <w:r>
        <w:rPr>
          <w:rFonts w:ascii="宋体" w:hAnsi="宋体" w:cs="宋体"/>
          <w:b/>
          <w:sz w:val="24"/>
          <w:szCs w:val="24"/>
        </w:rPr>
        <w:t>注：各投标人应对招标文件“第五章  合同主要条款”中的条款全部响应，如有偏离需在商务条款偏离表中注明。</w:t>
      </w:r>
    </w:p>
    <w:p w14:paraId="43F8B21D">
      <w:pPr>
        <w:pStyle w:val="15"/>
        <w:rPr>
          <w:rFonts w:hint="default"/>
        </w:rPr>
      </w:pPr>
    </w:p>
    <w:p w14:paraId="25D5D0CC">
      <w:pPr>
        <w:rPr>
          <w:rFonts w:hint="default"/>
        </w:rPr>
      </w:pPr>
    </w:p>
    <w:p w14:paraId="2FAA788E">
      <w:pPr>
        <w:rPr>
          <w:rFonts w:hint="default"/>
          <w:b/>
          <w:sz w:val="36"/>
          <w:szCs w:val="36"/>
        </w:rPr>
      </w:pPr>
      <w:bookmarkStart w:id="89" w:name="_Toc2976"/>
      <w:r>
        <w:rPr>
          <w:rFonts w:hint="default"/>
          <w:b/>
          <w:sz w:val="36"/>
          <w:szCs w:val="36"/>
        </w:rPr>
        <w:br w:type="page"/>
      </w:r>
    </w:p>
    <w:p w14:paraId="310FB63E">
      <w:pPr>
        <w:pStyle w:val="6"/>
        <w:snapToGrid w:val="0"/>
        <w:spacing w:before="156" w:after="156" w:line="360" w:lineRule="auto"/>
        <w:jc w:val="center"/>
        <w:outlineLvl w:val="0"/>
        <w:rPr>
          <w:rFonts w:hint="default" w:ascii="Times New Roman" w:hAnsi="Times New Roman"/>
          <w:b/>
          <w:sz w:val="36"/>
          <w:szCs w:val="36"/>
        </w:rPr>
      </w:pPr>
      <w:r>
        <w:rPr>
          <w:rFonts w:hint="default" w:ascii="Times New Roman" w:hAnsi="Times New Roman"/>
          <w:b/>
          <w:sz w:val="36"/>
          <w:szCs w:val="36"/>
        </w:rPr>
        <w:t>第六章　投标文件格式</w:t>
      </w:r>
      <w:bookmarkEnd w:id="85"/>
      <w:bookmarkEnd w:id="89"/>
    </w:p>
    <w:p w14:paraId="7BF9F79D">
      <w:pPr>
        <w:snapToGrid w:val="0"/>
        <w:spacing w:beforeLines="50" w:after="50" w:line="360" w:lineRule="auto"/>
        <w:rPr>
          <w:rFonts w:hint="default"/>
          <w:b/>
          <w:sz w:val="24"/>
        </w:rPr>
      </w:pPr>
      <w:r>
        <w:rPr>
          <w:rFonts w:hint="default"/>
          <w:b/>
          <w:sz w:val="24"/>
        </w:rPr>
        <w:t>1.电子备份投标文件的外包装封面格式</w:t>
      </w:r>
    </w:p>
    <w:p w14:paraId="0EB64792">
      <w:pPr>
        <w:snapToGrid w:val="0"/>
        <w:spacing w:beforeLines="50" w:after="50" w:line="360" w:lineRule="auto"/>
        <w:rPr>
          <w:rFonts w:hint="default"/>
          <w:bCs/>
          <w:sz w:val="24"/>
        </w:rPr>
      </w:pPr>
    </w:p>
    <w:p w14:paraId="4298190D">
      <w:pPr>
        <w:snapToGrid w:val="0"/>
        <w:spacing w:beforeLines="50" w:after="50" w:line="360" w:lineRule="auto"/>
        <w:jc w:val="center"/>
        <w:rPr>
          <w:rFonts w:hint="default"/>
          <w:b/>
          <w:bCs/>
          <w:sz w:val="52"/>
          <w:szCs w:val="52"/>
        </w:rPr>
      </w:pPr>
      <w:r>
        <w:rPr>
          <w:rFonts w:hint="default"/>
          <w:b/>
          <w:bCs/>
          <w:sz w:val="52"/>
          <w:szCs w:val="52"/>
        </w:rPr>
        <w:t>电子备份投标文件</w:t>
      </w:r>
    </w:p>
    <w:p w14:paraId="587F719E">
      <w:pPr>
        <w:snapToGrid w:val="0"/>
        <w:spacing w:beforeLines="50" w:after="50" w:line="360" w:lineRule="auto"/>
        <w:rPr>
          <w:rFonts w:hint="default"/>
          <w:bCs/>
          <w:sz w:val="24"/>
        </w:rPr>
      </w:pPr>
    </w:p>
    <w:p w14:paraId="7605AEE8">
      <w:pPr>
        <w:snapToGrid w:val="0"/>
        <w:spacing w:beforeLines="50" w:after="50" w:line="360" w:lineRule="auto"/>
        <w:ind w:firstLine="1120" w:firstLineChars="400"/>
        <w:rPr>
          <w:rFonts w:hint="default"/>
          <w:bCs/>
          <w:sz w:val="28"/>
          <w:szCs w:val="28"/>
        </w:rPr>
      </w:pPr>
      <w:r>
        <w:rPr>
          <w:rFonts w:hint="default"/>
          <w:bCs/>
          <w:sz w:val="28"/>
          <w:szCs w:val="28"/>
        </w:rPr>
        <w:t>项目名称：</w:t>
      </w:r>
      <w:r>
        <w:rPr>
          <w:bCs/>
          <w:sz w:val="28"/>
          <w:szCs w:val="28"/>
        </w:rPr>
        <w:t>浙江省中医院医学整形美容科（西溪）运营服务</w:t>
      </w:r>
    </w:p>
    <w:p w14:paraId="0BD37AA8">
      <w:pPr>
        <w:snapToGrid w:val="0"/>
        <w:spacing w:beforeLines="50" w:after="50" w:line="360" w:lineRule="auto"/>
        <w:ind w:firstLine="1120" w:firstLineChars="400"/>
        <w:rPr>
          <w:rFonts w:hint="default"/>
          <w:bCs/>
          <w:sz w:val="28"/>
          <w:szCs w:val="28"/>
        </w:rPr>
      </w:pPr>
      <w:r>
        <w:rPr>
          <w:rFonts w:hint="default"/>
          <w:bCs/>
          <w:sz w:val="28"/>
          <w:szCs w:val="28"/>
        </w:rPr>
        <w:t>项目编号：</w:t>
      </w:r>
    </w:p>
    <w:p w14:paraId="6C601AB4">
      <w:pPr>
        <w:snapToGrid w:val="0"/>
        <w:spacing w:beforeLines="50" w:after="50" w:line="360" w:lineRule="auto"/>
        <w:ind w:firstLine="1260" w:firstLineChars="450"/>
        <w:rPr>
          <w:rFonts w:hint="default"/>
          <w:bCs/>
          <w:sz w:val="28"/>
          <w:szCs w:val="28"/>
        </w:rPr>
      </w:pPr>
    </w:p>
    <w:p w14:paraId="43138638">
      <w:pPr>
        <w:snapToGrid w:val="0"/>
        <w:spacing w:beforeLines="50" w:after="50" w:line="360" w:lineRule="auto"/>
        <w:ind w:firstLine="1260" w:firstLineChars="450"/>
        <w:rPr>
          <w:rFonts w:hint="default"/>
          <w:bCs/>
          <w:sz w:val="28"/>
          <w:szCs w:val="28"/>
        </w:rPr>
      </w:pPr>
    </w:p>
    <w:p w14:paraId="1177B60D">
      <w:pPr>
        <w:snapToGrid w:val="0"/>
        <w:spacing w:beforeLines="50" w:after="50" w:line="360" w:lineRule="auto"/>
        <w:ind w:firstLine="1260" w:firstLineChars="450"/>
        <w:rPr>
          <w:rFonts w:hint="default"/>
          <w:bCs/>
          <w:sz w:val="28"/>
          <w:szCs w:val="28"/>
        </w:rPr>
      </w:pPr>
    </w:p>
    <w:p w14:paraId="4D89517B">
      <w:pPr>
        <w:pStyle w:val="10"/>
        <w:snapToGrid w:val="0"/>
        <w:spacing w:before="50" w:after="50" w:line="360" w:lineRule="auto"/>
        <w:ind w:firstLine="1260" w:firstLineChars="450"/>
        <w:rPr>
          <w:rFonts w:hint="default"/>
          <w:bCs/>
          <w:sz w:val="28"/>
          <w:szCs w:val="28"/>
        </w:rPr>
      </w:pPr>
    </w:p>
    <w:p w14:paraId="253408F6">
      <w:pPr>
        <w:pStyle w:val="10"/>
        <w:snapToGrid w:val="0"/>
        <w:spacing w:before="50" w:after="50" w:line="360" w:lineRule="auto"/>
        <w:ind w:firstLine="1260" w:firstLineChars="450"/>
        <w:rPr>
          <w:rFonts w:hint="default"/>
          <w:bCs/>
          <w:sz w:val="28"/>
          <w:szCs w:val="28"/>
        </w:rPr>
      </w:pPr>
    </w:p>
    <w:p w14:paraId="0EF07281">
      <w:pPr>
        <w:pStyle w:val="10"/>
        <w:snapToGrid w:val="0"/>
        <w:spacing w:before="50" w:after="50" w:line="360" w:lineRule="auto"/>
        <w:ind w:firstLine="1260" w:firstLineChars="450"/>
        <w:rPr>
          <w:rFonts w:hint="default"/>
          <w:bCs/>
          <w:sz w:val="28"/>
          <w:szCs w:val="28"/>
        </w:rPr>
      </w:pPr>
    </w:p>
    <w:p w14:paraId="2053E858">
      <w:pPr>
        <w:pStyle w:val="10"/>
        <w:snapToGrid w:val="0"/>
        <w:spacing w:before="50" w:after="50" w:line="360" w:lineRule="auto"/>
        <w:ind w:firstLine="1260" w:firstLineChars="450"/>
        <w:rPr>
          <w:rFonts w:hint="default"/>
          <w:bCs/>
          <w:sz w:val="28"/>
          <w:szCs w:val="28"/>
        </w:rPr>
      </w:pPr>
      <w:r>
        <w:rPr>
          <w:rFonts w:hint="default"/>
          <w:bCs/>
          <w:sz w:val="28"/>
          <w:szCs w:val="28"/>
        </w:rPr>
        <w:t>投标人名称：</w:t>
      </w:r>
    </w:p>
    <w:p w14:paraId="6D4F2F76">
      <w:pPr>
        <w:pStyle w:val="10"/>
        <w:snapToGrid w:val="0"/>
        <w:spacing w:before="50" w:after="50" w:line="360" w:lineRule="auto"/>
        <w:ind w:firstLine="1260" w:firstLineChars="450"/>
        <w:rPr>
          <w:rFonts w:hint="default"/>
          <w:bCs/>
          <w:sz w:val="28"/>
          <w:szCs w:val="28"/>
        </w:rPr>
      </w:pPr>
      <w:r>
        <w:rPr>
          <w:rFonts w:hint="default"/>
          <w:bCs/>
          <w:sz w:val="28"/>
          <w:szCs w:val="28"/>
        </w:rPr>
        <w:t>投标人地址：</w:t>
      </w:r>
    </w:p>
    <w:p w14:paraId="1632C262">
      <w:pPr>
        <w:pStyle w:val="10"/>
        <w:snapToGrid w:val="0"/>
        <w:spacing w:before="50" w:after="50" w:line="360" w:lineRule="auto"/>
        <w:ind w:firstLine="1260" w:firstLineChars="450"/>
        <w:rPr>
          <w:rFonts w:hint="default"/>
          <w:bCs/>
          <w:sz w:val="28"/>
          <w:szCs w:val="28"/>
        </w:rPr>
      </w:pPr>
      <w:r>
        <w:rPr>
          <w:rFonts w:hint="default"/>
          <w:bCs/>
          <w:sz w:val="28"/>
          <w:szCs w:val="28"/>
        </w:rPr>
        <w:t>在</w:t>
      </w:r>
      <w:r>
        <w:rPr>
          <w:rFonts w:hint="eastAsia"/>
          <w:bCs/>
          <w:sz w:val="28"/>
          <w:szCs w:val="28"/>
          <w:lang w:val="en-US" w:eastAsia="zh-CN"/>
        </w:rPr>
        <w:t xml:space="preserve">  </w:t>
      </w:r>
      <w:r>
        <w:rPr>
          <w:rFonts w:hint="default"/>
          <w:bCs/>
          <w:sz w:val="28"/>
          <w:szCs w:val="28"/>
        </w:rPr>
        <w:t>年</w:t>
      </w:r>
      <w:r>
        <w:rPr>
          <w:rFonts w:hint="eastAsia"/>
          <w:bCs/>
          <w:sz w:val="28"/>
          <w:szCs w:val="28"/>
          <w:lang w:val="en-US" w:eastAsia="zh-CN"/>
        </w:rPr>
        <w:t xml:space="preserve">  </w:t>
      </w:r>
      <w:r>
        <w:rPr>
          <w:rFonts w:hint="default"/>
          <w:bCs/>
          <w:sz w:val="28"/>
          <w:szCs w:val="28"/>
        </w:rPr>
        <w:t>月</w:t>
      </w:r>
      <w:r>
        <w:rPr>
          <w:rFonts w:hint="eastAsia"/>
          <w:bCs/>
          <w:sz w:val="28"/>
          <w:szCs w:val="28"/>
          <w:lang w:val="en-US" w:eastAsia="zh-CN"/>
        </w:rPr>
        <w:t xml:space="preserve">  </w:t>
      </w:r>
      <w:r>
        <w:rPr>
          <w:rFonts w:hint="default"/>
          <w:bCs/>
          <w:sz w:val="28"/>
          <w:szCs w:val="28"/>
        </w:rPr>
        <w:t>日</w:t>
      </w:r>
      <w:r>
        <w:rPr>
          <w:rFonts w:hint="eastAsia"/>
          <w:bCs/>
          <w:sz w:val="28"/>
          <w:szCs w:val="28"/>
          <w:lang w:val="en-US" w:eastAsia="zh-CN"/>
        </w:rPr>
        <w:t xml:space="preserve">  </w:t>
      </w:r>
      <w:r>
        <w:rPr>
          <w:rFonts w:hint="default"/>
          <w:bCs/>
          <w:sz w:val="28"/>
          <w:szCs w:val="28"/>
        </w:rPr>
        <w:t>时</w:t>
      </w:r>
      <w:r>
        <w:rPr>
          <w:rFonts w:hint="eastAsia"/>
          <w:bCs/>
          <w:sz w:val="28"/>
          <w:szCs w:val="28"/>
          <w:lang w:val="en-US" w:eastAsia="zh-CN"/>
        </w:rPr>
        <w:t xml:space="preserve">  </w:t>
      </w:r>
      <w:r>
        <w:rPr>
          <w:rFonts w:hint="default"/>
          <w:bCs/>
          <w:sz w:val="28"/>
          <w:szCs w:val="28"/>
        </w:rPr>
        <w:t>分之前不得启封</w:t>
      </w:r>
    </w:p>
    <w:p w14:paraId="1C34E8F6">
      <w:pPr>
        <w:pStyle w:val="10"/>
        <w:snapToGrid w:val="0"/>
        <w:spacing w:before="50" w:after="50" w:line="360" w:lineRule="auto"/>
        <w:ind w:firstLine="1164" w:firstLineChars="416"/>
        <w:rPr>
          <w:rFonts w:hint="default"/>
          <w:sz w:val="28"/>
          <w:szCs w:val="28"/>
        </w:rPr>
      </w:pPr>
    </w:p>
    <w:p w14:paraId="04F32C05">
      <w:pPr>
        <w:snapToGrid w:val="0"/>
        <w:spacing w:beforeLines="50" w:after="50" w:line="360" w:lineRule="auto"/>
        <w:ind w:firstLine="1139" w:firstLineChars="407"/>
        <w:jc w:val="center"/>
        <w:rPr>
          <w:rFonts w:hint="default"/>
          <w:sz w:val="28"/>
          <w:szCs w:val="28"/>
        </w:rPr>
      </w:pPr>
      <w:r>
        <w:rPr>
          <w:rFonts w:hint="default"/>
          <w:sz w:val="28"/>
          <w:szCs w:val="28"/>
        </w:rPr>
        <w:t>年</w:t>
      </w:r>
      <w:r>
        <w:rPr>
          <w:rFonts w:hint="eastAsia"/>
          <w:sz w:val="28"/>
          <w:szCs w:val="28"/>
          <w:lang w:val="en-US" w:eastAsia="zh-CN"/>
        </w:rPr>
        <w:t xml:space="preserve">  </w:t>
      </w:r>
      <w:r>
        <w:rPr>
          <w:rFonts w:hint="default"/>
          <w:sz w:val="28"/>
          <w:szCs w:val="28"/>
        </w:rPr>
        <w:t>月</w:t>
      </w:r>
      <w:r>
        <w:rPr>
          <w:rFonts w:hint="eastAsia"/>
          <w:sz w:val="28"/>
          <w:szCs w:val="28"/>
          <w:lang w:val="en-US" w:eastAsia="zh-CN"/>
        </w:rPr>
        <w:t xml:space="preserve">  </w:t>
      </w:r>
      <w:r>
        <w:rPr>
          <w:rFonts w:hint="default"/>
          <w:sz w:val="28"/>
          <w:szCs w:val="28"/>
        </w:rPr>
        <w:t>日</w:t>
      </w:r>
    </w:p>
    <w:p w14:paraId="07D4D9B0">
      <w:pPr>
        <w:snapToGrid w:val="0"/>
        <w:spacing w:beforeLines="50" w:after="50" w:line="360" w:lineRule="auto"/>
        <w:rPr>
          <w:rFonts w:hint="default"/>
          <w:b/>
          <w:sz w:val="24"/>
        </w:rPr>
      </w:pPr>
      <w:r>
        <w:rPr>
          <w:rFonts w:hint="default"/>
          <w:sz w:val="28"/>
          <w:szCs w:val="28"/>
        </w:rPr>
        <w:br w:type="page"/>
      </w:r>
      <w:r>
        <w:rPr>
          <w:rFonts w:hint="default"/>
          <w:b/>
          <w:sz w:val="24"/>
        </w:rPr>
        <w:t>2.资格证明/商务技术/报价</w:t>
      </w:r>
      <w:r>
        <w:rPr>
          <w:rFonts w:hint="default"/>
          <w:b/>
          <w:bCs/>
          <w:sz w:val="24"/>
        </w:rPr>
        <w:t>文件</w:t>
      </w:r>
      <w:r>
        <w:rPr>
          <w:rFonts w:hint="default"/>
          <w:b/>
          <w:sz w:val="24"/>
        </w:rPr>
        <w:t>封面格式</w:t>
      </w:r>
    </w:p>
    <w:p w14:paraId="54F17EB4">
      <w:pPr>
        <w:snapToGrid w:val="0"/>
        <w:spacing w:beforeLines="50" w:after="50" w:line="360" w:lineRule="auto"/>
        <w:rPr>
          <w:rFonts w:hint="default"/>
          <w:sz w:val="24"/>
        </w:rPr>
      </w:pPr>
    </w:p>
    <w:p w14:paraId="116057FD">
      <w:pPr>
        <w:snapToGrid w:val="0"/>
        <w:spacing w:beforeLines="50" w:after="50" w:line="360" w:lineRule="auto"/>
        <w:rPr>
          <w:rFonts w:hint="default"/>
          <w:b/>
          <w:bCs/>
          <w:sz w:val="32"/>
        </w:rPr>
      </w:pPr>
    </w:p>
    <w:p w14:paraId="4612B9E4">
      <w:pPr>
        <w:snapToGrid w:val="0"/>
        <w:spacing w:beforeLines="50" w:after="50" w:line="360" w:lineRule="auto"/>
        <w:jc w:val="center"/>
        <w:rPr>
          <w:rFonts w:hint="default"/>
          <w:bCs/>
          <w:sz w:val="24"/>
        </w:rPr>
      </w:pPr>
    </w:p>
    <w:p w14:paraId="7BBFCCF1">
      <w:pPr>
        <w:snapToGrid w:val="0"/>
        <w:spacing w:beforeLines="50" w:after="50" w:line="360" w:lineRule="auto"/>
        <w:jc w:val="center"/>
        <w:rPr>
          <w:rFonts w:hint="default"/>
          <w:b/>
          <w:bCs/>
          <w:sz w:val="52"/>
          <w:szCs w:val="52"/>
        </w:rPr>
      </w:pPr>
      <w:r>
        <w:rPr>
          <w:rFonts w:hint="default"/>
          <w:b/>
          <w:bCs/>
          <w:sz w:val="52"/>
          <w:szCs w:val="52"/>
        </w:rPr>
        <w:t>资格证明/商务技术/报价文件</w:t>
      </w:r>
    </w:p>
    <w:p w14:paraId="3EE72AEB">
      <w:pPr>
        <w:snapToGrid w:val="0"/>
        <w:spacing w:beforeLines="50" w:after="50" w:line="360" w:lineRule="auto"/>
        <w:rPr>
          <w:rFonts w:hint="default"/>
          <w:bCs/>
          <w:sz w:val="24"/>
        </w:rPr>
      </w:pPr>
    </w:p>
    <w:p w14:paraId="58E64840">
      <w:pPr>
        <w:snapToGrid w:val="0"/>
        <w:spacing w:beforeLines="50" w:after="50" w:line="360" w:lineRule="auto"/>
        <w:ind w:firstLine="1120" w:firstLineChars="400"/>
        <w:rPr>
          <w:rFonts w:hint="default"/>
          <w:bCs/>
          <w:sz w:val="28"/>
          <w:szCs w:val="28"/>
        </w:rPr>
      </w:pPr>
      <w:r>
        <w:rPr>
          <w:rFonts w:hint="default"/>
          <w:bCs/>
          <w:sz w:val="28"/>
          <w:szCs w:val="28"/>
        </w:rPr>
        <w:t>项目名称：</w:t>
      </w:r>
      <w:r>
        <w:rPr>
          <w:bCs/>
          <w:sz w:val="28"/>
          <w:szCs w:val="28"/>
        </w:rPr>
        <w:t>浙江省中医院医学整形美容科（西溪）运营服务</w:t>
      </w:r>
    </w:p>
    <w:p w14:paraId="6380E906">
      <w:pPr>
        <w:snapToGrid w:val="0"/>
        <w:spacing w:beforeLines="50" w:after="50" w:line="360" w:lineRule="auto"/>
        <w:ind w:firstLine="1120" w:firstLineChars="400"/>
        <w:rPr>
          <w:rFonts w:hint="default"/>
          <w:bCs/>
          <w:sz w:val="28"/>
          <w:szCs w:val="28"/>
        </w:rPr>
      </w:pPr>
      <w:r>
        <w:rPr>
          <w:rFonts w:hint="default"/>
          <w:bCs/>
          <w:sz w:val="28"/>
          <w:szCs w:val="28"/>
        </w:rPr>
        <w:t>项目编号：</w:t>
      </w:r>
    </w:p>
    <w:p w14:paraId="19F422CF">
      <w:pPr>
        <w:snapToGrid w:val="0"/>
        <w:spacing w:beforeLines="50" w:after="50" w:line="360" w:lineRule="auto"/>
        <w:ind w:firstLine="560" w:firstLineChars="200"/>
        <w:rPr>
          <w:rFonts w:hint="default"/>
          <w:bCs/>
          <w:sz w:val="28"/>
          <w:szCs w:val="28"/>
        </w:rPr>
      </w:pPr>
    </w:p>
    <w:p w14:paraId="65F18EA1">
      <w:pPr>
        <w:snapToGrid w:val="0"/>
        <w:spacing w:beforeLines="50" w:after="50" w:line="360" w:lineRule="auto"/>
        <w:ind w:firstLine="560" w:firstLineChars="200"/>
        <w:rPr>
          <w:rFonts w:hint="default"/>
          <w:bCs/>
          <w:sz w:val="28"/>
          <w:szCs w:val="28"/>
        </w:rPr>
      </w:pPr>
    </w:p>
    <w:p w14:paraId="3A6AA964">
      <w:pPr>
        <w:pStyle w:val="10"/>
        <w:snapToGrid w:val="0"/>
        <w:spacing w:before="50" w:after="50" w:line="360" w:lineRule="auto"/>
        <w:ind w:firstLine="1260" w:firstLineChars="450"/>
        <w:rPr>
          <w:rFonts w:hint="default"/>
          <w:bCs/>
          <w:sz w:val="28"/>
          <w:szCs w:val="28"/>
        </w:rPr>
      </w:pPr>
    </w:p>
    <w:p w14:paraId="0E4C321C">
      <w:pPr>
        <w:pStyle w:val="10"/>
        <w:snapToGrid w:val="0"/>
        <w:spacing w:before="50" w:after="50" w:line="360" w:lineRule="auto"/>
        <w:ind w:firstLine="1260" w:firstLineChars="450"/>
        <w:rPr>
          <w:rFonts w:hint="default"/>
          <w:bCs/>
          <w:sz w:val="28"/>
          <w:szCs w:val="28"/>
        </w:rPr>
      </w:pPr>
    </w:p>
    <w:p w14:paraId="4F5DD510">
      <w:pPr>
        <w:pStyle w:val="10"/>
        <w:snapToGrid w:val="0"/>
        <w:spacing w:before="50" w:after="50" w:line="360" w:lineRule="auto"/>
        <w:ind w:firstLine="1260" w:firstLineChars="450"/>
        <w:rPr>
          <w:rFonts w:hint="default"/>
          <w:bCs/>
          <w:sz w:val="28"/>
          <w:szCs w:val="28"/>
        </w:rPr>
      </w:pPr>
    </w:p>
    <w:p w14:paraId="73ECDA90">
      <w:pPr>
        <w:pStyle w:val="10"/>
        <w:snapToGrid w:val="0"/>
        <w:spacing w:before="50" w:after="50" w:line="360" w:lineRule="auto"/>
        <w:ind w:firstLine="1260" w:firstLineChars="450"/>
        <w:rPr>
          <w:rFonts w:hint="default"/>
          <w:bCs/>
          <w:sz w:val="28"/>
          <w:szCs w:val="28"/>
        </w:rPr>
      </w:pPr>
    </w:p>
    <w:p w14:paraId="75308CD0">
      <w:pPr>
        <w:pStyle w:val="10"/>
        <w:snapToGrid w:val="0"/>
        <w:spacing w:before="50" w:after="50" w:line="360" w:lineRule="auto"/>
        <w:ind w:firstLine="1260" w:firstLineChars="450"/>
        <w:rPr>
          <w:rFonts w:hint="default"/>
          <w:bCs/>
          <w:sz w:val="28"/>
          <w:szCs w:val="28"/>
        </w:rPr>
      </w:pPr>
      <w:r>
        <w:rPr>
          <w:rFonts w:hint="default"/>
          <w:bCs/>
          <w:sz w:val="28"/>
          <w:szCs w:val="28"/>
        </w:rPr>
        <w:t>投标人名称：</w:t>
      </w:r>
    </w:p>
    <w:p w14:paraId="3073A26E">
      <w:pPr>
        <w:pStyle w:val="10"/>
        <w:snapToGrid w:val="0"/>
        <w:spacing w:before="50" w:after="50" w:line="360" w:lineRule="auto"/>
        <w:ind w:firstLine="1260" w:firstLineChars="450"/>
        <w:rPr>
          <w:rFonts w:hint="default"/>
          <w:bCs/>
          <w:sz w:val="28"/>
          <w:szCs w:val="28"/>
        </w:rPr>
      </w:pPr>
      <w:r>
        <w:rPr>
          <w:rFonts w:hint="default"/>
          <w:bCs/>
          <w:sz w:val="28"/>
          <w:szCs w:val="28"/>
        </w:rPr>
        <w:t>投标人地址：</w:t>
      </w:r>
    </w:p>
    <w:p w14:paraId="162F28E5">
      <w:pPr>
        <w:snapToGrid w:val="0"/>
        <w:spacing w:beforeLines="50" w:after="50" w:line="360" w:lineRule="auto"/>
        <w:ind w:firstLine="645"/>
        <w:jc w:val="center"/>
        <w:rPr>
          <w:rFonts w:hint="default"/>
          <w:sz w:val="28"/>
          <w:szCs w:val="28"/>
        </w:rPr>
      </w:pPr>
    </w:p>
    <w:p w14:paraId="10A7DBB7">
      <w:pPr>
        <w:snapToGrid w:val="0"/>
        <w:spacing w:beforeLines="50" w:after="50" w:line="360" w:lineRule="auto"/>
        <w:ind w:firstLine="645"/>
        <w:jc w:val="center"/>
        <w:outlineLvl w:val="0"/>
        <w:rPr>
          <w:rFonts w:hint="default"/>
          <w:sz w:val="24"/>
        </w:rPr>
      </w:pPr>
      <w:bookmarkStart w:id="90" w:name="_Toc32422"/>
      <w:bookmarkStart w:id="91" w:name="_Toc29838"/>
      <w:bookmarkStart w:id="92" w:name="_Toc22374"/>
      <w:bookmarkStart w:id="93" w:name="_Toc20164"/>
      <w:bookmarkStart w:id="94" w:name="_Toc32368"/>
      <w:bookmarkStart w:id="95" w:name="_Toc25091"/>
      <w:r>
        <w:rPr>
          <w:rFonts w:hint="default"/>
          <w:sz w:val="28"/>
          <w:szCs w:val="28"/>
        </w:rPr>
        <w:t>年</w:t>
      </w:r>
      <w:r>
        <w:rPr>
          <w:rFonts w:hint="eastAsia"/>
          <w:sz w:val="28"/>
          <w:szCs w:val="28"/>
          <w:lang w:val="en-US" w:eastAsia="zh-CN"/>
        </w:rPr>
        <w:t xml:space="preserve">  </w:t>
      </w:r>
      <w:r>
        <w:rPr>
          <w:rFonts w:hint="default"/>
          <w:sz w:val="28"/>
          <w:szCs w:val="28"/>
        </w:rPr>
        <w:t>月</w:t>
      </w:r>
      <w:r>
        <w:rPr>
          <w:rFonts w:hint="eastAsia"/>
          <w:sz w:val="28"/>
          <w:szCs w:val="28"/>
          <w:lang w:val="en-US" w:eastAsia="zh-CN"/>
        </w:rPr>
        <w:t xml:space="preserve">  </w:t>
      </w:r>
      <w:r>
        <w:rPr>
          <w:rFonts w:hint="default"/>
          <w:sz w:val="28"/>
          <w:szCs w:val="28"/>
        </w:rPr>
        <w:t>日</w:t>
      </w:r>
      <w:bookmarkEnd w:id="90"/>
      <w:bookmarkEnd w:id="91"/>
      <w:bookmarkEnd w:id="92"/>
      <w:bookmarkEnd w:id="93"/>
      <w:bookmarkEnd w:id="94"/>
      <w:bookmarkEnd w:id="95"/>
    </w:p>
    <w:p w14:paraId="7F093DB1">
      <w:pPr>
        <w:pStyle w:val="40"/>
        <w:rPr>
          <w:rFonts w:hint="default"/>
        </w:rPr>
      </w:pPr>
    </w:p>
    <w:p w14:paraId="00A3BF33">
      <w:pPr>
        <w:pageBreakBefore/>
        <w:snapToGrid w:val="0"/>
        <w:spacing w:line="360" w:lineRule="auto"/>
        <w:jc w:val="center"/>
        <w:outlineLvl w:val="1"/>
        <w:rPr>
          <w:rFonts w:hint="default"/>
          <w:b/>
          <w:bCs/>
          <w:kern w:val="0"/>
          <w:sz w:val="36"/>
          <w:szCs w:val="36"/>
        </w:rPr>
      </w:pPr>
      <w:r>
        <w:rPr>
          <w:rFonts w:hint="default"/>
          <w:b/>
          <w:bCs/>
          <w:kern w:val="0"/>
          <w:sz w:val="36"/>
          <w:szCs w:val="36"/>
        </w:rPr>
        <w:t>资格文件</w:t>
      </w:r>
      <w:bookmarkEnd w:id="84"/>
    </w:p>
    <w:p w14:paraId="243F6FC7">
      <w:pPr>
        <w:snapToGrid w:val="0"/>
        <w:spacing w:line="300" w:lineRule="auto"/>
        <w:jc w:val="center"/>
        <w:rPr>
          <w:rFonts w:hint="default" w:ascii="Arial" w:hAnsi="Arial" w:cs="Arial"/>
          <w:b/>
          <w:kern w:val="0"/>
          <w:sz w:val="28"/>
          <w:szCs w:val="28"/>
        </w:rPr>
      </w:pPr>
      <w:r>
        <w:rPr>
          <w:rFonts w:ascii="Arial" w:hAnsi="Arial" w:cs="Arial"/>
          <w:b/>
          <w:kern w:val="0"/>
          <w:sz w:val="28"/>
          <w:szCs w:val="28"/>
        </w:rPr>
        <w:t>一、营业执照（或其他同类证明文件）</w:t>
      </w:r>
    </w:p>
    <w:p w14:paraId="46AAC701">
      <w:pPr>
        <w:autoSpaceDN w:val="0"/>
        <w:adjustRightInd w:val="0"/>
        <w:snapToGrid w:val="0"/>
        <w:spacing w:line="480" w:lineRule="auto"/>
        <w:jc w:val="center"/>
        <w:rPr>
          <w:rFonts w:hint="default"/>
          <w:b/>
          <w:sz w:val="24"/>
          <w:szCs w:val="24"/>
        </w:rPr>
      </w:pPr>
      <w:r>
        <w:rPr>
          <w:b/>
          <w:sz w:val="24"/>
          <w:szCs w:val="24"/>
        </w:rPr>
        <w:t>营业执照等证明文件</w:t>
      </w:r>
    </w:p>
    <w:tbl>
      <w:tblPr>
        <w:tblStyle w:val="42"/>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14:paraId="6CDA2166">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14:paraId="704BF32D">
            <w:pPr>
              <w:autoSpaceDN w:val="0"/>
              <w:spacing w:line="360" w:lineRule="auto"/>
              <w:jc w:val="left"/>
              <w:rPr>
                <w:rFonts w:hint="default"/>
                <w:b/>
                <w:sz w:val="24"/>
                <w:szCs w:val="24"/>
              </w:rPr>
            </w:pPr>
            <w:r>
              <w:rPr>
                <w:b/>
                <w:sz w:val="24"/>
                <w:szCs w:val="24"/>
              </w:rPr>
              <w:t>证明材料：</w:t>
            </w:r>
            <w:r>
              <w:rPr>
                <w:b/>
                <w:sz w:val="24"/>
                <w:szCs w:val="24"/>
                <w:u w:val="single"/>
              </w:rPr>
              <w:t>营业执照（或事业单位法人证书或执业许可证或自然人有效身份证明）</w:t>
            </w:r>
            <w:r>
              <w:rPr>
                <w:sz w:val="24"/>
                <w:szCs w:val="24"/>
              </w:rPr>
              <w:t>（提供扫描件加盖供应商公章）。</w:t>
            </w:r>
          </w:p>
          <w:p w14:paraId="0574A988">
            <w:pPr>
              <w:autoSpaceDN w:val="0"/>
              <w:spacing w:line="360" w:lineRule="auto"/>
              <w:jc w:val="left"/>
              <w:rPr>
                <w:rFonts w:hint="default"/>
                <w:i/>
                <w:sz w:val="24"/>
                <w:szCs w:val="24"/>
              </w:rPr>
            </w:pPr>
          </w:p>
          <w:p w14:paraId="4A0E6B78">
            <w:pPr>
              <w:autoSpaceDN w:val="0"/>
              <w:spacing w:line="360" w:lineRule="auto"/>
              <w:jc w:val="left"/>
              <w:rPr>
                <w:rFonts w:hint="default"/>
                <w:b/>
                <w:i/>
                <w:sz w:val="24"/>
                <w:szCs w:val="24"/>
              </w:rPr>
            </w:pPr>
            <w:r>
              <w:rPr>
                <w:b/>
                <w:i/>
                <w:sz w:val="24"/>
                <w:szCs w:val="24"/>
              </w:rPr>
              <w:t>提示和说明：</w:t>
            </w:r>
          </w:p>
          <w:p w14:paraId="12491D82">
            <w:pPr>
              <w:autoSpaceDN w:val="0"/>
              <w:spacing w:line="360" w:lineRule="auto"/>
              <w:ind w:firstLine="316" w:firstLineChars="132"/>
              <w:jc w:val="left"/>
              <w:rPr>
                <w:rFonts w:hint="default"/>
                <w:sz w:val="24"/>
                <w:szCs w:val="24"/>
              </w:rPr>
            </w:pPr>
            <w:r>
              <w:rPr>
                <w:sz w:val="24"/>
                <w:szCs w:val="24"/>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23F80499">
            <w:pPr>
              <w:autoSpaceDN w:val="0"/>
              <w:spacing w:line="360" w:lineRule="auto"/>
              <w:ind w:firstLine="362" w:firstLineChars="151"/>
              <w:jc w:val="left"/>
              <w:rPr>
                <w:rFonts w:hint="default"/>
                <w:sz w:val="24"/>
                <w:szCs w:val="24"/>
              </w:rPr>
            </w:pPr>
            <w:r>
              <w:rPr>
                <w:sz w:val="24"/>
                <w:szCs w:val="24"/>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14:paraId="16F0F726">
            <w:pPr>
              <w:keepNext/>
              <w:keepLines/>
              <w:autoSpaceDN w:val="0"/>
              <w:spacing w:before="260" w:after="260" w:line="415" w:lineRule="auto"/>
              <w:ind w:firstLine="281"/>
              <w:outlineLvl w:val="2"/>
              <w:rPr>
                <w:rFonts w:hint="default"/>
                <w:b/>
                <w:bCs/>
                <w:i/>
                <w:kern w:val="0"/>
                <w:sz w:val="24"/>
                <w:szCs w:val="24"/>
              </w:rPr>
            </w:pPr>
            <w:r>
              <w:rPr>
                <w:b/>
                <w:bCs/>
                <w:kern w:val="0"/>
                <w:sz w:val="24"/>
                <w:szCs w:val="24"/>
              </w:rPr>
              <w:t>c.</w:t>
            </w:r>
            <w:r>
              <w:rPr>
                <w:b/>
                <w:bCs/>
                <w:kern w:val="0"/>
                <w:sz w:val="24"/>
                <w:szCs w:val="24"/>
                <w:u w:val="single"/>
              </w:rPr>
              <w:t>供应商为联合体的，联合体各方均须提供</w:t>
            </w:r>
            <w:r>
              <w:rPr>
                <w:b/>
                <w:bCs/>
                <w:kern w:val="0"/>
                <w:sz w:val="24"/>
                <w:szCs w:val="24"/>
              </w:rPr>
              <w:t>。</w:t>
            </w:r>
          </w:p>
        </w:tc>
      </w:tr>
    </w:tbl>
    <w:p w14:paraId="2BD12DA4">
      <w:pPr>
        <w:pStyle w:val="41"/>
        <w:rPr>
          <w:rFonts w:hint="default"/>
        </w:rPr>
      </w:pPr>
    </w:p>
    <w:p w14:paraId="325A99C1">
      <w:pPr>
        <w:snapToGrid w:val="0"/>
        <w:spacing w:line="300" w:lineRule="auto"/>
        <w:jc w:val="center"/>
        <w:rPr>
          <w:rFonts w:hint="default" w:ascii="Arial" w:hAnsi="Arial" w:cs="Arial"/>
          <w:b/>
          <w:kern w:val="0"/>
          <w:sz w:val="28"/>
          <w:szCs w:val="28"/>
        </w:rPr>
      </w:pPr>
    </w:p>
    <w:p w14:paraId="17E88BE2">
      <w:pPr>
        <w:rPr>
          <w:rFonts w:hint="default" w:ascii="Arial" w:hAnsi="Arial" w:cs="Arial"/>
          <w:b/>
          <w:kern w:val="0"/>
          <w:sz w:val="28"/>
          <w:szCs w:val="28"/>
        </w:rPr>
      </w:pPr>
      <w:r>
        <w:rPr>
          <w:rFonts w:ascii="Arial" w:hAnsi="Arial" w:cs="Arial"/>
          <w:b/>
          <w:kern w:val="0"/>
          <w:sz w:val="28"/>
          <w:szCs w:val="28"/>
        </w:rPr>
        <w:br w:type="page"/>
      </w:r>
    </w:p>
    <w:p w14:paraId="304288F2">
      <w:pPr>
        <w:snapToGrid w:val="0"/>
        <w:spacing w:line="300" w:lineRule="auto"/>
        <w:jc w:val="center"/>
        <w:rPr>
          <w:rFonts w:hint="default" w:ascii="Arial" w:hAnsi="Arial" w:cs="Arial"/>
          <w:b/>
          <w:kern w:val="0"/>
          <w:sz w:val="28"/>
          <w:szCs w:val="28"/>
        </w:rPr>
      </w:pPr>
      <w:r>
        <w:rPr>
          <w:rFonts w:ascii="Arial" w:hAnsi="Arial" w:cs="Arial"/>
          <w:b/>
          <w:kern w:val="0"/>
          <w:sz w:val="28"/>
          <w:szCs w:val="28"/>
        </w:rPr>
        <w:t>二、符合参加政府采购活动应当具备的一般条件的承诺函</w:t>
      </w:r>
    </w:p>
    <w:p w14:paraId="6627D547">
      <w:pPr>
        <w:snapToGrid w:val="0"/>
        <w:spacing w:line="360" w:lineRule="auto"/>
        <w:jc w:val="center"/>
        <w:rPr>
          <w:rFonts w:hint="default" w:ascii="Arial" w:hAnsi="Arial" w:cs="Arial"/>
          <w:b/>
          <w:kern w:val="0"/>
          <w:sz w:val="28"/>
          <w:szCs w:val="28"/>
        </w:rPr>
      </w:pPr>
    </w:p>
    <w:p w14:paraId="32B36560">
      <w:pPr>
        <w:pStyle w:val="88"/>
        <w:spacing w:line="360" w:lineRule="auto"/>
        <w:rPr>
          <w:rFonts w:hint="default" w:ascii="宋体" w:hAnsi="宋体" w:eastAsia="宋体" w:cs="宋体"/>
          <w:color w:val="auto"/>
          <w:u w:val="single"/>
        </w:rPr>
      </w:pPr>
      <w:r>
        <w:rPr>
          <w:rFonts w:ascii="宋体" w:hAnsi="宋体" w:eastAsia="宋体" w:cs="宋体"/>
          <w:color w:val="auto"/>
          <w:u w:val="single"/>
        </w:rPr>
        <w:t>浙江省中医院、浙江豪圣建设项目管理有限公司：</w:t>
      </w:r>
    </w:p>
    <w:p w14:paraId="0646E69D">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我方参与【项目名称：】【项目编号：】政府采购活动，郑重承诺：</w:t>
      </w:r>
    </w:p>
    <w:p w14:paraId="3AFCA56D">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（一）具备《中华人民共和国政府采购法》第二十二条第一款规定的条件：</w:t>
      </w:r>
    </w:p>
    <w:p w14:paraId="7B24013A">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1、具有独立承担民事责任的能力；</w:t>
      </w:r>
    </w:p>
    <w:p w14:paraId="486803DC">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 xml:space="preserve">2、具有良好的商业信誉和健全的财务会计制度； </w:t>
      </w:r>
    </w:p>
    <w:p w14:paraId="499817C1">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3、具有履行合同所必需的设备和专业技术能力；</w:t>
      </w:r>
    </w:p>
    <w:p w14:paraId="53DEC651">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4、有依法缴纳税收和社会保障资金的良好记录；</w:t>
      </w:r>
    </w:p>
    <w:p w14:paraId="1529CFDF">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5、参加政府采购活动前三年内，在经营活动中没有重大违法记录；</w:t>
      </w:r>
    </w:p>
    <w:p w14:paraId="7EFED65C">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6、具有法律、行政法规规定的其他条件。</w:t>
      </w:r>
    </w:p>
    <w:p w14:paraId="2D3D63D1">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（二）未被信用中国（www.creditchina.gov.cn)、中国政府采购网（www.ccgp.gov.cn）列入失信被执行人、重大税收违法失信主体、政府采购严重违法失信行为记录名单。</w:t>
      </w:r>
    </w:p>
    <w:p w14:paraId="23AE212F">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（三）不存在以下情况：</w:t>
      </w:r>
    </w:p>
    <w:p w14:paraId="648A80FD">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1、单位负责人为同一人或者存在直接控股、管理关系的不同供应商参加同一合同项下的政府采购活动的；</w:t>
      </w:r>
    </w:p>
    <w:p w14:paraId="680844FC">
      <w:pPr>
        <w:pStyle w:val="88"/>
        <w:spacing w:line="360" w:lineRule="auto"/>
        <w:ind w:firstLine="420" w:firstLineChars="175"/>
        <w:rPr>
          <w:rFonts w:hint="default" w:ascii="宋体" w:hAnsi="宋体" w:eastAsia="宋体" w:cs="宋体"/>
          <w:color w:val="auto"/>
        </w:rPr>
      </w:pPr>
      <w:r>
        <w:rPr>
          <w:rFonts w:ascii="宋体" w:hAnsi="宋体" w:eastAsia="宋体" w:cs="宋体"/>
          <w:color w:val="auto"/>
        </w:rPr>
        <w:t>2、为采购项目提供整体设计、规范编制或者项目管理、监理、检测等服务后再参加该采购项目的其他采购活动的。</w:t>
      </w:r>
    </w:p>
    <w:p w14:paraId="40C2484D">
      <w:pPr>
        <w:pStyle w:val="26"/>
        <w:tabs>
          <w:tab w:val="right" w:leader="dot" w:pos="9403"/>
        </w:tabs>
        <w:spacing w:line="360" w:lineRule="auto"/>
        <w:rPr>
          <w:rFonts w:hint="default" w:ascii="Arial" w:hAnsi="Arial" w:cs="Arial"/>
          <w:sz w:val="24"/>
          <w:szCs w:val="24"/>
        </w:rPr>
      </w:pPr>
      <w:bookmarkStart w:id="96" w:name="_Toc2249"/>
      <w:bookmarkStart w:id="97" w:name="_Toc10512"/>
    </w:p>
    <w:p w14:paraId="198DB707">
      <w:pPr>
        <w:spacing w:line="360" w:lineRule="auto"/>
        <w:rPr>
          <w:rFonts w:hint="default"/>
          <w:sz w:val="24"/>
          <w:szCs w:val="24"/>
        </w:rPr>
      </w:pPr>
    </w:p>
    <w:p w14:paraId="6CDE714D">
      <w:pPr>
        <w:pStyle w:val="88"/>
        <w:spacing w:line="360" w:lineRule="auto"/>
        <w:rPr>
          <w:rFonts w:hint="default" w:ascii="Times New Roman" w:eastAsia="宋体" w:cs="Times New Roman"/>
          <w:color w:val="auto"/>
        </w:rPr>
      </w:pPr>
    </w:p>
    <w:p w14:paraId="34D7F0EF">
      <w:pPr>
        <w:widowControl/>
        <w:spacing w:line="360" w:lineRule="auto"/>
        <w:ind w:firstLine="480" w:firstLineChars="200"/>
        <w:rPr>
          <w:rFonts w:hint="default" w:ascii="Arial" w:hAnsi="Arial" w:cs="Arial"/>
          <w:sz w:val="24"/>
          <w:szCs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r>
        <w:rPr>
          <w:rFonts w:ascii="Arial" w:hAnsi="Arial" w:cs="Arial"/>
          <w:sz w:val="24"/>
          <w:szCs w:val="24"/>
        </w:rPr>
        <w:t>：</w:t>
      </w:r>
    </w:p>
    <w:p w14:paraId="620D71A9">
      <w:pPr>
        <w:widowControl/>
        <w:spacing w:line="360" w:lineRule="auto"/>
        <w:ind w:firstLine="480" w:firstLineChars="200"/>
        <w:rPr>
          <w:rFonts w:hint="default" w:ascii="Arial" w:hAnsi="Arial" w:cs="Arial"/>
          <w:sz w:val="24"/>
          <w:szCs w:val="24"/>
        </w:rPr>
      </w:pPr>
      <w:r>
        <w:rPr>
          <w:rFonts w:ascii="Arial" w:hAnsi="Arial" w:cs="Arial"/>
          <w:sz w:val="24"/>
          <w:szCs w:val="24"/>
        </w:rPr>
        <w:t>日期：</w:t>
      </w:r>
    </w:p>
    <w:p w14:paraId="1693CE1F">
      <w:pPr>
        <w:pStyle w:val="41"/>
        <w:ind w:firstLine="480"/>
        <w:rPr>
          <w:rFonts w:hint="default" w:ascii="宋体" w:hAnsi="宋体" w:cs="宋体"/>
          <w:sz w:val="24"/>
        </w:rPr>
      </w:pPr>
    </w:p>
    <w:p w14:paraId="1992793B">
      <w:pPr>
        <w:snapToGrid w:val="0"/>
        <w:spacing w:line="300" w:lineRule="auto"/>
        <w:jc w:val="center"/>
        <w:rPr>
          <w:rFonts w:hint="default" w:ascii="Arial" w:hAnsi="Arial" w:cs="Arial"/>
          <w:b/>
          <w:kern w:val="0"/>
          <w:sz w:val="28"/>
          <w:szCs w:val="28"/>
          <w:lang w:val="zh-CN"/>
        </w:rPr>
      </w:pPr>
      <w:r>
        <w:rPr>
          <w:rFonts w:ascii="宋体" w:hAnsi="宋体" w:cs="宋体"/>
          <w:b/>
          <w:sz w:val="30"/>
          <w:szCs w:val="30"/>
        </w:rPr>
        <w:br w:type="page"/>
      </w:r>
      <w:bookmarkStart w:id="98" w:name="_Toc19361"/>
      <w:bookmarkStart w:id="99" w:name="_Toc18889"/>
      <w:bookmarkStart w:id="100" w:name="_Toc28162"/>
      <w:bookmarkStart w:id="101" w:name="_Toc3172"/>
      <w:bookmarkStart w:id="102" w:name="_Toc23989"/>
      <w:r>
        <w:rPr>
          <w:b/>
          <w:sz w:val="32"/>
          <w:szCs w:val="32"/>
        </w:rPr>
        <w:t>三</w:t>
      </w:r>
      <w:r>
        <w:rPr>
          <w:rFonts w:hint="default"/>
          <w:b/>
          <w:sz w:val="32"/>
          <w:szCs w:val="32"/>
        </w:rPr>
        <w:t>、</w:t>
      </w:r>
      <w:bookmarkEnd w:id="98"/>
      <w:bookmarkEnd w:id="99"/>
      <w:bookmarkEnd w:id="100"/>
      <w:bookmarkEnd w:id="101"/>
      <w:bookmarkEnd w:id="102"/>
      <w:r>
        <w:rPr>
          <w:rFonts w:ascii="Arial" w:hAnsi="Arial" w:cs="Arial"/>
          <w:b/>
          <w:kern w:val="0"/>
          <w:sz w:val="32"/>
          <w:szCs w:val="32"/>
          <w:lang w:val="zh-CN"/>
        </w:rPr>
        <w:t>联合协议</w:t>
      </w:r>
    </w:p>
    <w:p w14:paraId="2AC8F4BA">
      <w:pPr>
        <w:pStyle w:val="89"/>
        <w:rPr>
          <w:color w:val="auto"/>
          <w:lang w:val="zh-CN"/>
        </w:rPr>
      </w:pPr>
    </w:p>
    <w:p w14:paraId="0D6CD2F7">
      <w:pPr>
        <w:widowControl/>
        <w:spacing w:line="360" w:lineRule="auto"/>
        <w:ind w:firstLine="482" w:firstLineChars="200"/>
        <w:jc w:val="left"/>
        <w:rPr>
          <w:rFonts w:hint="default" w:ascii="宋体" w:hAnsi="宋体" w:cs="宋体"/>
          <w:b/>
          <w:sz w:val="24"/>
        </w:rPr>
      </w:pPr>
      <w:r>
        <w:rPr>
          <w:rFonts w:ascii="宋体" w:hAnsi="宋体" w:cs="宋体"/>
          <w:b/>
          <w:sz w:val="24"/>
        </w:rPr>
        <w:t>（以联合体形式投标的，提供联合协议；本项目不接受联合体投标或者投标人不以联合体形式投标的，则不需要提供）</w:t>
      </w:r>
    </w:p>
    <w:p w14:paraId="627B5D74">
      <w:pPr>
        <w:snapToGrid w:val="0"/>
        <w:spacing w:line="360" w:lineRule="auto"/>
        <w:ind w:firstLine="576"/>
        <w:rPr>
          <w:rFonts w:hint="default" w:ascii="宋体" w:hAnsi="宋体" w:cs="宋体"/>
          <w:kern w:val="0"/>
          <w:sz w:val="24"/>
          <w:lang w:val="zh-CN"/>
        </w:rPr>
      </w:pPr>
      <w:r>
        <w:rPr>
          <w:rFonts w:ascii="宋体" w:hAnsi="宋体" w:cs="宋体"/>
          <w:kern w:val="0"/>
          <w:sz w:val="24"/>
          <w:u w:val="single"/>
        </w:rPr>
        <w:t>（联合体所有成员名称）</w:t>
      </w:r>
      <w:r>
        <w:rPr>
          <w:rFonts w:ascii="宋体" w:hAnsi="宋体" w:cs="宋体"/>
          <w:kern w:val="0"/>
          <w:sz w:val="24"/>
        </w:rPr>
        <w:t>自愿</w:t>
      </w:r>
      <w:r>
        <w:rPr>
          <w:rFonts w:ascii="宋体" w:hAnsi="宋体" w:cs="宋体"/>
          <w:kern w:val="0"/>
          <w:sz w:val="24"/>
          <w:lang w:val="zh-CN"/>
        </w:rPr>
        <w:t>组成一个联合体，以一个投标人的身份</w:t>
      </w:r>
      <w:r>
        <w:rPr>
          <w:rFonts w:ascii="宋体" w:hAnsi="宋体" w:cs="宋体"/>
          <w:kern w:val="0"/>
          <w:sz w:val="24"/>
        </w:rPr>
        <w:t>参加</w:t>
      </w:r>
      <w:r>
        <w:rPr>
          <w:rFonts w:ascii="宋体" w:hAnsi="宋体" w:cs="宋体"/>
          <w:sz w:val="24"/>
        </w:rPr>
        <w:t>（项目名称）【项目编号：     】</w:t>
      </w:r>
      <w:r>
        <w:rPr>
          <w:rFonts w:ascii="宋体" w:hAnsi="宋体" w:cs="宋体"/>
          <w:kern w:val="0"/>
          <w:sz w:val="24"/>
          <w:lang w:val="zh-CN"/>
        </w:rPr>
        <w:t xml:space="preserve">投标。 </w:t>
      </w:r>
    </w:p>
    <w:p w14:paraId="68D93B8A">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一、各方一致决定，</w:t>
      </w:r>
      <w:r>
        <w:rPr>
          <w:rFonts w:ascii="宋体" w:hAnsi="宋体" w:cs="宋体"/>
          <w:kern w:val="0"/>
          <w:sz w:val="24"/>
          <w:u w:val="single"/>
        </w:rPr>
        <w:t>（某联合体成员名称）</w:t>
      </w:r>
      <w:r>
        <w:rPr>
          <w:rFonts w:ascii="宋体" w:hAnsi="宋体" w:cs="宋体"/>
          <w:kern w:val="0"/>
          <w:sz w:val="24"/>
        </w:rPr>
        <w:t>为联合体</w:t>
      </w:r>
      <w:r>
        <w:rPr>
          <w:rFonts w:ascii="宋体" w:hAnsi="宋体" w:cs="宋体"/>
          <w:kern w:val="0"/>
          <w:sz w:val="24"/>
          <w:lang w:val="zh-CN"/>
        </w:rPr>
        <w:t>牵头人</w:t>
      </w:r>
      <w:r>
        <w:rPr>
          <w:rFonts w:ascii="宋体" w:hAnsi="宋体" w:cs="宋体"/>
          <w:sz w:val="24"/>
        </w:rPr>
        <w:t>，代表所有联合体成员负责投标和合同实施阶段的主办、协调工作</w:t>
      </w:r>
      <w:r>
        <w:rPr>
          <w:rFonts w:ascii="宋体" w:hAnsi="宋体" w:cs="宋体"/>
          <w:kern w:val="0"/>
          <w:sz w:val="24"/>
          <w:lang w:val="zh-CN"/>
        </w:rPr>
        <w:t>。</w:t>
      </w:r>
    </w:p>
    <w:p w14:paraId="2B47FF8E">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二、</w:t>
      </w:r>
      <w:r>
        <w:rPr>
          <w:rFonts w:ascii="宋体" w:hAnsi="宋体" w:cs="宋体"/>
          <w:sz w:val="24"/>
        </w:rPr>
        <w:t>所有联合体成员各方签署授权书，授权书载明的</w:t>
      </w:r>
      <w:r>
        <w:rPr>
          <w:rFonts w:ascii="宋体" w:hAnsi="宋体" w:cs="宋体"/>
          <w:kern w:val="0"/>
          <w:sz w:val="24"/>
          <w:lang w:val="zh-CN"/>
        </w:rPr>
        <w:t>授权代表根据招标文件规定及投标内容而对采购人、采购机构所作的任何合法承诺，包括书面澄清及相应等均对联合投标各方产生约束力。</w:t>
      </w:r>
    </w:p>
    <w:p w14:paraId="0790B151">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三、本次联合投标中，分工如下：</w:t>
      </w:r>
      <w:r>
        <w:rPr>
          <w:rFonts w:ascii="宋体" w:hAnsi="宋体" w:cs="宋体"/>
          <w:kern w:val="0"/>
          <w:sz w:val="24"/>
          <w:u w:val="single"/>
        </w:rPr>
        <w:t>（联合体其中一方成员名称）</w:t>
      </w:r>
      <w:r>
        <w:rPr>
          <w:rFonts w:ascii="宋体" w:hAnsi="宋体" w:cs="宋体"/>
          <w:kern w:val="0"/>
          <w:sz w:val="24"/>
          <w:lang w:val="zh-CN"/>
        </w:rPr>
        <w:t>承担的工作和义务为：；……。</w:t>
      </w:r>
    </w:p>
    <w:p w14:paraId="79AABB20">
      <w:pPr>
        <w:snapToGrid w:val="0"/>
        <w:spacing w:line="360" w:lineRule="auto"/>
        <w:ind w:firstLine="576"/>
        <w:rPr>
          <w:rFonts w:hint="default" w:ascii="宋体" w:hAnsi="宋体" w:cs="宋体"/>
          <w:b/>
          <w:kern w:val="0"/>
          <w:sz w:val="24"/>
          <w:lang w:val="zh-CN"/>
        </w:rPr>
      </w:pPr>
      <w:r>
        <w:rPr>
          <w:rFonts w:ascii="宋体" w:hAnsi="宋体" w:cs="宋体"/>
          <w:kern w:val="0"/>
          <w:sz w:val="24"/>
          <w:lang w:val="zh-CN"/>
        </w:rPr>
        <w:t>四、</w:t>
      </w:r>
      <w:r>
        <w:rPr>
          <w:rFonts w:ascii="宋体" w:hAnsi="宋体" w:cs="宋体"/>
          <w:kern w:val="0"/>
          <w:sz w:val="24"/>
          <w:u w:val="single"/>
        </w:rPr>
        <w:t>（联合体其中一方成员名称）</w:t>
      </w:r>
      <w:r>
        <w:rPr>
          <w:rFonts w:ascii="宋体" w:hAnsi="宋体" w:cs="宋体"/>
          <w:kern w:val="0"/>
          <w:sz w:val="24"/>
        </w:rPr>
        <w:t>提供的全部货物由小微企业制造，其合同份额占到合同总金额%以上；</w:t>
      </w:r>
      <w:r>
        <w:rPr>
          <w:rFonts w:ascii="宋体" w:hAnsi="宋体" w:cs="宋体"/>
          <w:kern w:val="0"/>
          <w:sz w:val="24"/>
          <w:lang w:val="zh-CN"/>
        </w:rPr>
        <w:t>……。</w:t>
      </w:r>
    </w:p>
    <w:p w14:paraId="0AE3D723">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五、如果中标，</w:t>
      </w:r>
      <w:r>
        <w:rPr>
          <w:rFonts w:ascii="宋体" w:hAnsi="宋体" w:cs="宋体"/>
          <w:sz w:val="24"/>
        </w:rPr>
        <w:t>联合体各成员方共同与采购人签订合同，并就采购合同约定的事项对采购人承担连带责任。</w:t>
      </w:r>
    </w:p>
    <w:p w14:paraId="70F795E0">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六、有关本次联合投标的其他事宜：</w:t>
      </w:r>
    </w:p>
    <w:p w14:paraId="68C16CFA">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1、联合体各方不再单独参加或者与其他供应商另外组成联合体参加同一合同项下的政府采购活动。</w:t>
      </w:r>
    </w:p>
    <w:p w14:paraId="16AB7D67">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2、联合体中有同类资质的各方按照联合体分工承担相同工作的，按照资质等级较低的供应商确定资质等级。</w:t>
      </w:r>
    </w:p>
    <w:p w14:paraId="3E92E7CA">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3、本协议提交采购人、采购机构后，联合体各方不得以任何形式对上述内容进行修改或撤销。</w:t>
      </w:r>
    </w:p>
    <w:p w14:paraId="4FD6B9F3">
      <w:pPr>
        <w:snapToGrid w:val="0"/>
        <w:spacing w:line="360" w:lineRule="auto"/>
        <w:ind w:firstLine="4800" w:firstLineChars="2000"/>
        <w:rPr>
          <w:rFonts w:hint="default" w:ascii="宋体" w:hAnsi="宋体" w:cs="宋体"/>
          <w:kern w:val="0"/>
          <w:sz w:val="24"/>
          <w:lang w:val="zh-CN"/>
        </w:rPr>
      </w:pPr>
      <w:r>
        <w:rPr>
          <w:rFonts w:ascii="宋体" w:hAnsi="宋体" w:cs="宋体"/>
          <w:kern w:val="0"/>
          <w:sz w:val="24"/>
          <w:lang w:val="zh-CN"/>
        </w:rPr>
        <w:t>联合体成员名称(电子签名/公章)：</w:t>
      </w:r>
    </w:p>
    <w:p w14:paraId="7D0D9A8A">
      <w:pPr>
        <w:snapToGrid w:val="0"/>
        <w:spacing w:line="360" w:lineRule="auto"/>
        <w:rPr>
          <w:rFonts w:hint="default" w:ascii="宋体" w:hAnsi="宋体" w:cs="宋体"/>
          <w:kern w:val="0"/>
          <w:sz w:val="24"/>
          <w:lang w:val="zh-CN"/>
        </w:rPr>
      </w:pPr>
      <w:r>
        <w:rPr>
          <w:rFonts w:ascii="宋体" w:hAnsi="宋体" w:cs="宋体"/>
          <w:kern w:val="0"/>
          <w:sz w:val="24"/>
          <w:lang w:val="zh-CN"/>
        </w:rPr>
        <w:t xml:space="preserve">                                               日期：  年  月   日</w:t>
      </w:r>
    </w:p>
    <w:p w14:paraId="44D9E08F">
      <w:pPr>
        <w:pStyle w:val="15"/>
        <w:rPr>
          <w:rFonts w:hint="default" w:ascii="Times New Roman" w:hAnsi="Times New Roman"/>
        </w:rPr>
      </w:pPr>
      <w:r>
        <w:rPr>
          <w:rFonts w:hAnsi="宋体" w:cs="宋体"/>
          <w:b/>
          <w:sz w:val="30"/>
          <w:szCs w:val="30"/>
        </w:rPr>
        <w:br w:type="page"/>
      </w:r>
      <w:bookmarkEnd w:id="96"/>
      <w:bookmarkEnd w:id="97"/>
      <w:bookmarkStart w:id="103" w:name="_Toc55237638"/>
      <w:bookmarkStart w:id="104" w:name="_Toc354996707"/>
      <w:bookmarkStart w:id="105" w:name="_Toc233618989"/>
    </w:p>
    <w:p w14:paraId="046253B2">
      <w:pPr>
        <w:snapToGrid w:val="0"/>
        <w:spacing w:line="360" w:lineRule="auto"/>
        <w:ind w:left="570"/>
        <w:jc w:val="center"/>
        <w:outlineLvl w:val="0"/>
        <w:rPr>
          <w:rFonts w:hint="default"/>
          <w:b/>
          <w:sz w:val="32"/>
          <w:szCs w:val="32"/>
        </w:rPr>
      </w:pPr>
      <w:bookmarkStart w:id="106" w:name="_Toc10830"/>
      <w:r>
        <w:rPr>
          <w:rFonts w:ascii="宋体" w:hAnsi="宋体"/>
          <w:b/>
          <w:sz w:val="32"/>
          <w:szCs w:val="32"/>
        </w:rPr>
        <w:t>四、</w:t>
      </w:r>
      <w:r>
        <w:rPr>
          <w:rFonts w:hint="default"/>
          <w:b/>
          <w:sz w:val="32"/>
          <w:szCs w:val="32"/>
        </w:rPr>
        <w:t>中小企业声明函、残疾人福利性单位声明函</w:t>
      </w:r>
      <w:r>
        <w:rPr>
          <w:b/>
          <w:sz w:val="32"/>
          <w:szCs w:val="32"/>
        </w:rPr>
        <w:t>或</w:t>
      </w:r>
      <w:r>
        <w:rPr>
          <w:rFonts w:hint="default"/>
          <w:b/>
          <w:sz w:val="32"/>
          <w:szCs w:val="32"/>
        </w:rPr>
        <w:t>属于监狱企业的证明文件（由省级以上监狱管理局、戒毒管理局（含新疆生产建设兵团）出具的属于监狱企业的证明文件</w:t>
      </w:r>
      <w:r>
        <w:rPr>
          <w:b/>
          <w:kern w:val="0"/>
          <w:sz w:val="30"/>
          <w:szCs w:val="30"/>
        </w:rPr>
        <w:t>（如有）</w:t>
      </w:r>
      <w:bookmarkEnd w:id="106"/>
    </w:p>
    <w:p w14:paraId="4C868C57">
      <w:pPr>
        <w:widowControl/>
        <w:snapToGrid w:val="0"/>
        <w:spacing w:line="360" w:lineRule="auto"/>
        <w:ind w:firstLine="602" w:firstLineChars="200"/>
        <w:jc w:val="center"/>
        <w:rPr>
          <w:rFonts w:hint="default"/>
          <w:b/>
          <w:kern w:val="0"/>
          <w:sz w:val="30"/>
          <w:szCs w:val="30"/>
        </w:rPr>
      </w:pPr>
      <w:r>
        <w:rPr>
          <w:b/>
          <w:kern w:val="0"/>
          <w:sz w:val="30"/>
          <w:szCs w:val="30"/>
        </w:rPr>
        <w:t>4</w:t>
      </w:r>
      <w:r>
        <w:rPr>
          <w:rFonts w:hint="default"/>
          <w:b/>
          <w:kern w:val="0"/>
          <w:sz w:val="30"/>
          <w:szCs w:val="30"/>
        </w:rPr>
        <w:t>.1中小企业声明函及其相关的充分的证明材料</w:t>
      </w:r>
    </w:p>
    <w:p w14:paraId="646C459B">
      <w:pPr>
        <w:autoSpaceDE w:val="0"/>
        <w:autoSpaceDN w:val="0"/>
        <w:adjustRightInd w:val="0"/>
        <w:spacing w:beforeLines="100" w:afterLines="100" w:line="360" w:lineRule="auto"/>
        <w:jc w:val="center"/>
        <w:rPr>
          <w:rFonts w:hint="default"/>
          <w:kern w:val="0"/>
          <w:sz w:val="24"/>
        </w:rPr>
      </w:pPr>
      <w:r>
        <w:rPr>
          <w:rFonts w:hint="default"/>
          <w:b/>
          <w:kern w:val="0"/>
          <w:sz w:val="24"/>
        </w:rPr>
        <w:t>中小企业声明函（</w:t>
      </w:r>
      <w:r>
        <w:rPr>
          <w:b/>
          <w:kern w:val="0"/>
          <w:sz w:val="24"/>
        </w:rPr>
        <w:t>服务</w:t>
      </w:r>
      <w:r>
        <w:rPr>
          <w:rFonts w:hint="default"/>
          <w:kern w:val="0"/>
          <w:sz w:val="24"/>
        </w:rPr>
        <w:t>）</w:t>
      </w:r>
    </w:p>
    <w:p w14:paraId="1BAC22B7">
      <w:pPr>
        <w:pStyle w:val="113"/>
        <w:snapToGrid w:val="0"/>
        <w:spacing w:line="360" w:lineRule="auto"/>
        <w:ind w:right="157" w:firstLine="642"/>
        <w:jc w:val="both"/>
        <w:rPr>
          <w:rFonts w:hint="default" w:ascii="Times New Roman" w:eastAsia="宋体" w:cs="Times New Roman"/>
          <w:color w:val="auto"/>
        </w:rPr>
      </w:pPr>
      <w:r>
        <w:rPr>
          <w:rFonts w:hint="default" w:ascii="Times New Roman" w:eastAsia="宋体" w:cs="Times New Roman"/>
          <w:color w:val="auto"/>
        </w:rPr>
        <w:t>本公司（联合体）郑重声明，根据《政府采购促进中小企业发展管理办法》（财库﹝2020﹞46 号）的规定，本公司（联合体）参加</w:t>
      </w:r>
      <w:r>
        <w:rPr>
          <w:rFonts w:ascii="Times New Roman" w:eastAsia="宋体" w:cs="Times New Roman"/>
          <w:color w:val="auto"/>
          <w:u w:val="single"/>
        </w:rPr>
        <w:t>浙江省中医院</w:t>
      </w:r>
      <w:r>
        <w:rPr>
          <w:rFonts w:hint="default" w:ascii="Times New Roman" w:eastAsia="宋体" w:cs="Times New Roman"/>
          <w:color w:val="auto"/>
        </w:rPr>
        <w:t>的</w:t>
      </w:r>
      <w:r>
        <w:rPr>
          <w:rFonts w:ascii="Times New Roman" w:eastAsia="宋体" w:cs="Times New Roman"/>
          <w:color w:val="auto"/>
          <w:u w:val="single"/>
        </w:rPr>
        <w:t>浙江省中医院医学整形美容科（西溪）运营服务</w:t>
      </w:r>
      <w:r>
        <w:rPr>
          <w:rFonts w:hint="default" w:ascii="Times New Roman" w:eastAsia="宋体" w:cs="Times New Roman"/>
          <w:color w:val="auto"/>
        </w:rPr>
        <w:t>采购活动，提供的</w:t>
      </w:r>
      <w:r>
        <w:rPr>
          <w:rFonts w:ascii="Times New Roman" w:eastAsia="宋体" w:cs="Times New Roman"/>
          <w:color w:val="auto"/>
        </w:rPr>
        <w:t>服务</w:t>
      </w:r>
      <w:r>
        <w:rPr>
          <w:rFonts w:hint="default" w:ascii="Times New Roman" w:eastAsia="宋体" w:cs="Times New Roman"/>
          <w:color w:val="auto"/>
        </w:rPr>
        <w:t>全部由符合政策要求的中小企业</w:t>
      </w:r>
      <w:r>
        <w:rPr>
          <w:rFonts w:ascii="Times New Roman" w:eastAsia="宋体" w:cs="Times New Roman"/>
          <w:color w:val="auto"/>
        </w:rPr>
        <w:t>承接</w:t>
      </w:r>
      <w:r>
        <w:rPr>
          <w:rFonts w:hint="default" w:ascii="Times New Roman" w:eastAsia="宋体" w:cs="Times New Roman"/>
          <w:color w:val="auto"/>
        </w:rPr>
        <w:t>。相关企业</w:t>
      </w:r>
      <w:r>
        <w:rPr>
          <w:rFonts w:hint="default" w:ascii="Times New Roman" w:eastAsia="宋体" w:cs="Times New Roman"/>
          <w:b/>
          <w:bCs/>
          <w:color w:val="auto"/>
        </w:rPr>
        <w:t>（含联合体中的中小企业、签订分包意向协议的中小企业）</w:t>
      </w:r>
      <w:r>
        <w:rPr>
          <w:rFonts w:hint="default" w:ascii="Times New Roman" w:eastAsia="宋体" w:cs="Times New Roman"/>
          <w:color w:val="auto"/>
        </w:rPr>
        <w:t xml:space="preserve">的具体情况如下： </w:t>
      </w:r>
    </w:p>
    <w:p w14:paraId="077F9E52">
      <w:pPr>
        <w:pStyle w:val="89"/>
        <w:snapToGrid w:val="0"/>
        <w:spacing w:line="360" w:lineRule="auto"/>
        <w:ind w:firstLine="480" w:firstLineChars="200"/>
        <w:jc w:val="both"/>
        <w:rPr>
          <w:rFonts w:ascii="Times New Roman" w:eastAsia="宋体" w:cs="Times New Roman"/>
          <w:color w:val="auto"/>
        </w:rPr>
      </w:pPr>
      <w:r>
        <w:rPr>
          <w:rFonts w:ascii="Times New Roman" w:eastAsia="宋体" w:cs="Times New Roman"/>
          <w:color w:val="auto"/>
        </w:rPr>
        <w:t>1.</w:t>
      </w:r>
      <w:r>
        <w:rPr>
          <w:rFonts w:ascii="Times New Roman" w:eastAsia="宋体" w:cs="Times New Roman"/>
          <w:color w:val="auto"/>
          <w:u w:val="single"/>
        </w:rPr>
        <w:t>（标的名称）</w:t>
      </w:r>
      <w:r>
        <w:rPr>
          <w:rFonts w:ascii="Times New Roman" w:eastAsia="宋体" w:cs="Times New Roman"/>
          <w:color w:val="auto"/>
        </w:rPr>
        <w:t>，属于</w:t>
      </w:r>
      <w:r>
        <w:rPr>
          <w:rFonts w:ascii="Times New Roman" w:eastAsia="宋体" w:cs="Times New Roman"/>
          <w:color w:val="auto"/>
          <w:u w:val="single"/>
        </w:rPr>
        <w:t>（采购文件中明确的所属行业）</w:t>
      </w:r>
      <w:r>
        <w:rPr>
          <w:rFonts w:ascii="Times New Roman" w:eastAsia="宋体" w:cs="Times New Roman"/>
          <w:color w:val="auto"/>
        </w:rPr>
        <w:t>；承接企业为</w:t>
      </w:r>
      <w:r>
        <w:rPr>
          <w:rFonts w:ascii="Times New Roman" w:eastAsia="宋体" w:cs="Times New Roman"/>
          <w:color w:val="auto"/>
          <w:u w:val="single"/>
        </w:rPr>
        <w:t>（企业名称）</w:t>
      </w:r>
      <w:r>
        <w:rPr>
          <w:rFonts w:ascii="Times New Roman" w:eastAsia="宋体" w:cs="Times New Roman"/>
          <w:color w:val="auto"/>
        </w:rPr>
        <w:t>，从业人员人，营业收入为万元，资产总额为万元</w:t>
      </w:r>
      <w:r>
        <w:rPr>
          <w:rStyle w:val="50"/>
          <w:rFonts w:eastAsia="宋体" w:cs="Times New Roman"/>
          <w:color w:val="auto"/>
        </w:rPr>
        <w:footnoteReference w:id="0"/>
      </w:r>
      <w:r>
        <w:rPr>
          <w:rFonts w:ascii="Times New Roman" w:eastAsia="宋体" w:cs="Times New Roman"/>
          <w:color w:val="auto"/>
        </w:rPr>
        <w:t>，属于</w:t>
      </w:r>
      <w:r>
        <w:rPr>
          <w:rFonts w:ascii="Times New Roman" w:eastAsia="宋体" w:cs="Times New Roman"/>
          <w:color w:val="auto"/>
          <w:u w:val="single"/>
        </w:rPr>
        <w:t>（中型企业、小型企业、微型企业）</w:t>
      </w:r>
      <w:r>
        <w:rPr>
          <w:rFonts w:ascii="Times New Roman" w:eastAsia="宋体" w:cs="Times New Roman"/>
          <w:color w:val="auto"/>
        </w:rPr>
        <w:t xml:space="preserve">； </w:t>
      </w:r>
    </w:p>
    <w:p w14:paraId="6C555C99">
      <w:pPr>
        <w:pStyle w:val="89"/>
        <w:snapToGrid w:val="0"/>
        <w:spacing w:line="360" w:lineRule="auto"/>
        <w:ind w:firstLine="480" w:firstLineChars="200"/>
        <w:jc w:val="both"/>
        <w:rPr>
          <w:rFonts w:ascii="Times New Roman" w:eastAsia="宋体" w:cs="Times New Roman"/>
          <w:color w:val="auto"/>
        </w:rPr>
      </w:pPr>
      <w:r>
        <w:rPr>
          <w:rFonts w:ascii="Times New Roman" w:eastAsia="宋体" w:cs="Times New Roman"/>
          <w:color w:val="auto"/>
        </w:rPr>
        <w:t>2.</w:t>
      </w:r>
      <w:r>
        <w:rPr>
          <w:rFonts w:ascii="Times New Roman" w:eastAsia="宋体" w:cs="Times New Roman"/>
          <w:color w:val="auto"/>
          <w:u w:val="single"/>
        </w:rPr>
        <w:t>（标的名称）</w:t>
      </w:r>
      <w:r>
        <w:rPr>
          <w:rFonts w:ascii="Times New Roman" w:eastAsia="宋体" w:cs="Times New Roman"/>
          <w:color w:val="auto"/>
        </w:rPr>
        <w:t>，属于</w:t>
      </w:r>
      <w:r>
        <w:rPr>
          <w:rFonts w:ascii="Times New Roman" w:eastAsia="宋体" w:cs="Times New Roman"/>
          <w:color w:val="auto"/>
          <w:u w:val="single"/>
        </w:rPr>
        <w:t>（采购文件中明确的所属行业）</w:t>
      </w:r>
      <w:r>
        <w:rPr>
          <w:rFonts w:ascii="Times New Roman" w:eastAsia="宋体" w:cs="Times New Roman"/>
          <w:color w:val="auto"/>
        </w:rPr>
        <w:t>；承接企业为</w:t>
      </w:r>
      <w:r>
        <w:rPr>
          <w:rFonts w:ascii="Times New Roman" w:eastAsia="宋体" w:cs="Times New Roman"/>
          <w:color w:val="auto"/>
          <w:u w:val="single"/>
        </w:rPr>
        <w:t>（企业名称）</w:t>
      </w:r>
      <w:r>
        <w:rPr>
          <w:rFonts w:ascii="Times New Roman" w:eastAsia="宋体" w:cs="Times New Roman"/>
          <w:color w:val="auto"/>
        </w:rPr>
        <w:t>，从业人员人，营业收入为万元，资产总额为万元</w:t>
      </w:r>
      <w:r>
        <w:rPr>
          <w:rStyle w:val="50"/>
          <w:rFonts w:eastAsia="宋体" w:cs="Times New Roman"/>
          <w:color w:val="auto"/>
        </w:rPr>
        <w:footnoteReference w:id="1"/>
      </w:r>
      <w:r>
        <w:rPr>
          <w:rFonts w:ascii="Times New Roman" w:eastAsia="宋体" w:cs="Times New Roman"/>
          <w:color w:val="auto"/>
        </w:rPr>
        <w:t>，属于</w:t>
      </w:r>
      <w:r>
        <w:rPr>
          <w:rFonts w:ascii="Times New Roman" w:eastAsia="宋体" w:cs="Times New Roman"/>
          <w:color w:val="auto"/>
          <w:u w:val="single"/>
        </w:rPr>
        <w:t>（中型企业、小型企业、微型企业）</w:t>
      </w:r>
      <w:r>
        <w:rPr>
          <w:rFonts w:ascii="Times New Roman" w:eastAsia="宋体" w:cs="Times New Roman"/>
          <w:color w:val="auto"/>
        </w:rPr>
        <w:t xml:space="preserve">； </w:t>
      </w:r>
    </w:p>
    <w:p w14:paraId="502AC555">
      <w:pPr>
        <w:pStyle w:val="89"/>
        <w:ind w:firstLine="480" w:firstLineChars="200"/>
        <w:rPr>
          <w:rFonts w:ascii="Times New Roman" w:eastAsia="宋体" w:cs="Times New Roman"/>
          <w:color w:val="auto"/>
        </w:rPr>
      </w:pPr>
      <w:r>
        <w:rPr>
          <w:rFonts w:ascii="Times New Roman" w:eastAsia="宋体" w:cs="Times New Roman"/>
          <w:color w:val="auto"/>
        </w:rPr>
        <w:t>……</w:t>
      </w:r>
    </w:p>
    <w:p w14:paraId="11FA639A">
      <w:pPr>
        <w:pStyle w:val="113"/>
        <w:snapToGrid w:val="0"/>
        <w:spacing w:line="360" w:lineRule="auto"/>
        <w:ind w:right="157" w:firstLine="642"/>
        <w:jc w:val="both"/>
        <w:rPr>
          <w:rFonts w:hint="default" w:ascii="Times New Roman" w:eastAsia="宋体" w:cs="Times New Roman"/>
          <w:color w:val="auto"/>
        </w:rPr>
      </w:pPr>
      <w:r>
        <w:rPr>
          <w:rFonts w:hint="default" w:ascii="Times New Roman" w:eastAsia="宋体" w:cs="Times New Roman"/>
          <w:color w:val="auto"/>
        </w:rPr>
        <w:t>以上企业，不属于大企业的分支机构，不存在控股股东为大企业的情形，也不存在与大企业的负责人为同一人的情形。</w:t>
      </w:r>
    </w:p>
    <w:p w14:paraId="46B11C65">
      <w:pPr>
        <w:pStyle w:val="123"/>
        <w:snapToGrid w:val="0"/>
        <w:spacing w:line="360" w:lineRule="auto"/>
        <w:ind w:firstLine="480" w:firstLineChars="200"/>
        <w:jc w:val="both"/>
        <w:rPr>
          <w:rFonts w:hint="default" w:ascii="Times New Roman" w:eastAsia="宋体" w:cs="Times New Roman"/>
          <w:color w:val="auto"/>
        </w:rPr>
      </w:pPr>
      <w:r>
        <w:rPr>
          <w:rFonts w:hint="default" w:ascii="Times New Roman" w:eastAsia="宋体" w:cs="Times New Roman"/>
          <w:color w:val="auto"/>
        </w:rPr>
        <w:t>本企业对上述声明内容的真实性负责。如有虚假，将依法承担相应责任。</w:t>
      </w:r>
    </w:p>
    <w:p w14:paraId="5237B961">
      <w:pPr>
        <w:pStyle w:val="88"/>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投标人名称（</w:t>
      </w:r>
      <w:r>
        <w:rPr>
          <w:rFonts w:hint="default" w:ascii="Times New Roman" w:eastAsia="宋体" w:cs="Times New Roman"/>
          <w:color w:val="auto"/>
          <w:lang w:val="zh-CN"/>
        </w:rPr>
        <w:t>电子签名/公章</w:t>
      </w:r>
      <w:r>
        <w:rPr>
          <w:rFonts w:hint="default" w:ascii="Times New Roman" w:eastAsia="宋体" w:cs="Times New Roman"/>
          <w:color w:val="auto"/>
        </w:rPr>
        <w:t>）：</w:t>
      </w:r>
    </w:p>
    <w:p w14:paraId="10BB9644">
      <w:pPr>
        <w:pStyle w:val="88"/>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日期：</w:t>
      </w:r>
    </w:p>
    <w:p w14:paraId="1F17A985">
      <w:pPr>
        <w:widowControl/>
        <w:adjustRightInd w:val="0"/>
        <w:snapToGrid w:val="0"/>
        <w:spacing w:line="360" w:lineRule="auto"/>
        <w:rPr>
          <w:rFonts w:hint="default"/>
          <w:b/>
          <w:sz w:val="24"/>
          <w:szCs w:val="24"/>
        </w:rPr>
        <w:sectPr>
          <w:headerReference r:id="rId10" w:type="default"/>
          <w:footerReference r:id="rId11" w:type="default"/>
          <w:pgSz w:w="11906" w:h="16838"/>
          <w:pgMar w:top="1134" w:right="1304" w:bottom="1247" w:left="1304" w:header="794" w:footer="794" w:gutter="0"/>
          <w:cols w:space="720" w:num="1"/>
          <w:docGrid w:type="lines" w:linePitch="312" w:charSpace="0"/>
        </w:sectPr>
      </w:pPr>
      <w:r>
        <w:rPr>
          <w:rFonts w:ascii="宋体" w:hAnsi="宋体" w:cs="宋体"/>
          <w:sz w:val="24"/>
        </w:rPr>
        <w:t>1.填写要求：①“标的名称”、“采购文件中明确的所属行业”依据招标文件第二章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ABBA264">
      <w:pPr>
        <w:widowControl/>
        <w:snapToGrid w:val="0"/>
        <w:spacing w:line="360" w:lineRule="auto"/>
        <w:ind w:firstLine="602" w:firstLineChars="200"/>
        <w:jc w:val="center"/>
        <w:rPr>
          <w:rFonts w:hint="default" w:ascii="宋体" w:hAnsi="宋体" w:cs="宋体"/>
          <w:b/>
          <w:kern w:val="0"/>
          <w:sz w:val="30"/>
          <w:szCs w:val="30"/>
        </w:rPr>
      </w:pPr>
      <w:r>
        <w:rPr>
          <w:rFonts w:ascii="宋体" w:hAnsi="宋体" w:cs="宋体"/>
          <w:b/>
          <w:kern w:val="0"/>
          <w:sz w:val="30"/>
          <w:szCs w:val="30"/>
        </w:rPr>
        <w:t>4.2残疾人福利性单位声明函及其相关的充分的证明材料</w:t>
      </w:r>
    </w:p>
    <w:p w14:paraId="0BE2C289">
      <w:pPr>
        <w:spacing w:line="360" w:lineRule="auto"/>
        <w:jc w:val="center"/>
        <w:rPr>
          <w:rFonts w:hint="default" w:ascii="宋体" w:hAnsi="宋体" w:cs="宋体"/>
          <w:b/>
          <w:spacing w:val="6"/>
          <w:sz w:val="32"/>
          <w:szCs w:val="32"/>
        </w:rPr>
      </w:pPr>
      <w:r>
        <w:rPr>
          <w:rFonts w:ascii="宋体" w:hAnsi="宋体" w:cs="宋体"/>
          <w:b/>
          <w:kern w:val="0"/>
          <w:sz w:val="30"/>
          <w:szCs w:val="30"/>
        </w:rPr>
        <w:t>残疾人福利性单位声明函</w:t>
      </w:r>
    </w:p>
    <w:p w14:paraId="3FFC1CB6">
      <w:pPr>
        <w:spacing w:line="360" w:lineRule="auto"/>
        <w:rPr>
          <w:rFonts w:hint="default" w:ascii="宋体" w:hAnsi="宋体" w:cs="宋体"/>
          <w:b/>
          <w:spacing w:val="6"/>
          <w:sz w:val="30"/>
          <w:szCs w:val="30"/>
        </w:rPr>
      </w:pPr>
    </w:p>
    <w:p w14:paraId="6E1A6B87">
      <w:pPr>
        <w:spacing w:line="360" w:lineRule="auto"/>
        <w:ind w:firstLine="480" w:firstLineChars="200"/>
        <w:rPr>
          <w:rFonts w:hint="default" w:ascii="宋体" w:hAnsi="宋体" w:cs="宋体"/>
          <w:sz w:val="24"/>
        </w:rPr>
      </w:pPr>
      <w:r>
        <w:rPr>
          <w:rFonts w:ascii="宋体" w:hAnsi="宋体" w:cs="宋体"/>
          <w:sz w:val="24"/>
        </w:rPr>
        <w:t>本单位郑重声明，根据《财政部 民政部中国残疾人联合会关于促进残疾人就业政府采购政策的通知》（财库〔2017〕 141号）的规定，本单位为符合条件的残疾人福利性单位，且本单位参加______单位的______项目采购活动提供由本单位承担服务。</w:t>
      </w:r>
    </w:p>
    <w:p w14:paraId="786D3A5A">
      <w:pPr>
        <w:spacing w:line="360" w:lineRule="auto"/>
        <w:ind w:firstLine="480" w:firstLineChars="200"/>
        <w:rPr>
          <w:rFonts w:hint="default" w:ascii="宋体" w:hAnsi="宋体" w:cs="宋体"/>
          <w:sz w:val="24"/>
        </w:rPr>
      </w:pPr>
      <w:r>
        <w:rPr>
          <w:rFonts w:ascii="宋体" w:hAnsi="宋体" w:cs="宋体"/>
          <w:sz w:val="24"/>
        </w:rPr>
        <w:t>本单位对上述声明的真实性负责。如有虚假，将依法承担相应责任。</w:t>
      </w:r>
    </w:p>
    <w:p w14:paraId="214F2FD7">
      <w:pPr>
        <w:widowControl/>
        <w:snapToGrid w:val="0"/>
        <w:spacing w:line="360" w:lineRule="auto"/>
        <w:ind w:firstLine="480" w:firstLineChars="200"/>
        <w:rPr>
          <w:rFonts w:hint="default" w:ascii="宋体" w:hAnsi="宋体" w:cs="宋体"/>
          <w:kern w:val="0"/>
          <w:sz w:val="24"/>
        </w:rPr>
      </w:pPr>
    </w:p>
    <w:p w14:paraId="731825BA">
      <w:pPr>
        <w:pStyle w:val="88"/>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投标人名称（</w:t>
      </w:r>
      <w:r>
        <w:rPr>
          <w:rFonts w:hint="default" w:ascii="Times New Roman" w:eastAsia="宋体" w:cs="Times New Roman"/>
          <w:color w:val="auto"/>
          <w:lang w:val="zh-CN"/>
        </w:rPr>
        <w:t>电子签名/公章</w:t>
      </w:r>
      <w:r>
        <w:rPr>
          <w:rFonts w:hint="default" w:ascii="Times New Roman" w:eastAsia="宋体" w:cs="Times New Roman"/>
          <w:color w:val="auto"/>
        </w:rPr>
        <w:t>）：</w:t>
      </w:r>
    </w:p>
    <w:p w14:paraId="29F93DDF">
      <w:pPr>
        <w:pStyle w:val="88"/>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日期：</w:t>
      </w:r>
    </w:p>
    <w:p w14:paraId="5DAF31EE">
      <w:pPr>
        <w:widowControl/>
        <w:snapToGrid w:val="0"/>
        <w:spacing w:line="360" w:lineRule="auto"/>
        <w:ind w:firstLine="480" w:firstLineChars="200"/>
        <w:rPr>
          <w:rFonts w:hint="default" w:ascii="宋体" w:hAnsi="宋体" w:cs="宋体"/>
          <w:kern w:val="0"/>
          <w:sz w:val="24"/>
        </w:rPr>
      </w:pPr>
    </w:p>
    <w:p w14:paraId="199606D8">
      <w:pPr>
        <w:widowControl/>
        <w:snapToGrid w:val="0"/>
        <w:spacing w:line="360" w:lineRule="auto"/>
        <w:ind w:firstLine="480" w:firstLineChars="200"/>
        <w:rPr>
          <w:rFonts w:hint="default" w:ascii="宋体" w:hAnsi="宋体" w:cs="宋体"/>
          <w:kern w:val="0"/>
          <w:sz w:val="24"/>
        </w:rPr>
      </w:pPr>
      <w:r>
        <w:rPr>
          <w:rFonts w:ascii="宋体" w:hAnsi="宋体" w:cs="宋体"/>
          <w:kern w:val="0"/>
          <w:sz w:val="24"/>
        </w:rPr>
        <w:t xml:space="preserve"> 注：根据《关于政府采购支持监狱企业发展有关问题的通知》（财库[2014]68号）的规定，投标人提供由省级以上监狱管理局、戒毒管理局（含新疆生产建设兵团）出具的属于监狱企业证明文件的，视同为小型和微型企业。</w:t>
      </w:r>
    </w:p>
    <w:p w14:paraId="7719D849">
      <w:pPr>
        <w:adjustRightInd w:val="0"/>
        <w:snapToGrid w:val="0"/>
        <w:spacing w:line="440" w:lineRule="exact"/>
        <w:ind w:right="420"/>
        <w:rPr>
          <w:rFonts w:hint="default"/>
        </w:rPr>
      </w:pPr>
      <w:r>
        <w:rPr>
          <w:rFonts w:hint="default"/>
          <w:b/>
          <w:sz w:val="32"/>
          <w:szCs w:val="32"/>
        </w:rPr>
        <w:br w:type="page"/>
      </w:r>
    </w:p>
    <w:p w14:paraId="6475EFA5">
      <w:pPr>
        <w:rPr>
          <w:rFonts w:hint="default" w:ascii="宋体" w:hAnsi="宋体" w:cs="宋体"/>
          <w:b/>
          <w:sz w:val="30"/>
          <w:szCs w:val="30"/>
        </w:rPr>
      </w:pPr>
      <w:r>
        <w:rPr>
          <w:rFonts w:ascii="宋体" w:hAnsi="宋体" w:cs="宋体"/>
          <w:b/>
          <w:sz w:val="30"/>
          <w:szCs w:val="30"/>
        </w:rPr>
        <w:t>五、</w:t>
      </w:r>
      <w:r>
        <w:rPr>
          <w:rFonts w:hint="default" w:ascii="宋体" w:hAnsi="宋体" w:cs="宋体"/>
          <w:b/>
          <w:sz w:val="30"/>
          <w:szCs w:val="30"/>
          <w:lang w:val="zh-CN"/>
        </w:rPr>
        <w:t>特定资格条件要求的资质文件（复印件</w:t>
      </w:r>
      <w:r>
        <w:rPr>
          <w:rFonts w:ascii="宋体" w:hAnsi="宋体" w:cs="宋体"/>
          <w:b/>
          <w:sz w:val="30"/>
          <w:szCs w:val="30"/>
          <w:lang w:val="zh-CN"/>
        </w:rPr>
        <w:t>，如有</w:t>
      </w:r>
      <w:r>
        <w:rPr>
          <w:rFonts w:hint="default" w:ascii="宋体" w:hAnsi="宋体" w:cs="宋体"/>
          <w:b/>
          <w:sz w:val="30"/>
          <w:szCs w:val="30"/>
          <w:lang w:val="zh-CN"/>
        </w:rPr>
        <w:t>）</w:t>
      </w:r>
    </w:p>
    <w:p w14:paraId="78F01CF5">
      <w:pPr>
        <w:pStyle w:val="74"/>
        <w:snapToGrid w:val="0"/>
        <w:spacing w:line="360" w:lineRule="auto"/>
        <w:ind w:firstLine="321" w:firstLineChars="100"/>
        <w:jc w:val="center"/>
        <w:rPr>
          <w:rFonts w:hint="default"/>
          <w:b/>
          <w:bCs/>
          <w:kern w:val="0"/>
          <w:sz w:val="36"/>
          <w:szCs w:val="36"/>
        </w:rPr>
      </w:pPr>
      <w:r>
        <w:rPr>
          <w:rFonts w:hint="default"/>
          <w:b/>
          <w:bCs/>
          <w:kern w:val="0"/>
          <w:sz w:val="32"/>
          <w:szCs w:val="32"/>
        </w:rPr>
        <w:br w:type="page"/>
      </w:r>
      <w:r>
        <w:rPr>
          <w:rFonts w:hint="default"/>
          <w:b/>
          <w:bCs/>
          <w:kern w:val="0"/>
          <w:sz w:val="36"/>
          <w:szCs w:val="36"/>
        </w:rPr>
        <w:t>报价文件</w:t>
      </w:r>
      <w:bookmarkEnd w:id="103"/>
      <w:bookmarkEnd w:id="104"/>
    </w:p>
    <w:p w14:paraId="015CC9BF">
      <w:pPr>
        <w:pStyle w:val="15"/>
        <w:rPr>
          <w:rFonts w:hint="default" w:ascii="Times New Roman" w:hAnsi="Times New Roman"/>
        </w:rPr>
      </w:pPr>
    </w:p>
    <w:p w14:paraId="22247DD8">
      <w:pPr>
        <w:snapToGrid w:val="0"/>
        <w:spacing w:line="360" w:lineRule="auto"/>
        <w:ind w:left="570"/>
        <w:jc w:val="center"/>
        <w:outlineLvl w:val="0"/>
        <w:rPr>
          <w:rFonts w:hint="default"/>
          <w:b/>
          <w:sz w:val="32"/>
          <w:szCs w:val="32"/>
        </w:rPr>
      </w:pPr>
      <w:bookmarkStart w:id="107" w:name="_Toc11307"/>
      <w:bookmarkStart w:id="108" w:name="_Toc5518"/>
      <w:bookmarkStart w:id="109" w:name="_Toc233618990"/>
      <w:bookmarkStart w:id="110" w:name="_Toc21925"/>
      <w:bookmarkStart w:id="111" w:name="_Toc31139"/>
      <w:bookmarkStart w:id="112" w:name="_Toc29285"/>
      <w:bookmarkStart w:id="113" w:name="_Toc2646"/>
      <w:r>
        <w:rPr>
          <w:rFonts w:hint="default" w:ascii="宋体" w:hAnsi="宋体" w:cs="宋体"/>
          <w:b/>
          <w:sz w:val="30"/>
          <w:szCs w:val="30"/>
        </w:rPr>
        <w:t>一、</w:t>
      </w:r>
      <w:bookmarkEnd w:id="107"/>
      <w:bookmarkEnd w:id="108"/>
      <w:bookmarkEnd w:id="109"/>
      <w:bookmarkEnd w:id="110"/>
      <w:bookmarkEnd w:id="111"/>
      <w:bookmarkEnd w:id="112"/>
      <w:bookmarkStart w:id="114" w:name="_Toc354859632"/>
      <w:bookmarkStart w:id="115" w:name="_Toc6431"/>
      <w:bookmarkStart w:id="116" w:name="_Toc6304"/>
      <w:bookmarkStart w:id="117" w:name="_Toc11193"/>
      <w:bookmarkStart w:id="118" w:name="_Toc233618991"/>
      <w:bookmarkStart w:id="119" w:name="_Toc27051"/>
      <w:bookmarkStart w:id="120" w:name="_Toc12092"/>
      <w:bookmarkStart w:id="121" w:name="_Toc354859475"/>
      <w:bookmarkStart w:id="122" w:name="_Toc354859551"/>
      <w:r>
        <w:rPr>
          <w:rFonts w:hint="default" w:ascii="宋体" w:hAnsi="宋体" w:cs="宋体"/>
          <w:b/>
          <w:sz w:val="30"/>
          <w:szCs w:val="30"/>
        </w:rPr>
        <w:t>开标一览表</w:t>
      </w:r>
      <w:bookmarkEnd w:id="113"/>
      <w:bookmarkEnd w:id="114"/>
      <w:bookmarkEnd w:id="115"/>
      <w:bookmarkEnd w:id="116"/>
      <w:bookmarkEnd w:id="117"/>
      <w:bookmarkEnd w:id="118"/>
      <w:bookmarkEnd w:id="119"/>
      <w:bookmarkEnd w:id="120"/>
      <w:bookmarkEnd w:id="121"/>
      <w:bookmarkEnd w:id="122"/>
    </w:p>
    <w:p w14:paraId="1768EB62">
      <w:pPr>
        <w:snapToGrid w:val="0"/>
        <w:spacing w:line="360" w:lineRule="auto"/>
        <w:rPr>
          <w:rFonts w:hint="default"/>
          <w:sz w:val="24"/>
          <w:szCs w:val="24"/>
        </w:rPr>
      </w:pPr>
      <w:r>
        <w:rPr>
          <w:sz w:val="24"/>
          <w:szCs w:val="24"/>
        </w:rPr>
        <w:t>浙江省中医院</w:t>
      </w:r>
    </w:p>
    <w:p w14:paraId="33EFAEF9">
      <w:pPr>
        <w:snapToGrid w:val="0"/>
        <w:spacing w:line="360" w:lineRule="auto"/>
        <w:rPr>
          <w:rFonts w:hint="default"/>
          <w:sz w:val="24"/>
          <w:szCs w:val="24"/>
        </w:rPr>
      </w:pPr>
      <w:r>
        <w:rPr>
          <w:rFonts w:hint="default"/>
          <w:sz w:val="24"/>
          <w:szCs w:val="24"/>
        </w:rPr>
        <w:t>浙江豪圣建设项目管理有限公司：</w:t>
      </w:r>
    </w:p>
    <w:p w14:paraId="1D4FF207">
      <w:pPr>
        <w:snapToGrid w:val="0"/>
        <w:spacing w:line="360" w:lineRule="auto"/>
        <w:ind w:firstLine="480" w:firstLineChars="200"/>
        <w:rPr>
          <w:rFonts w:hint="default"/>
          <w:kern w:val="0"/>
          <w:sz w:val="24"/>
          <w:szCs w:val="24"/>
          <w:lang w:val="zh-CN"/>
        </w:rPr>
      </w:pPr>
      <w:r>
        <w:rPr>
          <w:rFonts w:hint="default"/>
          <w:kern w:val="0"/>
          <w:sz w:val="24"/>
          <w:szCs w:val="24"/>
          <w:lang w:val="zh-CN"/>
        </w:rPr>
        <w:t>按你方采购文件要求，我们，本投标文件签字方，谨此向你方发出要约如下：如你方接受本投标文件，我方承诺按照如下开标一览表的价格完成项目编号为</w:t>
      </w:r>
      <w:r>
        <w:rPr>
          <w:rFonts w:hint="eastAsia"/>
          <w:sz w:val="24"/>
          <w:szCs w:val="24"/>
          <w:u w:val="single"/>
          <w:lang w:eastAsia="zh-CN"/>
        </w:rPr>
        <w:t>330000263210280000030-HSZB-2026-256</w:t>
      </w:r>
      <w:r>
        <w:rPr>
          <w:rFonts w:hint="default"/>
          <w:kern w:val="0"/>
          <w:sz w:val="24"/>
          <w:szCs w:val="24"/>
          <w:lang w:val="zh-CN"/>
        </w:rPr>
        <w:t>的采购文件[项目名称：</w:t>
      </w:r>
      <w:r>
        <w:rPr>
          <w:sz w:val="24"/>
          <w:szCs w:val="24"/>
        </w:rPr>
        <w:t>浙江省中医院医学整形美容科（西溪）运营服务</w:t>
      </w:r>
      <w:r>
        <w:rPr>
          <w:rFonts w:hint="default"/>
          <w:kern w:val="0"/>
          <w:sz w:val="24"/>
          <w:szCs w:val="24"/>
          <w:lang w:val="zh-CN"/>
        </w:rPr>
        <w:t>]的实施。</w:t>
      </w:r>
    </w:p>
    <w:p w14:paraId="14E5C9EA">
      <w:pPr>
        <w:autoSpaceDE w:val="0"/>
        <w:autoSpaceDN w:val="0"/>
        <w:adjustRightInd w:val="0"/>
        <w:spacing w:line="360" w:lineRule="auto"/>
        <w:jc w:val="center"/>
        <w:outlineLvl w:val="0"/>
        <w:rPr>
          <w:rFonts w:hint="default"/>
          <w:b/>
          <w:bCs/>
          <w:kern w:val="0"/>
          <w:sz w:val="24"/>
          <w:szCs w:val="24"/>
          <w:lang w:val="zh-CN"/>
        </w:rPr>
      </w:pPr>
      <w:bookmarkStart w:id="123" w:name="_Toc12944"/>
      <w:bookmarkStart w:id="124" w:name="_Toc20543"/>
      <w:bookmarkStart w:id="125" w:name="_Toc14958"/>
      <w:bookmarkStart w:id="126" w:name="_Toc4652"/>
      <w:bookmarkStart w:id="127" w:name="_Toc13295"/>
      <w:bookmarkStart w:id="128" w:name="_Toc18202"/>
      <w:r>
        <w:rPr>
          <w:rFonts w:hint="default"/>
          <w:b/>
          <w:bCs/>
          <w:kern w:val="0"/>
          <w:sz w:val="24"/>
          <w:szCs w:val="24"/>
          <w:lang w:val="zh-CN"/>
        </w:rPr>
        <w:t>投标（开标）一览表（单位均为人民币元）</w:t>
      </w:r>
      <w:bookmarkEnd w:id="123"/>
      <w:bookmarkEnd w:id="124"/>
      <w:bookmarkEnd w:id="125"/>
      <w:bookmarkEnd w:id="126"/>
      <w:bookmarkEnd w:id="127"/>
      <w:bookmarkEnd w:id="128"/>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3858"/>
        <w:gridCol w:w="3104"/>
        <w:gridCol w:w="1380"/>
      </w:tblGrid>
      <w:tr w14:paraId="533B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39" w:type="pct"/>
            <w:vAlign w:val="center"/>
          </w:tcPr>
          <w:p w14:paraId="015CD6C4">
            <w:pPr>
              <w:spacing w:line="360" w:lineRule="auto"/>
              <w:jc w:val="center"/>
              <w:rPr>
                <w:rFonts w:hint="default"/>
                <w:b/>
                <w:sz w:val="24"/>
                <w:szCs w:val="24"/>
              </w:rPr>
            </w:pPr>
            <w:r>
              <w:rPr>
                <w:rFonts w:hint="default"/>
                <w:b/>
                <w:sz w:val="24"/>
                <w:szCs w:val="24"/>
              </w:rPr>
              <w:t>序号</w:t>
            </w:r>
          </w:p>
        </w:tc>
        <w:tc>
          <w:tcPr>
            <w:tcW w:w="2016" w:type="pct"/>
            <w:vAlign w:val="center"/>
          </w:tcPr>
          <w:p w14:paraId="345B4677">
            <w:pPr>
              <w:spacing w:line="360" w:lineRule="auto"/>
              <w:jc w:val="center"/>
              <w:rPr>
                <w:rFonts w:hint="default"/>
                <w:b/>
                <w:sz w:val="24"/>
                <w:szCs w:val="24"/>
              </w:rPr>
            </w:pPr>
            <w:r>
              <w:rPr>
                <w:b/>
                <w:sz w:val="24"/>
                <w:szCs w:val="24"/>
              </w:rPr>
              <w:t>标项</w:t>
            </w:r>
            <w:r>
              <w:rPr>
                <w:rFonts w:hint="default"/>
                <w:b/>
                <w:sz w:val="24"/>
                <w:szCs w:val="24"/>
              </w:rPr>
              <w:t>名称</w:t>
            </w:r>
          </w:p>
        </w:tc>
        <w:tc>
          <w:tcPr>
            <w:tcW w:w="1622" w:type="pct"/>
            <w:vAlign w:val="center"/>
          </w:tcPr>
          <w:p w14:paraId="1D420EFA">
            <w:pPr>
              <w:spacing w:line="360" w:lineRule="auto"/>
              <w:jc w:val="center"/>
              <w:rPr>
                <w:rFonts w:hint="default"/>
                <w:b/>
                <w:sz w:val="24"/>
                <w:szCs w:val="24"/>
              </w:rPr>
            </w:pPr>
            <w:r>
              <w:rPr>
                <w:b/>
                <w:sz w:val="24"/>
                <w:szCs w:val="24"/>
              </w:rPr>
              <w:t>投标折扣率</w:t>
            </w:r>
            <w:r>
              <w:rPr>
                <w:rFonts w:hint="default"/>
                <w:b/>
                <w:sz w:val="24"/>
                <w:szCs w:val="24"/>
              </w:rPr>
              <w:t>（</w:t>
            </w:r>
            <w:r>
              <w:rPr>
                <w:b/>
                <w:sz w:val="24"/>
                <w:szCs w:val="24"/>
              </w:rPr>
              <w:t>%</w:t>
            </w:r>
            <w:r>
              <w:rPr>
                <w:rFonts w:hint="default"/>
                <w:b/>
                <w:sz w:val="24"/>
                <w:szCs w:val="24"/>
              </w:rPr>
              <w:t>）</w:t>
            </w:r>
          </w:p>
        </w:tc>
        <w:tc>
          <w:tcPr>
            <w:tcW w:w="721" w:type="pct"/>
            <w:vAlign w:val="center"/>
          </w:tcPr>
          <w:p w14:paraId="2DC05BE3">
            <w:pPr>
              <w:spacing w:line="360" w:lineRule="auto"/>
              <w:jc w:val="center"/>
              <w:rPr>
                <w:rFonts w:hint="default"/>
                <w:b/>
                <w:sz w:val="24"/>
                <w:szCs w:val="24"/>
              </w:rPr>
            </w:pPr>
            <w:r>
              <w:rPr>
                <w:rFonts w:hint="default"/>
                <w:b/>
                <w:sz w:val="24"/>
                <w:szCs w:val="24"/>
              </w:rPr>
              <w:t>备注</w:t>
            </w:r>
          </w:p>
        </w:tc>
      </w:tr>
      <w:tr w14:paraId="560C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39" w:type="pct"/>
            <w:vAlign w:val="center"/>
          </w:tcPr>
          <w:p w14:paraId="555E9E83">
            <w:pPr>
              <w:spacing w:line="360" w:lineRule="auto"/>
              <w:jc w:val="center"/>
              <w:rPr>
                <w:rFonts w:hint="default"/>
                <w:kern w:val="0"/>
                <w:sz w:val="24"/>
                <w:szCs w:val="24"/>
                <w:lang w:val="zh-CN"/>
              </w:rPr>
            </w:pPr>
            <w:r>
              <w:rPr>
                <w:rFonts w:hint="default"/>
                <w:kern w:val="0"/>
                <w:sz w:val="24"/>
                <w:szCs w:val="24"/>
                <w:lang w:val="zh-CN"/>
              </w:rPr>
              <w:t>1</w:t>
            </w:r>
          </w:p>
        </w:tc>
        <w:tc>
          <w:tcPr>
            <w:tcW w:w="2016" w:type="pct"/>
            <w:vAlign w:val="center"/>
          </w:tcPr>
          <w:p w14:paraId="43D3275D">
            <w:pPr>
              <w:jc w:val="center"/>
              <w:rPr>
                <w:rFonts w:hint="default"/>
                <w:kern w:val="0"/>
                <w:sz w:val="24"/>
                <w:szCs w:val="24"/>
                <w:lang w:val="zh-CN"/>
              </w:rPr>
            </w:pPr>
          </w:p>
        </w:tc>
        <w:tc>
          <w:tcPr>
            <w:tcW w:w="1622" w:type="pct"/>
            <w:vAlign w:val="center"/>
          </w:tcPr>
          <w:p w14:paraId="14E8F4A4">
            <w:pPr>
              <w:jc w:val="center"/>
              <w:rPr>
                <w:rFonts w:hint="default"/>
                <w:kern w:val="0"/>
                <w:sz w:val="24"/>
                <w:szCs w:val="24"/>
              </w:rPr>
            </w:pPr>
          </w:p>
        </w:tc>
        <w:tc>
          <w:tcPr>
            <w:tcW w:w="721" w:type="pct"/>
            <w:vAlign w:val="center"/>
          </w:tcPr>
          <w:p w14:paraId="7557635F">
            <w:pPr>
              <w:jc w:val="center"/>
              <w:rPr>
                <w:rFonts w:hint="default"/>
                <w:kern w:val="0"/>
                <w:sz w:val="24"/>
                <w:szCs w:val="24"/>
                <w:lang w:val="zh-CN"/>
              </w:rPr>
            </w:pPr>
          </w:p>
        </w:tc>
      </w:tr>
    </w:tbl>
    <w:p w14:paraId="0822B449">
      <w:pPr>
        <w:tabs>
          <w:tab w:val="left" w:pos="1140"/>
        </w:tabs>
        <w:adjustRightInd w:val="0"/>
        <w:snapToGrid w:val="0"/>
        <w:spacing w:line="360" w:lineRule="auto"/>
        <w:jc w:val="left"/>
        <w:rPr>
          <w:rFonts w:hint="default"/>
          <w:kern w:val="0"/>
          <w:sz w:val="24"/>
          <w:szCs w:val="24"/>
          <w:lang w:val="zh-CN"/>
        </w:rPr>
      </w:pPr>
    </w:p>
    <w:p w14:paraId="6073C050">
      <w:pPr>
        <w:tabs>
          <w:tab w:val="left" w:pos="1140"/>
        </w:tabs>
        <w:adjustRightInd w:val="0"/>
        <w:snapToGrid w:val="0"/>
        <w:spacing w:line="360" w:lineRule="auto"/>
        <w:jc w:val="left"/>
        <w:rPr>
          <w:rFonts w:hint="default"/>
          <w:bCs/>
          <w:sz w:val="24"/>
          <w:szCs w:val="24"/>
        </w:rPr>
      </w:pPr>
      <w:r>
        <w:rPr>
          <w:rFonts w:hint="default"/>
          <w:kern w:val="0"/>
          <w:sz w:val="24"/>
          <w:szCs w:val="24"/>
          <w:lang w:val="zh-CN"/>
        </w:rPr>
        <w:t>注：</w:t>
      </w:r>
      <w:r>
        <w:rPr>
          <w:rFonts w:hint="default"/>
          <w:sz w:val="24"/>
          <w:szCs w:val="24"/>
        </w:rPr>
        <w:t>1、投标人需按本表格式填写，</w:t>
      </w:r>
      <w:r>
        <w:rPr>
          <w:rFonts w:hint="default"/>
          <w:bCs/>
          <w:sz w:val="24"/>
          <w:szCs w:val="24"/>
        </w:rPr>
        <w:t>栏数不够可自加。</w:t>
      </w:r>
    </w:p>
    <w:p w14:paraId="5FB7F9BF">
      <w:pPr>
        <w:spacing w:line="360" w:lineRule="auto"/>
        <w:ind w:firstLine="482" w:firstLineChars="200"/>
        <w:rPr>
          <w:rFonts w:hint="default"/>
          <w:sz w:val="24"/>
        </w:rPr>
      </w:pPr>
      <w:r>
        <w:rPr>
          <w:rFonts w:ascii="宋体" w:hAnsi="宋体" w:cs="宋体"/>
          <w:b/>
          <w:color w:val="000000"/>
          <w:sz w:val="24"/>
          <w:szCs w:val="24"/>
        </w:rPr>
        <w:t>2、如：供应商填报30%，表示供应商</w:t>
      </w:r>
      <w:r>
        <w:rPr>
          <w:rFonts w:hint="default" w:ascii="宋体" w:hAnsi="宋体" w:cs="宋体"/>
          <w:b/>
          <w:color w:val="000000"/>
          <w:sz w:val="24"/>
          <w:szCs w:val="24"/>
        </w:rPr>
        <w:t>运营服务费=（实际有效收入-保底有效收入）×</w:t>
      </w:r>
      <w:r>
        <w:rPr>
          <w:rFonts w:ascii="宋体" w:hAnsi="宋体" w:cs="宋体"/>
          <w:b/>
          <w:color w:val="000000"/>
          <w:sz w:val="24"/>
          <w:szCs w:val="24"/>
        </w:rPr>
        <w:t>30%</w:t>
      </w:r>
    </w:p>
    <w:p w14:paraId="0C9662C2">
      <w:pPr>
        <w:tabs>
          <w:tab w:val="left" w:pos="1140"/>
          <w:tab w:val="left" w:pos="5909"/>
        </w:tabs>
        <w:adjustRightInd w:val="0"/>
        <w:snapToGrid w:val="0"/>
        <w:spacing w:line="360" w:lineRule="auto"/>
        <w:ind w:firstLine="480" w:firstLineChars="200"/>
        <w:jc w:val="left"/>
        <w:rPr>
          <w:rFonts w:hint="default"/>
          <w:kern w:val="0"/>
          <w:szCs w:val="21"/>
          <w:lang w:val="zh-CN"/>
        </w:rPr>
      </w:pPr>
      <w:r>
        <w:rPr>
          <w:kern w:val="0"/>
          <w:sz w:val="24"/>
          <w:szCs w:val="24"/>
        </w:rPr>
        <w:t>3</w:t>
      </w:r>
      <w:r>
        <w:rPr>
          <w:rFonts w:hint="default"/>
          <w:kern w:val="0"/>
          <w:sz w:val="24"/>
          <w:szCs w:val="24"/>
          <w:lang w:val="zh-CN"/>
        </w:rPr>
        <w:t>、有关本项目实施所涉及的一切费用均计入报价。</w:t>
      </w:r>
      <w:r>
        <w:rPr>
          <w:rFonts w:hint="default"/>
          <w:kern w:val="0"/>
          <w:szCs w:val="21"/>
          <w:lang w:val="zh-CN"/>
        </w:rPr>
        <w:tab/>
      </w:r>
    </w:p>
    <w:p w14:paraId="3E82BECF">
      <w:pPr>
        <w:adjustRightInd w:val="0"/>
        <w:snapToGrid w:val="0"/>
        <w:spacing w:line="360" w:lineRule="auto"/>
        <w:ind w:firstLine="480" w:firstLineChars="200"/>
        <w:rPr>
          <w:rFonts w:hint="default" w:ascii="宋体" w:hAnsi="宋体" w:cs="宋体"/>
          <w:kern w:val="0"/>
          <w:sz w:val="24"/>
        </w:rPr>
      </w:pPr>
      <w:bookmarkStart w:id="129" w:name="_Toc24956"/>
      <w:bookmarkStart w:id="130" w:name="_Toc233618992"/>
      <w:bookmarkStart w:id="131" w:name="_Toc18315"/>
      <w:bookmarkStart w:id="132" w:name="_Toc4011"/>
      <w:bookmarkStart w:id="133" w:name="_Toc26301"/>
    </w:p>
    <w:p w14:paraId="31D10EC3">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031991B9">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3CAA30CB">
      <w:pPr>
        <w:pStyle w:val="6"/>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34" w:name="_Toc32170"/>
      <w:bookmarkStart w:id="135" w:name="_Toc8277"/>
      <w:r>
        <w:rPr>
          <w:rFonts w:hint="default" w:ascii="Times New Roman" w:hAnsi="Times New Roman"/>
          <w:kern w:val="0"/>
        </w:rPr>
        <w:t>日期：</w:t>
      </w:r>
      <w:r>
        <w:rPr>
          <w:rFonts w:hint="eastAsia" w:ascii="Times New Roman" w:hAnsi="Times New Roman"/>
          <w:kern w:val="0"/>
          <w:lang w:val="en-US" w:eastAsia="zh-CN"/>
        </w:rPr>
        <w:t xml:space="preserve">  </w:t>
      </w:r>
      <w:r>
        <w:rPr>
          <w:rFonts w:hint="default" w:ascii="Times New Roman" w:hAnsi="Times New Roman"/>
          <w:kern w:val="0"/>
        </w:rPr>
        <w:t>年</w:t>
      </w:r>
      <w:r>
        <w:rPr>
          <w:rFonts w:hint="eastAsia" w:ascii="Times New Roman" w:hAnsi="Times New Roman"/>
          <w:kern w:val="0"/>
          <w:lang w:val="en-US" w:eastAsia="zh-CN"/>
        </w:rPr>
        <w:t xml:space="preserve">  </w:t>
      </w:r>
      <w:r>
        <w:rPr>
          <w:rFonts w:hint="default" w:ascii="Times New Roman" w:hAnsi="Times New Roman"/>
          <w:kern w:val="0"/>
        </w:rPr>
        <w:t>月</w:t>
      </w:r>
      <w:r>
        <w:rPr>
          <w:rFonts w:hint="eastAsia" w:ascii="Times New Roman" w:hAnsi="Times New Roman"/>
          <w:kern w:val="0"/>
          <w:lang w:val="en-US" w:eastAsia="zh-CN"/>
        </w:rPr>
        <w:t xml:space="preserve">  </w:t>
      </w:r>
      <w:r>
        <w:rPr>
          <w:rFonts w:hint="default" w:ascii="Times New Roman" w:hAnsi="Times New Roman"/>
          <w:kern w:val="0"/>
        </w:rPr>
        <w:t>日</w:t>
      </w:r>
      <w:bookmarkEnd w:id="134"/>
      <w:bookmarkEnd w:id="135"/>
    </w:p>
    <w:p w14:paraId="6EC9357A">
      <w:pPr>
        <w:rPr>
          <w:rFonts w:hint="default"/>
          <w:kern w:val="0"/>
        </w:rPr>
      </w:pPr>
      <w:r>
        <w:rPr>
          <w:rFonts w:hint="default"/>
          <w:b/>
          <w:sz w:val="32"/>
          <w:szCs w:val="32"/>
        </w:rPr>
        <w:br w:type="page"/>
      </w:r>
      <w:bookmarkEnd w:id="129"/>
      <w:bookmarkEnd w:id="130"/>
      <w:bookmarkEnd w:id="131"/>
      <w:bookmarkEnd w:id="132"/>
      <w:bookmarkEnd w:id="133"/>
    </w:p>
    <w:p w14:paraId="18A4F035">
      <w:pPr>
        <w:widowControl/>
        <w:snapToGrid w:val="0"/>
        <w:spacing w:line="360" w:lineRule="auto"/>
        <w:jc w:val="center"/>
        <w:rPr>
          <w:rFonts w:hint="default" w:ascii="宋体" w:hAnsi="宋体" w:cs="宋体"/>
          <w:b/>
          <w:sz w:val="32"/>
          <w:szCs w:val="32"/>
        </w:rPr>
      </w:pPr>
      <w:r>
        <w:rPr>
          <w:rFonts w:ascii="宋体" w:hAnsi="宋体" w:cs="宋体"/>
          <w:b/>
          <w:sz w:val="32"/>
          <w:szCs w:val="32"/>
        </w:rPr>
        <w:t>二、报价情况说明（如有）</w:t>
      </w:r>
    </w:p>
    <w:p w14:paraId="5B82E27D">
      <w:pPr>
        <w:widowControl/>
        <w:snapToGrid w:val="0"/>
        <w:spacing w:line="360" w:lineRule="auto"/>
        <w:ind w:left="420" w:leftChars="200"/>
        <w:jc w:val="center"/>
        <w:rPr>
          <w:rFonts w:hint="default" w:ascii="宋体" w:hAnsi="宋体" w:cs="宋体"/>
          <w:kern w:val="0"/>
          <w:sz w:val="24"/>
        </w:rPr>
      </w:pPr>
      <w:r>
        <w:rPr>
          <w:rFonts w:ascii="宋体" w:hAnsi="宋体" w:cs="宋体"/>
          <w:b/>
          <w:sz w:val="32"/>
          <w:szCs w:val="32"/>
        </w:rPr>
        <w:t>（如供应商报价低于项目最高限价45%的，应当提交本文档，详细阐述报价合理性相关的书面说明及必要的证明材料）</w:t>
      </w:r>
    </w:p>
    <w:p w14:paraId="049B662E">
      <w:pPr>
        <w:pStyle w:val="6"/>
        <w:adjustRightInd w:val="0"/>
        <w:snapToGrid w:val="0"/>
        <w:spacing w:beforeLines="0" w:afterLines="0" w:line="360" w:lineRule="auto"/>
        <w:ind w:firstLine="480" w:firstLineChars="200"/>
        <w:outlineLvl w:val="0"/>
        <w:rPr>
          <w:rFonts w:hint="default" w:ascii="Times New Roman" w:hAnsi="Times New Roman"/>
          <w:kern w:val="0"/>
        </w:rPr>
      </w:pPr>
    </w:p>
    <w:p w14:paraId="01623833">
      <w:pPr>
        <w:adjustRightInd w:val="0"/>
        <w:snapToGrid w:val="0"/>
        <w:spacing w:line="440" w:lineRule="exact"/>
        <w:ind w:right="420"/>
        <w:rPr>
          <w:rFonts w:hint="default"/>
          <w:b/>
          <w:sz w:val="32"/>
          <w:szCs w:val="32"/>
        </w:rPr>
      </w:pPr>
      <w:r>
        <w:rPr>
          <w:rFonts w:hint="default"/>
          <w:kern w:val="0"/>
        </w:rPr>
        <w:br w:type="page"/>
      </w:r>
    </w:p>
    <w:p w14:paraId="02EC91F2">
      <w:pPr>
        <w:pStyle w:val="74"/>
        <w:snapToGrid w:val="0"/>
        <w:spacing w:line="360" w:lineRule="auto"/>
        <w:ind w:firstLine="321" w:firstLineChars="100"/>
        <w:jc w:val="center"/>
        <w:rPr>
          <w:rFonts w:hint="default"/>
          <w:b/>
          <w:sz w:val="30"/>
          <w:szCs w:val="30"/>
        </w:rPr>
      </w:pPr>
      <w:r>
        <w:rPr>
          <w:b/>
          <w:sz w:val="32"/>
          <w:szCs w:val="32"/>
        </w:rPr>
        <w:t>三</w:t>
      </w:r>
      <w:r>
        <w:rPr>
          <w:rFonts w:ascii="Arial" w:hAnsi="Arial" w:cs="Arial"/>
          <w:b/>
          <w:kern w:val="0"/>
          <w:sz w:val="32"/>
          <w:szCs w:val="32"/>
        </w:rPr>
        <w:t>、</w:t>
      </w:r>
      <w:r>
        <w:rPr>
          <w:rFonts w:hint="default"/>
          <w:b/>
          <w:sz w:val="30"/>
          <w:szCs w:val="30"/>
        </w:rPr>
        <w:t>代理服务费支付承诺书格式</w:t>
      </w:r>
    </w:p>
    <w:p w14:paraId="661FCF51">
      <w:pPr>
        <w:snapToGrid w:val="0"/>
        <w:spacing w:before="50" w:after="50" w:line="360" w:lineRule="auto"/>
        <w:rPr>
          <w:rFonts w:hint="default"/>
          <w:b/>
          <w:sz w:val="24"/>
        </w:rPr>
      </w:pPr>
    </w:p>
    <w:p w14:paraId="7824B388">
      <w:pPr>
        <w:snapToGrid w:val="0"/>
        <w:spacing w:before="50" w:afterLines="50" w:line="360" w:lineRule="auto"/>
        <w:jc w:val="center"/>
        <w:rPr>
          <w:rFonts w:hint="default"/>
          <w:b/>
          <w:sz w:val="30"/>
          <w:szCs w:val="30"/>
        </w:rPr>
      </w:pPr>
      <w:r>
        <w:rPr>
          <w:rFonts w:hint="default"/>
          <w:b/>
          <w:sz w:val="30"/>
          <w:szCs w:val="30"/>
        </w:rPr>
        <w:t>代理服务费支付承诺书</w:t>
      </w:r>
    </w:p>
    <w:p w14:paraId="64204F7B">
      <w:pPr>
        <w:snapToGrid w:val="0"/>
        <w:spacing w:before="50" w:afterLines="50" w:line="360" w:lineRule="auto"/>
        <w:jc w:val="center"/>
        <w:rPr>
          <w:rFonts w:hint="default"/>
          <w:b/>
          <w:sz w:val="30"/>
          <w:szCs w:val="30"/>
        </w:rPr>
      </w:pPr>
    </w:p>
    <w:p w14:paraId="7AE572C8">
      <w:pPr>
        <w:snapToGrid w:val="0"/>
        <w:spacing w:before="50" w:after="50" w:line="360" w:lineRule="auto"/>
        <w:rPr>
          <w:rFonts w:hint="default"/>
          <w:snapToGrid w:val="0"/>
          <w:kern w:val="0"/>
          <w:sz w:val="24"/>
        </w:rPr>
      </w:pPr>
      <w:r>
        <w:rPr>
          <w:rFonts w:hint="default"/>
          <w:snapToGrid w:val="0"/>
          <w:kern w:val="0"/>
          <w:sz w:val="24"/>
        </w:rPr>
        <w:t>致：</w:t>
      </w:r>
      <w:r>
        <w:rPr>
          <w:snapToGrid w:val="0"/>
          <w:kern w:val="0"/>
          <w:sz w:val="24"/>
        </w:rPr>
        <w:t>浙江豪圣建设项目管理有限公司</w:t>
      </w:r>
      <w:r>
        <w:rPr>
          <w:rFonts w:hint="default"/>
          <w:snapToGrid w:val="0"/>
          <w:kern w:val="0"/>
          <w:sz w:val="24"/>
        </w:rPr>
        <w:t>：</w:t>
      </w:r>
    </w:p>
    <w:p w14:paraId="7B3722AE">
      <w:pPr>
        <w:snapToGrid w:val="0"/>
        <w:spacing w:before="50" w:after="50" w:line="360" w:lineRule="auto"/>
        <w:rPr>
          <w:rFonts w:hint="default"/>
          <w:snapToGrid w:val="0"/>
          <w:kern w:val="0"/>
          <w:sz w:val="24"/>
        </w:rPr>
      </w:pPr>
    </w:p>
    <w:p w14:paraId="4AE4B316">
      <w:pPr>
        <w:snapToGrid w:val="0"/>
        <w:spacing w:before="50" w:after="50" w:line="360" w:lineRule="auto"/>
        <w:ind w:firstLine="630"/>
        <w:rPr>
          <w:rFonts w:hint="default"/>
          <w:snapToGrid w:val="0"/>
          <w:kern w:val="0"/>
          <w:sz w:val="24"/>
        </w:rPr>
      </w:pPr>
      <w:r>
        <w:rPr>
          <w:rFonts w:hint="default"/>
          <w:snapToGrid w:val="0"/>
          <w:kern w:val="0"/>
          <w:sz w:val="24"/>
        </w:rPr>
        <w:t>我公司已认真阅读了招标文件（项目编号：）并在此承诺：</w:t>
      </w:r>
    </w:p>
    <w:p w14:paraId="1972CFA8">
      <w:pPr>
        <w:snapToGrid w:val="0"/>
        <w:spacing w:before="50" w:after="50" w:line="360" w:lineRule="auto"/>
        <w:ind w:firstLine="630"/>
        <w:rPr>
          <w:rFonts w:hint="default"/>
          <w:snapToGrid w:val="0"/>
          <w:kern w:val="0"/>
          <w:sz w:val="24"/>
        </w:rPr>
      </w:pPr>
      <w:r>
        <w:rPr>
          <w:rFonts w:hint="default"/>
          <w:snapToGrid w:val="0"/>
          <w:kern w:val="0"/>
          <w:sz w:val="24"/>
        </w:rPr>
        <w:t>如中标，我公司将自中标公告发布之日起5个工作日内按招标文件规定的标准（金额）一次性向采购代理机构支付代理服务费。</w:t>
      </w:r>
    </w:p>
    <w:p w14:paraId="35FD4A0B">
      <w:pPr>
        <w:snapToGrid w:val="0"/>
        <w:spacing w:before="50" w:after="50" w:line="360" w:lineRule="auto"/>
        <w:ind w:firstLine="630"/>
        <w:rPr>
          <w:rFonts w:hint="default"/>
          <w:snapToGrid w:val="0"/>
          <w:kern w:val="0"/>
          <w:sz w:val="24"/>
        </w:rPr>
      </w:pPr>
    </w:p>
    <w:p w14:paraId="05B6295E">
      <w:pPr>
        <w:snapToGrid w:val="0"/>
        <w:spacing w:before="50" w:after="50" w:line="360" w:lineRule="auto"/>
        <w:ind w:firstLine="630"/>
        <w:rPr>
          <w:rFonts w:hint="default"/>
          <w:snapToGrid w:val="0"/>
          <w:kern w:val="0"/>
          <w:sz w:val="24"/>
        </w:rPr>
      </w:pPr>
    </w:p>
    <w:p w14:paraId="5B889448">
      <w:pPr>
        <w:snapToGrid w:val="0"/>
        <w:spacing w:before="50" w:after="50" w:line="360" w:lineRule="auto"/>
        <w:ind w:firstLine="630"/>
        <w:rPr>
          <w:rFonts w:hint="default"/>
          <w:snapToGrid w:val="0"/>
          <w:kern w:val="0"/>
          <w:sz w:val="24"/>
        </w:rPr>
      </w:pPr>
    </w:p>
    <w:p w14:paraId="20A798F4">
      <w:pPr>
        <w:snapToGrid w:val="0"/>
        <w:spacing w:before="50" w:after="50" w:line="360" w:lineRule="auto"/>
        <w:ind w:firstLine="630"/>
        <w:rPr>
          <w:rFonts w:hint="default"/>
          <w:snapToGrid w:val="0"/>
          <w:kern w:val="0"/>
          <w:sz w:val="24"/>
        </w:rPr>
      </w:pPr>
    </w:p>
    <w:p w14:paraId="4E91F58A">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6A39CB64">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68FBB494">
      <w:pPr>
        <w:pStyle w:val="6"/>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36" w:name="_Toc21299"/>
      <w:bookmarkStart w:id="137" w:name="_Toc17444"/>
      <w:r>
        <w:rPr>
          <w:rFonts w:hint="default" w:ascii="Times New Roman" w:hAnsi="Times New Roman"/>
          <w:kern w:val="0"/>
        </w:rPr>
        <w:t>日期：</w:t>
      </w:r>
      <w:r>
        <w:rPr>
          <w:rFonts w:hint="eastAsia" w:ascii="Times New Roman" w:hAnsi="Times New Roman"/>
          <w:kern w:val="0"/>
          <w:lang w:val="en-US" w:eastAsia="zh-CN"/>
        </w:rPr>
        <w:t xml:space="preserve">  </w:t>
      </w:r>
      <w:r>
        <w:rPr>
          <w:rFonts w:hint="default" w:ascii="Times New Roman" w:hAnsi="Times New Roman"/>
          <w:kern w:val="0"/>
        </w:rPr>
        <w:t>年</w:t>
      </w:r>
      <w:r>
        <w:rPr>
          <w:rFonts w:hint="eastAsia" w:ascii="Times New Roman" w:hAnsi="Times New Roman"/>
          <w:kern w:val="0"/>
          <w:lang w:val="en-US" w:eastAsia="zh-CN"/>
        </w:rPr>
        <w:t xml:space="preserve">  </w:t>
      </w:r>
      <w:r>
        <w:rPr>
          <w:rFonts w:hint="default" w:ascii="Times New Roman" w:hAnsi="Times New Roman"/>
          <w:kern w:val="0"/>
        </w:rPr>
        <w:t>月</w:t>
      </w:r>
      <w:r>
        <w:rPr>
          <w:rFonts w:hint="eastAsia" w:ascii="Times New Roman" w:hAnsi="Times New Roman"/>
          <w:kern w:val="0"/>
          <w:lang w:val="en-US" w:eastAsia="zh-CN"/>
        </w:rPr>
        <w:t xml:space="preserve">  </w:t>
      </w:r>
      <w:r>
        <w:rPr>
          <w:rFonts w:hint="default" w:ascii="Times New Roman" w:hAnsi="Times New Roman"/>
          <w:kern w:val="0"/>
        </w:rPr>
        <w:t>日</w:t>
      </w:r>
      <w:bookmarkEnd w:id="136"/>
      <w:bookmarkEnd w:id="137"/>
    </w:p>
    <w:p w14:paraId="307050DC">
      <w:pPr>
        <w:pStyle w:val="74"/>
        <w:snapToGrid w:val="0"/>
        <w:spacing w:line="360" w:lineRule="auto"/>
        <w:ind w:left="360" w:firstLine="240" w:firstLineChars="100"/>
        <w:jc w:val="center"/>
        <w:rPr>
          <w:rFonts w:hint="default"/>
          <w:sz w:val="24"/>
          <w:szCs w:val="24"/>
        </w:rPr>
      </w:pPr>
    </w:p>
    <w:p w14:paraId="256BA5C3">
      <w:pPr>
        <w:snapToGrid w:val="0"/>
        <w:spacing w:line="360" w:lineRule="auto"/>
        <w:ind w:firstLine="411" w:firstLineChars="196"/>
        <w:jc w:val="center"/>
        <w:rPr>
          <w:rFonts w:hint="default"/>
          <w:b/>
          <w:bCs/>
          <w:kern w:val="0"/>
          <w:sz w:val="36"/>
          <w:szCs w:val="36"/>
        </w:rPr>
      </w:pPr>
      <w:r>
        <w:rPr>
          <w:rFonts w:hint="default"/>
          <w:kern w:val="0"/>
        </w:rPr>
        <w:br w:type="page"/>
      </w:r>
      <w:bookmarkStart w:id="138" w:name="_Toc10672"/>
      <w:bookmarkStart w:id="139" w:name="_Toc24661"/>
      <w:r>
        <w:rPr>
          <w:rFonts w:hint="default"/>
          <w:b/>
          <w:bCs/>
          <w:kern w:val="0"/>
          <w:sz w:val="36"/>
          <w:szCs w:val="36"/>
        </w:rPr>
        <w:t>商务技术文件</w:t>
      </w:r>
    </w:p>
    <w:p w14:paraId="23ADA849">
      <w:pPr>
        <w:snapToGrid w:val="0"/>
        <w:spacing w:line="360" w:lineRule="auto"/>
        <w:ind w:left="570"/>
        <w:jc w:val="center"/>
        <w:outlineLvl w:val="0"/>
        <w:rPr>
          <w:rFonts w:hint="default" w:ascii="宋体" w:hAnsi="宋体" w:cs="宋体"/>
          <w:b/>
          <w:sz w:val="30"/>
          <w:szCs w:val="30"/>
        </w:rPr>
      </w:pPr>
      <w:bookmarkStart w:id="140" w:name="_Toc17343"/>
      <w:r>
        <w:rPr>
          <w:rFonts w:hint="default"/>
          <w:b/>
          <w:sz w:val="30"/>
          <w:szCs w:val="30"/>
          <w:lang w:val="zh-CN"/>
        </w:rPr>
        <w:t>一、</w:t>
      </w:r>
      <w:r>
        <w:rPr>
          <w:rFonts w:hint="default" w:ascii="宋体" w:hAnsi="宋体" w:cs="宋体"/>
          <w:b/>
          <w:sz w:val="30"/>
          <w:szCs w:val="30"/>
        </w:rPr>
        <w:t>投标响应函</w:t>
      </w:r>
      <w:bookmarkEnd w:id="140"/>
    </w:p>
    <w:p w14:paraId="62662BA3">
      <w:pPr>
        <w:snapToGrid w:val="0"/>
        <w:spacing w:line="360" w:lineRule="auto"/>
        <w:rPr>
          <w:rFonts w:hint="default"/>
          <w:sz w:val="24"/>
        </w:rPr>
      </w:pPr>
      <w:r>
        <w:rPr>
          <w:sz w:val="24"/>
        </w:rPr>
        <w:t>浙江省中医院</w:t>
      </w:r>
    </w:p>
    <w:p w14:paraId="3691E9AD">
      <w:pPr>
        <w:snapToGrid w:val="0"/>
        <w:spacing w:line="360" w:lineRule="auto"/>
        <w:rPr>
          <w:rFonts w:hint="default"/>
          <w:sz w:val="24"/>
        </w:rPr>
      </w:pPr>
      <w:r>
        <w:rPr>
          <w:rFonts w:hint="default"/>
          <w:sz w:val="24"/>
        </w:rPr>
        <w:t>浙江豪圣建设项目管理有限公司：</w:t>
      </w:r>
    </w:p>
    <w:p w14:paraId="27441243">
      <w:pPr>
        <w:snapToGrid w:val="0"/>
        <w:spacing w:line="360" w:lineRule="auto"/>
        <w:rPr>
          <w:rFonts w:hint="default"/>
          <w:sz w:val="24"/>
        </w:rPr>
      </w:pPr>
      <w:r>
        <w:rPr>
          <w:rFonts w:hint="default"/>
          <w:sz w:val="24"/>
        </w:rPr>
        <w:t>(投标人全称)授权(全权代表姓名)(职务、职称)为全权代表，参加贵方组织的</w:t>
      </w:r>
      <w:r>
        <w:rPr>
          <w:sz w:val="24"/>
          <w:u w:val="single"/>
        </w:rPr>
        <w:t>浙江省中医院医学整形美容科（西溪）运营服务</w:t>
      </w:r>
      <w:r>
        <w:rPr>
          <w:rFonts w:hint="default"/>
          <w:sz w:val="24"/>
        </w:rPr>
        <w:t>(</w:t>
      </w:r>
      <w:r>
        <w:rPr>
          <w:sz w:val="24"/>
        </w:rPr>
        <w:t>项目编号</w:t>
      </w:r>
      <w:r>
        <w:rPr>
          <w:rFonts w:hint="default"/>
          <w:sz w:val="24"/>
        </w:rPr>
        <w:t>：</w:t>
      </w:r>
      <w:r>
        <w:rPr>
          <w:rFonts w:hint="eastAsia"/>
          <w:sz w:val="24"/>
          <w:lang w:eastAsia="zh-CN"/>
        </w:rPr>
        <w:t>330000263210280000030-HSZB-2026-256</w:t>
      </w:r>
      <w:r>
        <w:rPr>
          <w:rFonts w:hint="default"/>
          <w:kern w:val="0"/>
          <w:sz w:val="24"/>
          <w:lang w:val="zh-CN"/>
        </w:rPr>
        <w:t>)</w:t>
      </w:r>
      <w:r>
        <w:rPr>
          <w:rFonts w:hint="default"/>
          <w:sz w:val="24"/>
        </w:rPr>
        <w:t>招标的有关活动，并对此项目进行投标。为此：</w:t>
      </w:r>
    </w:p>
    <w:p w14:paraId="501AC897">
      <w:pPr>
        <w:snapToGrid w:val="0"/>
        <w:spacing w:line="360" w:lineRule="auto"/>
        <w:ind w:firstLine="480" w:firstLineChars="200"/>
        <w:rPr>
          <w:rFonts w:hint="default"/>
          <w:sz w:val="24"/>
        </w:rPr>
      </w:pPr>
      <w:r>
        <w:rPr>
          <w:rFonts w:hint="default"/>
          <w:sz w:val="24"/>
        </w:rPr>
        <w:t>1、我方同意在投标人</w:t>
      </w:r>
      <w:r>
        <w:rPr>
          <w:rFonts w:hint="default"/>
          <w:kern w:val="44"/>
          <w:sz w:val="24"/>
        </w:rPr>
        <w:t>编制和提交投标文件须知</w:t>
      </w:r>
      <w:r>
        <w:rPr>
          <w:rFonts w:hint="default"/>
          <w:sz w:val="24"/>
        </w:rPr>
        <w:t>规定的开标日期起遵守本投标书中的承诺且在投标有效期满之前均具有约束力。</w:t>
      </w:r>
    </w:p>
    <w:p w14:paraId="6732CA26">
      <w:pPr>
        <w:snapToGrid w:val="0"/>
        <w:spacing w:line="360" w:lineRule="auto"/>
        <w:ind w:firstLine="480" w:firstLineChars="200"/>
        <w:rPr>
          <w:rFonts w:hint="default"/>
          <w:sz w:val="24"/>
        </w:rPr>
      </w:pPr>
      <w:r>
        <w:rPr>
          <w:rFonts w:hint="default"/>
          <w:sz w:val="24"/>
        </w:rPr>
        <w:t>2、我方承诺已经具备《中华人民共和国政府采购法》中规定的参加政府采购活动的供应商应当具备的条件：</w:t>
      </w:r>
    </w:p>
    <w:p w14:paraId="360A0747">
      <w:pPr>
        <w:snapToGrid w:val="0"/>
        <w:spacing w:line="360" w:lineRule="auto"/>
        <w:ind w:firstLine="480" w:firstLineChars="200"/>
        <w:rPr>
          <w:rFonts w:hint="default"/>
          <w:sz w:val="24"/>
        </w:rPr>
      </w:pPr>
      <w:r>
        <w:rPr>
          <w:rFonts w:hint="default"/>
          <w:sz w:val="24"/>
        </w:rPr>
        <w:t>(1)具有独立承担民事责任的能力；</w:t>
      </w:r>
    </w:p>
    <w:p w14:paraId="2D7AF03C">
      <w:pPr>
        <w:snapToGrid w:val="0"/>
        <w:spacing w:line="360" w:lineRule="auto"/>
        <w:ind w:firstLine="480" w:firstLineChars="200"/>
        <w:rPr>
          <w:rFonts w:hint="default"/>
          <w:sz w:val="24"/>
        </w:rPr>
      </w:pPr>
      <w:r>
        <w:rPr>
          <w:rFonts w:hint="default"/>
          <w:sz w:val="24"/>
        </w:rPr>
        <w:t>(2)遵守国家法律、行政法规，具有良好的信誉和商业道德；</w:t>
      </w:r>
    </w:p>
    <w:p w14:paraId="57E8DEEE">
      <w:pPr>
        <w:snapToGrid w:val="0"/>
        <w:spacing w:line="360" w:lineRule="auto"/>
        <w:ind w:firstLine="480" w:firstLineChars="200"/>
        <w:rPr>
          <w:rFonts w:hint="default"/>
          <w:sz w:val="24"/>
        </w:rPr>
      </w:pPr>
      <w:r>
        <w:rPr>
          <w:rFonts w:hint="default"/>
          <w:sz w:val="24"/>
        </w:rPr>
        <w:t>(3)具有履行合同的能力和良好的履行合同记录；</w:t>
      </w:r>
    </w:p>
    <w:p w14:paraId="2A2E9924">
      <w:pPr>
        <w:snapToGrid w:val="0"/>
        <w:spacing w:line="360" w:lineRule="auto"/>
        <w:ind w:firstLine="480" w:firstLineChars="200"/>
        <w:rPr>
          <w:rFonts w:hint="default"/>
          <w:sz w:val="24"/>
        </w:rPr>
      </w:pPr>
      <w:r>
        <w:rPr>
          <w:rFonts w:hint="default"/>
          <w:sz w:val="24"/>
        </w:rPr>
        <w:t>(4)良好的资金、财务状况；</w:t>
      </w:r>
    </w:p>
    <w:p w14:paraId="23198EC5">
      <w:pPr>
        <w:snapToGrid w:val="0"/>
        <w:spacing w:line="360" w:lineRule="auto"/>
        <w:ind w:firstLine="480" w:firstLineChars="200"/>
        <w:rPr>
          <w:rFonts w:hint="default"/>
          <w:sz w:val="24"/>
        </w:rPr>
      </w:pPr>
      <w:r>
        <w:rPr>
          <w:rFonts w:hint="default"/>
          <w:sz w:val="24"/>
        </w:rPr>
        <w:t>(5)提供的产品和服务符合中国政府规定的相应标准和环保标准；</w:t>
      </w:r>
    </w:p>
    <w:p w14:paraId="3F49FD7D">
      <w:pPr>
        <w:snapToGrid w:val="0"/>
        <w:spacing w:line="360" w:lineRule="auto"/>
        <w:ind w:firstLine="480" w:firstLineChars="200"/>
        <w:rPr>
          <w:rFonts w:hint="default"/>
          <w:sz w:val="24"/>
        </w:rPr>
      </w:pPr>
      <w:r>
        <w:rPr>
          <w:rFonts w:hint="default"/>
          <w:sz w:val="24"/>
        </w:rPr>
        <w:t>(6)没有违反政府采购法规、政策的记录；</w:t>
      </w:r>
    </w:p>
    <w:p w14:paraId="6E200FDA">
      <w:pPr>
        <w:snapToGrid w:val="0"/>
        <w:spacing w:line="360" w:lineRule="auto"/>
        <w:ind w:firstLine="480" w:firstLineChars="200"/>
        <w:rPr>
          <w:rFonts w:hint="default"/>
          <w:sz w:val="24"/>
        </w:rPr>
      </w:pPr>
      <w:r>
        <w:rPr>
          <w:rFonts w:hint="default"/>
          <w:sz w:val="24"/>
        </w:rPr>
        <w:t>(7)没有发生重大经济纠纷和走私犯罪记录。</w:t>
      </w:r>
    </w:p>
    <w:p w14:paraId="584DD262">
      <w:pPr>
        <w:snapToGrid w:val="0"/>
        <w:spacing w:line="360" w:lineRule="auto"/>
        <w:ind w:firstLine="480" w:firstLineChars="200"/>
        <w:rPr>
          <w:rFonts w:hint="default"/>
          <w:sz w:val="24"/>
        </w:rPr>
      </w:pPr>
      <w:r>
        <w:rPr>
          <w:rFonts w:hint="default"/>
          <w:sz w:val="24"/>
        </w:rPr>
        <w:t>3、提供</w:t>
      </w:r>
      <w:r>
        <w:rPr>
          <w:rFonts w:hint="default"/>
          <w:kern w:val="44"/>
          <w:sz w:val="24"/>
        </w:rPr>
        <w:t>编制和提交投标文件须知</w:t>
      </w:r>
      <w:r>
        <w:rPr>
          <w:rFonts w:hint="default"/>
          <w:sz w:val="24"/>
        </w:rPr>
        <w:t>规定的全部投标文件，包括资格文件、报价文件、商务技术文件。具体内容为：</w:t>
      </w:r>
    </w:p>
    <w:p w14:paraId="0C09DCB0">
      <w:pPr>
        <w:snapToGrid w:val="0"/>
        <w:spacing w:line="360" w:lineRule="auto"/>
        <w:ind w:firstLine="480" w:firstLineChars="200"/>
        <w:rPr>
          <w:rFonts w:hint="default"/>
          <w:sz w:val="24"/>
        </w:rPr>
      </w:pPr>
      <w:r>
        <w:rPr>
          <w:rFonts w:hint="default"/>
          <w:sz w:val="24"/>
        </w:rPr>
        <w:t>(1)资格文件</w:t>
      </w:r>
    </w:p>
    <w:p w14:paraId="738AB3F1">
      <w:pPr>
        <w:snapToGrid w:val="0"/>
        <w:spacing w:line="360" w:lineRule="auto"/>
        <w:ind w:firstLine="480" w:firstLineChars="200"/>
        <w:rPr>
          <w:rFonts w:hint="default"/>
          <w:sz w:val="24"/>
        </w:rPr>
      </w:pPr>
      <w:r>
        <w:rPr>
          <w:rFonts w:hint="default"/>
          <w:sz w:val="24"/>
        </w:rPr>
        <w:t>(2)报价文件；</w:t>
      </w:r>
    </w:p>
    <w:p w14:paraId="598A42E7">
      <w:pPr>
        <w:snapToGrid w:val="0"/>
        <w:spacing w:line="360" w:lineRule="auto"/>
        <w:ind w:firstLine="480" w:firstLineChars="200"/>
        <w:rPr>
          <w:rFonts w:hint="default"/>
          <w:sz w:val="24"/>
        </w:rPr>
      </w:pPr>
      <w:r>
        <w:rPr>
          <w:rFonts w:hint="default"/>
          <w:sz w:val="24"/>
        </w:rPr>
        <w:t>(3)</w:t>
      </w:r>
      <w:r>
        <w:rPr>
          <w:rFonts w:hint="default"/>
          <w:sz w:val="24"/>
          <w:lang w:val="zh-CN"/>
        </w:rPr>
        <w:t>商务</w:t>
      </w:r>
      <w:r>
        <w:rPr>
          <w:rFonts w:hint="default"/>
          <w:kern w:val="0"/>
          <w:sz w:val="24"/>
          <w:lang w:val="zh-CN"/>
        </w:rPr>
        <w:t>技术文件</w:t>
      </w:r>
      <w:r>
        <w:rPr>
          <w:rFonts w:hint="default"/>
          <w:sz w:val="24"/>
        </w:rPr>
        <w:t>；</w:t>
      </w:r>
    </w:p>
    <w:p w14:paraId="555498F8">
      <w:pPr>
        <w:snapToGrid w:val="0"/>
        <w:spacing w:line="360" w:lineRule="auto"/>
        <w:ind w:firstLine="480" w:firstLineChars="200"/>
        <w:rPr>
          <w:rFonts w:hint="default"/>
          <w:sz w:val="24"/>
        </w:rPr>
      </w:pPr>
      <w:r>
        <w:rPr>
          <w:rFonts w:hint="default"/>
          <w:sz w:val="24"/>
        </w:rPr>
        <w:t>(4)</w:t>
      </w:r>
      <w:r>
        <w:rPr>
          <w:rFonts w:hint="default"/>
          <w:kern w:val="44"/>
          <w:sz w:val="24"/>
        </w:rPr>
        <w:t>编制和提交投标文件须知</w:t>
      </w:r>
      <w:r>
        <w:rPr>
          <w:rFonts w:hint="default"/>
          <w:sz w:val="24"/>
        </w:rPr>
        <w:t>要求投标人提交的全部文件；</w:t>
      </w:r>
    </w:p>
    <w:p w14:paraId="40D51AF5">
      <w:pPr>
        <w:snapToGrid w:val="0"/>
        <w:spacing w:line="360" w:lineRule="auto"/>
        <w:ind w:firstLine="480" w:firstLineChars="200"/>
        <w:rPr>
          <w:rFonts w:hint="default"/>
          <w:sz w:val="24"/>
        </w:rPr>
      </w:pPr>
      <w:r>
        <w:rPr>
          <w:rFonts w:hint="default"/>
          <w:sz w:val="24"/>
        </w:rPr>
        <w:t>(5)按采购文件</w:t>
      </w:r>
      <w:r>
        <w:rPr>
          <w:rFonts w:hint="default"/>
          <w:sz w:val="24"/>
        </w:rPr>
        <w:tab/>
      </w:r>
      <w:r>
        <w:rPr>
          <w:rFonts w:hint="default"/>
          <w:sz w:val="24"/>
        </w:rPr>
        <w:t>要求提供和交付的货物和服务的投标报价详见开标一览表；</w:t>
      </w:r>
    </w:p>
    <w:p w14:paraId="19A743D6">
      <w:pPr>
        <w:snapToGrid w:val="0"/>
        <w:spacing w:line="360" w:lineRule="auto"/>
        <w:ind w:firstLine="480" w:firstLineChars="200"/>
        <w:rPr>
          <w:rFonts w:hint="default"/>
          <w:sz w:val="24"/>
        </w:rPr>
      </w:pPr>
      <w:r>
        <w:rPr>
          <w:rFonts w:hint="default"/>
          <w:sz w:val="24"/>
        </w:rPr>
        <w:t>(6)保证忠实地执行双方所签订的合同，并承担合同规定的责任和义务；</w:t>
      </w:r>
    </w:p>
    <w:p w14:paraId="3A7918A6">
      <w:pPr>
        <w:snapToGrid w:val="0"/>
        <w:spacing w:line="360" w:lineRule="auto"/>
        <w:ind w:firstLine="480" w:firstLineChars="200"/>
        <w:rPr>
          <w:rFonts w:hint="default"/>
          <w:sz w:val="24"/>
        </w:rPr>
      </w:pPr>
      <w:r>
        <w:rPr>
          <w:rFonts w:hint="default"/>
          <w:sz w:val="24"/>
        </w:rPr>
        <w:t>(7)保证遵守采购文件中的其他有关规定。</w:t>
      </w:r>
    </w:p>
    <w:p w14:paraId="62FD3F95">
      <w:pPr>
        <w:snapToGrid w:val="0"/>
        <w:spacing w:line="360" w:lineRule="auto"/>
        <w:ind w:firstLine="480" w:firstLineChars="200"/>
        <w:rPr>
          <w:rFonts w:hint="default"/>
          <w:sz w:val="24"/>
        </w:rPr>
      </w:pPr>
      <w:r>
        <w:rPr>
          <w:sz w:val="24"/>
        </w:rPr>
        <w:t>4</w:t>
      </w:r>
      <w:r>
        <w:rPr>
          <w:rFonts w:hint="default"/>
          <w:sz w:val="24"/>
        </w:rPr>
        <w:t>、投标有效期内不撤销投标文件；强行撤销的，承诺按本项目预算金额的2%赔偿对采购代理机构造成的损失。</w:t>
      </w:r>
    </w:p>
    <w:p w14:paraId="7E3D5E6C">
      <w:pPr>
        <w:snapToGrid w:val="0"/>
        <w:spacing w:line="360" w:lineRule="auto"/>
        <w:ind w:firstLine="480" w:firstLineChars="200"/>
        <w:rPr>
          <w:rFonts w:hint="default"/>
          <w:sz w:val="24"/>
        </w:rPr>
      </w:pPr>
      <w:r>
        <w:rPr>
          <w:sz w:val="24"/>
        </w:rPr>
        <w:t>5</w:t>
      </w:r>
      <w:r>
        <w:rPr>
          <w:rFonts w:hint="default"/>
          <w:sz w:val="24"/>
        </w:rPr>
        <w:t>、我方完全理解贵方不一定要接受最低价的投标。</w:t>
      </w:r>
    </w:p>
    <w:p w14:paraId="7CB5C761">
      <w:pPr>
        <w:snapToGrid w:val="0"/>
        <w:spacing w:line="360" w:lineRule="auto"/>
        <w:ind w:firstLine="480" w:firstLineChars="200"/>
        <w:rPr>
          <w:rFonts w:hint="default"/>
          <w:sz w:val="24"/>
        </w:rPr>
      </w:pPr>
      <w:r>
        <w:rPr>
          <w:sz w:val="24"/>
        </w:rPr>
        <w:t>6</w:t>
      </w:r>
      <w:r>
        <w:rPr>
          <w:rFonts w:hint="default"/>
          <w:sz w:val="24"/>
        </w:rPr>
        <w:t>、如中标，按采购文件规定与采购人签订合同。如拒绝签订合同，承诺按本项目预算金额的2%对采购人进行赔偿；赔偿金额不足以弥补采购人损失的，承诺继续承担超过部分的损失。</w:t>
      </w:r>
    </w:p>
    <w:p w14:paraId="6F4DBFF1">
      <w:pPr>
        <w:snapToGrid w:val="0"/>
        <w:spacing w:line="360" w:lineRule="auto"/>
        <w:ind w:firstLine="480" w:firstLineChars="200"/>
        <w:rPr>
          <w:rFonts w:hint="default"/>
          <w:sz w:val="24"/>
        </w:rPr>
      </w:pPr>
      <w:r>
        <w:rPr>
          <w:sz w:val="24"/>
        </w:rPr>
        <w:t>7</w:t>
      </w:r>
      <w:r>
        <w:rPr>
          <w:rFonts w:hint="default"/>
          <w:sz w:val="24"/>
        </w:rPr>
        <w:t>、如中标，按采购文件规定的招标代理服务费标准，承诺在签订合同前向采购代理机构支付招标代理服务费。</w:t>
      </w:r>
    </w:p>
    <w:p w14:paraId="2CFF2A2E">
      <w:pPr>
        <w:snapToGrid w:val="0"/>
        <w:spacing w:line="360" w:lineRule="auto"/>
        <w:ind w:firstLine="480" w:firstLineChars="200"/>
        <w:rPr>
          <w:rFonts w:hint="default"/>
          <w:sz w:val="24"/>
        </w:rPr>
      </w:pPr>
      <w:r>
        <w:rPr>
          <w:sz w:val="24"/>
        </w:rPr>
        <w:t>8</w:t>
      </w:r>
      <w:r>
        <w:rPr>
          <w:rFonts w:hint="default"/>
          <w:sz w:val="24"/>
        </w:rPr>
        <w:t>、我方愿意向贵方提供任何与该项投标有关的数据、情况和服务资料。若贵方需要，我方愿意提供我方作出的一切承诺的证明材料。</w:t>
      </w:r>
    </w:p>
    <w:p w14:paraId="11E156E9">
      <w:pPr>
        <w:snapToGrid w:val="0"/>
        <w:spacing w:line="360" w:lineRule="auto"/>
        <w:ind w:firstLine="480" w:firstLineChars="200"/>
        <w:rPr>
          <w:rFonts w:hint="default"/>
          <w:sz w:val="24"/>
        </w:rPr>
      </w:pPr>
      <w:r>
        <w:rPr>
          <w:sz w:val="24"/>
        </w:rPr>
        <w:t>9</w:t>
      </w:r>
      <w:r>
        <w:rPr>
          <w:rFonts w:hint="default"/>
          <w:sz w:val="24"/>
        </w:rPr>
        <w:t>、我方已详细审核全部采购文件，包括采购文件修改书（如有的话）、参考资料及有关附件，确认无误。我方完全理解并接受采购文件的各项规定和要求，对采购文件</w:t>
      </w:r>
      <w:r>
        <w:rPr>
          <w:rFonts w:hint="default"/>
          <w:sz w:val="24"/>
        </w:rPr>
        <w:tab/>
      </w:r>
      <w:r>
        <w:rPr>
          <w:rFonts w:hint="default"/>
          <w:sz w:val="24"/>
        </w:rPr>
        <w:t>的合理性、合法性不再有异议。</w:t>
      </w:r>
    </w:p>
    <w:p w14:paraId="3E31C4A3">
      <w:pPr>
        <w:snapToGrid w:val="0"/>
        <w:spacing w:line="360" w:lineRule="auto"/>
        <w:ind w:firstLine="480" w:firstLineChars="200"/>
        <w:rPr>
          <w:rFonts w:hint="default"/>
          <w:sz w:val="24"/>
        </w:rPr>
      </w:pPr>
      <w:r>
        <w:rPr>
          <w:rFonts w:hint="default"/>
          <w:sz w:val="24"/>
        </w:rPr>
        <w:t>1</w:t>
      </w:r>
      <w:r>
        <w:rPr>
          <w:sz w:val="24"/>
        </w:rPr>
        <w:t>0</w:t>
      </w:r>
      <w:r>
        <w:rPr>
          <w:rFonts w:hint="default"/>
          <w:sz w:val="24"/>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8BB1346">
      <w:pPr>
        <w:snapToGrid w:val="0"/>
        <w:spacing w:line="360" w:lineRule="auto"/>
        <w:ind w:firstLine="480" w:firstLineChars="200"/>
        <w:rPr>
          <w:rFonts w:hint="default"/>
          <w:sz w:val="24"/>
        </w:rPr>
      </w:pPr>
      <w:r>
        <w:rPr>
          <w:rFonts w:hint="default"/>
          <w:sz w:val="24"/>
        </w:rPr>
        <w:t>(1)提供虚假材料谋取中标、成交的；</w:t>
      </w:r>
    </w:p>
    <w:p w14:paraId="063CEBE7">
      <w:pPr>
        <w:snapToGrid w:val="0"/>
        <w:spacing w:line="360" w:lineRule="auto"/>
        <w:ind w:firstLine="480" w:firstLineChars="200"/>
        <w:rPr>
          <w:rFonts w:hint="default"/>
          <w:sz w:val="24"/>
        </w:rPr>
      </w:pPr>
      <w:r>
        <w:rPr>
          <w:rFonts w:hint="default"/>
          <w:sz w:val="24"/>
        </w:rPr>
        <w:t>(2)采取不正当手段诋毁、排挤其他供应商的；</w:t>
      </w:r>
    </w:p>
    <w:p w14:paraId="4808DA57">
      <w:pPr>
        <w:snapToGrid w:val="0"/>
        <w:spacing w:line="360" w:lineRule="auto"/>
        <w:ind w:firstLine="480" w:firstLineChars="200"/>
        <w:rPr>
          <w:rFonts w:hint="default"/>
          <w:sz w:val="24"/>
        </w:rPr>
      </w:pPr>
      <w:r>
        <w:rPr>
          <w:rFonts w:hint="default"/>
          <w:sz w:val="24"/>
        </w:rPr>
        <w:t>(3)与采购人、其它供应商或者采购代理机构恶意串通的；</w:t>
      </w:r>
    </w:p>
    <w:p w14:paraId="4F9AE109">
      <w:pPr>
        <w:snapToGrid w:val="0"/>
        <w:spacing w:line="360" w:lineRule="auto"/>
        <w:ind w:firstLine="480" w:firstLineChars="200"/>
        <w:rPr>
          <w:rFonts w:hint="default"/>
          <w:sz w:val="24"/>
        </w:rPr>
      </w:pPr>
      <w:r>
        <w:rPr>
          <w:rFonts w:hint="default"/>
          <w:sz w:val="24"/>
        </w:rPr>
        <w:t>(4)向采购人、采购代理机构行贿或者提供其他不正当利益的；</w:t>
      </w:r>
    </w:p>
    <w:p w14:paraId="0E9D21CC">
      <w:pPr>
        <w:snapToGrid w:val="0"/>
        <w:spacing w:line="360" w:lineRule="auto"/>
        <w:ind w:firstLine="480" w:firstLineChars="200"/>
        <w:rPr>
          <w:rFonts w:hint="default"/>
          <w:sz w:val="24"/>
        </w:rPr>
      </w:pPr>
      <w:r>
        <w:rPr>
          <w:rFonts w:hint="default"/>
          <w:sz w:val="24"/>
        </w:rPr>
        <w:t>(5)在采购过程中与采购人进行协商谈判的；</w:t>
      </w:r>
    </w:p>
    <w:p w14:paraId="46D25DCF">
      <w:pPr>
        <w:snapToGrid w:val="0"/>
        <w:spacing w:line="360" w:lineRule="auto"/>
        <w:ind w:firstLine="480" w:firstLineChars="200"/>
        <w:rPr>
          <w:rFonts w:hint="default"/>
          <w:sz w:val="24"/>
        </w:rPr>
      </w:pPr>
      <w:r>
        <w:rPr>
          <w:rFonts w:hint="default"/>
          <w:sz w:val="24"/>
        </w:rPr>
        <w:t>(6)拒绝有关部门监督检查或提供虚假情况的。</w:t>
      </w:r>
    </w:p>
    <w:p w14:paraId="7A9F4552">
      <w:pPr>
        <w:snapToGrid w:val="0"/>
        <w:spacing w:line="360" w:lineRule="auto"/>
        <w:ind w:firstLine="480" w:firstLineChars="200"/>
        <w:rPr>
          <w:rFonts w:hint="default"/>
          <w:sz w:val="24"/>
        </w:rPr>
      </w:pPr>
      <w:r>
        <w:rPr>
          <w:rFonts w:hint="default"/>
          <w:sz w:val="24"/>
        </w:rPr>
        <w:t>供应商有前款第(1)至(5)项情形之一的，中标、成交无效。</w:t>
      </w:r>
    </w:p>
    <w:p w14:paraId="4BE60603">
      <w:pPr>
        <w:snapToGrid w:val="0"/>
        <w:spacing w:line="360" w:lineRule="auto"/>
        <w:ind w:firstLine="480" w:firstLineChars="200"/>
        <w:rPr>
          <w:rFonts w:hint="default"/>
          <w:kern w:val="0"/>
          <w:sz w:val="24"/>
        </w:rPr>
      </w:pPr>
      <w:r>
        <w:rPr>
          <w:rFonts w:hint="default"/>
          <w:kern w:val="0"/>
          <w:sz w:val="24"/>
          <w:lang w:val="zh-CN"/>
        </w:rPr>
        <w:t>法定（授权）代表人（签字</w:t>
      </w:r>
      <w:r>
        <w:rPr>
          <w:rFonts w:hint="default"/>
          <w:kern w:val="0"/>
          <w:sz w:val="24"/>
        </w:rPr>
        <w:t>或盖章</w:t>
      </w:r>
      <w:r>
        <w:rPr>
          <w:rFonts w:hint="default"/>
          <w:kern w:val="0"/>
          <w:sz w:val="24"/>
          <w:lang w:val="zh-CN"/>
        </w:rPr>
        <w:t>）：</w:t>
      </w:r>
      <w:r>
        <w:rPr>
          <w:rFonts w:hint="default"/>
          <w:kern w:val="0"/>
          <w:sz w:val="24"/>
        </w:rPr>
        <w:tab/>
      </w:r>
    </w:p>
    <w:p w14:paraId="30153505">
      <w:pPr>
        <w:snapToGrid w:val="0"/>
        <w:spacing w:line="360" w:lineRule="auto"/>
        <w:ind w:firstLine="480" w:firstLineChars="200"/>
        <w:rPr>
          <w:rFonts w:hint="default"/>
          <w:kern w:val="0"/>
          <w:sz w:val="24"/>
          <w:u w:val="single"/>
          <w:lang w:val="zh-CN"/>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r>
        <w:rPr>
          <w:rFonts w:hint="default"/>
          <w:kern w:val="0"/>
          <w:sz w:val="24"/>
          <w:lang w:val="zh-CN"/>
        </w:rPr>
        <w:t>：</w:t>
      </w:r>
    </w:p>
    <w:p w14:paraId="49106BF6">
      <w:pPr>
        <w:snapToGrid w:val="0"/>
        <w:spacing w:line="360" w:lineRule="auto"/>
        <w:ind w:firstLine="480" w:firstLineChars="200"/>
        <w:rPr>
          <w:rFonts w:hint="default"/>
          <w:kern w:val="0"/>
          <w:sz w:val="24"/>
        </w:rPr>
      </w:pPr>
      <w:r>
        <w:rPr>
          <w:rFonts w:hint="default"/>
          <w:kern w:val="0"/>
          <w:sz w:val="24"/>
          <w:lang w:val="zh-CN"/>
        </w:rPr>
        <w:t>联系电话：传真：电子邮件：</w:t>
      </w:r>
    </w:p>
    <w:p w14:paraId="32027726">
      <w:pPr>
        <w:snapToGrid w:val="0"/>
        <w:spacing w:line="360" w:lineRule="auto"/>
        <w:ind w:firstLine="480" w:firstLineChars="200"/>
        <w:rPr>
          <w:rFonts w:hint="default"/>
          <w:kern w:val="0"/>
          <w:sz w:val="24"/>
        </w:rPr>
      </w:pPr>
      <w:r>
        <w:rPr>
          <w:rFonts w:hint="default"/>
          <w:kern w:val="0"/>
          <w:sz w:val="24"/>
          <w:lang w:val="zh-CN"/>
        </w:rPr>
        <w:t>联系地址：</w:t>
      </w:r>
      <w:r>
        <w:rPr>
          <w:rFonts w:hint="default"/>
          <w:kern w:val="0"/>
          <w:sz w:val="24"/>
        </w:rPr>
        <w:tab/>
      </w:r>
    </w:p>
    <w:p w14:paraId="433F39FF">
      <w:pPr>
        <w:snapToGrid w:val="0"/>
        <w:spacing w:line="360" w:lineRule="auto"/>
        <w:ind w:firstLine="480" w:firstLineChars="200"/>
        <w:rPr>
          <w:rFonts w:hint="default"/>
          <w:kern w:val="0"/>
          <w:sz w:val="24"/>
        </w:rPr>
      </w:pPr>
      <w:r>
        <w:rPr>
          <w:rFonts w:hint="default"/>
          <w:kern w:val="0"/>
          <w:sz w:val="24"/>
          <w:lang w:val="zh-CN"/>
        </w:rPr>
        <w:t>邮政编码：传真号码：</w:t>
      </w:r>
    </w:p>
    <w:p w14:paraId="37F43839">
      <w:pPr>
        <w:snapToGrid w:val="0"/>
        <w:spacing w:line="360" w:lineRule="auto"/>
        <w:ind w:firstLine="480" w:firstLineChars="200"/>
        <w:rPr>
          <w:rFonts w:hint="default"/>
          <w:kern w:val="0"/>
          <w:sz w:val="24"/>
          <w:u w:val="single"/>
        </w:rPr>
      </w:pPr>
      <w:r>
        <w:rPr>
          <w:rFonts w:hint="default"/>
          <w:kern w:val="0"/>
          <w:sz w:val="24"/>
          <w:lang w:val="zh-CN"/>
        </w:rPr>
        <w:t>日期</w:t>
      </w:r>
      <w:r>
        <w:rPr>
          <w:rFonts w:hint="default"/>
          <w:kern w:val="0"/>
          <w:sz w:val="24"/>
        </w:rPr>
        <w:t>：</w:t>
      </w:r>
      <w:r>
        <w:rPr>
          <w:rFonts w:hint="default"/>
          <w:kern w:val="0"/>
          <w:sz w:val="24"/>
          <w:lang w:val="zh-CN"/>
        </w:rPr>
        <w:t>年</w:t>
      </w:r>
      <w:r>
        <w:rPr>
          <w:rFonts w:hint="default"/>
          <w:kern w:val="0"/>
          <w:sz w:val="24"/>
        </w:rPr>
        <w:tab/>
      </w:r>
      <w:r>
        <w:rPr>
          <w:rFonts w:hint="default"/>
          <w:kern w:val="0"/>
          <w:sz w:val="24"/>
          <w:lang w:val="zh-CN"/>
        </w:rPr>
        <w:t>月</w:t>
      </w:r>
      <w:r>
        <w:rPr>
          <w:rFonts w:hint="eastAsia"/>
          <w:kern w:val="0"/>
          <w:sz w:val="24"/>
          <w:lang w:val="en-US" w:eastAsia="zh-CN"/>
        </w:rPr>
        <w:t xml:space="preserve">  </w:t>
      </w:r>
      <w:r>
        <w:rPr>
          <w:rFonts w:hint="default"/>
          <w:kern w:val="0"/>
          <w:sz w:val="24"/>
          <w:lang w:val="zh-CN"/>
        </w:rPr>
        <w:t>日</w:t>
      </w:r>
    </w:p>
    <w:p w14:paraId="26EB1017">
      <w:pPr>
        <w:snapToGrid w:val="0"/>
        <w:spacing w:line="360" w:lineRule="auto"/>
        <w:rPr>
          <w:rFonts w:hint="default"/>
          <w:b/>
          <w:bCs/>
          <w:kern w:val="0"/>
          <w:sz w:val="24"/>
          <w:lang w:val="zh-CN"/>
        </w:rPr>
      </w:pPr>
      <w:r>
        <w:rPr>
          <w:rFonts w:hint="default"/>
          <w:b/>
          <w:bCs/>
          <w:kern w:val="0"/>
          <w:sz w:val="24"/>
          <w:lang w:val="zh-CN"/>
        </w:rPr>
        <w:t>注：未按照本投标响应函要求填报的将被视为非实质性响应，从而可能导致该投标文件被拒绝。</w:t>
      </w:r>
    </w:p>
    <w:p w14:paraId="59F289F0">
      <w:pPr>
        <w:pStyle w:val="14"/>
        <w:rPr>
          <w:rFonts w:hint="default"/>
          <w:lang w:val="zh-CN"/>
        </w:rPr>
      </w:pPr>
    </w:p>
    <w:p w14:paraId="6CA2D15C">
      <w:pPr>
        <w:pStyle w:val="15"/>
        <w:rPr>
          <w:rFonts w:hint="default" w:ascii="Times New Roman" w:hAnsi="Times New Roman"/>
          <w:lang w:val="zh-CN"/>
        </w:rPr>
      </w:pPr>
    </w:p>
    <w:p w14:paraId="1314887F">
      <w:pPr>
        <w:snapToGrid w:val="0"/>
        <w:spacing w:before="50" w:afterLines="50" w:line="360" w:lineRule="auto"/>
        <w:jc w:val="center"/>
        <w:rPr>
          <w:rFonts w:hint="default"/>
          <w:b/>
          <w:sz w:val="30"/>
          <w:szCs w:val="30"/>
          <w:lang w:val="zh-CN"/>
        </w:rPr>
      </w:pPr>
      <w:r>
        <w:rPr>
          <w:rFonts w:hint="default" w:ascii="宋体" w:hAnsi="宋体" w:cs="宋体"/>
          <w:b/>
          <w:sz w:val="30"/>
          <w:szCs w:val="30"/>
        </w:rPr>
        <w:t>二、</w:t>
      </w:r>
      <w:r>
        <w:rPr>
          <w:rFonts w:hint="default"/>
          <w:b/>
          <w:sz w:val="30"/>
          <w:szCs w:val="30"/>
          <w:lang w:val="zh-CN"/>
        </w:rPr>
        <w:t>法定代表人授权委托书</w:t>
      </w:r>
      <w:bookmarkEnd w:id="138"/>
      <w:bookmarkEnd w:id="139"/>
    </w:p>
    <w:p w14:paraId="0194E0CF">
      <w:pPr>
        <w:snapToGrid w:val="0"/>
        <w:spacing w:line="360" w:lineRule="auto"/>
        <w:rPr>
          <w:rFonts w:hint="default"/>
          <w:sz w:val="24"/>
        </w:rPr>
      </w:pPr>
      <w:r>
        <w:rPr>
          <w:sz w:val="24"/>
        </w:rPr>
        <w:t>浙江省中医院</w:t>
      </w:r>
    </w:p>
    <w:p w14:paraId="2A1C4285">
      <w:pPr>
        <w:snapToGrid w:val="0"/>
        <w:spacing w:line="360" w:lineRule="auto"/>
        <w:rPr>
          <w:rFonts w:hint="default"/>
          <w:sz w:val="24"/>
        </w:rPr>
      </w:pPr>
      <w:r>
        <w:rPr>
          <w:rFonts w:hint="default"/>
          <w:sz w:val="24"/>
        </w:rPr>
        <w:t>浙江豪圣建设项目管理有限公司：</w:t>
      </w:r>
    </w:p>
    <w:p w14:paraId="15C74797">
      <w:pPr>
        <w:snapToGrid w:val="0"/>
        <w:spacing w:line="360" w:lineRule="auto"/>
        <w:ind w:firstLine="480" w:firstLineChars="200"/>
        <w:rPr>
          <w:rFonts w:hint="default"/>
          <w:sz w:val="24"/>
        </w:rPr>
      </w:pPr>
      <w:r>
        <w:rPr>
          <w:rFonts w:hint="default"/>
          <w:kern w:val="0"/>
          <w:sz w:val="24"/>
          <w:lang w:val="zh-CN"/>
        </w:rPr>
        <w:t>兹委派我公司先生/女士(其在本公司的职务是：，联系电话：手机：传真：)，代表我公司全权处理</w:t>
      </w:r>
      <w:r>
        <w:rPr>
          <w:sz w:val="24"/>
          <w:u w:val="single"/>
        </w:rPr>
        <w:t>浙江省中医院医学整形美容科（西溪）运营服务</w:t>
      </w:r>
      <w:r>
        <w:rPr>
          <w:rFonts w:hint="default"/>
          <w:sz w:val="24"/>
        </w:rPr>
        <w:t>(项目编号：</w:t>
      </w:r>
      <w:r>
        <w:rPr>
          <w:rFonts w:hint="eastAsia"/>
          <w:sz w:val="24"/>
          <w:u w:val="single"/>
          <w:lang w:eastAsia="zh-CN"/>
        </w:rPr>
        <w:t>330000263210280000030-HSZB-2026-256</w:t>
      </w:r>
      <w:r>
        <w:rPr>
          <w:rFonts w:hint="default"/>
          <w:sz w:val="24"/>
        </w:rPr>
        <w:t>)政府采购投标的一切事项，若中标则全权代表本公司签订相关合同，</w:t>
      </w:r>
      <w:r>
        <w:rPr>
          <w:rFonts w:hint="default"/>
          <w:kern w:val="0"/>
          <w:sz w:val="24"/>
          <w:lang w:val="zh-CN"/>
        </w:rPr>
        <w:t>并负责处理合同履行等事宜。</w:t>
      </w:r>
    </w:p>
    <w:p w14:paraId="3E3653E2">
      <w:pPr>
        <w:snapToGrid w:val="0"/>
        <w:spacing w:line="360" w:lineRule="auto"/>
        <w:rPr>
          <w:rFonts w:hint="default"/>
          <w:kern w:val="0"/>
          <w:sz w:val="24"/>
        </w:rPr>
      </w:pPr>
      <w:r>
        <w:rPr>
          <w:rFonts w:hint="default"/>
          <w:kern w:val="0"/>
          <w:sz w:val="24"/>
          <w:lang w:val="zh-CN"/>
        </w:rPr>
        <w:t>特此告知。</w:t>
      </w:r>
    </w:p>
    <w:p w14:paraId="51E3E99C">
      <w:pPr>
        <w:snapToGrid w:val="0"/>
        <w:spacing w:line="360" w:lineRule="auto"/>
        <w:jc w:val="left"/>
        <w:rPr>
          <w:rFonts w:hint="default"/>
          <w:kern w:val="0"/>
          <w:sz w:val="24"/>
        </w:rPr>
      </w:pPr>
    </w:p>
    <w:p w14:paraId="1FBB32E3">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1EC80EEC">
      <w:pPr>
        <w:widowControl/>
        <w:adjustRightInd w:val="0"/>
        <w:snapToGrid w:val="0"/>
        <w:spacing w:line="360" w:lineRule="auto"/>
        <w:ind w:firstLine="480" w:firstLineChars="200"/>
        <w:jc w:val="left"/>
        <w:rPr>
          <w:rFonts w:hint="default"/>
          <w:kern w:val="0"/>
          <w:sz w:val="24"/>
        </w:rPr>
      </w:pPr>
      <w:r>
        <w:rPr>
          <w:rFonts w:hint="default"/>
          <w:kern w:val="0"/>
          <w:sz w:val="24"/>
        </w:rPr>
        <w:t>法定代表人（签字或盖章）：</w:t>
      </w:r>
    </w:p>
    <w:p w14:paraId="399CF957">
      <w:pPr>
        <w:pStyle w:val="6"/>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41" w:name="_Toc16708"/>
      <w:bookmarkStart w:id="142" w:name="_Toc7818"/>
      <w:r>
        <w:rPr>
          <w:rFonts w:hint="default" w:ascii="Times New Roman" w:hAnsi="Times New Roman"/>
          <w:kern w:val="0"/>
        </w:rPr>
        <w:t>日期：</w:t>
      </w:r>
      <w:r>
        <w:rPr>
          <w:rFonts w:hint="eastAsia" w:ascii="Times New Roman" w:hAnsi="Times New Roman"/>
          <w:kern w:val="0"/>
          <w:lang w:val="en-US" w:eastAsia="zh-CN"/>
        </w:rPr>
        <w:t xml:space="preserve">  </w:t>
      </w:r>
      <w:r>
        <w:rPr>
          <w:rFonts w:hint="default" w:ascii="Times New Roman" w:hAnsi="Times New Roman"/>
          <w:kern w:val="0"/>
        </w:rPr>
        <w:t>年</w:t>
      </w:r>
      <w:r>
        <w:rPr>
          <w:rFonts w:hint="eastAsia" w:ascii="Times New Roman" w:hAnsi="Times New Roman"/>
          <w:kern w:val="0"/>
          <w:lang w:val="en-US" w:eastAsia="zh-CN"/>
        </w:rPr>
        <w:t xml:space="preserve">  </w:t>
      </w:r>
      <w:r>
        <w:rPr>
          <w:rFonts w:hint="default" w:ascii="Times New Roman" w:hAnsi="Times New Roman"/>
          <w:kern w:val="0"/>
        </w:rPr>
        <w:t>月</w:t>
      </w:r>
      <w:r>
        <w:rPr>
          <w:rFonts w:hint="eastAsia" w:ascii="Times New Roman" w:hAnsi="Times New Roman"/>
          <w:kern w:val="0"/>
          <w:lang w:val="en-US" w:eastAsia="zh-CN"/>
        </w:rPr>
        <w:t xml:space="preserve">  </w:t>
      </w:r>
      <w:r>
        <w:rPr>
          <w:rFonts w:hint="default" w:ascii="Times New Roman" w:hAnsi="Times New Roman"/>
          <w:kern w:val="0"/>
        </w:rPr>
        <w:t>日</w:t>
      </w:r>
      <w:bookmarkEnd w:id="141"/>
      <w:bookmarkEnd w:id="142"/>
    </w:p>
    <w:p w14:paraId="41297661">
      <w:pPr>
        <w:snapToGrid w:val="0"/>
        <w:spacing w:line="360" w:lineRule="auto"/>
        <w:ind w:right="480"/>
        <w:jc w:val="center"/>
        <w:rPr>
          <w:rFonts w:hint="default"/>
          <w:b/>
          <w:bCs/>
          <w:kern w:val="0"/>
          <w:sz w:val="24"/>
          <w:lang w:val="zh-CN"/>
        </w:rPr>
      </w:pPr>
    </w:p>
    <w:p w14:paraId="7A11484A">
      <w:pPr>
        <w:snapToGrid w:val="0"/>
        <w:spacing w:line="360" w:lineRule="auto"/>
        <w:ind w:firstLine="482" w:firstLineChars="200"/>
        <w:rPr>
          <w:rFonts w:hint="default"/>
          <w:b/>
          <w:bCs/>
          <w:kern w:val="0"/>
          <w:sz w:val="24"/>
          <w:lang w:val="zh-CN"/>
        </w:rPr>
      </w:pPr>
    </w:p>
    <w:p w14:paraId="42A3A4B0">
      <w:pPr>
        <w:pStyle w:val="6"/>
        <w:snapToGrid w:val="0"/>
        <w:spacing w:before="156" w:after="156" w:line="360" w:lineRule="auto"/>
        <w:ind w:firstLine="643" w:firstLineChars="200"/>
        <w:jc w:val="center"/>
        <w:outlineLvl w:val="0"/>
        <w:rPr>
          <w:rFonts w:hint="default" w:ascii="Times New Roman" w:hAnsi="Times New Roman"/>
          <w:b/>
          <w:sz w:val="32"/>
          <w:szCs w:val="32"/>
          <w:lang w:val="zh-CN"/>
        </w:rPr>
        <w:sectPr>
          <w:headerReference r:id="rId12" w:type="default"/>
          <w:footerReference r:id="rId13" w:type="default"/>
          <w:pgSz w:w="11906" w:h="16838"/>
          <w:pgMar w:top="1134" w:right="1247" w:bottom="1247" w:left="1304" w:header="794" w:footer="794" w:gutter="0"/>
          <w:cols w:space="720" w:num="1"/>
          <w:docGrid w:type="lines" w:linePitch="312" w:charSpace="0"/>
        </w:sectPr>
      </w:pPr>
      <w:bookmarkStart w:id="143" w:name="_Toc14452"/>
    </w:p>
    <w:p w14:paraId="4CE5ECB7">
      <w:pPr>
        <w:pStyle w:val="6"/>
        <w:snapToGrid w:val="0"/>
        <w:spacing w:before="156" w:after="156" w:line="360" w:lineRule="auto"/>
        <w:ind w:firstLine="643" w:firstLineChars="200"/>
        <w:jc w:val="center"/>
        <w:outlineLvl w:val="0"/>
        <w:rPr>
          <w:rFonts w:hint="default" w:ascii="Times New Roman" w:hAnsi="Times New Roman"/>
          <w:b/>
          <w:sz w:val="32"/>
          <w:szCs w:val="32"/>
          <w:lang w:val="zh-CN"/>
        </w:rPr>
      </w:pPr>
      <w:bookmarkStart w:id="144" w:name="_Toc23434"/>
      <w:bookmarkStart w:id="145" w:name="_Toc719"/>
      <w:bookmarkStart w:id="146" w:name="_Toc15275"/>
      <w:bookmarkStart w:id="147" w:name="_Toc21551"/>
      <w:bookmarkStart w:id="148" w:name="_Toc32387"/>
      <w:r>
        <w:rPr>
          <w:rFonts w:ascii="Times New Roman" w:hAnsi="Times New Roman"/>
          <w:b/>
          <w:sz w:val="32"/>
          <w:szCs w:val="32"/>
        </w:rPr>
        <w:t>三</w:t>
      </w:r>
      <w:r>
        <w:rPr>
          <w:rFonts w:hint="default" w:ascii="Times New Roman" w:hAnsi="Times New Roman"/>
          <w:b/>
          <w:sz w:val="32"/>
          <w:szCs w:val="32"/>
          <w:lang w:val="zh-CN"/>
        </w:rPr>
        <w:t>、法定代表人及授权代表人的身份证 (复印件加盖公章)</w:t>
      </w:r>
      <w:bookmarkEnd w:id="143"/>
      <w:bookmarkEnd w:id="144"/>
      <w:bookmarkEnd w:id="145"/>
      <w:bookmarkEnd w:id="146"/>
      <w:bookmarkEnd w:id="147"/>
      <w:bookmarkEnd w:id="148"/>
    </w:p>
    <w:p w14:paraId="3A6A3361">
      <w:pPr>
        <w:snapToGrid w:val="0"/>
        <w:spacing w:line="360" w:lineRule="auto"/>
        <w:ind w:right="480"/>
        <w:jc w:val="center"/>
        <w:rPr>
          <w:rFonts w:hint="default"/>
          <w:b/>
          <w:bCs/>
          <w:kern w:val="0"/>
          <w:sz w:val="24"/>
          <w:lang w:val="zh-CN"/>
        </w:rPr>
      </w:pPr>
    </w:p>
    <w:p w14:paraId="5EB69817">
      <w:pPr>
        <w:snapToGrid w:val="0"/>
        <w:spacing w:line="360" w:lineRule="auto"/>
        <w:ind w:right="480"/>
        <w:rPr>
          <w:rFonts w:hint="default"/>
          <w:b/>
          <w:bCs/>
          <w:kern w:val="0"/>
          <w:sz w:val="24"/>
          <w:lang w:val="zh-CN"/>
        </w:rPr>
      </w:pPr>
    </w:p>
    <w:p w14:paraId="08A32143">
      <w:pPr>
        <w:pStyle w:val="6"/>
        <w:snapToGrid w:val="0"/>
        <w:spacing w:before="156" w:after="156" w:line="360" w:lineRule="auto"/>
        <w:ind w:firstLine="643" w:firstLineChars="200"/>
        <w:jc w:val="center"/>
        <w:outlineLvl w:val="0"/>
        <w:rPr>
          <w:rFonts w:hint="default" w:ascii="Times New Roman" w:hAnsi="Times New Roman"/>
          <w:b/>
          <w:sz w:val="32"/>
          <w:szCs w:val="32"/>
          <w:lang w:val="zh-CN"/>
        </w:rPr>
        <w:sectPr>
          <w:pgSz w:w="11906" w:h="16838"/>
          <w:pgMar w:top="1134" w:right="1247" w:bottom="1247" w:left="1304" w:header="794" w:footer="794" w:gutter="0"/>
          <w:cols w:space="720" w:num="1"/>
          <w:docGrid w:type="lines" w:linePitch="312" w:charSpace="0"/>
        </w:sectPr>
      </w:pPr>
      <w:bookmarkStart w:id="149" w:name="_Toc17748"/>
    </w:p>
    <w:bookmarkEnd w:id="149"/>
    <w:p w14:paraId="2D997CEB">
      <w:pPr>
        <w:pStyle w:val="6"/>
        <w:snapToGrid w:val="0"/>
        <w:spacing w:before="156" w:after="156" w:line="360" w:lineRule="auto"/>
        <w:ind w:firstLine="643" w:firstLineChars="200"/>
        <w:jc w:val="center"/>
        <w:outlineLvl w:val="0"/>
        <w:rPr>
          <w:rFonts w:hint="default" w:ascii="Times New Roman" w:hAnsi="Times New Roman"/>
          <w:b/>
          <w:sz w:val="32"/>
          <w:szCs w:val="32"/>
          <w:lang w:val="zh-CN"/>
        </w:rPr>
      </w:pPr>
      <w:bookmarkStart w:id="150" w:name="_Toc7478"/>
      <w:bookmarkStart w:id="151" w:name="_Toc6649"/>
      <w:bookmarkStart w:id="152" w:name="_Toc22017"/>
      <w:bookmarkStart w:id="153" w:name="_Toc1529"/>
      <w:bookmarkStart w:id="154" w:name="_Toc31020"/>
      <w:bookmarkStart w:id="155" w:name="_Toc23712"/>
      <w:r>
        <w:rPr>
          <w:rFonts w:ascii="Times New Roman" w:hAnsi="Times New Roman"/>
          <w:b/>
          <w:sz w:val="32"/>
          <w:szCs w:val="32"/>
        </w:rPr>
        <w:t>四</w:t>
      </w:r>
      <w:r>
        <w:rPr>
          <w:rFonts w:hint="default" w:ascii="Times New Roman" w:hAnsi="Times New Roman"/>
          <w:b/>
          <w:sz w:val="32"/>
          <w:szCs w:val="32"/>
          <w:lang w:val="zh-CN"/>
        </w:rPr>
        <w:t>、公司介绍及同类项目经验</w:t>
      </w:r>
      <w:bookmarkEnd w:id="150"/>
      <w:bookmarkEnd w:id="151"/>
      <w:bookmarkEnd w:id="152"/>
      <w:bookmarkEnd w:id="153"/>
      <w:bookmarkEnd w:id="154"/>
      <w:bookmarkEnd w:id="155"/>
    </w:p>
    <w:p w14:paraId="21B21A72">
      <w:pPr>
        <w:autoSpaceDE w:val="0"/>
        <w:autoSpaceDN w:val="0"/>
        <w:snapToGrid w:val="0"/>
        <w:spacing w:line="360" w:lineRule="auto"/>
        <w:ind w:firstLine="5160" w:firstLineChars="2150"/>
        <w:rPr>
          <w:rFonts w:hint="default"/>
          <w:kern w:val="0"/>
          <w:sz w:val="24"/>
          <w:lang w:val="zh-CN"/>
        </w:rPr>
      </w:pPr>
    </w:p>
    <w:p w14:paraId="4C7FCBB5">
      <w:pPr>
        <w:snapToGrid w:val="0"/>
        <w:spacing w:line="360" w:lineRule="auto"/>
        <w:jc w:val="left"/>
        <w:rPr>
          <w:rFonts w:hint="default"/>
          <w:sz w:val="24"/>
        </w:rPr>
      </w:pPr>
      <w:r>
        <w:rPr>
          <w:rFonts w:hint="default"/>
          <w:sz w:val="24"/>
        </w:rPr>
        <w:t>项目名称：</w:t>
      </w:r>
    </w:p>
    <w:p w14:paraId="63F48918">
      <w:pPr>
        <w:snapToGrid w:val="0"/>
        <w:spacing w:line="360" w:lineRule="auto"/>
        <w:jc w:val="left"/>
        <w:rPr>
          <w:rFonts w:hint="default"/>
          <w:sz w:val="24"/>
        </w:rPr>
      </w:pPr>
      <w:r>
        <w:rPr>
          <w:rFonts w:hint="default"/>
          <w:sz w:val="24"/>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163"/>
        <w:gridCol w:w="1865"/>
        <w:gridCol w:w="2275"/>
        <w:gridCol w:w="1676"/>
      </w:tblGrid>
      <w:tr w14:paraId="0FFB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58" w:type="dxa"/>
            <w:vAlign w:val="center"/>
          </w:tcPr>
          <w:p w14:paraId="687CE806">
            <w:pPr>
              <w:jc w:val="center"/>
              <w:rPr>
                <w:rFonts w:hint="default"/>
                <w:sz w:val="24"/>
                <w:szCs w:val="22"/>
              </w:rPr>
            </w:pPr>
            <w:r>
              <w:rPr>
                <w:rFonts w:hint="default"/>
                <w:sz w:val="24"/>
                <w:szCs w:val="22"/>
              </w:rPr>
              <w:t>序号</w:t>
            </w:r>
          </w:p>
        </w:tc>
        <w:tc>
          <w:tcPr>
            <w:tcW w:w="2163" w:type="dxa"/>
            <w:vAlign w:val="center"/>
          </w:tcPr>
          <w:p w14:paraId="1F2606D5">
            <w:pPr>
              <w:jc w:val="center"/>
              <w:rPr>
                <w:rFonts w:hint="default"/>
                <w:sz w:val="24"/>
                <w:szCs w:val="22"/>
              </w:rPr>
            </w:pPr>
            <w:r>
              <w:rPr>
                <w:rFonts w:hint="default"/>
                <w:sz w:val="24"/>
                <w:szCs w:val="22"/>
              </w:rPr>
              <w:t>项目名称</w:t>
            </w:r>
          </w:p>
        </w:tc>
        <w:tc>
          <w:tcPr>
            <w:tcW w:w="1865" w:type="dxa"/>
            <w:vAlign w:val="center"/>
          </w:tcPr>
          <w:p w14:paraId="780D5A5C">
            <w:pPr>
              <w:jc w:val="center"/>
              <w:rPr>
                <w:rFonts w:hint="default"/>
                <w:sz w:val="24"/>
                <w:szCs w:val="22"/>
              </w:rPr>
            </w:pPr>
            <w:r>
              <w:rPr>
                <w:sz w:val="24"/>
                <w:szCs w:val="22"/>
              </w:rPr>
              <w:t>采购</w:t>
            </w:r>
            <w:r>
              <w:rPr>
                <w:rFonts w:hint="default"/>
                <w:sz w:val="24"/>
                <w:szCs w:val="22"/>
              </w:rPr>
              <w:t>单位</w:t>
            </w:r>
          </w:p>
        </w:tc>
        <w:tc>
          <w:tcPr>
            <w:tcW w:w="2275" w:type="dxa"/>
            <w:vAlign w:val="center"/>
          </w:tcPr>
          <w:p w14:paraId="2CCCD3DB">
            <w:pPr>
              <w:jc w:val="center"/>
              <w:rPr>
                <w:rFonts w:hint="default"/>
                <w:sz w:val="24"/>
                <w:szCs w:val="22"/>
              </w:rPr>
            </w:pPr>
            <w:r>
              <w:rPr>
                <w:rFonts w:hint="default"/>
                <w:sz w:val="24"/>
                <w:szCs w:val="22"/>
              </w:rPr>
              <w:t>合同签订时间</w:t>
            </w:r>
          </w:p>
        </w:tc>
        <w:tc>
          <w:tcPr>
            <w:tcW w:w="1676" w:type="dxa"/>
            <w:vAlign w:val="center"/>
          </w:tcPr>
          <w:p w14:paraId="2376813B">
            <w:pPr>
              <w:jc w:val="center"/>
              <w:rPr>
                <w:rFonts w:hint="default"/>
                <w:sz w:val="24"/>
                <w:szCs w:val="22"/>
              </w:rPr>
            </w:pPr>
            <w:r>
              <w:rPr>
                <w:rFonts w:hint="default"/>
                <w:sz w:val="24"/>
                <w:szCs w:val="22"/>
              </w:rPr>
              <w:t>合同金额</w:t>
            </w:r>
          </w:p>
        </w:tc>
      </w:tr>
      <w:tr w14:paraId="2D34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1E1C8BFE">
            <w:pPr>
              <w:jc w:val="center"/>
              <w:rPr>
                <w:rFonts w:hint="default"/>
                <w:sz w:val="24"/>
                <w:szCs w:val="22"/>
              </w:rPr>
            </w:pPr>
            <w:r>
              <w:rPr>
                <w:rFonts w:hint="default"/>
                <w:sz w:val="24"/>
                <w:szCs w:val="22"/>
              </w:rPr>
              <w:t>1</w:t>
            </w:r>
          </w:p>
        </w:tc>
        <w:tc>
          <w:tcPr>
            <w:tcW w:w="2163" w:type="dxa"/>
            <w:vAlign w:val="center"/>
          </w:tcPr>
          <w:p w14:paraId="738EC7E4">
            <w:pPr>
              <w:rPr>
                <w:rFonts w:hint="default"/>
                <w:sz w:val="24"/>
                <w:szCs w:val="22"/>
              </w:rPr>
            </w:pPr>
          </w:p>
        </w:tc>
        <w:tc>
          <w:tcPr>
            <w:tcW w:w="1865" w:type="dxa"/>
            <w:vAlign w:val="center"/>
          </w:tcPr>
          <w:p w14:paraId="58A8045E">
            <w:pPr>
              <w:rPr>
                <w:rFonts w:hint="default"/>
                <w:sz w:val="24"/>
                <w:szCs w:val="22"/>
              </w:rPr>
            </w:pPr>
          </w:p>
        </w:tc>
        <w:tc>
          <w:tcPr>
            <w:tcW w:w="2275" w:type="dxa"/>
            <w:vAlign w:val="center"/>
          </w:tcPr>
          <w:p w14:paraId="5502CA13">
            <w:pPr>
              <w:rPr>
                <w:rFonts w:hint="default"/>
                <w:sz w:val="24"/>
                <w:szCs w:val="22"/>
              </w:rPr>
            </w:pPr>
          </w:p>
        </w:tc>
        <w:tc>
          <w:tcPr>
            <w:tcW w:w="1676" w:type="dxa"/>
            <w:vAlign w:val="center"/>
          </w:tcPr>
          <w:p w14:paraId="32B7EDE5">
            <w:pPr>
              <w:rPr>
                <w:rFonts w:hint="default"/>
                <w:sz w:val="24"/>
                <w:szCs w:val="22"/>
              </w:rPr>
            </w:pPr>
          </w:p>
        </w:tc>
      </w:tr>
      <w:tr w14:paraId="062D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05E47D1B">
            <w:pPr>
              <w:jc w:val="center"/>
              <w:rPr>
                <w:rFonts w:hint="default"/>
                <w:sz w:val="24"/>
                <w:szCs w:val="22"/>
              </w:rPr>
            </w:pPr>
            <w:r>
              <w:rPr>
                <w:rFonts w:hint="default"/>
                <w:sz w:val="24"/>
                <w:szCs w:val="22"/>
              </w:rPr>
              <w:t>2</w:t>
            </w:r>
          </w:p>
        </w:tc>
        <w:tc>
          <w:tcPr>
            <w:tcW w:w="2163" w:type="dxa"/>
            <w:vAlign w:val="center"/>
          </w:tcPr>
          <w:p w14:paraId="1511D2E9">
            <w:pPr>
              <w:rPr>
                <w:rFonts w:hint="default"/>
                <w:sz w:val="24"/>
                <w:szCs w:val="22"/>
              </w:rPr>
            </w:pPr>
          </w:p>
        </w:tc>
        <w:tc>
          <w:tcPr>
            <w:tcW w:w="1865" w:type="dxa"/>
            <w:vAlign w:val="center"/>
          </w:tcPr>
          <w:p w14:paraId="47266F16">
            <w:pPr>
              <w:rPr>
                <w:rFonts w:hint="default"/>
                <w:sz w:val="24"/>
                <w:szCs w:val="22"/>
              </w:rPr>
            </w:pPr>
          </w:p>
        </w:tc>
        <w:tc>
          <w:tcPr>
            <w:tcW w:w="2275" w:type="dxa"/>
            <w:vAlign w:val="center"/>
          </w:tcPr>
          <w:p w14:paraId="7072B74B">
            <w:pPr>
              <w:rPr>
                <w:rFonts w:hint="default"/>
                <w:sz w:val="24"/>
                <w:szCs w:val="22"/>
              </w:rPr>
            </w:pPr>
          </w:p>
        </w:tc>
        <w:tc>
          <w:tcPr>
            <w:tcW w:w="1676" w:type="dxa"/>
            <w:vAlign w:val="center"/>
          </w:tcPr>
          <w:p w14:paraId="792EFDF1">
            <w:pPr>
              <w:rPr>
                <w:rFonts w:hint="default"/>
                <w:sz w:val="24"/>
                <w:szCs w:val="22"/>
              </w:rPr>
            </w:pPr>
          </w:p>
        </w:tc>
      </w:tr>
      <w:tr w14:paraId="636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0B66DA40">
            <w:pPr>
              <w:jc w:val="center"/>
              <w:rPr>
                <w:rFonts w:hint="default"/>
                <w:sz w:val="24"/>
                <w:szCs w:val="22"/>
              </w:rPr>
            </w:pPr>
            <w:r>
              <w:rPr>
                <w:rFonts w:hint="default"/>
                <w:sz w:val="24"/>
                <w:szCs w:val="22"/>
              </w:rPr>
              <w:t>3</w:t>
            </w:r>
          </w:p>
        </w:tc>
        <w:tc>
          <w:tcPr>
            <w:tcW w:w="2163" w:type="dxa"/>
            <w:vAlign w:val="center"/>
          </w:tcPr>
          <w:p w14:paraId="6DA1A124">
            <w:pPr>
              <w:rPr>
                <w:rFonts w:hint="default"/>
                <w:sz w:val="24"/>
                <w:szCs w:val="22"/>
              </w:rPr>
            </w:pPr>
          </w:p>
        </w:tc>
        <w:tc>
          <w:tcPr>
            <w:tcW w:w="1865" w:type="dxa"/>
            <w:vAlign w:val="center"/>
          </w:tcPr>
          <w:p w14:paraId="23B52BCD">
            <w:pPr>
              <w:rPr>
                <w:rFonts w:hint="default"/>
                <w:sz w:val="24"/>
                <w:szCs w:val="22"/>
              </w:rPr>
            </w:pPr>
          </w:p>
        </w:tc>
        <w:tc>
          <w:tcPr>
            <w:tcW w:w="2275" w:type="dxa"/>
            <w:vAlign w:val="center"/>
          </w:tcPr>
          <w:p w14:paraId="173FAD8A">
            <w:pPr>
              <w:rPr>
                <w:rFonts w:hint="default"/>
                <w:sz w:val="24"/>
                <w:szCs w:val="22"/>
              </w:rPr>
            </w:pPr>
          </w:p>
        </w:tc>
        <w:tc>
          <w:tcPr>
            <w:tcW w:w="1676" w:type="dxa"/>
            <w:vAlign w:val="center"/>
          </w:tcPr>
          <w:p w14:paraId="6613298B">
            <w:pPr>
              <w:rPr>
                <w:rFonts w:hint="default"/>
                <w:sz w:val="24"/>
                <w:szCs w:val="22"/>
              </w:rPr>
            </w:pPr>
          </w:p>
        </w:tc>
      </w:tr>
      <w:tr w14:paraId="72DD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4F22060D">
            <w:pPr>
              <w:jc w:val="center"/>
              <w:rPr>
                <w:rFonts w:hint="default"/>
                <w:sz w:val="24"/>
                <w:szCs w:val="22"/>
              </w:rPr>
            </w:pPr>
            <w:r>
              <w:rPr>
                <w:rFonts w:hint="default"/>
                <w:sz w:val="24"/>
                <w:szCs w:val="22"/>
              </w:rPr>
              <w:t>4</w:t>
            </w:r>
          </w:p>
        </w:tc>
        <w:tc>
          <w:tcPr>
            <w:tcW w:w="2163" w:type="dxa"/>
            <w:vAlign w:val="center"/>
          </w:tcPr>
          <w:p w14:paraId="1CEBA919">
            <w:pPr>
              <w:rPr>
                <w:rFonts w:hint="default"/>
                <w:sz w:val="24"/>
                <w:szCs w:val="22"/>
              </w:rPr>
            </w:pPr>
          </w:p>
        </w:tc>
        <w:tc>
          <w:tcPr>
            <w:tcW w:w="1865" w:type="dxa"/>
            <w:vAlign w:val="center"/>
          </w:tcPr>
          <w:p w14:paraId="1640A560">
            <w:pPr>
              <w:rPr>
                <w:rFonts w:hint="default"/>
                <w:sz w:val="24"/>
                <w:szCs w:val="22"/>
              </w:rPr>
            </w:pPr>
          </w:p>
        </w:tc>
        <w:tc>
          <w:tcPr>
            <w:tcW w:w="2275" w:type="dxa"/>
            <w:vAlign w:val="center"/>
          </w:tcPr>
          <w:p w14:paraId="2B36A710">
            <w:pPr>
              <w:rPr>
                <w:rFonts w:hint="default"/>
                <w:sz w:val="24"/>
                <w:szCs w:val="22"/>
              </w:rPr>
            </w:pPr>
          </w:p>
        </w:tc>
        <w:tc>
          <w:tcPr>
            <w:tcW w:w="1676" w:type="dxa"/>
            <w:vAlign w:val="center"/>
          </w:tcPr>
          <w:p w14:paraId="311AB93E">
            <w:pPr>
              <w:rPr>
                <w:rFonts w:hint="default"/>
                <w:sz w:val="24"/>
                <w:szCs w:val="22"/>
              </w:rPr>
            </w:pPr>
          </w:p>
        </w:tc>
      </w:tr>
      <w:tr w14:paraId="505D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5BD02C94">
            <w:pPr>
              <w:jc w:val="center"/>
              <w:rPr>
                <w:rFonts w:hint="default"/>
                <w:sz w:val="24"/>
                <w:szCs w:val="22"/>
              </w:rPr>
            </w:pPr>
            <w:r>
              <w:rPr>
                <w:rFonts w:hint="default"/>
                <w:sz w:val="24"/>
                <w:szCs w:val="22"/>
              </w:rPr>
              <w:t>5</w:t>
            </w:r>
          </w:p>
        </w:tc>
        <w:tc>
          <w:tcPr>
            <w:tcW w:w="2163" w:type="dxa"/>
            <w:vAlign w:val="center"/>
          </w:tcPr>
          <w:p w14:paraId="79991C04">
            <w:pPr>
              <w:rPr>
                <w:rFonts w:hint="default"/>
                <w:sz w:val="24"/>
                <w:szCs w:val="22"/>
              </w:rPr>
            </w:pPr>
          </w:p>
        </w:tc>
        <w:tc>
          <w:tcPr>
            <w:tcW w:w="1865" w:type="dxa"/>
            <w:vAlign w:val="center"/>
          </w:tcPr>
          <w:p w14:paraId="351E253C">
            <w:pPr>
              <w:rPr>
                <w:rFonts w:hint="default"/>
                <w:sz w:val="24"/>
                <w:szCs w:val="22"/>
              </w:rPr>
            </w:pPr>
          </w:p>
        </w:tc>
        <w:tc>
          <w:tcPr>
            <w:tcW w:w="2275" w:type="dxa"/>
            <w:vAlign w:val="center"/>
          </w:tcPr>
          <w:p w14:paraId="55035EE7">
            <w:pPr>
              <w:rPr>
                <w:rFonts w:hint="default"/>
                <w:sz w:val="24"/>
                <w:szCs w:val="22"/>
              </w:rPr>
            </w:pPr>
          </w:p>
        </w:tc>
        <w:tc>
          <w:tcPr>
            <w:tcW w:w="1676" w:type="dxa"/>
            <w:vAlign w:val="center"/>
          </w:tcPr>
          <w:p w14:paraId="6148BC8A">
            <w:pPr>
              <w:rPr>
                <w:rFonts w:hint="default"/>
                <w:sz w:val="24"/>
                <w:szCs w:val="22"/>
              </w:rPr>
            </w:pPr>
          </w:p>
        </w:tc>
      </w:tr>
      <w:tr w14:paraId="0005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3AC7FF0B">
            <w:pPr>
              <w:jc w:val="center"/>
              <w:rPr>
                <w:rFonts w:hint="default"/>
                <w:sz w:val="24"/>
                <w:szCs w:val="22"/>
              </w:rPr>
            </w:pPr>
            <w:r>
              <w:rPr>
                <w:rFonts w:hint="default"/>
                <w:sz w:val="24"/>
                <w:szCs w:val="22"/>
              </w:rPr>
              <w:t>6</w:t>
            </w:r>
          </w:p>
        </w:tc>
        <w:tc>
          <w:tcPr>
            <w:tcW w:w="2163" w:type="dxa"/>
            <w:vAlign w:val="center"/>
          </w:tcPr>
          <w:p w14:paraId="505F73D8">
            <w:pPr>
              <w:rPr>
                <w:rFonts w:hint="default"/>
                <w:sz w:val="24"/>
                <w:szCs w:val="22"/>
              </w:rPr>
            </w:pPr>
          </w:p>
        </w:tc>
        <w:tc>
          <w:tcPr>
            <w:tcW w:w="1865" w:type="dxa"/>
            <w:vAlign w:val="center"/>
          </w:tcPr>
          <w:p w14:paraId="0A525C2F">
            <w:pPr>
              <w:rPr>
                <w:rFonts w:hint="default"/>
                <w:sz w:val="24"/>
                <w:szCs w:val="22"/>
              </w:rPr>
            </w:pPr>
          </w:p>
        </w:tc>
        <w:tc>
          <w:tcPr>
            <w:tcW w:w="2275" w:type="dxa"/>
            <w:vAlign w:val="center"/>
          </w:tcPr>
          <w:p w14:paraId="6D98D1FE">
            <w:pPr>
              <w:rPr>
                <w:rFonts w:hint="default"/>
                <w:sz w:val="24"/>
                <w:szCs w:val="22"/>
              </w:rPr>
            </w:pPr>
          </w:p>
        </w:tc>
        <w:tc>
          <w:tcPr>
            <w:tcW w:w="1676" w:type="dxa"/>
            <w:vAlign w:val="center"/>
          </w:tcPr>
          <w:p w14:paraId="7BA97B6F">
            <w:pPr>
              <w:rPr>
                <w:rFonts w:hint="default"/>
                <w:sz w:val="24"/>
                <w:szCs w:val="22"/>
              </w:rPr>
            </w:pPr>
          </w:p>
        </w:tc>
      </w:tr>
      <w:tr w14:paraId="1A87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4971BC39">
            <w:pPr>
              <w:jc w:val="center"/>
              <w:rPr>
                <w:rFonts w:hint="default"/>
                <w:sz w:val="24"/>
                <w:szCs w:val="22"/>
              </w:rPr>
            </w:pPr>
            <w:r>
              <w:rPr>
                <w:rFonts w:hint="default"/>
                <w:sz w:val="24"/>
                <w:szCs w:val="22"/>
              </w:rPr>
              <w:t>7</w:t>
            </w:r>
          </w:p>
        </w:tc>
        <w:tc>
          <w:tcPr>
            <w:tcW w:w="2163" w:type="dxa"/>
            <w:vAlign w:val="center"/>
          </w:tcPr>
          <w:p w14:paraId="4B00C1DB">
            <w:pPr>
              <w:rPr>
                <w:rFonts w:hint="default"/>
                <w:sz w:val="24"/>
                <w:szCs w:val="22"/>
              </w:rPr>
            </w:pPr>
          </w:p>
        </w:tc>
        <w:tc>
          <w:tcPr>
            <w:tcW w:w="1865" w:type="dxa"/>
            <w:vAlign w:val="center"/>
          </w:tcPr>
          <w:p w14:paraId="0328ACC9">
            <w:pPr>
              <w:rPr>
                <w:rFonts w:hint="default"/>
                <w:sz w:val="24"/>
                <w:szCs w:val="22"/>
              </w:rPr>
            </w:pPr>
          </w:p>
        </w:tc>
        <w:tc>
          <w:tcPr>
            <w:tcW w:w="2275" w:type="dxa"/>
            <w:vAlign w:val="center"/>
          </w:tcPr>
          <w:p w14:paraId="0778FD37">
            <w:pPr>
              <w:rPr>
                <w:rFonts w:hint="default"/>
                <w:sz w:val="24"/>
                <w:szCs w:val="22"/>
              </w:rPr>
            </w:pPr>
          </w:p>
        </w:tc>
        <w:tc>
          <w:tcPr>
            <w:tcW w:w="1676" w:type="dxa"/>
            <w:vAlign w:val="center"/>
          </w:tcPr>
          <w:p w14:paraId="38BC6026">
            <w:pPr>
              <w:rPr>
                <w:rFonts w:hint="default"/>
                <w:sz w:val="24"/>
                <w:szCs w:val="22"/>
              </w:rPr>
            </w:pPr>
          </w:p>
        </w:tc>
      </w:tr>
      <w:tr w14:paraId="127C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5738288A">
            <w:pPr>
              <w:jc w:val="center"/>
              <w:rPr>
                <w:rFonts w:hint="default"/>
                <w:sz w:val="24"/>
                <w:szCs w:val="22"/>
              </w:rPr>
            </w:pPr>
            <w:r>
              <w:rPr>
                <w:rFonts w:hint="default"/>
                <w:sz w:val="24"/>
                <w:szCs w:val="22"/>
              </w:rPr>
              <w:t>8</w:t>
            </w:r>
          </w:p>
        </w:tc>
        <w:tc>
          <w:tcPr>
            <w:tcW w:w="2163" w:type="dxa"/>
            <w:vAlign w:val="center"/>
          </w:tcPr>
          <w:p w14:paraId="35EB20A8">
            <w:pPr>
              <w:rPr>
                <w:rFonts w:hint="default"/>
                <w:sz w:val="24"/>
                <w:szCs w:val="22"/>
              </w:rPr>
            </w:pPr>
          </w:p>
        </w:tc>
        <w:tc>
          <w:tcPr>
            <w:tcW w:w="1865" w:type="dxa"/>
            <w:vAlign w:val="center"/>
          </w:tcPr>
          <w:p w14:paraId="784E24EE">
            <w:pPr>
              <w:rPr>
                <w:rFonts w:hint="default"/>
                <w:sz w:val="24"/>
                <w:szCs w:val="22"/>
              </w:rPr>
            </w:pPr>
          </w:p>
        </w:tc>
        <w:tc>
          <w:tcPr>
            <w:tcW w:w="2275" w:type="dxa"/>
            <w:vAlign w:val="center"/>
          </w:tcPr>
          <w:p w14:paraId="7536B1C5">
            <w:pPr>
              <w:rPr>
                <w:rFonts w:hint="default"/>
                <w:sz w:val="24"/>
                <w:szCs w:val="22"/>
              </w:rPr>
            </w:pPr>
          </w:p>
        </w:tc>
        <w:tc>
          <w:tcPr>
            <w:tcW w:w="1676" w:type="dxa"/>
            <w:vAlign w:val="center"/>
          </w:tcPr>
          <w:p w14:paraId="1B0E2391">
            <w:pPr>
              <w:rPr>
                <w:rFonts w:hint="default"/>
                <w:sz w:val="24"/>
                <w:szCs w:val="22"/>
              </w:rPr>
            </w:pPr>
          </w:p>
        </w:tc>
      </w:tr>
      <w:tr w14:paraId="6005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3A521044">
            <w:pPr>
              <w:jc w:val="center"/>
              <w:rPr>
                <w:rFonts w:hint="default"/>
                <w:sz w:val="24"/>
                <w:szCs w:val="22"/>
              </w:rPr>
            </w:pPr>
            <w:r>
              <w:rPr>
                <w:rFonts w:hint="default"/>
                <w:sz w:val="24"/>
                <w:szCs w:val="22"/>
              </w:rPr>
              <w:t>9</w:t>
            </w:r>
          </w:p>
        </w:tc>
        <w:tc>
          <w:tcPr>
            <w:tcW w:w="2163" w:type="dxa"/>
            <w:vAlign w:val="center"/>
          </w:tcPr>
          <w:p w14:paraId="58ADA17E">
            <w:pPr>
              <w:rPr>
                <w:rFonts w:hint="default"/>
                <w:sz w:val="24"/>
                <w:szCs w:val="22"/>
              </w:rPr>
            </w:pPr>
          </w:p>
        </w:tc>
        <w:tc>
          <w:tcPr>
            <w:tcW w:w="1865" w:type="dxa"/>
            <w:vAlign w:val="center"/>
          </w:tcPr>
          <w:p w14:paraId="62CD24AB">
            <w:pPr>
              <w:rPr>
                <w:rFonts w:hint="default"/>
                <w:sz w:val="24"/>
                <w:szCs w:val="22"/>
              </w:rPr>
            </w:pPr>
          </w:p>
        </w:tc>
        <w:tc>
          <w:tcPr>
            <w:tcW w:w="2275" w:type="dxa"/>
            <w:vAlign w:val="center"/>
          </w:tcPr>
          <w:p w14:paraId="4C70266C">
            <w:pPr>
              <w:rPr>
                <w:rFonts w:hint="default"/>
                <w:sz w:val="24"/>
                <w:szCs w:val="22"/>
              </w:rPr>
            </w:pPr>
          </w:p>
        </w:tc>
        <w:tc>
          <w:tcPr>
            <w:tcW w:w="1676" w:type="dxa"/>
            <w:vAlign w:val="center"/>
          </w:tcPr>
          <w:p w14:paraId="2D8CF07C">
            <w:pPr>
              <w:rPr>
                <w:rFonts w:hint="default"/>
                <w:sz w:val="24"/>
                <w:szCs w:val="22"/>
              </w:rPr>
            </w:pPr>
          </w:p>
        </w:tc>
      </w:tr>
      <w:tr w14:paraId="6F34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58" w:type="dxa"/>
            <w:vAlign w:val="center"/>
          </w:tcPr>
          <w:p w14:paraId="01389F53">
            <w:pPr>
              <w:jc w:val="center"/>
              <w:rPr>
                <w:rFonts w:hint="default"/>
                <w:sz w:val="24"/>
                <w:szCs w:val="22"/>
              </w:rPr>
            </w:pPr>
            <w:r>
              <w:rPr>
                <w:rFonts w:hint="default"/>
                <w:sz w:val="24"/>
                <w:szCs w:val="22"/>
              </w:rPr>
              <w:t>10</w:t>
            </w:r>
          </w:p>
        </w:tc>
        <w:tc>
          <w:tcPr>
            <w:tcW w:w="2163" w:type="dxa"/>
            <w:vAlign w:val="center"/>
          </w:tcPr>
          <w:p w14:paraId="5DE8D876">
            <w:pPr>
              <w:rPr>
                <w:rFonts w:hint="default"/>
                <w:sz w:val="24"/>
                <w:szCs w:val="22"/>
              </w:rPr>
            </w:pPr>
          </w:p>
        </w:tc>
        <w:tc>
          <w:tcPr>
            <w:tcW w:w="1865" w:type="dxa"/>
            <w:vAlign w:val="center"/>
          </w:tcPr>
          <w:p w14:paraId="6A6793D6">
            <w:pPr>
              <w:rPr>
                <w:rFonts w:hint="default"/>
                <w:sz w:val="24"/>
                <w:szCs w:val="22"/>
              </w:rPr>
            </w:pPr>
          </w:p>
        </w:tc>
        <w:tc>
          <w:tcPr>
            <w:tcW w:w="2275" w:type="dxa"/>
            <w:vAlign w:val="center"/>
          </w:tcPr>
          <w:p w14:paraId="68C98B90">
            <w:pPr>
              <w:rPr>
                <w:rFonts w:hint="default"/>
                <w:sz w:val="24"/>
                <w:szCs w:val="22"/>
              </w:rPr>
            </w:pPr>
          </w:p>
        </w:tc>
        <w:tc>
          <w:tcPr>
            <w:tcW w:w="1676" w:type="dxa"/>
            <w:vAlign w:val="center"/>
          </w:tcPr>
          <w:p w14:paraId="6F191BED">
            <w:pPr>
              <w:rPr>
                <w:rFonts w:hint="default"/>
                <w:sz w:val="24"/>
                <w:szCs w:val="22"/>
              </w:rPr>
            </w:pPr>
          </w:p>
        </w:tc>
      </w:tr>
    </w:tbl>
    <w:p w14:paraId="7EA2AE0B">
      <w:pPr>
        <w:pStyle w:val="6"/>
        <w:spacing w:beforeLines="0" w:afterLines="0" w:line="360" w:lineRule="auto"/>
        <w:rPr>
          <w:rFonts w:hint="default" w:ascii="Times New Roman" w:hAnsi="Times New Roman"/>
          <w:b/>
          <w:bCs/>
        </w:rPr>
      </w:pPr>
      <w:r>
        <w:rPr>
          <w:rFonts w:hint="default" w:ascii="Times New Roman" w:hAnsi="Times New Roman"/>
          <w:b/>
        </w:rPr>
        <w:t>注：表中所列的业绩，</w:t>
      </w:r>
      <w:r>
        <w:rPr>
          <w:rFonts w:ascii="Times New Roman" w:hAnsi="Times New Roman"/>
          <w:b/>
        </w:rPr>
        <w:t>按评标办法提供证明材料</w:t>
      </w:r>
      <w:r>
        <w:rPr>
          <w:rFonts w:hint="default" w:ascii="Times New Roman" w:hAnsi="Times New Roman"/>
          <w:b/>
          <w:bCs/>
        </w:rPr>
        <w:t>。</w:t>
      </w:r>
    </w:p>
    <w:p w14:paraId="453C886F">
      <w:pPr>
        <w:pStyle w:val="15"/>
        <w:snapToGrid w:val="0"/>
        <w:spacing w:line="360" w:lineRule="auto"/>
        <w:rPr>
          <w:rFonts w:hint="default" w:ascii="Times New Roman" w:hAnsi="Times New Roman"/>
          <w:lang w:val="zh-CN"/>
        </w:rPr>
      </w:pPr>
    </w:p>
    <w:p w14:paraId="728809B1">
      <w:pPr>
        <w:pStyle w:val="15"/>
        <w:snapToGrid w:val="0"/>
        <w:spacing w:line="360" w:lineRule="auto"/>
        <w:rPr>
          <w:rFonts w:hint="default" w:ascii="Times New Roman" w:hAnsi="Times New Roman"/>
          <w:lang w:val="zh-CN"/>
        </w:rPr>
      </w:pPr>
    </w:p>
    <w:p w14:paraId="2D2D04FD">
      <w:pPr>
        <w:pStyle w:val="15"/>
        <w:snapToGrid w:val="0"/>
        <w:spacing w:line="360" w:lineRule="auto"/>
        <w:rPr>
          <w:rFonts w:hint="default" w:ascii="Times New Roman" w:hAnsi="Times New Roman"/>
          <w:lang w:val="zh-CN"/>
        </w:rPr>
      </w:pPr>
    </w:p>
    <w:p w14:paraId="084C546C">
      <w:pPr>
        <w:adjustRightInd w:val="0"/>
        <w:snapToGrid w:val="0"/>
        <w:spacing w:line="360" w:lineRule="auto"/>
        <w:ind w:firstLine="480" w:firstLineChars="200"/>
        <w:rPr>
          <w:rFonts w:hint="default" w:ascii="宋体" w:hAnsi="宋体" w:cs="宋体"/>
          <w:kern w:val="0"/>
          <w:sz w:val="24"/>
        </w:rPr>
      </w:pPr>
      <w:bookmarkStart w:id="156" w:name="_Toc16760"/>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32485B7F">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6ADCAE1C">
      <w:pPr>
        <w:pStyle w:val="6"/>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57" w:name="_Toc26327"/>
      <w:bookmarkStart w:id="158" w:name="_Toc20472"/>
      <w:r>
        <w:rPr>
          <w:rFonts w:hint="default" w:ascii="Times New Roman" w:hAnsi="Times New Roman"/>
          <w:kern w:val="0"/>
        </w:rPr>
        <w:t>日期：</w:t>
      </w:r>
      <w:r>
        <w:rPr>
          <w:rFonts w:hint="eastAsia" w:ascii="Times New Roman" w:hAnsi="Times New Roman"/>
          <w:kern w:val="0"/>
          <w:lang w:val="en-US" w:eastAsia="zh-CN"/>
        </w:rPr>
        <w:t xml:space="preserve">  </w:t>
      </w:r>
      <w:r>
        <w:rPr>
          <w:rFonts w:hint="default" w:ascii="Times New Roman" w:hAnsi="Times New Roman"/>
          <w:kern w:val="0"/>
        </w:rPr>
        <w:t>年</w:t>
      </w:r>
      <w:r>
        <w:rPr>
          <w:rFonts w:hint="eastAsia" w:ascii="Times New Roman" w:hAnsi="Times New Roman"/>
          <w:kern w:val="0"/>
          <w:lang w:val="en-US" w:eastAsia="zh-CN"/>
        </w:rPr>
        <w:t xml:space="preserve">  </w:t>
      </w:r>
      <w:r>
        <w:rPr>
          <w:rFonts w:hint="default" w:ascii="Times New Roman" w:hAnsi="Times New Roman"/>
          <w:kern w:val="0"/>
        </w:rPr>
        <w:t>月</w:t>
      </w:r>
      <w:r>
        <w:rPr>
          <w:rFonts w:hint="eastAsia" w:ascii="Times New Roman" w:hAnsi="Times New Roman"/>
          <w:kern w:val="0"/>
          <w:lang w:val="en-US" w:eastAsia="zh-CN"/>
        </w:rPr>
        <w:t xml:space="preserve">  </w:t>
      </w:r>
      <w:r>
        <w:rPr>
          <w:rFonts w:hint="default" w:ascii="Times New Roman" w:hAnsi="Times New Roman"/>
          <w:kern w:val="0"/>
        </w:rPr>
        <w:t>日</w:t>
      </w:r>
      <w:bookmarkEnd w:id="157"/>
      <w:bookmarkEnd w:id="158"/>
    </w:p>
    <w:p w14:paraId="628F3D33">
      <w:pPr>
        <w:snapToGrid w:val="0"/>
        <w:spacing w:line="360" w:lineRule="auto"/>
        <w:ind w:left="570"/>
        <w:jc w:val="center"/>
        <w:outlineLvl w:val="0"/>
        <w:rPr>
          <w:rFonts w:hint="default"/>
          <w:b/>
          <w:sz w:val="32"/>
          <w:szCs w:val="32"/>
        </w:rPr>
        <w:sectPr>
          <w:pgSz w:w="11906" w:h="16838"/>
          <w:pgMar w:top="1134" w:right="1247" w:bottom="1247" w:left="1304" w:header="794" w:footer="794" w:gutter="0"/>
          <w:cols w:space="720" w:num="1"/>
          <w:docGrid w:type="lines" w:linePitch="312" w:charSpace="0"/>
        </w:sectPr>
      </w:pPr>
      <w:bookmarkStart w:id="159" w:name="_Toc5229"/>
      <w:bookmarkStart w:id="160" w:name="_Toc20407"/>
      <w:bookmarkStart w:id="161" w:name="_Toc31280"/>
    </w:p>
    <w:p w14:paraId="714EC85A">
      <w:pPr>
        <w:pStyle w:val="6"/>
        <w:adjustRightInd w:val="0"/>
        <w:snapToGrid w:val="0"/>
        <w:spacing w:beforeLines="0" w:afterLines="0" w:line="360" w:lineRule="auto"/>
        <w:ind w:firstLine="643" w:firstLineChars="200"/>
        <w:jc w:val="center"/>
        <w:outlineLvl w:val="0"/>
        <w:rPr>
          <w:rFonts w:hint="default" w:ascii="Times New Roman" w:hAnsi="Times New Roman"/>
          <w:b/>
          <w:sz w:val="32"/>
          <w:szCs w:val="32"/>
        </w:rPr>
      </w:pPr>
      <w:bookmarkStart w:id="162" w:name="_Toc32753"/>
      <w:bookmarkStart w:id="163" w:name="_Toc27822"/>
      <w:r>
        <w:rPr>
          <w:rFonts w:ascii="Times New Roman" w:hAnsi="Times New Roman"/>
          <w:b/>
          <w:sz w:val="32"/>
          <w:szCs w:val="32"/>
        </w:rPr>
        <w:t>五、分包意向协议</w:t>
      </w:r>
      <w:bookmarkEnd w:id="162"/>
      <w:bookmarkEnd w:id="163"/>
    </w:p>
    <w:p w14:paraId="45E6C80C">
      <w:pPr>
        <w:widowControl/>
        <w:adjustRightInd w:val="0"/>
        <w:snapToGrid w:val="0"/>
        <w:spacing w:line="360" w:lineRule="auto"/>
        <w:ind w:firstLine="120" w:firstLineChars="50"/>
        <w:jc w:val="left"/>
        <w:rPr>
          <w:rFonts w:hint="default" w:ascii="宋体" w:hAnsi="宋体" w:cs="宋体"/>
          <w:sz w:val="24"/>
        </w:rPr>
      </w:pPr>
      <w:r>
        <w:rPr>
          <w:rFonts w:ascii="宋体" w:hAnsi="宋体" w:cs="宋体"/>
          <w:sz w:val="24"/>
        </w:rPr>
        <w:t>（</w:t>
      </w:r>
      <w:r>
        <w:rPr>
          <w:rFonts w:ascii="宋体" w:hAnsi="宋体" w:cs="宋体"/>
          <w:b/>
          <w:sz w:val="24"/>
        </w:rPr>
        <w:t>中标后以分包方式履行合同的，提供分包意向协议；采购人不同意分包或者投标人中标后不以分包方式履行合同的，则不需要提供。</w:t>
      </w:r>
      <w:r>
        <w:rPr>
          <w:rFonts w:ascii="宋体" w:hAnsi="宋体" w:cs="宋体"/>
          <w:sz w:val="24"/>
        </w:rPr>
        <w:t>）</w:t>
      </w:r>
    </w:p>
    <w:p w14:paraId="3C5EBE87">
      <w:pPr>
        <w:pStyle w:val="5"/>
        <w:adjustRightInd w:val="0"/>
        <w:snapToGrid w:val="0"/>
        <w:spacing w:before="0" w:after="0" w:line="360" w:lineRule="auto"/>
        <w:rPr>
          <w:rFonts w:hint="default"/>
        </w:rPr>
      </w:pPr>
    </w:p>
    <w:p w14:paraId="397C6ED4">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u w:val="single"/>
        </w:rPr>
        <w:t>（投标人名称）</w:t>
      </w:r>
      <w:r>
        <w:rPr>
          <w:rFonts w:ascii="宋体" w:hAnsi="宋体" w:cs="宋体"/>
          <w:kern w:val="0"/>
          <w:sz w:val="24"/>
          <w:lang w:val="zh-CN"/>
        </w:rPr>
        <w:t>若成为</w:t>
      </w:r>
      <w:r>
        <w:rPr>
          <w:rFonts w:ascii="宋体" w:hAnsi="宋体" w:cs="宋体"/>
          <w:sz w:val="24"/>
        </w:rPr>
        <w:t>（项目名称）(标项名称）【项目编号：     】</w:t>
      </w:r>
      <w:r>
        <w:rPr>
          <w:rFonts w:ascii="宋体" w:hAnsi="宋体" w:cs="宋体"/>
          <w:kern w:val="0"/>
          <w:sz w:val="24"/>
          <w:lang w:val="zh-CN"/>
        </w:rPr>
        <w:t>的</w:t>
      </w:r>
      <w:r>
        <w:rPr>
          <w:rFonts w:ascii="宋体" w:hAnsi="宋体" w:cs="宋体"/>
          <w:kern w:val="0"/>
          <w:sz w:val="24"/>
        </w:rPr>
        <w:t>中标</w:t>
      </w:r>
      <w:r>
        <w:rPr>
          <w:rFonts w:ascii="宋体" w:hAnsi="宋体" w:cs="宋体"/>
          <w:kern w:val="0"/>
          <w:sz w:val="24"/>
          <w:lang w:val="zh-CN"/>
        </w:rPr>
        <w:t>供应商，将依法采取分包方式履行合同。</w:t>
      </w:r>
      <w:r>
        <w:rPr>
          <w:rFonts w:ascii="宋体" w:hAnsi="宋体" w:cs="宋体"/>
          <w:kern w:val="0"/>
          <w:sz w:val="24"/>
          <w:u w:val="single"/>
        </w:rPr>
        <w:t>（投标人名称）</w:t>
      </w:r>
      <w:r>
        <w:rPr>
          <w:rFonts w:ascii="宋体" w:hAnsi="宋体" w:cs="宋体"/>
          <w:kern w:val="0"/>
          <w:sz w:val="24"/>
        </w:rPr>
        <w:t>与</w:t>
      </w:r>
      <w:r>
        <w:rPr>
          <w:rFonts w:ascii="宋体" w:hAnsi="宋体" w:cs="宋体"/>
          <w:kern w:val="0"/>
          <w:sz w:val="24"/>
          <w:u w:val="single"/>
        </w:rPr>
        <w:t>（所有分包供应商名称）</w:t>
      </w:r>
      <w:r>
        <w:rPr>
          <w:rFonts w:ascii="宋体" w:hAnsi="宋体" w:cs="宋体"/>
          <w:kern w:val="0"/>
          <w:sz w:val="24"/>
        </w:rPr>
        <w:t>达成分包意向协议</w:t>
      </w:r>
      <w:r>
        <w:rPr>
          <w:rFonts w:ascii="宋体" w:hAnsi="宋体" w:cs="宋体"/>
          <w:kern w:val="0"/>
          <w:sz w:val="24"/>
          <w:lang w:val="zh-CN"/>
        </w:rPr>
        <w:t xml:space="preserve">。 </w:t>
      </w:r>
    </w:p>
    <w:p w14:paraId="6D26AD34">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一、分包标的及数量</w:t>
      </w:r>
    </w:p>
    <w:p w14:paraId="506BB767">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u w:val="single"/>
        </w:rPr>
        <w:t>（投标人名称）</w:t>
      </w:r>
      <w:r>
        <w:rPr>
          <w:rFonts w:ascii="宋体" w:hAnsi="宋体" w:cs="宋体"/>
          <w:kern w:val="0"/>
          <w:sz w:val="24"/>
          <w:lang w:val="zh-CN"/>
        </w:rPr>
        <w:t>将</w:t>
      </w:r>
      <w:r>
        <w:rPr>
          <w:rFonts w:ascii="宋体" w:hAnsi="宋体" w:cs="宋体"/>
          <w:u w:val="single"/>
        </w:rPr>
        <w:t xml:space="preserve">   XX工作内容   </w:t>
      </w:r>
      <w:r>
        <w:rPr>
          <w:rFonts w:ascii="宋体" w:hAnsi="宋体" w:cs="宋体"/>
          <w:sz w:val="24"/>
        </w:rPr>
        <w:t>分包给</w:t>
      </w:r>
      <w:r>
        <w:rPr>
          <w:rFonts w:ascii="宋体" w:hAnsi="宋体" w:cs="宋体"/>
          <w:kern w:val="0"/>
          <w:sz w:val="24"/>
          <w:u w:val="single"/>
        </w:rPr>
        <w:t>（某分包供应商名称）</w:t>
      </w:r>
      <w:r>
        <w:rPr>
          <w:rFonts w:ascii="宋体" w:hAnsi="宋体" w:cs="宋体"/>
          <w:kern w:val="0"/>
          <w:sz w:val="24"/>
          <w:lang w:val="zh-CN"/>
        </w:rPr>
        <w:t>，</w:t>
      </w:r>
      <w:r>
        <w:rPr>
          <w:rFonts w:ascii="宋体" w:hAnsi="宋体" w:cs="宋体"/>
          <w:kern w:val="0"/>
          <w:sz w:val="24"/>
          <w:u w:val="single"/>
        </w:rPr>
        <w:t>（某分包供应商名称），</w:t>
      </w:r>
      <w:r>
        <w:rPr>
          <w:rFonts w:ascii="宋体" w:hAnsi="宋体" w:cs="宋体"/>
          <w:kern w:val="0"/>
          <w:sz w:val="24"/>
          <w:lang w:val="zh-CN"/>
        </w:rPr>
        <w:t>具备承</w:t>
      </w:r>
      <w:r>
        <w:rPr>
          <w:rFonts w:ascii="宋体" w:hAnsi="宋体" w:cs="宋体"/>
          <w:kern w:val="0"/>
          <w:sz w:val="24"/>
        </w:rPr>
        <w:t>担</w:t>
      </w:r>
      <w:r>
        <w:rPr>
          <w:rFonts w:ascii="宋体" w:hAnsi="宋体" w:cs="宋体"/>
          <w:kern w:val="0"/>
          <w:sz w:val="24"/>
          <w:u w:val="single"/>
          <w:lang w:val="zh-CN"/>
        </w:rPr>
        <w:t>XX工作内容</w:t>
      </w:r>
      <w:r>
        <w:rPr>
          <w:rFonts w:ascii="宋体" w:hAnsi="宋体" w:cs="宋体"/>
          <w:kern w:val="0"/>
          <w:sz w:val="24"/>
          <w:lang w:val="zh-CN"/>
        </w:rPr>
        <w:t>相应资质条件且不得再次分包；</w:t>
      </w:r>
    </w:p>
    <w:p w14:paraId="76B65188">
      <w:pPr>
        <w:pStyle w:val="3"/>
        <w:tabs>
          <w:tab w:val="left" w:pos="432"/>
        </w:tabs>
        <w:adjustRightInd w:val="0"/>
        <w:snapToGrid w:val="0"/>
        <w:spacing w:before="0" w:after="0" w:line="360" w:lineRule="auto"/>
        <w:ind w:left="664" w:leftChars="316" w:firstLine="229" w:firstLineChars="95"/>
        <w:rPr>
          <w:rFonts w:hint="default" w:ascii="宋体" w:hAnsi="宋体" w:eastAsia="宋体" w:cs="宋体"/>
        </w:rPr>
      </w:pPr>
      <w:r>
        <w:rPr>
          <w:rFonts w:ascii="宋体" w:hAnsi="宋体" w:eastAsia="宋体" w:cs="宋体"/>
          <w:kern w:val="0"/>
          <w:sz w:val="24"/>
          <w:szCs w:val="24"/>
        </w:rPr>
        <w:t>……</w:t>
      </w:r>
    </w:p>
    <w:p w14:paraId="563B5D28">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二、分包工作履行期限、地点、方式</w:t>
      </w:r>
    </w:p>
    <w:p w14:paraId="526E6F9E">
      <w:pPr>
        <w:adjustRightInd w:val="0"/>
        <w:snapToGrid w:val="0"/>
        <w:spacing w:line="360" w:lineRule="auto"/>
        <w:ind w:firstLine="576"/>
        <w:rPr>
          <w:rFonts w:hint="default" w:ascii="宋体" w:hAnsi="宋体" w:cs="宋体"/>
          <w:u w:val="single"/>
        </w:rPr>
      </w:pPr>
    </w:p>
    <w:p w14:paraId="3FF3FE64">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三、质量</w:t>
      </w:r>
    </w:p>
    <w:p w14:paraId="7F0DB27B">
      <w:pPr>
        <w:adjustRightInd w:val="0"/>
        <w:snapToGrid w:val="0"/>
        <w:spacing w:line="360" w:lineRule="auto"/>
        <w:ind w:firstLine="576"/>
        <w:rPr>
          <w:rFonts w:hint="default" w:ascii="宋体" w:hAnsi="宋体" w:cs="宋体"/>
          <w:kern w:val="0"/>
          <w:sz w:val="24"/>
          <w:lang w:val="zh-CN"/>
        </w:rPr>
      </w:pPr>
    </w:p>
    <w:p w14:paraId="46810C06">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四、价款或者报酬</w:t>
      </w:r>
    </w:p>
    <w:p w14:paraId="4DAC042A">
      <w:pPr>
        <w:adjustRightInd w:val="0"/>
        <w:snapToGrid w:val="0"/>
        <w:spacing w:line="360" w:lineRule="auto"/>
        <w:ind w:left="573" w:leftChars="273"/>
        <w:rPr>
          <w:rFonts w:hint="default" w:ascii="宋体" w:hAnsi="宋体" w:cs="宋体"/>
          <w:kern w:val="0"/>
          <w:sz w:val="24"/>
          <w:lang w:val="zh-CN"/>
        </w:rPr>
      </w:pPr>
    </w:p>
    <w:p w14:paraId="74C6256C">
      <w:pPr>
        <w:adjustRightInd w:val="0"/>
        <w:snapToGrid w:val="0"/>
        <w:spacing w:line="360" w:lineRule="auto"/>
        <w:ind w:left="573" w:leftChars="273"/>
        <w:rPr>
          <w:rFonts w:hint="default" w:ascii="宋体" w:hAnsi="宋体" w:cs="宋体"/>
          <w:kern w:val="0"/>
          <w:sz w:val="24"/>
          <w:lang w:val="zh-CN"/>
        </w:rPr>
      </w:pPr>
      <w:r>
        <w:rPr>
          <w:rFonts w:ascii="宋体" w:hAnsi="宋体" w:cs="宋体"/>
          <w:kern w:val="0"/>
          <w:sz w:val="24"/>
          <w:lang w:val="zh-CN"/>
        </w:rPr>
        <w:t>五、违约责任</w:t>
      </w:r>
    </w:p>
    <w:p w14:paraId="64444653">
      <w:pPr>
        <w:adjustRightInd w:val="0"/>
        <w:snapToGrid w:val="0"/>
        <w:spacing w:line="360" w:lineRule="auto"/>
        <w:ind w:firstLine="576"/>
        <w:rPr>
          <w:rFonts w:hint="default" w:ascii="宋体" w:hAnsi="宋体" w:cs="宋体"/>
          <w:kern w:val="0"/>
          <w:sz w:val="24"/>
          <w:lang w:val="zh-CN"/>
        </w:rPr>
      </w:pPr>
    </w:p>
    <w:p w14:paraId="38DA6774">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六、争议解决的办法</w:t>
      </w:r>
    </w:p>
    <w:p w14:paraId="0BA973F3">
      <w:pPr>
        <w:adjustRightInd w:val="0"/>
        <w:snapToGrid w:val="0"/>
        <w:spacing w:line="360" w:lineRule="auto"/>
        <w:ind w:firstLine="576"/>
        <w:rPr>
          <w:rFonts w:hint="default" w:ascii="宋体" w:hAnsi="宋体" w:cs="宋体"/>
          <w:kern w:val="0"/>
          <w:sz w:val="24"/>
          <w:lang w:val="zh-CN"/>
        </w:rPr>
      </w:pPr>
    </w:p>
    <w:p w14:paraId="72E89B6B">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七、其他</w:t>
      </w:r>
    </w:p>
    <w:p w14:paraId="61F72BF6">
      <w:pPr>
        <w:adjustRightInd w:val="0"/>
        <w:snapToGrid w:val="0"/>
        <w:spacing w:line="360" w:lineRule="auto"/>
        <w:ind w:firstLine="576"/>
        <w:rPr>
          <w:rFonts w:hint="default" w:ascii="宋体" w:hAnsi="宋体" w:cs="宋体"/>
          <w:b/>
          <w:kern w:val="0"/>
          <w:sz w:val="24"/>
          <w:lang w:val="zh-CN"/>
        </w:rPr>
      </w:pPr>
      <w:r>
        <w:rPr>
          <w:rFonts w:ascii="宋体" w:hAnsi="宋体" w:cs="宋体"/>
          <w:kern w:val="0"/>
          <w:sz w:val="24"/>
          <w:u w:val="single"/>
        </w:rPr>
        <w:t>（分包供应商名称）提供的服务全部由中小企业承接，</w:t>
      </w:r>
      <w:r>
        <w:rPr>
          <w:rFonts w:ascii="宋体" w:hAnsi="宋体" w:cs="宋体"/>
          <w:kern w:val="0"/>
          <w:sz w:val="24"/>
        </w:rPr>
        <w:t>其合同份额占到合同总金额%以上</w:t>
      </w:r>
      <w:r>
        <w:rPr>
          <w:rFonts w:ascii="宋体" w:hAnsi="宋体" w:cs="宋体"/>
        </w:rPr>
        <w:t>。</w:t>
      </w:r>
    </w:p>
    <w:p w14:paraId="443FA8DA">
      <w:pPr>
        <w:adjustRightInd w:val="0"/>
        <w:snapToGrid w:val="0"/>
        <w:spacing w:line="440" w:lineRule="exact"/>
        <w:rPr>
          <w:rFonts w:hint="default" w:ascii="宋体" w:hAnsi="宋体" w:cs="宋体"/>
          <w:kern w:val="0"/>
          <w:sz w:val="24"/>
          <w:lang w:val="zh-CN"/>
        </w:rPr>
      </w:pPr>
      <w:r>
        <w:rPr>
          <w:rFonts w:ascii="宋体" w:hAnsi="宋体" w:cs="宋体"/>
          <w:kern w:val="0"/>
          <w:sz w:val="24"/>
        </w:rPr>
        <w:t>供应商</w:t>
      </w:r>
      <w:r>
        <w:rPr>
          <w:rFonts w:ascii="宋体" w:hAnsi="宋体" w:cs="宋体"/>
          <w:kern w:val="0"/>
          <w:sz w:val="24"/>
          <w:lang w:val="zh-CN"/>
        </w:rPr>
        <w:t>名称(电子签名/公章)：</w:t>
      </w:r>
    </w:p>
    <w:p w14:paraId="3D45B864">
      <w:pPr>
        <w:adjustRightInd w:val="0"/>
        <w:snapToGrid w:val="0"/>
        <w:spacing w:line="440" w:lineRule="exact"/>
        <w:rPr>
          <w:rFonts w:hint="default" w:ascii="宋体" w:hAnsi="宋体" w:cs="宋体"/>
          <w:kern w:val="0"/>
          <w:sz w:val="24"/>
          <w:lang w:val="zh-CN"/>
        </w:rPr>
      </w:pPr>
      <w:r>
        <w:rPr>
          <w:rFonts w:ascii="宋体" w:hAnsi="宋体" w:cs="宋体"/>
          <w:kern w:val="0"/>
          <w:sz w:val="24"/>
          <w:lang w:val="zh-CN"/>
        </w:rPr>
        <w:t>分包供应商名称：</w:t>
      </w:r>
    </w:p>
    <w:p w14:paraId="271EFE5D">
      <w:pPr>
        <w:adjustRightInd w:val="0"/>
        <w:snapToGrid w:val="0"/>
        <w:spacing w:line="440" w:lineRule="exact"/>
        <w:ind w:right="420"/>
        <w:rPr>
          <w:rFonts w:hint="default" w:ascii="宋体" w:hAnsi="宋体" w:cs="宋体"/>
          <w:kern w:val="0"/>
          <w:sz w:val="24"/>
          <w:lang w:val="zh-CN"/>
        </w:rPr>
      </w:pPr>
      <w:r>
        <w:rPr>
          <w:rFonts w:ascii="宋体" w:hAnsi="宋体" w:cs="宋体"/>
          <w:kern w:val="0"/>
          <w:sz w:val="24"/>
          <w:lang w:val="zh-CN"/>
        </w:rPr>
        <w:t>日期：  年  月  日</w:t>
      </w:r>
    </w:p>
    <w:p w14:paraId="0237A1A2">
      <w:pPr>
        <w:snapToGrid w:val="0"/>
        <w:spacing w:line="360" w:lineRule="auto"/>
        <w:ind w:left="570"/>
        <w:jc w:val="center"/>
        <w:outlineLvl w:val="0"/>
        <w:rPr>
          <w:rFonts w:hint="default"/>
          <w:b/>
          <w:sz w:val="32"/>
          <w:szCs w:val="32"/>
          <w:lang w:val="zh-CN"/>
        </w:rPr>
      </w:pPr>
      <w:r>
        <w:rPr>
          <w:rFonts w:ascii="宋体" w:hAnsi="宋体" w:cs="宋体"/>
          <w:kern w:val="0"/>
          <w:sz w:val="24"/>
          <w:lang w:val="zh-CN"/>
        </w:rPr>
        <w:br w:type="page"/>
      </w:r>
      <w:bookmarkStart w:id="164" w:name="_Toc4847"/>
      <w:bookmarkStart w:id="165" w:name="_Toc11509"/>
      <w:r>
        <w:rPr>
          <w:b/>
          <w:sz w:val="32"/>
          <w:szCs w:val="32"/>
        </w:rPr>
        <w:t>六</w:t>
      </w:r>
      <w:r>
        <w:rPr>
          <w:rFonts w:hint="default"/>
          <w:b/>
          <w:sz w:val="32"/>
          <w:szCs w:val="32"/>
          <w:lang w:val="zh-CN"/>
        </w:rPr>
        <w:t>、商务技术偏离表</w:t>
      </w:r>
      <w:bookmarkEnd w:id="156"/>
      <w:bookmarkEnd w:id="159"/>
      <w:bookmarkEnd w:id="160"/>
      <w:bookmarkEnd w:id="161"/>
      <w:bookmarkEnd w:id="164"/>
      <w:bookmarkEnd w:id="165"/>
    </w:p>
    <w:p w14:paraId="3E576EF2">
      <w:pPr>
        <w:tabs>
          <w:tab w:val="left" w:pos="1418"/>
        </w:tabs>
        <w:snapToGrid w:val="0"/>
        <w:spacing w:before="50" w:after="50" w:line="360" w:lineRule="auto"/>
        <w:ind w:firstLine="480" w:firstLineChars="200"/>
        <w:rPr>
          <w:rFonts w:hint="default"/>
          <w:sz w:val="24"/>
        </w:rPr>
      </w:pPr>
      <w:r>
        <w:rPr>
          <w:rFonts w:hint="default"/>
          <w:sz w:val="24"/>
        </w:rPr>
        <w:t>项目名称：</w:t>
      </w:r>
    </w:p>
    <w:p w14:paraId="249BE81A">
      <w:pPr>
        <w:tabs>
          <w:tab w:val="left" w:pos="1418"/>
        </w:tabs>
        <w:snapToGrid w:val="0"/>
        <w:spacing w:before="50" w:after="50" w:line="360" w:lineRule="auto"/>
        <w:ind w:firstLine="480" w:firstLineChars="200"/>
        <w:rPr>
          <w:rFonts w:hint="default"/>
          <w:sz w:val="24"/>
        </w:rPr>
      </w:pPr>
      <w:r>
        <w:rPr>
          <w:rFonts w:hint="default"/>
          <w:sz w:val="24"/>
        </w:rPr>
        <w:t>项目编号：</w:t>
      </w:r>
    </w:p>
    <w:p w14:paraId="11954A68">
      <w:pPr>
        <w:pStyle w:val="15"/>
        <w:rPr>
          <w:rFonts w:hint="default"/>
        </w:rPr>
      </w:pP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96"/>
        <w:gridCol w:w="2097"/>
        <w:gridCol w:w="2112"/>
        <w:gridCol w:w="2414"/>
      </w:tblGrid>
      <w:tr w14:paraId="1B8FC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14:paraId="144D88D6">
            <w:pPr>
              <w:snapToGrid w:val="0"/>
              <w:spacing w:line="360" w:lineRule="auto"/>
              <w:jc w:val="center"/>
              <w:rPr>
                <w:rFonts w:hint="default"/>
                <w:sz w:val="24"/>
                <w:szCs w:val="22"/>
              </w:rPr>
            </w:pPr>
            <w:r>
              <w:rPr>
                <w:rFonts w:hint="default"/>
                <w:sz w:val="24"/>
                <w:szCs w:val="22"/>
              </w:rPr>
              <w:t>采购文件要求</w:t>
            </w:r>
          </w:p>
        </w:tc>
        <w:tc>
          <w:tcPr>
            <w:tcW w:w="2097" w:type="dxa"/>
            <w:tcBorders>
              <w:top w:val="single" w:color="auto" w:sz="4" w:space="0"/>
              <w:left w:val="single" w:color="auto" w:sz="4" w:space="0"/>
              <w:bottom w:val="single" w:color="auto" w:sz="4" w:space="0"/>
              <w:right w:val="single" w:color="auto" w:sz="4" w:space="0"/>
            </w:tcBorders>
            <w:vAlign w:val="center"/>
          </w:tcPr>
          <w:p w14:paraId="512BA1C2">
            <w:pPr>
              <w:snapToGrid w:val="0"/>
              <w:spacing w:line="360" w:lineRule="auto"/>
              <w:jc w:val="center"/>
              <w:rPr>
                <w:rFonts w:hint="default"/>
                <w:sz w:val="24"/>
                <w:szCs w:val="22"/>
              </w:rPr>
            </w:pPr>
            <w:r>
              <w:rPr>
                <w:rFonts w:hint="default"/>
                <w:sz w:val="24"/>
                <w:szCs w:val="22"/>
              </w:rPr>
              <w:t>采购文件响应</w:t>
            </w:r>
          </w:p>
        </w:tc>
        <w:tc>
          <w:tcPr>
            <w:tcW w:w="2112" w:type="dxa"/>
            <w:tcBorders>
              <w:top w:val="single" w:color="auto" w:sz="4" w:space="0"/>
              <w:left w:val="single" w:color="auto" w:sz="4" w:space="0"/>
              <w:bottom w:val="single" w:color="auto" w:sz="4" w:space="0"/>
              <w:right w:val="single" w:color="auto" w:sz="4" w:space="0"/>
            </w:tcBorders>
            <w:vAlign w:val="center"/>
          </w:tcPr>
          <w:p w14:paraId="23DF5DAE">
            <w:pPr>
              <w:snapToGrid w:val="0"/>
              <w:spacing w:line="360" w:lineRule="auto"/>
              <w:jc w:val="center"/>
              <w:rPr>
                <w:rFonts w:hint="default"/>
                <w:sz w:val="24"/>
                <w:szCs w:val="22"/>
              </w:rPr>
            </w:pPr>
            <w:r>
              <w:rPr>
                <w:rFonts w:hint="default"/>
                <w:sz w:val="24"/>
                <w:szCs w:val="22"/>
              </w:rPr>
              <w:t>偏离</w:t>
            </w:r>
          </w:p>
        </w:tc>
        <w:tc>
          <w:tcPr>
            <w:tcW w:w="2414" w:type="dxa"/>
            <w:tcBorders>
              <w:top w:val="single" w:color="auto" w:sz="4" w:space="0"/>
              <w:left w:val="single" w:color="auto" w:sz="4" w:space="0"/>
              <w:bottom w:val="single" w:color="auto" w:sz="4" w:space="0"/>
              <w:right w:val="single" w:color="auto" w:sz="4" w:space="0"/>
            </w:tcBorders>
            <w:vAlign w:val="center"/>
          </w:tcPr>
          <w:p w14:paraId="0270CA14">
            <w:pPr>
              <w:snapToGrid w:val="0"/>
              <w:spacing w:line="360" w:lineRule="auto"/>
              <w:jc w:val="center"/>
              <w:rPr>
                <w:rFonts w:hint="default"/>
                <w:sz w:val="24"/>
                <w:szCs w:val="22"/>
              </w:rPr>
            </w:pPr>
            <w:r>
              <w:rPr>
                <w:rFonts w:hint="default"/>
                <w:sz w:val="24"/>
                <w:szCs w:val="22"/>
              </w:rPr>
              <w:t>说明</w:t>
            </w:r>
          </w:p>
        </w:tc>
      </w:tr>
      <w:tr w14:paraId="1EFD6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782D4A6A">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14:paraId="22B62E54">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14:paraId="19206B0B">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14:paraId="3DC9B7F2">
            <w:pPr>
              <w:snapToGrid w:val="0"/>
              <w:spacing w:line="360" w:lineRule="auto"/>
              <w:jc w:val="center"/>
              <w:rPr>
                <w:rFonts w:hint="default"/>
                <w:sz w:val="24"/>
                <w:szCs w:val="22"/>
              </w:rPr>
            </w:pPr>
          </w:p>
        </w:tc>
      </w:tr>
      <w:tr w14:paraId="5C95E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169558C7">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14:paraId="6488831D">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14:paraId="22463593">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14:paraId="3A2ADADD">
            <w:pPr>
              <w:snapToGrid w:val="0"/>
              <w:spacing w:line="360" w:lineRule="auto"/>
              <w:jc w:val="center"/>
              <w:rPr>
                <w:rFonts w:hint="default"/>
                <w:sz w:val="24"/>
                <w:szCs w:val="22"/>
              </w:rPr>
            </w:pPr>
          </w:p>
        </w:tc>
      </w:tr>
      <w:tr w14:paraId="21D39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696" w:type="dxa"/>
            <w:tcBorders>
              <w:top w:val="single" w:color="auto" w:sz="4" w:space="0"/>
              <w:left w:val="single" w:color="auto" w:sz="4" w:space="0"/>
              <w:bottom w:val="single" w:color="auto" w:sz="4" w:space="0"/>
              <w:right w:val="single" w:color="auto" w:sz="4" w:space="0"/>
            </w:tcBorders>
          </w:tcPr>
          <w:p w14:paraId="0336EF26">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14:paraId="2E871193">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14:paraId="30D05D77">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14:paraId="5E84B6DA">
            <w:pPr>
              <w:snapToGrid w:val="0"/>
              <w:spacing w:line="360" w:lineRule="auto"/>
              <w:jc w:val="center"/>
              <w:rPr>
                <w:rFonts w:hint="default"/>
                <w:sz w:val="24"/>
                <w:szCs w:val="22"/>
              </w:rPr>
            </w:pPr>
          </w:p>
        </w:tc>
      </w:tr>
    </w:tbl>
    <w:p w14:paraId="32BB8348">
      <w:pPr>
        <w:pStyle w:val="6"/>
        <w:spacing w:before="156" w:after="156" w:line="460" w:lineRule="atLeast"/>
        <w:ind w:right="-105" w:rightChars="-50"/>
        <w:rPr>
          <w:rFonts w:hint="default" w:hAnsi="宋体"/>
          <w:b/>
          <w:bCs/>
          <w:u w:val="single"/>
        </w:rPr>
      </w:pPr>
      <w:r>
        <w:rPr>
          <w:rFonts w:hAnsi="宋体" w:cs="仿宋"/>
          <w:spacing w:val="-10"/>
        </w:rPr>
        <w:t>备注：1、</w:t>
      </w:r>
      <w:r>
        <w:rPr>
          <w:rFonts w:hAnsi="宋体" w:cs="仿宋"/>
          <w:b/>
          <w:bCs/>
          <w:u w:val="single"/>
        </w:rPr>
        <w:t>结合《第四章采购内容及需求</w:t>
      </w:r>
      <w:r>
        <w:rPr>
          <w:rFonts w:hAnsi="宋体" w:cs="仿宋"/>
          <w:b/>
          <w:bCs/>
          <w:spacing w:val="-10"/>
          <w:u w:val="single"/>
        </w:rPr>
        <w:t>》</w:t>
      </w:r>
      <w:r>
        <w:rPr>
          <w:rFonts w:hAnsi="宋体" w:cs="仿宋"/>
          <w:b/>
          <w:bCs/>
          <w:spacing w:val="-1"/>
          <w:u w:val="single"/>
        </w:rPr>
        <w:t>中</w:t>
      </w:r>
      <w:r>
        <w:rPr>
          <w:rFonts w:hAnsi="宋体" w:cs="仿宋"/>
          <w:b/>
          <w:bCs/>
          <w:u w:val="single"/>
        </w:rPr>
        <w:t>要求逐条对应；2、投标单位须如实填写上表，并按要求提供证明材料，提供虚假材料处理的按虚假应标一律；3、投标单位未按要求填写本表的，评标委员会评审时有权按不利于投标人的情况进行评审。</w:t>
      </w:r>
    </w:p>
    <w:p w14:paraId="0033D406">
      <w:pPr>
        <w:snapToGrid w:val="0"/>
        <w:spacing w:line="300" w:lineRule="auto"/>
        <w:rPr>
          <w:rFonts w:hint="default" w:ascii="Arial" w:hAnsi="Arial" w:cs="Arial"/>
        </w:rPr>
      </w:pPr>
    </w:p>
    <w:p w14:paraId="7A32515C">
      <w:pPr>
        <w:snapToGrid w:val="0"/>
        <w:spacing w:line="360" w:lineRule="auto"/>
        <w:ind w:firstLine="211" w:firstLineChars="100"/>
        <w:rPr>
          <w:rFonts w:hint="default"/>
          <w:b/>
          <w:bCs/>
        </w:rPr>
      </w:pPr>
    </w:p>
    <w:p w14:paraId="0F2E21CF">
      <w:pPr>
        <w:autoSpaceDE w:val="0"/>
        <w:autoSpaceDN w:val="0"/>
        <w:snapToGrid w:val="0"/>
        <w:spacing w:line="360" w:lineRule="auto"/>
        <w:ind w:firstLine="5160" w:firstLineChars="2150"/>
        <w:rPr>
          <w:rFonts w:hint="default"/>
          <w:kern w:val="0"/>
          <w:sz w:val="24"/>
          <w:lang w:val="zh-CN"/>
        </w:rPr>
      </w:pPr>
    </w:p>
    <w:p w14:paraId="1BB39730">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052BD7AD">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34464714">
      <w:pPr>
        <w:pStyle w:val="6"/>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66" w:name="_Toc5742"/>
      <w:bookmarkStart w:id="167" w:name="_Toc31392"/>
      <w:r>
        <w:rPr>
          <w:rFonts w:hint="default" w:ascii="Times New Roman" w:hAnsi="Times New Roman"/>
          <w:kern w:val="0"/>
        </w:rPr>
        <w:t>日期：</w:t>
      </w:r>
      <w:r>
        <w:rPr>
          <w:rFonts w:hint="eastAsia" w:ascii="Times New Roman" w:hAnsi="Times New Roman"/>
          <w:kern w:val="0"/>
          <w:lang w:val="en-US" w:eastAsia="zh-CN"/>
        </w:rPr>
        <w:t xml:space="preserve">  </w:t>
      </w:r>
      <w:r>
        <w:rPr>
          <w:rFonts w:hint="default" w:ascii="Times New Roman" w:hAnsi="Times New Roman"/>
          <w:kern w:val="0"/>
        </w:rPr>
        <w:t>年</w:t>
      </w:r>
      <w:r>
        <w:rPr>
          <w:rFonts w:hint="eastAsia" w:ascii="Times New Roman" w:hAnsi="Times New Roman"/>
          <w:kern w:val="0"/>
          <w:lang w:val="en-US" w:eastAsia="zh-CN"/>
        </w:rPr>
        <w:t xml:space="preserve">  </w:t>
      </w:r>
      <w:r>
        <w:rPr>
          <w:rFonts w:hint="default" w:ascii="Times New Roman" w:hAnsi="Times New Roman"/>
          <w:kern w:val="0"/>
        </w:rPr>
        <w:t>月</w:t>
      </w:r>
      <w:r>
        <w:rPr>
          <w:rFonts w:hint="eastAsia" w:ascii="Times New Roman" w:hAnsi="Times New Roman"/>
          <w:kern w:val="0"/>
          <w:lang w:val="en-US" w:eastAsia="zh-CN"/>
        </w:rPr>
        <w:t xml:space="preserve">  </w:t>
      </w:r>
      <w:r>
        <w:rPr>
          <w:rFonts w:hint="default" w:ascii="Times New Roman" w:hAnsi="Times New Roman"/>
          <w:kern w:val="0"/>
        </w:rPr>
        <w:t>日</w:t>
      </w:r>
      <w:bookmarkEnd w:id="166"/>
      <w:bookmarkEnd w:id="167"/>
    </w:p>
    <w:p w14:paraId="296085C8">
      <w:pPr>
        <w:snapToGrid w:val="0"/>
        <w:spacing w:line="360" w:lineRule="auto"/>
        <w:ind w:firstLine="211" w:firstLineChars="100"/>
        <w:rPr>
          <w:rFonts w:hint="default"/>
          <w:b/>
          <w:bCs/>
        </w:rPr>
      </w:pPr>
    </w:p>
    <w:p w14:paraId="2D4AAAC9">
      <w:pPr>
        <w:pStyle w:val="6"/>
        <w:snapToGrid w:val="0"/>
        <w:spacing w:before="156" w:after="156" w:line="360" w:lineRule="auto"/>
        <w:ind w:firstLine="643" w:firstLineChars="200"/>
        <w:jc w:val="center"/>
        <w:outlineLvl w:val="0"/>
        <w:rPr>
          <w:rFonts w:hint="default" w:ascii="Times New Roman" w:hAnsi="Times New Roman"/>
          <w:b/>
          <w:sz w:val="32"/>
          <w:szCs w:val="32"/>
          <w:lang w:val="zh-CN"/>
        </w:rPr>
        <w:sectPr>
          <w:pgSz w:w="11906" w:h="16838"/>
          <w:pgMar w:top="1134" w:right="1247" w:bottom="1247" w:left="1304" w:header="794" w:footer="794" w:gutter="0"/>
          <w:cols w:space="720" w:num="1"/>
          <w:docGrid w:type="lines" w:linePitch="312" w:charSpace="0"/>
        </w:sectPr>
      </w:pPr>
      <w:bookmarkStart w:id="168" w:name="_Toc28622"/>
      <w:bookmarkStart w:id="169" w:name="_Toc19684"/>
      <w:bookmarkStart w:id="170" w:name="_Toc16955"/>
      <w:bookmarkStart w:id="171" w:name="_Toc15353"/>
    </w:p>
    <w:bookmarkEnd w:id="168"/>
    <w:bookmarkEnd w:id="169"/>
    <w:bookmarkEnd w:id="170"/>
    <w:p w14:paraId="2FD956B1">
      <w:pPr>
        <w:pStyle w:val="6"/>
        <w:snapToGrid w:val="0"/>
        <w:spacing w:before="156" w:after="156" w:line="360" w:lineRule="auto"/>
        <w:ind w:firstLine="643" w:firstLineChars="200"/>
        <w:jc w:val="center"/>
        <w:outlineLvl w:val="0"/>
        <w:rPr>
          <w:rFonts w:hint="default" w:hAnsi="宋体"/>
          <w:b/>
          <w:sz w:val="30"/>
          <w:szCs w:val="30"/>
        </w:rPr>
      </w:pPr>
      <w:bookmarkStart w:id="172" w:name="_Toc15904"/>
      <w:bookmarkStart w:id="173" w:name="_Toc28534"/>
      <w:bookmarkStart w:id="174" w:name="_Toc17423"/>
      <w:bookmarkStart w:id="175" w:name="_Toc9942"/>
      <w:bookmarkStart w:id="176" w:name="_Toc7951"/>
      <w:r>
        <w:rPr>
          <w:rFonts w:ascii="Times New Roman" w:hAnsi="Times New Roman"/>
          <w:b/>
          <w:sz w:val="32"/>
          <w:szCs w:val="32"/>
        </w:rPr>
        <w:t>七、项目实施人员</w:t>
      </w:r>
      <w:r>
        <w:rPr>
          <w:rFonts w:hint="default" w:ascii="Times New Roman" w:hAnsi="Times New Roman"/>
          <w:b/>
          <w:sz w:val="32"/>
          <w:szCs w:val="32"/>
        </w:rPr>
        <w:t>配备情况</w:t>
      </w:r>
      <w:bookmarkEnd w:id="172"/>
      <w:bookmarkEnd w:id="173"/>
      <w:bookmarkEnd w:id="174"/>
      <w:bookmarkEnd w:id="175"/>
    </w:p>
    <w:p w14:paraId="5D05D4FA">
      <w:pPr>
        <w:tabs>
          <w:tab w:val="left" w:pos="1418"/>
        </w:tabs>
        <w:snapToGrid w:val="0"/>
        <w:spacing w:before="50" w:after="50" w:line="360" w:lineRule="auto"/>
        <w:rPr>
          <w:rFonts w:hint="default"/>
          <w:sz w:val="24"/>
        </w:rPr>
      </w:pPr>
      <w:r>
        <w:rPr>
          <w:rFonts w:hint="default"/>
          <w:sz w:val="24"/>
        </w:rPr>
        <w:t>项目名称：</w:t>
      </w:r>
    </w:p>
    <w:p w14:paraId="5E8A3AEB">
      <w:pPr>
        <w:tabs>
          <w:tab w:val="left" w:pos="1418"/>
        </w:tabs>
        <w:snapToGrid w:val="0"/>
        <w:spacing w:before="50" w:after="50" w:line="360" w:lineRule="auto"/>
        <w:rPr>
          <w:rFonts w:hint="default"/>
          <w:sz w:val="24"/>
        </w:rPr>
      </w:pPr>
      <w:r>
        <w:rPr>
          <w:rFonts w:hint="default"/>
          <w:sz w:val="24"/>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25"/>
        <w:gridCol w:w="1863"/>
        <w:gridCol w:w="1411"/>
        <w:gridCol w:w="1815"/>
        <w:gridCol w:w="2218"/>
      </w:tblGrid>
      <w:tr w14:paraId="1391E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34FB11A9">
            <w:pPr>
              <w:snapToGrid w:val="0"/>
              <w:jc w:val="center"/>
              <w:rPr>
                <w:rFonts w:hint="default" w:ascii="宋体" w:hAnsi="宋体"/>
                <w:sz w:val="24"/>
              </w:rPr>
            </w:pPr>
            <w:r>
              <w:rPr>
                <w:rFonts w:ascii="宋体" w:hAnsi="宋体"/>
                <w:sz w:val="24"/>
                <w:szCs w:val="22"/>
              </w:rPr>
              <w:t>姓名</w:t>
            </w:r>
          </w:p>
        </w:tc>
        <w:tc>
          <w:tcPr>
            <w:tcW w:w="1125" w:type="dxa"/>
            <w:tcBorders>
              <w:top w:val="single" w:color="auto" w:sz="4" w:space="0"/>
              <w:left w:val="single" w:color="auto" w:sz="4" w:space="0"/>
              <w:bottom w:val="single" w:color="auto" w:sz="4" w:space="0"/>
              <w:right w:val="single" w:color="auto" w:sz="4" w:space="0"/>
            </w:tcBorders>
            <w:vAlign w:val="center"/>
          </w:tcPr>
          <w:p w14:paraId="551D4D3B">
            <w:pPr>
              <w:snapToGrid w:val="0"/>
              <w:jc w:val="center"/>
              <w:rPr>
                <w:rFonts w:hint="default" w:ascii="宋体" w:hAnsi="宋体"/>
                <w:sz w:val="24"/>
              </w:rPr>
            </w:pPr>
            <w:r>
              <w:rPr>
                <w:rFonts w:ascii="宋体" w:hAnsi="宋体"/>
                <w:sz w:val="24"/>
                <w:szCs w:val="22"/>
              </w:rPr>
              <w:t>职务</w:t>
            </w:r>
          </w:p>
        </w:tc>
        <w:tc>
          <w:tcPr>
            <w:tcW w:w="1863" w:type="dxa"/>
            <w:tcBorders>
              <w:top w:val="single" w:color="auto" w:sz="4" w:space="0"/>
              <w:left w:val="single" w:color="auto" w:sz="4" w:space="0"/>
              <w:bottom w:val="single" w:color="auto" w:sz="4" w:space="0"/>
              <w:right w:val="single" w:color="auto" w:sz="4" w:space="0"/>
            </w:tcBorders>
            <w:vAlign w:val="center"/>
          </w:tcPr>
          <w:p w14:paraId="7677797C">
            <w:pPr>
              <w:snapToGrid w:val="0"/>
              <w:jc w:val="center"/>
              <w:rPr>
                <w:rFonts w:hint="default" w:ascii="宋体" w:hAnsi="宋体"/>
                <w:sz w:val="24"/>
              </w:rPr>
            </w:pPr>
            <w:r>
              <w:rPr>
                <w:rFonts w:ascii="宋体" w:hAnsi="宋体"/>
                <w:sz w:val="24"/>
                <w:szCs w:val="22"/>
              </w:rPr>
              <w:t>专业技术资格</w:t>
            </w:r>
          </w:p>
        </w:tc>
        <w:tc>
          <w:tcPr>
            <w:tcW w:w="1411" w:type="dxa"/>
            <w:tcBorders>
              <w:top w:val="single" w:color="auto" w:sz="4" w:space="0"/>
              <w:left w:val="single" w:color="auto" w:sz="4" w:space="0"/>
              <w:bottom w:val="single" w:color="auto" w:sz="4" w:space="0"/>
              <w:right w:val="single" w:color="auto" w:sz="4" w:space="0"/>
            </w:tcBorders>
            <w:vAlign w:val="center"/>
          </w:tcPr>
          <w:p w14:paraId="13D3BCC3">
            <w:pPr>
              <w:snapToGrid w:val="0"/>
              <w:jc w:val="center"/>
              <w:rPr>
                <w:rFonts w:hint="default" w:ascii="宋体" w:hAnsi="宋体"/>
                <w:sz w:val="24"/>
              </w:rPr>
            </w:pPr>
            <w:r>
              <w:rPr>
                <w:rFonts w:ascii="宋体" w:hAnsi="宋体"/>
                <w:sz w:val="24"/>
                <w:szCs w:val="22"/>
              </w:rPr>
              <w:t>证书编号</w:t>
            </w:r>
          </w:p>
        </w:tc>
        <w:tc>
          <w:tcPr>
            <w:tcW w:w="1815" w:type="dxa"/>
            <w:tcBorders>
              <w:top w:val="single" w:color="auto" w:sz="4" w:space="0"/>
              <w:left w:val="single" w:color="auto" w:sz="4" w:space="0"/>
              <w:bottom w:val="single" w:color="auto" w:sz="4" w:space="0"/>
              <w:right w:val="single" w:color="auto" w:sz="4" w:space="0"/>
            </w:tcBorders>
            <w:vAlign w:val="center"/>
          </w:tcPr>
          <w:p w14:paraId="2D2A73E4">
            <w:pPr>
              <w:snapToGrid w:val="0"/>
              <w:jc w:val="center"/>
              <w:rPr>
                <w:rFonts w:hint="default" w:ascii="宋体" w:hAnsi="宋体"/>
                <w:bCs/>
                <w:sz w:val="24"/>
              </w:rPr>
            </w:pPr>
            <w:r>
              <w:rPr>
                <w:rFonts w:ascii="宋体" w:hAnsi="宋体"/>
                <w:bCs/>
                <w:sz w:val="24"/>
                <w:szCs w:val="22"/>
              </w:rPr>
              <w:t>参加本单位工作时间</w:t>
            </w:r>
          </w:p>
        </w:tc>
        <w:tc>
          <w:tcPr>
            <w:tcW w:w="2218" w:type="dxa"/>
            <w:tcBorders>
              <w:top w:val="single" w:color="auto" w:sz="4" w:space="0"/>
              <w:left w:val="single" w:color="auto" w:sz="4" w:space="0"/>
              <w:bottom w:val="single" w:color="auto" w:sz="4" w:space="0"/>
              <w:right w:val="single" w:color="auto" w:sz="4" w:space="0"/>
            </w:tcBorders>
            <w:vAlign w:val="center"/>
          </w:tcPr>
          <w:p w14:paraId="62B24276">
            <w:pPr>
              <w:snapToGrid w:val="0"/>
              <w:jc w:val="center"/>
              <w:rPr>
                <w:rFonts w:hint="default" w:ascii="宋体" w:hAnsi="宋体"/>
                <w:bCs/>
                <w:sz w:val="24"/>
              </w:rPr>
            </w:pPr>
            <w:r>
              <w:rPr>
                <w:rFonts w:ascii="宋体" w:hAnsi="宋体"/>
                <w:bCs/>
                <w:sz w:val="24"/>
              </w:rPr>
              <w:t>备注</w:t>
            </w:r>
          </w:p>
        </w:tc>
      </w:tr>
      <w:tr w14:paraId="6B0BC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6738BE51">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7E4ADB8">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788CF4A1">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6F7050CD">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7892913E">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41B52CAA">
            <w:pPr>
              <w:snapToGrid w:val="0"/>
              <w:spacing w:line="360" w:lineRule="auto"/>
              <w:rPr>
                <w:rFonts w:hint="default" w:ascii="宋体" w:hAnsi="宋体"/>
                <w:sz w:val="24"/>
              </w:rPr>
            </w:pPr>
          </w:p>
        </w:tc>
      </w:tr>
      <w:tr w14:paraId="63E96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7ECB327">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8675E1B">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204AF915">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64B5DFE8">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25475BB8">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29EFB65F">
            <w:pPr>
              <w:snapToGrid w:val="0"/>
              <w:spacing w:line="360" w:lineRule="auto"/>
              <w:rPr>
                <w:rFonts w:hint="default" w:ascii="宋体" w:hAnsi="宋体"/>
                <w:sz w:val="24"/>
              </w:rPr>
            </w:pPr>
          </w:p>
        </w:tc>
      </w:tr>
      <w:tr w14:paraId="3D501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1798794">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6494EB9A">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0BFC6A8B">
            <w:pPr>
              <w:pStyle w:val="20"/>
              <w:snapToGrid w:val="0"/>
              <w:spacing w:line="360" w:lineRule="auto"/>
              <w:ind w:left="5250"/>
              <w:rPr>
                <w:rFonts w:hint="default" w:ascii="宋体" w:hAnsi="宋体" w:eastAsia="宋体"/>
                <w:sz w:val="24"/>
                <w:szCs w:val="24"/>
              </w:rPr>
            </w:pPr>
          </w:p>
        </w:tc>
        <w:tc>
          <w:tcPr>
            <w:tcW w:w="1411" w:type="dxa"/>
            <w:tcBorders>
              <w:top w:val="single" w:color="auto" w:sz="4" w:space="0"/>
              <w:left w:val="single" w:color="auto" w:sz="4" w:space="0"/>
              <w:bottom w:val="single" w:color="auto" w:sz="4" w:space="0"/>
              <w:right w:val="single" w:color="auto" w:sz="4" w:space="0"/>
            </w:tcBorders>
          </w:tcPr>
          <w:p w14:paraId="5E4C9DB6">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79F0B6AE">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479EF33D">
            <w:pPr>
              <w:snapToGrid w:val="0"/>
              <w:spacing w:line="360" w:lineRule="auto"/>
              <w:rPr>
                <w:rFonts w:hint="default" w:ascii="宋体" w:hAnsi="宋体"/>
                <w:sz w:val="24"/>
              </w:rPr>
            </w:pPr>
          </w:p>
        </w:tc>
      </w:tr>
      <w:tr w14:paraId="6EA29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7B0651A2">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34889106">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145FFB8F">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289B6EEB">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2891819F">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61689DF7">
            <w:pPr>
              <w:snapToGrid w:val="0"/>
              <w:spacing w:line="360" w:lineRule="auto"/>
              <w:rPr>
                <w:rFonts w:hint="default" w:ascii="宋体" w:hAnsi="宋体"/>
                <w:sz w:val="24"/>
              </w:rPr>
            </w:pPr>
          </w:p>
        </w:tc>
      </w:tr>
      <w:tr w14:paraId="30FD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41638646">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AFCDE6F">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284D8A9C">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06DBF7B4">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1FA26FDB">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352681B9">
            <w:pPr>
              <w:snapToGrid w:val="0"/>
              <w:spacing w:line="360" w:lineRule="auto"/>
              <w:rPr>
                <w:rFonts w:hint="default" w:ascii="宋体" w:hAnsi="宋体"/>
                <w:sz w:val="24"/>
              </w:rPr>
            </w:pPr>
          </w:p>
        </w:tc>
      </w:tr>
      <w:tr w14:paraId="46171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8E71C1D">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1AADED9C">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6A00C5D1">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728B032A">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40D7B9A0">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3BF8EC9C">
            <w:pPr>
              <w:snapToGrid w:val="0"/>
              <w:spacing w:line="360" w:lineRule="auto"/>
              <w:rPr>
                <w:rFonts w:hint="default" w:ascii="宋体" w:hAnsi="宋体"/>
                <w:sz w:val="24"/>
              </w:rPr>
            </w:pPr>
          </w:p>
        </w:tc>
      </w:tr>
      <w:tr w14:paraId="3FC66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246AAA2A">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F84406C">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2255E8C4">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5F38EAEF">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36B6978E">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6FB2A44B">
            <w:pPr>
              <w:snapToGrid w:val="0"/>
              <w:spacing w:line="360" w:lineRule="auto"/>
              <w:rPr>
                <w:rFonts w:hint="default" w:ascii="宋体" w:hAnsi="宋体"/>
                <w:sz w:val="24"/>
              </w:rPr>
            </w:pPr>
          </w:p>
        </w:tc>
      </w:tr>
      <w:tr w14:paraId="4D4D4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E438169">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3622C9D6">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5D430BF3">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117DAF2A">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6C9CD0CB">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5A2D8AD0">
            <w:pPr>
              <w:snapToGrid w:val="0"/>
              <w:spacing w:line="360" w:lineRule="auto"/>
              <w:rPr>
                <w:rFonts w:hint="default" w:ascii="宋体" w:hAnsi="宋体"/>
                <w:sz w:val="24"/>
              </w:rPr>
            </w:pPr>
          </w:p>
        </w:tc>
      </w:tr>
      <w:tr w14:paraId="68D1F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25" w:type="dxa"/>
            <w:tcBorders>
              <w:top w:val="single" w:color="auto" w:sz="4" w:space="0"/>
              <w:left w:val="single" w:color="auto" w:sz="4" w:space="0"/>
              <w:bottom w:val="single" w:color="auto" w:sz="4" w:space="0"/>
              <w:right w:val="single" w:color="auto" w:sz="4" w:space="0"/>
            </w:tcBorders>
          </w:tcPr>
          <w:p w14:paraId="21EC9DBA">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0BFCF78D">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54B14382">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219801A3">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73B5450E">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3B88F86F">
            <w:pPr>
              <w:snapToGrid w:val="0"/>
              <w:spacing w:line="360" w:lineRule="auto"/>
              <w:rPr>
                <w:rFonts w:hint="default" w:ascii="宋体" w:hAnsi="宋体"/>
                <w:sz w:val="24"/>
              </w:rPr>
            </w:pPr>
          </w:p>
        </w:tc>
      </w:tr>
    </w:tbl>
    <w:p w14:paraId="78F2B057">
      <w:pPr>
        <w:snapToGrid w:val="0"/>
        <w:spacing w:line="360" w:lineRule="auto"/>
        <w:jc w:val="left"/>
        <w:rPr>
          <w:rFonts w:hint="default" w:ascii="宋体" w:hAnsi="宋体"/>
          <w:sz w:val="24"/>
        </w:rPr>
      </w:pPr>
      <w:r>
        <w:rPr>
          <w:rFonts w:ascii="宋体" w:hAnsi="宋体"/>
          <w:sz w:val="24"/>
        </w:rPr>
        <w:t>注：在填写时，如本表格不适合供应商的实际情况，可根据本表格式自行划表填写。</w:t>
      </w:r>
    </w:p>
    <w:p w14:paraId="75505EA7">
      <w:pPr>
        <w:snapToGrid w:val="0"/>
        <w:spacing w:line="360" w:lineRule="auto"/>
        <w:rPr>
          <w:rFonts w:hint="default" w:ascii="宋体" w:hAnsi="宋体"/>
          <w:sz w:val="24"/>
        </w:rPr>
      </w:pPr>
    </w:p>
    <w:bookmarkEnd w:id="176"/>
    <w:p w14:paraId="7DBF0D0C">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755F0CA2">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694B0E80">
      <w:pPr>
        <w:pStyle w:val="6"/>
        <w:adjustRightInd w:val="0"/>
        <w:snapToGrid w:val="0"/>
        <w:spacing w:beforeLines="0" w:afterLines="0" w:line="360" w:lineRule="auto"/>
        <w:ind w:firstLine="480" w:firstLineChars="200"/>
        <w:outlineLvl w:val="0"/>
        <w:rPr>
          <w:rFonts w:hint="default" w:ascii="Times New Roman" w:hAnsi="Times New Roman"/>
          <w:kern w:val="0"/>
        </w:rPr>
      </w:pPr>
      <w:bookmarkStart w:id="177" w:name="_Toc27616"/>
      <w:bookmarkStart w:id="178" w:name="_Toc15132"/>
      <w:r>
        <w:rPr>
          <w:rFonts w:hint="default" w:ascii="Times New Roman" w:hAnsi="Times New Roman"/>
          <w:kern w:val="0"/>
        </w:rPr>
        <w:t>日期：</w:t>
      </w:r>
      <w:r>
        <w:rPr>
          <w:rFonts w:hint="eastAsia" w:ascii="Times New Roman" w:hAnsi="Times New Roman"/>
          <w:kern w:val="0"/>
          <w:lang w:val="en-US" w:eastAsia="zh-CN"/>
        </w:rPr>
        <w:t xml:space="preserve">  </w:t>
      </w:r>
      <w:r>
        <w:rPr>
          <w:rFonts w:hint="default" w:ascii="Times New Roman" w:hAnsi="Times New Roman"/>
          <w:kern w:val="0"/>
        </w:rPr>
        <w:t>年</w:t>
      </w:r>
      <w:r>
        <w:rPr>
          <w:rFonts w:hint="eastAsia" w:ascii="Times New Roman" w:hAnsi="Times New Roman"/>
          <w:kern w:val="0"/>
          <w:lang w:val="en-US" w:eastAsia="zh-CN"/>
        </w:rPr>
        <w:t xml:space="preserve">  </w:t>
      </w:r>
      <w:r>
        <w:rPr>
          <w:rFonts w:hint="default" w:ascii="Times New Roman" w:hAnsi="Times New Roman"/>
          <w:kern w:val="0"/>
        </w:rPr>
        <w:t>月</w:t>
      </w:r>
      <w:r>
        <w:rPr>
          <w:rFonts w:hint="eastAsia" w:ascii="Times New Roman" w:hAnsi="Times New Roman"/>
          <w:kern w:val="0"/>
          <w:lang w:val="en-US" w:eastAsia="zh-CN"/>
        </w:rPr>
        <w:t xml:space="preserve">  </w:t>
      </w:r>
      <w:r>
        <w:rPr>
          <w:rFonts w:hint="default" w:ascii="Times New Roman" w:hAnsi="Times New Roman"/>
          <w:kern w:val="0"/>
        </w:rPr>
        <w:t>日</w:t>
      </w:r>
      <w:bookmarkEnd w:id="177"/>
      <w:bookmarkEnd w:id="178"/>
    </w:p>
    <w:p w14:paraId="703EF306">
      <w:pPr>
        <w:rPr>
          <w:rFonts w:hint="default"/>
          <w:kern w:val="0"/>
        </w:rPr>
      </w:pPr>
      <w:r>
        <w:rPr>
          <w:rFonts w:hint="default"/>
          <w:kern w:val="0"/>
        </w:rPr>
        <w:br w:type="page"/>
      </w:r>
    </w:p>
    <w:p w14:paraId="00E6F74C">
      <w:pPr>
        <w:numPr>
          <w:ilvl w:val="0"/>
          <w:numId w:val="6"/>
        </w:numPr>
        <w:autoSpaceDE w:val="0"/>
        <w:autoSpaceDN w:val="0"/>
        <w:snapToGrid w:val="0"/>
        <w:spacing w:line="360" w:lineRule="auto"/>
        <w:jc w:val="center"/>
        <w:rPr>
          <w:rFonts w:hint="default" w:ascii="宋体" w:hAnsi="宋体" w:cs="宋体"/>
          <w:b/>
          <w:sz w:val="32"/>
          <w:szCs w:val="32"/>
        </w:rPr>
      </w:pPr>
      <w:r>
        <w:rPr>
          <w:rFonts w:ascii="宋体" w:hAnsi="宋体" w:cs="宋体"/>
          <w:b/>
          <w:sz w:val="32"/>
          <w:szCs w:val="32"/>
        </w:rPr>
        <w:t>拟投入设备、工具、软件等一览表</w:t>
      </w:r>
    </w:p>
    <w:p w14:paraId="7B6CAC4B">
      <w:pPr>
        <w:tabs>
          <w:tab w:val="left" w:pos="1418"/>
        </w:tabs>
        <w:snapToGrid w:val="0"/>
        <w:spacing w:before="50" w:after="50" w:line="360" w:lineRule="auto"/>
        <w:rPr>
          <w:rFonts w:hint="default"/>
          <w:sz w:val="24"/>
        </w:rPr>
      </w:pPr>
      <w:r>
        <w:rPr>
          <w:rFonts w:hint="default"/>
          <w:sz w:val="24"/>
        </w:rPr>
        <w:t>项目名称：</w:t>
      </w:r>
    </w:p>
    <w:p w14:paraId="732CB68B">
      <w:pPr>
        <w:tabs>
          <w:tab w:val="left" w:pos="1418"/>
        </w:tabs>
        <w:snapToGrid w:val="0"/>
        <w:spacing w:before="50" w:after="50" w:line="360" w:lineRule="auto"/>
        <w:rPr>
          <w:rFonts w:hint="default"/>
          <w:sz w:val="24"/>
        </w:rPr>
      </w:pPr>
      <w:r>
        <w:rPr>
          <w:rFonts w:hint="default"/>
          <w:sz w:val="24"/>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1411"/>
        <w:gridCol w:w="895"/>
        <w:gridCol w:w="1303"/>
        <w:gridCol w:w="1513"/>
        <w:gridCol w:w="1456"/>
        <w:gridCol w:w="1036"/>
        <w:gridCol w:w="1483"/>
      </w:tblGrid>
      <w:tr w14:paraId="58B44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67A5F951">
            <w:pPr>
              <w:snapToGrid w:val="0"/>
              <w:jc w:val="center"/>
              <w:rPr>
                <w:rFonts w:hint="default" w:ascii="Calibri" w:hAnsi="Calibri"/>
                <w:sz w:val="24"/>
                <w:szCs w:val="22"/>
              </w:rPr>
            </w:pPr>
            <w:r>
              <w:rPr>
                <w:rFonts w:ascii="Calibri" w:hAnsi="Calibri"/>
                <w:sz w:val="24"/>
                <w:szCs w:val="22"/>
              </w:rPr>
              <w:t>序号</w:t>
            </w:r>
          </w:p>
        </w:tc>
        <w:tc>
          <w:tcPr>
            <w:tcW w:w="1411" w:type="dxa"/>
            <w:tcBorders>
              <w:top w:val="single" w:color="auto" w:sz="4" w:space="0"/>
              <w:left w:val="single" w:color="auto" w:sz="4" w:space="0"/>
              <w:bottom w:val="single" w:color="auto" w:sz="4" w:space="0"/>
              <w:right w:val="single" w:color="auto" w:sz="4" w:space="0"/>
            </w:tcBorders>
            <w:vAlign w:val="center"/>
          </w:tcPr>
          <w:p w14:paraId="3F673255">
            <w:pPr>
              <w:snapToGrid w:val="0"/>
              <w:jc w:val="center"/>
              <w:rPr>
                <w:rFonts w:hint="default" w:ascii="Calibri" w:hAnsi="Calibri"/>
                <w:sz w:val="24"/>
                <w:szCs w:val="22"/>
              </w:rPr>
            </w:pPr>
            <w:r>
              <w:rPr>
                <w:rFonts w:ascii="Calibri" w:hAnsi="Calibri"/>
                <w:sz w:val="24"/>
                <w:szCs w:val="22"/>
              </w:rPr>
              <w:t>产品名称</w:t>
            </w:r>
          </w:p>
        </w:tc>
        <w:tc>
          <w:tcPr>
            <w:tcW w:w="895" w:type="dxa"/>
            <w:tcBorders>
              <w:top w:val="single" w:color="auto" w:sz="4" w:space="0"/>
              <w:left w:val="single" w:color="auto" w:sz="4" w:space="0"/>
              <w:bottom w:val="single" w:color="auto" w:sz="4" w:space="0"/>
              <w:right w:val="single" w:color="auto" w:sz="4" w:space="0"/>
            </w:tcBorders>
            <w:vAlign w:val="center"/>
          </w:tcPr>
          <w:p w14:paraId="4E17566D">
            <w:pPr>
              <w:snapToGrid w:val="0"/>
              <w:jc w:val="center"/>
              <w:rPr>
                <w:rFonts w:hint="default" w:ascii="Calibri" w:hAnsi="Calibri"/>
                <w:sz w:val="24"/>
                <w:szCs w:val="22"/>
              </w:rPr>
            </w:pPr>
            <w:r>
              <w:rPr>
                <w:rFonts w:ascii="Calibri" w:hAnsi="Calibri"/>
                <w:sz w:val="24"/>
                <w:szCs w:val="22"/>
              </w:rPr>
              <w:t>品牌</w:t>
            </w:r>
          </w:p>
        </w:tc>
        <w:tc>
          <w:tcPr>
            <w:tcW w:w="1303" w:type="dxa"/>
            <w:tcBorders>
              <w:top w:val="single" w:color="auto" w:sz="4" w:space="0"/>
              <w:left w:val="single" w:color="auto" w:sz="4" w:space="0"/>
              <w:bottom w:val="single" w:color="auto" w:sz="4" w:space="0"/>
              <w:right w:val="single" w:color="auto" w:sz="4" w:space="0"/>
            </w:tcBorders>
            <w:vAlign w:val="center"/>
          </w:tcPr>
          <w:p w14:paraId="5BD6B2D3">
            <w:pPr>
              <w:snapToGrid w:val="0"/>
              <w:jc w:val="center"/>
              <w:rPr>
                <w:rFonts w:hint="default" w:ascii="Calibri" w:hAnsi="Calibri"/>
                <w:sz w:val="24"/>
                <w:szCs w:val="22"/>
              </w:rPr>
            </w:pPr>
            <w:r>
              <w:rPr>
                <w:rFonts w:ascii="Calibri" w:hAnsi="Calibri"/>
                <w:sz w:val="24"/>
                <w:szCs w:val="22"/>
              </w:rPr>
              <w:t>规格型号</w:t>
            </w:r>
          </w:p>
        </w:tc>
        <w:tc>
          <w:tcPr>
            <w:tcW w:w="1513" w:type="dxa"/>
            <w:tcBorders>
              <w:top w:val="single" w:color="auto" w:sz="4" w:space="0"/>
              <w:left w:val="single" w:color="auto" w:sz="4" w:space="0"/>
              <w:bottom w:val="single" w:color="auto" w:sz="4" w:space="0"/>
              <w:right w:val="single" w:color="auto" w:sz="4" w:space="0"/>
            </w:tcBorders>
            <w:vAlign w:val="center"/>
          </w:tcPr>
          <w:p w14:paraId="61253C46">
            <w:pPr>
              <w:snapToGrid w:val="0"/>
              <w:jc w:val="center"/>
              <w:rPr>
                <w:rFonts w:hint="default" w:ascii="Calibri" w:hAnsi="Calibri"/>
                <w:sz w:val="24"/>
                <w:szCs w:val="22"/>
              </w:rPr>
            </w:pPr>
            <w:r>
              <w:rPr>
                <w:rFonts w:ascii="Calibri" w:hAnsi="Calibri"/>
                <w:sz w:val="24"/>
                <w:szCs w:val="22"/>
              </w:rPr>
              <w:t>单位及数量</w:t>
            </w:r>
          </w:p>
        </w:tc>
        <w:tc>
          <w:tcPr>
            <w:tcW w:w="1456" w:type="dxa"/>
            <w:tcBorders>
              <w:top w:val="single" w:color="auto" w:sz="4" w:space="0"/>
              <w:left w:val="single" w:color="auto" w:sz="4" w:space="0"/>
              <w:bottom w:val="single" w:color="auto" w:sz="4" w:space="0"/>
              <w:right w:val="single" w:color="auto" w:sz="4" w:space="0"/>
            </w:tcBorders>
            <w:vAlign w:val="center"/>
          </w:tcPr>
          <w:p w14:paraId="2FA9590C">
            <w:pPr>
              <w:snapToGrid w:val="0"/>
              <w:jc w:val="center"/>
              <w:rPr>
                <w:rFonts w:hint="default" w:ascii="Calibri" w:hAnsi="Calibri"/>
                <w:sz w:val="24"/>
                <w:szCs w:val="22"/>
              </w:rPr>
            </w:pPr>
            <w:r>
              <w:rPr>
                <w:rFonts w:ascii="Calibri" w:hAnsi="Calibri"/>
                <w:sz w:val="24"/>
                <w:szCs w:val="22"/>
              </w:rPr>
              <w:t>性能及指标</w:t>
            </w:r>
          </w:p>
        </w:tc>
        <w:tc>
          <w:tcPr>
            <w:tcW w:w="1036" w:type="dxa"/>
            <w:tcBorders>
              <w:top w:val="single" w:color="auto" w:sz="4" w:space="0"/>
              <w:left w:val="single" w:color="auto" w:sz="4" w:space="0"/>
              <w:bottom w:val="single" w:color="auto" w:sz="4" w:space="0"/>
              <w:right w:val="single" w:color="auto" w:sz="4" w:space="0"/>
            </w:tcBorders>
            <w:vAlign w:val="center"/>
          </w:tcPr>
          <w:p w14:paraId="68CB4AFC">
            <w:pPr>
              <w:snapToGrid w:val="0"/>
              <w:jc w:val="center"/>
              <w:rPr>
                <w:rFonts w:hint="default" w:ascii="Calibri" w:hAnsi="Calibri"/>
                <w:sz w:val="24"/>
                <w:szCs w:val="22"/>
              </w:rPr>
            </w:pPr>
            <w:r>
              <w:rPr>
                <w:rFonts w:ascii="Calibri" w:hAnsi="Calibri"/>
                <w:sz w:val="24"/>
                <w:szCs w:val="22"/>
              </w:rPr>
              <w:t>产地</w:t>
            </w:r>
          </w:p>
        </w:tc>
        <w:tc>
          <w:tcPr>
            <w:tcW w:w="1483" w:type="dxa"/>
            <w:tcBorders>
              <w:top w:val="single" w:color="auto" w:sz="4" w:space="0"/>
              <w:left w:val="single" w:color="auto" w:sz="4" w:space="0"/>
              <w:bottom w:val="single" w:color="auto" w:sz="4" w:space="0"/>
              <w:right w:val="single" w:color="auto" w:sz="4" w:space="0"/>
            </w:tcBorders>
            <w:vAlign w:val="center"/>
          </w:tcPr>
          <w:p w14:paraId="6B086363">
            <w:pPr>
              <w:snapToGrid w:val="0"/>
              <w:jc w:val="center"/>
              <w:rPr>
                <w:rFonts w:hint="default" w:ascii="Calibri" w:hAnsi="Calibri"/>
                <w:sz w:val="24"/>
                <w:szCs w:val="22"/>
              </w:rPr>
            </w:pPr>
            <w:r>
              <w:rPr>
                <w:rFonts w:ascii="Calibri" w:hAnsi="Calibri"/>
                <w:sz w:val="24"/>
                <w:szCs w:val="22"/>
              </w:rPr>
              <w:t>已使用年限</w:t>
            </w:r>
          </w:p>
        </w:tc>
      </w:tr>
      <w:tr w14:paraId="234EA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76E478B">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9CC9218">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2C2AFF15">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0FB5A44E">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30F827E9">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2094DE6D">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61EEB05">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74AD5FFF">
            <w:pPr>
              <w:snapToGrid w:val="0"/>
              <w:jc w:val="center"/>
              <w:rPr>
                <w:rFonts w:hint="default" w:ascii="Calibri" w:hAnsi="Calibri"/>
                <w:sz w:val="24"/>
                <w:szCs w:val="22"/>
              </w:rPr>
            </w:pPr>
          </w:p>
        </w:tc>
      </w:tr>
      <w:tr w14:paraId="3DA9F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E16D60F">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37C927D">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2584D2C7">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5F2D0B7F">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721C2058">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7D625ACE">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0E163022">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77AAE868">
            <w:pPr>
              <w:snapToGrid w:val="0"/>
              <w:jc w:val="center"/>
              <w:rPr>
                <w:rFonts w:hint="default" w:ascii="Calibri" w:hAnsi="Calibri"/>
                <w:sz w:val="24"/>
                <w:szCs w:val="22"/>
              </w:rPr>
            </w:pPr>
          </w:p>
        </w:tc>
      </w:tr>
      <w:tr w14:paraId="24DCD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6847F789">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1D92C9C2">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4BC3FA68">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2F8868B4">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34F44791">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076063AD">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68EEFAFC">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47A88B07">
            <w:pPr>
              <w:snapToGrid w:val="0"/>
              <w:jc w:val="center"/>
              <w:rPr>
                <w:rFonts w:hint="default" w:ascii="Calibri" w:hAnsi="Calibri"/>
                <w:sz w:val="24"/>
                <w:szCs w:val="22"/>
              </w:rPr>
            </w:pPr>
          </w:p>
        </w:tc>
      </w:tr>
      <w:tr w14:paraId="3FB87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FE12427">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43E42DAA">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2BDA3E77">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03F15120">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047184EF">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1640811F">
            <w:pPr>
              <w:snapToGrid w:val="0"/>
              <w:jc w:val="center"/>
              <w:rPr>
                <w:rFonts w:hint="default" w:ascii="Calibri" w:hAnsi="Calibri"/>
                <w:sz w:val="24"/>
                <w:szCs w:val="22"/>
              </w:rPr>
            </w:pPr>
          </w:p>
        </w:tc>
        <w:tc>
          <w:tcPr>
            <w:tcW w:w="1036" w:type="dxa"/>
            <w:tcBorders>
              <w:top w:val="single" w:color="auto" w:sz="4" w:space="0"/>
              <w:left w:val="single" w:color="auto" w:sz="4" w:space="0"/>
              <w:bottom w:val="nil"/>
              <w:right w:val="single" w:color="auto" w:sz="4" w:space="0"/>
            </w:tcBorders>
            <w:vAlign w:val="center"/>
          </w:tcPr>
          <w:p w14:paraId="36D46C40">
            <w:pPr>
              <w:snapToGrid w:val="0"/>
              <w:jc w:val="center"/>
              <w:rPr>
                <w:rFonts w:hint="default" w:ascii="Calibri" w:hAnsi="Calibri"/>
                <w:sz w:val="24"/>
                <w:szCs w:val="22"/>
              </w:rPr>
            </w:pPr>
          </w:p>
        </w:tc>
        <w:tc>
          <w:tcPr>
            <w:tcW w:w="1483" w:type="dxa"/>
            <w:tcBorders>
              <w:top w:val="single" w:color="auto" w:sz="4" w:space="0"/>
              <w:left w:val="single" w:color="auto" w:sz="4" w:space="0"/>
              <w:bottom w:val="nil"/>
              <w:right w:val="single" w:color="auto" w:sz="4" w:space="0"/>
            </w:tcBorders>
            <w:vAlign w:val="center"/>
          </w:tcPr>
          <w:p w14:paraId="74DC23AC">
            <w:pPr>
              <w:snapToGrid w:val="0"/>
              <w:jc w:val="center"/>
              <w:rPr>
                <w:rFonts w:hint="default" w:ascii="Calibri" w:hAnsi="Calibri"/>
                <w:sz w:val="24"/>
                <w:szCs w:val="22"/>
              </w:rPr>
            </w:pPr>
          </w:p>
        </w:tc>
      </w:tr>
      <w:tr w14:paraId="04E52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00621FD">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2FD013E">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187EA9A9">
            <w:pPr>
              <w:snapToGrid w:val="0"/>
              <w:ind w:left="480" w:hanging="48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46F03281">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451CC298">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5B8325C9">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303EDDE1">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59EA626A">
            <w:pPr>
              <w:snapToGrid w:val="0"/>
              <w:jc w:val="center"/>
              <w:rPr>
                <w:rFonts w:hint="default" w:ascii="Calibri" w:hAnsi="Calibri"/>
                <w:sz w:val="24"/>
                <w:szCs w:val="22"/>
              </w:rPr>
            </w:pPr>
          </w:p>
        </w:tc>
      </w:tr>
    </w:tbl>
    <w:p w14:paraId="3757791F">
      <w:pPr>
        <w:widowControl/>
        <w:snapToGrid w:val="0"/>
        <w:spacing w:line="360" w:lineRule="auto"/>
        <w:ind w:firstLine="480" w:firstLineChars="200"/>
        <w:jc w:val="left"/>
        <w:rPr>
          <w:rFonts w:hint="default" w:ascii="宋体" w:hAnsi="宋体" w:cs="宋体"/>
          <w:sz w:val="24"/>
        </w:rPr>
      </w:pPr>
    </w:p>
    <w:p w14:paraId="050C11EB">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707020F0">
      <w:pPr>
        <w:widowControl/>
        <w:snapToGrid w:val="0"/>
        <w:spacing w:line="360" w:lineRule="auto"/>
        <w:ind w:firstLine="480" w:firstLineChars="200"/>
        <w:rPr>
          <w:rFonts w:hint="default" w:ascii="宋体" w:hAnsi="宋体" w:cs="宋体"/>
          <w:kern w:val="0"/>
          <w:sz w:val="24"/>
        </w:rPr>
      </w:pPr>
      <w:r>
        <w:rPr>
          <w:rFonts w:ascii="宋体" w:hAnsi="宋体" w:cs="宋体"/>
          <w:kern w:val="0"/>
          <w:sz w:val="24"/>
        </w:rPr>
        <w:t>法定代表人或其授权代表（签字或盖章）：</w:t>
      </w:r>
    </w:p>
    <w:p w14:paraId="7821DE06">
      <w:pPr>
        <w:autoSpaceDE w:val="0"/>
        <w:autoSpaceDN w:val="0"/>
        <w:snapToGrid w:val="0"/>
        <w:spacing w:line="360" w:lineRule="auto"/>
        <w:ind w:firstLine="480" w:firstLineChars="200"/>
        <w:rPr>
          <w:rFonts w:hint="default"/>
          <w:lang w:val="zh-CN"/>
        </w:rPr>
      </w:pPr>
      <w:r>
        <w:rPr>
          <w:rFonts w:ascii="宋体" w:hAnsi="宋体" w:cs="宋体"/>
          <w:kern w:val="0"/>
          <w:sz w:val="24"/>
        </w:rPr>
        <w:t>日期：     年  月  日</w:t>
      </w:r>
      <w:bookmarkEnd w:id="105"/>
      <w:bookmarkEnd w:id="171"/>
    </w:p>
    <w:sectPr>
      <w:pgSz w:w="11906" w:h="16838"/>
      <w:pgMar w:top="1134" w:right="1247" w:bottom="1247" w:left="1304"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EA907F8-B443-4C78-8150-67992B23A799}"/>
  </w:font>
  <w:font w:name="Arial">
    <w:panose1 w:val="020B0604020202020204"/>
    <w:charset w:val="01"/>
    <w:family w:val="swiss"/>
    <w:pitch w:val="default"/>
    <w:sig w:usb0="E0002EFF" w:usb1="C000785B" w:usb2="00000009" w:usb3="00000000" w:csb0="400001FF" w:csb1="FFFF0000"/>
    <w:embedRegular r:id="rId2" w:fontKey="{918100CA-A5EE-4C25-A1F3-4F744AAE1565}"/>
  </w:font>
  <w:font w:name="黑体">
    <w:panose1 w:val="02010609060101010101"/>
    <w:charset w:val="86"/>
    <w:family w:val="auto"/>
    <w:pitch w:val="default"/>
    <w:sig w:usb0="800002BF" w:usb1="38CF7CFA" w:usb2="00000016" w:usb3="00000000" w:csb0="00040001" w:csb1="00000000"/>
    <w:embedRegular r:id="rId3" w:fontKey="{1BC597CA-7096-43AE-89EB-9066BAE987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EFEB98EA-873D-49A5-927D-55862349E793}"/>
  </w:font>
  <w:font w:name="仿宋_GB2312">
    <w:altName w:val="仿宋"/>
    <w:panose1 w:val="00000000000000000000"/>
    <w:charset w:val="86"/>
    <w:family w:val="modern"/>
    <w:pitch w:val="default"/>
    <w:sig w:usb0="00000000" w:usb1="00000000" w:usb2="00000000" w:usb3="00000000" w:csb0="00040000" w:csb1="00000000"/>
    <w:embedRegular r:id="rId5" w:fontKey="{9308467F-A714-4C7C-B952-46DF07A1B182}"/>
  </w:font>
  <w:font w:name="仿宋">
    <w:panose1 w:val="02010609060101010101"/>
    <w:charset w:val="86"/>
    <w:family w:val="modern"/>
    <w:pitch w:val="default"/>
    <w:sig w:usb0="800002BF" w:usb1="38CF7CFA" w:usb2="00000016" w:usb3="00000000" w:csb0="00040001" w:csb1="00000000"/>
    <w:embedRegular r:id="rId6" w:fontKey="{854E5F06-FA75-48B7-AA27-485057DF4A53}"/>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7" w:fontKey="{18D8ADAA-2B20-4400-B086-7A56305855BC}"/>
  </w:font>
  <w:font w:name="方正仿宋_GB2312">
    <w:panose1 w:val="02000000000000000000"/>
    <w:charset w:val="86"/>
    <w:family w:val="auto"/>
    <w:pitch w:val="default"/>
    <w:sig w:usb0="A00002BF" w:usb1="184F6CFA" w:usb2="00000012" w:usb3="00000000" w:csb0="00040001" w:csb1="00000000"/>
    <w:embedRegular r:id="rId8" w:fontKey="{2FACD2A7-8F45-4E6E-BE51-12C544CBC5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09E1">
    <w:pPr>
      <w:pStyle w:val="23"/>
      <w:ind w:right="360" w:firstLine="360"/>
      <w:rPr>
        <w:rFonts w:hint="default"/>
      </w:rPr>
    </w:pPr>
    <w:r>
      <w:rPr>
        <w:rFonts w:hint="default"/>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0023F3">
                          <w:pPr>
                            <w:pStyle w:val="23"/>
                            <w:rPr>
                              <w:rFonts w:hint="default"/>
                            </w:rPr>
                          </w:pPr>
                          <w:r>
                            <w:fldChar w:fldCharType="begin"/>
                          </w:r>
                          <w:r>
                            <w:instrText xml:space="preserve"> PAGE  \* MERGEFORMAT </w:instrText>
                          </w:r>
                          <w:r>
                            <w:fldChar w:fldCharType="separate"/>
                          </w:r>
                          <w:r>
                            <w:rPr>
                              <w:rFonts w:hint="default"/>
                            </w:rPr>
                            <w:t>1</w:t>
                          </w:r>
                          <w:r>
                            <w:rPr>
                              <w:rFonts w:hint="default"/>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4UQnM0BAACnAwAADgAAAGRycy9lMm9Eb2MueG1srVNLbtswEN0X6B0I&#10;7mspBho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C1nTlh68PPPH+dff86/v7Pr&#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4UQnM0BAACnAwAADgAAAAAAAAABACAAAAAeAQAAZHJzL2Uy&#10;b0RvYy54bWxQSwUGAAAAAAYABgBZAQAAXQUAAAAA&#10;">
              <v:fill on="f" focussize="0,0"/>
              <v:stroke on="f"/>
              <v:imagedata o:title=""/>
              <o:lock v:ext="edit" aspectratio="f"/>
              <v:textbox inset="0mm,0mm,0mm,0mm" style="mso-fit-shape-to-text:t;">
                <w:txbxContent>
                  <w:p w14:paraId="3A0023F3">
                    <w:pPr>
                      <w:pStyle w:val="23"/>
                      <w:rPr>
                        <w:rFonts w:hint="default"/>
                      </w:rPr>
                    </w:pPr>
                    <w:r>
                      <w:fldChar w:fldCharType="begin"/>
                    </w:r>
                    <w:r>
                      <w:instrText xml:space="preserve"> PAGE  \* MERGEFORMAT </w:instrText>
                    </w:r>
                    <w:r>
                      <w:fldChar w:fldCharType="separate"/>
                    </w:r>
                    <w:r>
                      <w:rPr>
                        <w:rFonts w:hint="default"/>
                      </w:rPr>
                      <w:t>1</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C31C">
    <w:pPr>
      <w:pStyle w:val="23"/>
      <w:framePr w:wrap="around" w:vAnchor="text" w:hAnchor="margin" w:xAlign="outside" w:y="1"/>
      <w:rPr>
        <w:rStyle w:val="46"/>
        <w:rFonts w:hint="default"/>
      </w:rPr>
    </w:pPr>
    <w:r>
      <w:fldChar w:fldCharType="begin"/>
    </w:r>
    <w:r>
      <w:rPr>
        <w:rStyle w:val="46"/>
      </w:rPr>
      <w:instrText xml:space="preserve">PAGE  </w:instrText>
    </w:r>
    <w:r>
      <w:fldChar w:fldCharType="end"/>
    </w:r>
  </w:p>
  <w:p w14:paraId="43A1E91C">
    <w:pPr>
      <w:pStyle w:val="23"/>
      <w:ind w:right="360"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3877">
    <w:pPr>
      <w:pStyle w:val="2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4236C1DC">
                          <w:pPr>
                            <w:pStyle w:val="23"/>
                            <w:rPr>
                              <w:rFonts w:hint="default"/>
                            </w:rPr>
                          </w:pPr>
                          <w:r>
                            <w:fldChar w:fldCharType="begin"/>
                          </w:r>
                          <w:r>
                            <w:instrText xml:space="preserve"> PAGE  \* MERGEFORMAT </w:instrText>
                          </w:r>
                          <w:r>
                            <w:fldChar w:fldCharType="separate"/>
                          </w:r>
                          <w:r>
                            <w:rPr>
                              <w:rFonts w:hint="default"/>
                            </w:rPr>
                            <w:t>1</w:t>
                          </w:r>
                          <w:r>
                            <w:rPr>
                              <w:rFonts w:hint="default"/>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NiseMDTAQAApAMAAA4AAAAAAAAAAQAgAAAAHwEA&#10;AGRycy9lMm9Eb2MueG1sUEsFBgAAAAAGAAYAWQEAAGQFAAAAAA==&#10;">
              <v:fill on="f" focussize="0,0"/>
              <v:stroke on="f"/>
              <v:imagedata o:title=""/>
              <o:lock v:ext="edit" aspectratio="f"/>
              <v:textbox inset="0mm,0mm,0mm,0mm" style="mso-fit-shape-to-text:t;">
                <w:txbxContent>
                  <w:p w14:paraId="4236C1DC">
                    <w:pPr>
                      <w:pStyle w:val="23"/>
                      <w:rPr>
                        <w:rFonts w:hint="default"/>
                      </w:rPr>
                    </w:pPr>
                    <w:r>
                      <w:fldChar w:fldCharType="begin"/>
                    </w:r>
                    <w:r>
                      <w:instrText xml:space="preserve"> PAGE  \* MERGEFORMAT </w:instrText>
                    </w:r>
                    <w:r>
                      <w:fldChar w:fldCharType="separate"/>
                    </w:r>
                    <w:r>
                      <w:rPr>
                        <w:rFonts w:hint="default"/>
                      </w:rPr>
                      <w:t>1</w:t>
                    </w:r>
                    <w:r>
                      <w:rPr>
                        <w:rFonts w:hint="default"/>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58B8">
    <w:pPr>
      <w:pStyle w:val="23"/>
      <w:jc w:val="center"/>
      <w:rPr>
        <w:rFonts w:hint="default"/>
      </w:rPr>
    </w:pPr>
    <w:r>
      <w:rPr>
        <w:rFonts w:hint="default"/>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E41C8C">
                          <w:pPr>
                            <w:pStyle w:val="23"/>
                            <w:rPr>
                              <w:rFonts w:hint="default"/>
                            </w:rPr>
                          </w:pPr>
                          <w:r>
                            <w:fldChar w:fldCharType="begin"/>
                          </w:r>
                          <w:r>
                            <w:instrText xml:space="preserve"> PAGE  \* MERGEFORMAT </w:instrText>
                          </w:r>
                          <w:r>
                            <w:fldChar w:fldCharType="separate"/>
                          </w:r>
                          <w:r>
                            <w:rPr>
                              <w:rFonts w:hint="default"/>
                            </w:rPr>
                            <w:t>31</w:t>
                          </w:r>
                          <w:r>
                            <w:rPr>
                              <w:rFonts w:hint="default"/>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&#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UxYIc0BAACnAwAADgAAAAAAAAABACAAAAAeAQAAZHJzL2Uy&#10;b0RvYy54bWxQSwUGAAAAAAYABgBZAQAAXQUAAAAA&#10;">
              <v:fill on="f" focussize="0,0"/>
              <v:stroke on="f"/>
              <v:imagedata o:title=""/>
              <o:lock v:ext="edit" aspectratio="f"/>
              <v:textbox inset="0mm,0mm,0mm,0mm" style="mso-fit-shape-to-text:t;">
                <w:txbxContent>
                  <w:p w14:paraId="1AE41C8C">
                    <w:pPr>
                      <w:pStyle w:val="23"/>
                      <w:rPr>
                        <w:rFonts w:hint="default"/>
                      </w:rPr>
                    </w:pPr>
                    <w:r>
                      <w:fldChar w:fldCharType="begin"/>
                    </w:r>
                    <w:r>
                      <w:instrText xml:space="preserve"> PAGE  \* MERGEFORMAT </w:instrText>
                    </w:r>
                    <w:r>
                      <w:fldChar w:fldCharType="separate"/>
                    </w:r>
                    <w:r>
                      <w:rPr>
                        <w:rFonts w:hint="default"/>
                      </w:rPr>
                      <w:t>31</w:t>
                    </w:r>
                    <w:r>
                      <w:rPr>
                        <w:rFonts w:hint="default"/>
                      </w:rPr>
                      <w:fldChar w:fldCharType="end"/>
                    </w:r>
                  </w:p>
                </w:txbxContent>
              </v:textbox>
            </v:shape>
          </w:pict>
        </mc:Fallback>
      </mc:AlternateContent>
    </w: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47465770"/>
                          </w:sdtPr>
                          <w:sdtContent>
                            <w:p w14:paraId="5E5B8A77">
                              <w:pPr>
                                <w:pStyle w:val="23"/>
                                <w:jc w:val="center"/>
                                <w:rPr>
                                  <w:rFonts w:hint="default"/>
                                </w:rPr>
                              </w:pPr>
                            </w:p>
                          </w:sdtContent>
                        </w:sdt>
                        <w:p w14:paraId="266312AD">
                          <w:pPr>
                            <w:rPr>
                              <w:rFonts w:hint="default"/>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CVyds0BAACn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5xZYejBzz9/nH/9Of/+zt4k&#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CVyds0BAACnAwAADgAAAAAAAAABACAAAAAeAQAAZHJzL2Uy&#10;b0RvYy54bWxQSwUGAAAAAAYABgBZAQAAXQUAAAAA&#10;">
              <v:fill on="f" focussize="0,0"/>
              <v:stroke on="f"/>
              <v:imagedata o:title=""/>
              <o:lock v:ext="edit" aspectratio="f"/>
              <v:textbox inset="0mm,0mm,0mm,0mm" style="mso-fit-shape-to-text:t;">
                <w:txbxContent>
                  <w:sdt>
                    <w:sdtPr>
                      <w:id w:val="147465770"/>
                    </w:sdtPr>
                    <w:sdtContent>
                      <w:p w14:paraId="5E5B8A77">
                        <w:pPr>
                          <w:pStyle w:val="23"/>
                          <w:jc w:val="center"/>
                          <w:rPr>
                            <w:rFonts w:hint="default"/>
                          </w:rPr>
                        </w:pPr>
                      </w:p>
                    </w:sdtContent>
                  </w:sdt>
                  <w:p w14:paraId="266312AD">
                    <w:pPr>
                      <w:rPr>
                        <w:rFonts w:hint="default"/>
                      </w:rPr>
                    </w:pPr>
                  </w:p>
                </w:txbxContent>
              </v:textbox>
            </v:shape>
          </w:pict>
        </mc:Fallback>
      </mc:AlternateContent>
    </w:r>
  </w:p>
  <w:p w14:paraId="5A5794BA">
    <w:pPr>
      <w:pStyle w:val="23"/>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9185">
    <w:pPr>
      <w:pStyle w:val="2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3EE6D4">
                          <w:pPr>
                            <w:pStyle w:val="23"/>
                            <w:rPr>
                              <w:rFonts w:hint="default"/>
                            </w:rPr>
                          </w:pPr>
                          <w:r>
                            <w:fldChar w:fldCharType="begin"/>
                          </w:r>
                          <w:r>
                            <w:instrText xml:space="preserve"> PAGE  \* MERGEFORMAT </w:instrText>
                          </w:r>
                          <w:r>
                            <w:fldChar w:fldCharType="separate"/>
                          </w:r>
                          <w:r>
                            <w:rPr>
                              <w:rFonts w:hint="default"/>
                            </w:rPr>
                            <w:t>39</w:t>
                          </w:r>
                          <w:r>
                            <w:rPr>
                              <w:rFonts w:hint="default"/>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4IQbM4BAACoAwAADgAAAGRycy9lMm9Eb2MueG1srVPNjtMwEL4j8Q6W&#10;7zRpQ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av&#10;kj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CEGzOAQAAqAMAAA4AAAAAAAAAAQAgAAAAHgEAAGRycy9l&#10;Mm9Eb2MueG1sUEsFBgAAAAAGAAYAWQEAAF4FAAAAAA==&#10;">
              <v:fill on="f" focussize="0,0"/>
              <v:stroke on="f"/>
              <v:imagedata o:title=""/>
              <o:lock v:ext="edit" aspectratio="f"/>
              <v:textbox inset="0mm,0mm,0mm,0mm" style="mso-fit-shape-to-text:t;">
                <w:txbxContent>
                  <w:p w14:paraId="473EE6D4">
                    <w:pPr>
                      <w:pStyle w:val="23"/>
                      <w:rPr>
                        <w:rFonts w:hint="default"/>
                      </w:rPr>
                    </w:pPr>
                    <w:r>
                      <w:fldChar w:fldCharType="begin"/>
                    </w:r>
                    <w:r>
                      <w:instrText xml:space="preserve"> PAGE  \* MERGEFORMAT </w:instrText>
                    </w:r>
                    <w:r>
                      <w:fldChar w:fldCharType="separate"/>
                    </w:r>
                    <w:r>
                      <w:rPr>
                        <w:rFonts w:hint="default"/>
                      </w:rPr>
                      <w:t>39</w:t>
                    </w:r>
                    <w:r>
                      <w:rPr>
                        <w:rFonts w:hint="default"/>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01DC">
    <w:pPr>
      <w:pStyle w:val="23"/>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7F5E0F0">
                          <w:pPr>
                            <w:pStyle w:val="23"/>
                            <w:rPr>
                              <w:rFonts w:hint="default"/>
                            </w:rPr>
                          </w:pPr>
                          <w:r>
                            <w:fldChar w:fldCharType="begin"/>
                          </w:r>
                          <w:r>
                            <w:instrText xml:space="preserve"> PAGE  \* MERGEFORMAT </w:instrText>
                          </w:r>
                          <w:r>
                            <w:fldChar w:fldCharType="separate"/>
                          </w:r>
                          <w:r>
                            <w:rPr>
                              <w:rFonts w:hint="default"/>
                            </w:rPr>
                            <w:t>65</w:t>
                          </w:r>
                          <w:r>
                            <w:rPr>
                              <w:rFonts w:hint="default"/>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Lhf3M3TAQAApQMAAA4AAAAAAAAAAQAgAAAAHwEA&#10;AGRycy9lMm9Eb2MueG1sUEsFBgAAAAAGAAYAWQEAAGQFAAAAAA==&#10;">
              <v:fill on="f" focussize="0,0"/>
              <v:stroke on="f"/>
              <v:imagedata o:title=""/>
              <o:lock v:ext="edit" aspectratio="f"/>
              <v:textbox inset="0mm,0mm,0mm,0mm" style="mso-fit-shape-to-text:t;">
                <w:txbxContent>
                  <w:p w14:paraId="67F5E0F0">
                    <w:pPr>
                      <w:pStyle w:val="23"/>
                      <w:rPr>
                        <w:rFonts w:hint="default"/>
                      </w:rPr>
                    </w:pPr>
                    <w:r>
                      <w:fldChar w:fldCharType="begin"/>
                    </w:r>
                    <w:r>
                      <w:instrText xml:space="preserve"> PAGE  \* MERGEFORMAT </w:instrText>
                    </w:r>
                    <w:r>
                      <w:fldChar w:fldCharType="separate"/>
                    </w:r>
                    <w:r>
                      <w:rPr>
                        <w:rFonts w:hint="default"/>
                      </w:rPr>
                      <w:t>65</w:t>
                    </w:r>
                    <w:r>
                      <w:rPr>
                        <w:rFonts w:hint="default"/>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137DCAA">
      <w:pPr>
        <w:pStyle w:val="28"/>
        <w:rPr>
          <w:rFonts w:hint="default"/>
        </w:rPr>
      </w:pPr>
      <w:r>
        <w:rPr>
          <w:rStyle w:val="50"/>
          <w:rFonts w:hint="eastAsia"/>
          <w:sz w:val="18"/>
        </w:rPr>
        <w:footnoteRef/>
      </w:r>
      <w:r>
        <w:rPr>
          <w:rFonts w:ascii="宋体" w:hAnsi="宋体"/>
          <w:sz w:val="21"/>
        </w:rPr>
        <w:t>从业人员、营业收入、资产总额填报上一年度数据，无上一年度数据的新成立企业可不填报。</w:t>
      </w:r>
    </w:p>
  </w:footnote>
  <w:footnote w:id="1">
    <w:p w14:paraId="1B36C14C">
      <w:pPr>
        <w:pStyle w:val="28"/>
        <w:rPr>
          <w:rFonts w:hint="default"/>
        </w:rPr>
      </w:pPr>
      <w:r>
        <w:rPr>
          <w:rStyle w:val="50"/>
          <w:rFonts w:hint="eastAsia"/>
          <w:sz w:val="18"/>
        </w:rPr>
        <w:footnoteRef/>
      </w:r>
      <w:r>
        <w:rPr>
          <w:rFonts w:ascii="宋体" w:hAnsi="宋体"/>
          <w:sz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B045">
    <w:pPr>
      <w:pStyle w:val="25"/>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DCBC1">
    <w:pPr>
      <w:pStyle w:val="25"/>
      <w:pBdr>
        <w:bottom w:val="none" w:color="auto" w:sz="0" w:space="0"/>
      </w:pBdr>
      <w:rPr>
        <w:rFonts w:hint="default" w:eastAsia="宋体"/>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9BA2">
    <w:pPr>
      <w:pStyle w:val="25"/>
      <w:pBdr>
        <w:bottom w:val="none" w:color="auto" w:sz="0" w:space="0"/>
      </w:pBdr>
      <w:rPr>
        <w:rFonts w:hint="default" w:eastAsia="宋体"/>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4B42">
    <w:pPr>
      <w:pStyle w:val="25"/>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5B85A"/>
    <w:multiLevelType w:val="singleLevel"/>
    <w:tmpl w:val="87E5B85A"/>
    <w:lvl w:ilvl="0" w:tentative="0">
      <w:start w:val="1"/>
      <w:numFmt w:val="chineseCounting"/>
      <w:suff w:val="nothing"/>
      <w:lvlText w:val="%1、"/>
      <w:lvlJc w:val="left"/>
      <w:rPr>
        <w:rFonts w:hint="eastAsia"/>
      </w:rPr>
    </w:lvl>
  </w:abstractNum>
  <w:abstractNum w:abstractNumId="1">
    <w:nsid w:val="8A57052B"/>
    <w:multiLevelType w:val="singleLevel"/>
    <w:tmpl w:val="8A57052B"/>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16"/>
      <w:lvlText w:val="%1."/>
      <w:lvlJc w:val="left"/>
      <w:pPr>
        <w:tabs>
          <w:tab w:val="left" w:pos="1200"/>
        </w:tabs>
        <w:ind w:left="1200" w:hanging="360"/>
      </w:pPr>
    </w:lvl>
  </w:abstractNum>
  <w:abstractNum w:abstractNumId="3">
    <w:nsid w:val="09890BCC"/>
    <w:multiLevelType w:val="multilevel"/>
    <w:tmpl w:val="09890BCC"/>
    <w:lvl w:ilvl="0" w:tentative="0">
      <w:start w:val="1"/>
      <w:numFmt w:val="decimal"/>
      <w:pStyle w:val="9"/>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201E9B8E"/>
    <w:multiLevelType w:val="singleLevel"/>
    <w:tmpl w:val="201E9B8E"/>
    <w:lvl w:ilvl="0" w:tentative="0">
      <w:start w:val="6"/>
      <w:numFmt w:val="decimal"/>
      <w:lvlText w:val="%1."/>
      <w:lvlJc w:val="left"/>
      <w:pPr>
        <w:tabs>
          <w:tab w:val="left" w:pos="312"/>
        </w:tabs>
      </w:pPr>
    </w:lvl>
  </w:abstractNum>
  <w:abstractNum w:abstractNumId="5">
    <w:nsid w:val="2641ABFF"/>
    <w:multiLevelType w:val="singleLevel"/>
    <w:tmpl w:val="2641ABFF"/>
    <w:lvl w:ilvl="0" w:tentative="0">
      <w:start w:val="8"/>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YWU3NGI5YTdiZTBhNTlmOTkyNDdkYTA1N2Q0MzUifQ=="/>
  </w:docVars>
  <w:rsids>
    <w:rsidRoot w:val="00172A27"/>
    <w:rsid w:val="00000CF0"/>
    <w:rsid w:val="000162D3"/>
    <w:rsid w:val="00017B35"/>
    <w:rsid w:val="00017E6E"/>
    <w:rsid w:val="00030AAA"/>
    <w:rsid w:val="00031C79"/>
    <w:rsid w:val="00032E83"/>
    <w:rsid w:val="000467C9"/>
    <w:rsid w:val="00060DEA"/>
    <w:rsid w:val="00061E29"/>
    <w:rsid w:val="00065EB7"/>
    <w:rsid w:val="00066901"/>
    <w:rsid w:val="00071F24"/>
    <w:rsid w:val="00084BB5"/>
    <w:rsid w:val="000861C0"/>
    <w:rsid w:val="000908FE"/>
    <w:rsid w:val="000A5FA0"/>
    <w:rsid w:val="000B62B3"/>
    <w:rsid w:val="000C0EC2"/>
    <w:rsid w:val="000C72FB"/>
    <w:rsid w:val="000C77A4"/>
    <w:rsid w:val="000D210A"/>
    <w:rsid w:val="000D6AE3"/>
    <w:rsid w:val="000F0048"/>
    <w:rsid w:val="000F56CF"/>
    <w:rsid w:val="000F5D9B"/>
    <w:rsid w:val="00113BB2"/>
    <w:rsid w:val="00121D41"/>
    <w:rsid w:val="00125FD2"/>
    <w:rsid w:val="00142382"/>
    <w:rsid w:val="00164812"/>
    <w:rsid w:val="0017285A"/>
    <w:rsid w:val="00172A27"/>
    <w:rsid w:val="00184624"/>
    <w:rsid w:val="0019184F"/>
    <w:rsid w:val="00192295"/>
    <w:rsid w:val="001A4716"/>
    <w:rsid w:val="001A51E5"/>
    <w:rsid w:val="001B03BA"/>
    <w:rsid w:val="001B5E8C"/>
    <w:rsid w:val="001D1CC0"/>
    <w:rsid w:val="001F4945"/>
    <w:rsid w:val="00202902"/>
    <w:rsid w:val="002207FD"/>
    <w:rsid w:val="00232CF9"/>
    <w:rsid w:val="00243A00"/>
    <w:rsid w:val="00246B62"/>
    <w:rsid w:val="00251E0A"/>
    <w:rsid w:val="00256141"/>
    <w:rsid w:val="00286633"/>
    <w:rsid w:val="00297A1A"/>
    <w:rsid w:val="002A204B"/>
    <w:rsid w:val="002A2B1D"/>
    <w:rsid w:val="002A6FE6"/>
    <w:rsid w:val="002C7BEE"/>
    <w:rsid w:val="002D0CAC"/>
    <w:rsid w:val="002E0075"/>
    <w:rsid w:val="002E316C"/>
    <w:rsid w:val="00335DB5"/>
    <w:rsid w:val="0033648A"/>
    <w:rsid w:val="0037023A"/>
    <w:rsid w:val="00375761"/>
    <w:rsid w:val="00392033"/>
    <w:rsid w:val="003A60B6"/>
    <w:rsid w:val="003C468C"/>
    <w:rsid w:val="003D1CF3"/>
    <w:rsid w:val="003D21B2"/>
    <w:rsid w:val="003E0136"/>
    <w:rsid w:val="003E22AE"/>
    <w:rsid w:val="0041490F"/>
    <w:rsid w:val="00415200"/>
    <w:rsid w:val="00415B5C"/>
    <w:rsid w:val="00422DC1"/>
    <w:rsid w:val="00440A1B"/>
    <w:rsid w:val="00445E15"/>
    <w:rsid w:val="004519A6"/>
    <w:rsid w:val="0047147F"/>
    <w:rsid w:val="00471626"/>
    <w:rsid w:val="0047571A"/>
    <w:rsid w:val="00481789"/>
    <w:rsid w:val="004A2C20"/>
    <w:rsid w:val="004A4517"/>
    <w:rsid w:val="004B3916"/>
    <w:rsid w:val="004C411A"/>
    <w:rsid w:val="004D4F9D"/>
    <w:rsid w:val="004D6E79"/>
    <w:rsid w:val="004F7426"/>
    <w:rsid w:val="00504E44"/>
    <w:rsid w:val="00521E50"/>
    <w:rsid w:val="00530EF9"/>
    <w:rsid w:val="00531B3B"/>
    <w:rsid w:val="00537385"/>
    <w:rsid w:val="005651FB"/>
    <w:rsid w:val="005707CA"/>
    <w:rsid w:val="00572852"/>
    <w:rsid w:val="005734C0"/>
    <w:rsid w:val="00595B72"/>
    <w:rsid w:val="005B7C6A"/>
    <w:rsid w:val="005C597D"/>
    <w:rsid w:val="005E6028"/>
    <w:rsid w:val="00600731"/>
    <w:rsid w:val="00610597"/>
    <w:rsid w:val="006114C7"/>
    <w:rsid w:val="00631632"/>
    <w:rsid w:val="0063267D"/>
    <w:rsid w:val="0064798E"/>
    <w:rsid w:val="00652C4B"/>
    <w:rsid w:val="00653455"/>
    <w:rsid w:val="006560F9"/>
    <w:rsid w:val="00662D3B"/>
    <w:rsid w:val="00676462"/>
    <w:rsid w:val="006A06DB"/>
    <w:rsid w:val="006B27A7"/>
    <w:rsid w:val="006B7CE6"/>
    <w:rsid w:val="006D7E3F"/>
    <w:rsid w:val="007430B5"/>
    <w:rsid w:val="00756585"/>
    <w:rsid w:val="00760CAB"/>
    <w:rsid w:val="00761942"/>
    <w:rsid w:val="00770788"/>
    <w:rsid w:val="00775A1F"/>
    <w:rsid w:val="0079001C"/>
    <w:rsid w:val="00790FEB"/>
    <w:rsid w:val="0079626C"/>
    <w:rsid w:val="007F3FAA"/>
    <w:rsid w:val="007F6221"/>
    <w:rsid w:val="008027C9"/>
    <w:rsid w:val="008127D0"/>
    <w:rsid w:val="0081331B"/>
    <w:rsid w:val="00826F06"/>
    <w:rsid w:val="008450A1"/>
    <w:rsid w:val="008464F9"/>
    <w:rsid w:val="00891ABD"/>
    <w:rsid w:val="00894F9D"/>
    <w:rsid w:val="008A62F7"/>
    <w:rsid w:val="008B08AC"/>
    <w:rsid w:val="008B5569"/>
    <w:rsid w:val="008B759E"/>
    <w:rsid w:val="008C1780"/>
    <w:rsid w:val="008C4085"/>
    <w:rsid w:val="008C5361"/>
    <w:rsid w:val="008E47F1"/>
    <w:rsid w:val="008F6345"/>
    <w:rsid w:val="00926683"/>
    <w:rsid w:val="00946243"/>
    <w:rsid w:val="0096294F"/>
    <w:rsid w:val="009739BD"/>
    <w:rsid w:val="009827A5"/>
    <w:rsid w:val="00983AFB"/>
    <w:rsid w:val="009A04E5"/>
    <w:rsid w:val="009A150A"/>
    <w:rsid w:val="009A5CDA"/>
    <w:rsid w:val="009A7A5A"/>
    <w:rsid w:val="009B3F30"/>
    <w:rsid w:val="009C2446"/>
    <w:rsid w:val="009D4D5F"/>
    <w:rsid w:val="009E3AF4"/>
    <w:rsid w:val="009E5A75"/>
    <w:rsid w:val="00A014D3"/>
    <w:rsid w:val="00A04DAB"/>
    <w:rsid w:val="00A1237F"/>
    <w:rsid w:val="00A33A81"/>
    <w:rsid w:val="00A365C7"/>
    <w:rsid w:val="00A412B0"/>
    <w:rsid w:val="00A5092C"/>
    <w:rsid w:val="00A52016"/>
    <w:rsid w:val="00A52F84"/>
    <w:rsid w:val="00A7188D"/>
    <w:rsid w:val="00A7667C"/>
    <w:rsid w:val="00AA7BF5"/>
    <w:rsid w:val="00AC37DB"/>
    <w:rsid w:val="00AD3841"/>
    <w:rsid w:val="00AE263D"/>
    <w:rsid w:val="00AF5C27"/>
    <w:rsid w:val="00B00098"/>
    <w:rsid w:val="00B0686B"/>
    <w:rsid w:val="00B1405D"/>
    <w:rsid w:val="00B60469"/>
    <w:rsid w:val="00B71AA9"/>
    <w:rsid w:val="00B734E3"/>
    <w:rsid w:val="00B73BF5"/>
    <w:rsid w:val="00B74099"/>
    <w:rsid w:val="00B816D9"/>
    <w:rsid w:val="00BA3633"/>
    <w:rsid w:val="00BC1B9C"/>
    <w:rsid w:val="00BD1FC0"/>
    <w:rsid w:val="00BD2FBE"/>
    <w:rsid w:val="00BD3B45"/>
    <w:rsid w:val="00BE4D92"/>
    <w:rsid w:val="00BF4B49"/>
    <w:rsid w:val="00BF5D59"/>
    <w:rsid w:val="00BF7ADA"/>
    <w:rsid w:val="00C35947"/>
    <w:rsid w:val="00C60732"/>
    <w:rsid w:val="00C73CAD"/>
    <w:rsid w:val="00C816CF"/>
    <w:rsid w:val="00C96AB7"/>
    <w:rsid w:val="00CA3AF8"/>
    <w:rsid w:val="00CB604C"/>
    <w:rsid w:val="00CB7244"/>
    <w:rsid w:val="00CC3B48"/>
    <w:rsid w:val="00CC3DBA"/>
    <w:rsid w:val="00CD33FF"/>
    <w:rsid w:val="00CD6AB9"/>
    <w:rsid w:val="00CD7F20"/>
    <w:rsid w:val="00CF0661"/>
    <w:rsid w:val="00D10CAB"/>
    <w:rsid w:val="00D13221"/>
    <w:rsid w:val="00D13CC8"/>
    <w:rsid w:val="00D34D64"/>
    <w:rsid w:val="00D56B3F"/>
    <w:rsid w:val="00D6297D"/>
    <w:rsid w:val="00D775C8"/>
    <w:rsid w:val="00D93D2B"/>
    <w:rsid w:val="00D966AA"/>
    <w:rsid w:val="00DA61EB"/>
    <w:rsid w:val="00DA77A8"/>
    <w:rsid w:val="00DC186B"/>
    <w:rsid w:val="00DC4215"/>
    <w:rsid w:val="00DE46F4"/>
    <w:rsid w:val="00DF2FE8"/>
    <w:rsid w:val="00DF4093"/>
    <w:rsid w:val="00DF73EC"/>
    <w:rsid w:val="00DF7934"/>
    <w:rsid w:val="00E00CB5"/>
    <w:rsid w:val="00E1659E"/>
    <w:rsid w:val="00E2278E"/>
    <w:rsid w:val="00E448E4"/>
    <w:rsid w:val="00E45D69"/>
    <w:rsid w:val="00E47F86"/>
    <w:rsid w:val="00E55E63"/>
    <w:rsid w:val="00E574BA"/>
    <w:rsid w:val="00E618D1"/>
    <w:rsid w:val="00E61E70"/>
    <w:rsid w:val="00E8339F"/>
    <w:rsid w:val="00E931A5"/>
    <w:rsid w:val="00EA0E9B"/>
    <w:rsid w:val="00EA7EAD"/>
    <w:rsid w:val="00EB2916"/>
    <w:rsid w:val="00ED313D"/>
    <w:rsid w:val="00F145D8"/>
    <w:rsid w:val="00F207CE"/>
    <w:rsid w:val="00F536FD"/>
    <w:rsid w:val="00F54C11"/>
    <w:rsid w:val="00F60D49"/>
    <w:rsid w:val="00F92468"/>
    <w:rsid w:val="00F97C85"/>
    <w:rsid w:val="00FC3C58"/>
    <w:rsid w:val="00FC4FEE"/>
    <w:rsid w:val="00FD59E9"/>
    <w:rsid w:val="00FF0260"/>
    <w:rsid w:val="010A29DC"/>
    <w:rsid w:val="010B405F"/>
    <w:rsid w:val="011C44BE"/>
    <w:rsid w:val="01402D08"/>
    <w:rsid w:val="0141732B"/>
    <w:rsid w:val="01596446"/>
    <w:rsid w:val="01633E9B"/>
    <w:rsid w:val="01695955"/>
    <w:rsid w:val="017A1732"/>
    <w:rsid w:val="01837CD8"/>
    <w:rsid w:val="0187402D"/>
    <w:rsid w:val="018F4C90"/>
    <w:rsid w:val="01901FC8"/>
    <w:rsid w:val="01B12E58"/>
    <w:rsid w:val="01B82438"/>
    <w:rsid w:val="01BF64E7"/>
    <w:rsid w:val="01C62A5D"/>
    <w:rsid w:val="01CA07D3"/>
    <w:rsid w:val="01D51CCD"/>
    <w:rsid w:val="01F01E3C"/>
    <w:rsid w:val="02305555"/>
    <w:rsid w:val="023139F3"/>
    <w:rsid w:val="02385327"/>
    <w:rsid w:val="023D5146"/>
    <w:rsid w:val="0273668A"/>
    <w:rsid w:val="027768E1"/>
    <w:rsid w:val="02801401"/>
    <w:rsid w:val="028247F4"/>
    <w:rsid w:val="029370C7"/>
    <w:rsid w:val="029E2280"/>
    <w:rsid w:val="02A51A28"/>
    <w:rsid w:val="02A93B2F"/>
    <w:rsid w:val="02B20C36"/>
    <w:rsid w:val="02B26E88"/>
    <w:rsid w:val="02B53D64"/>
    <w:rsid w:val="02C62933"/>
    <w:rsid w:val="02CE17E8"/>
    <w:rsid w:val="02D0684A"/>
    <w:rsid w:val="02E451BA"/>
    <w:rsid w:val="02EB1C21"/>
    <w:rsid w:val="02F900F0"/>
    <w:rsid w:val="02F95761"/>
    <w:rsid w:val="03047D0A"/>
    <w:rsid w:val="03064E9C"/>
    <w:rsid w:val="030B47EA"/>
    <w:rsid w:val="03103BAE"/>
    <w:rsid w:val="03307F57"/>
    <w:rsid w:val="035E6D97"/>
    <w:rsid w:val="03631C6C"/>
    <w:rsid w:val="0363562F"/>
    <w:rsid w:val="036A549B"/>
    <w:rsid w:val="039D6F65"/>
    <w:rsid w:val="03A76077"/>
    <w:rsid w:val="03AF13CC"/>
    <w:rsid w:val="03B409DD"/>
    <w:rsid w:val="03D25B2B"/>
    <w:rsid w:val="03FD4132"/>
    <w:rsid w:val="03FE4564"/>
    <w:rsid w:val="04006E1F"/>
    <w:rsid w:val="04056117"/>
    <w:rsid w:val="043867E9"/>
    <w:rsid w:val="0442566A"/>
    <w:rsid w:val="044B2245"/>
    <w:rsid w:val="046046C1"/>
    <w:rsid w:val="04852E26"/>
    <w:rsid w:val="049E4E62"/>
    <w:rsid w:val="04C510B5"/>
    <w:rsid w:val="04D550AF"/>
    <w:rsid w:val="04D8694E"/>
    <w:rsid w:val="04F512AE"/>
    <w:rsid w:val="04F66779"/>
    <w:rsid w:val="04FC007E"/>
    <w:rsid w:val="05252C5E"/>
    <w:rsid w:val="05355B4E"/>
    <w:rsid w:val="053C512E"/>
    <w:rsid w:val="054951E7"/>
    <w:rsid w:val="0550096B"/>
    <w:rsid w:val="05526CCF"/>
    <w:rsid w:val="056703FD"/>
    <w:rsid w:val="057448C8"/>
    <w:rsid w:val="057F32BF"/>
    <w:rsid w:val="058D756E"/>
    <w:rsid w:val="059138AB"/>
    <w:rsid w:val="05C018BB"/>
    <w:rsid w:val="05D53D21"/>
    <w:rsid w:val="05D84E57"/>
    <w:rsid w:val="05EE64A2"/>
    <w:rsid w:val="06314A49"/>
    <w:rsid w:val="063B53E6"/>
    <w:rsid w:val="064A5629"/>
    <w:rsid w:val="065164BA"/>
    <w:rsid w:val="067B1C86"/>
    <w:rsid w:val="06826D92"/>
    <w:rsid w:val="068F57F6"/>
    <w:rsid w:val="06972032"/>
    <w:rsid w:val="06B26EBB"/>
    <w:rsid w:val="06BA630B"/>
    <w:rsid w:val="070677A2"/>
    <w:rsid w:val="070D0B30"/>
    <w:rsid w:val="0717488F"/>
    <w:rsid w:val="071A5B9D"/>
    <w:rsid w:val="071C5B60"/>
    <w:rsid w:val="071F1AD0"/>
    <w:rsid w:val="0725607B"/>
    <w:rsid w:val="072F4F4B"/>
    <w:rsid w:val="073B57B2"/>
    <w:rsid w:val="077B7A4A"/>
    <w:rsid w:val="0781507A"/>
    <w:rsid w:val="078552AF"/>
    <w:rsid w:val="07D258D6"/>
    <w:rsid w:val="07E15B19"/>
    <w:rsid w:val="07FB4C26"/>
    <w:rsid w:val="081C55C3"/>
    <w:rsid w:val="08273E74"/>
    <w:rsid w:val="082A1FB5"/>
    <w:rsid w:val="084550F1"/>
    <w:rsid w:val="08617538"/>
    <w:rsid w:val="086C1887"/>
    <w:rsid w:val="08780AB9"/>
    <w:rsid w:val="088210AA"/>
    <w:rsid w:val="0888779C"/>
    <w:rsid w:val="088C1F29"/>
    <w:rsid w:val="089A5AB9"/>
    <w:rsid w:val="089F7EAE"/>
    <w:rsid w:val="08B576D2"/>
    <w:rsid w:val="08C9485C"/>
    <w:rsid w:val="08DB1294"/>
    <w:rsid w:val="08F73242"/>
    <w:rsid w:val="090E224B"/>
    <w:rsid w:val="09172335"/>
    <w:rsid w:val="091F4B4B"/>
    <w:rsid w:val="092447C7"/>
    <w:rsid w:val="095347F5"/>
    <w:rsid w:val="095C7DBD"/>
    <w:rsid w:val="09684744"/>
    <w:rsid w:val="0969226A"/>
    <w:rsid w:val="097A4477"/>
    <w:rsid w:val="09B434E5"/>
    <w:rsid w:val="09B6397C"/>
    <w:rsid w:val="09B94F9F"/>
    <w:rsid w:val="0A0B49FE"/>
    <w:rsid w:val="0A1259E1"/>
    <w:rsid w:val="0A12645E"/>
    <w:rsid w:val="0A2148F3"/>
    <w:rsid w:val="0A372641"/>
    <w:rsid w:val="0A430D0D"/>
    <w:rsid w:val="0A482D24"/>
    <w:rsid w:val="0A5627EE"/>
    <w:rsid w:val="0A56459C"/>
    <w:rsid w:val="0A592D6E"/>
    <w:rsid w:val="0A5941AD"/>
    <w:rsid w:val="0A641FD4"/>
    <w:rsid w:val="0A6749FB"/>
    <w:rsid w:val="0A876E4C"/>
    <w:rsid w:val="0A90542F"/>
    <w:rsid w:val="0A9357F1"/>
    <w:rsid w:val="0AA73327"/>
    <w:rsid w:val="0AAE316A"/>
    <w:rsid w:val="0AE778EA"/>
    <w:rsid w:val="0B006553"/>
    <w:rsid w:val="0B0C7351"/>
    <w:rsid w:val="0B340293"/>
    <w:rsid w:val="0B3B3636"/>
    <w:rsid w:val="0B552850"/>
    <w:rsid w:val="0B603053"/>
    <w:rsid w:val="0B726B07"/>
    <w:rsid w:val="0B8B471A"/>
    <w:rsid w:val="0BAF665A"/>
    <w:rsid w:val="0BF40511"/>
    <w:rsid w:val="0BFA6C8D"/>
    <w:rsid w:val="0C1A0C5A"/>
    <w:rsid w:val="0C3B6140"/>
    <w:rsid w:val="0C3C77C2"/>
    <w:rsid w:val="0C4B666A"/>
    <w:rsid w:val="0C504748"/>
    <w:rsid w:val="0C7B27F2"/>
    <w:rsid w:val="0CA81D50"/>
    <w:rsid w:val="0CAC5667"/>
    <w:rsid w:val="0CDE03B5"/>
    <w:rsid w:val="0CE802C6"/>
    <w:rsid w:val="0CEC568C"/>
    <w:rsid w:val="0CF557EB"/>
    <w:rsid w:val="0D2C7836"/>
    <w:rsid w:val="0D441E2F"/>
    <w:rsid w:val="0D566D48"/>
    <w:rsid w:val="0D660F9A"/>
    <w:rsid w:val="0D6E60A1"/>
    <w:rsid w:val="0D7A67F4"/>
    <w:rsid w:val="0D7B5914"/>
    <w:rsid w:val="0D841421"/>
    <w:rsid w:val="0D8C1EA0"/>
    <w:rsid w:val="0D8F3BB6"/>
    <w:rsid w:val="0D951880"/>
    <w:rsid w:val="0D9B0DE1"/>
    <w:rsid w:val="0D9D61DA"/>
    <w:rsid w:val="0DA25D4B"/>
    <w:rsid w:val="0DB241E0"/>
    <w:rsid w:val="0DB37F58"/>
    <w:rsid w:val="0DC6431B"/>
    <w:rsid w:val="0E056A05"/>
    <w:rsid w:val="0E1F26BA"/>
    <w:rsid w:val="0E421FFB"/>
    <w:rsid w:val="0E4F1AA1"/>
    <w:rsid w:val="0E517949"/>
    <w:rsid w:val="0E8D07A9"/>
    <w:rsid w:val="0EA24248"/>
    <w:rsid w:val="0EA62201"/>
    <w:rsid w:val="0EC3382E"/>
    <w:rsid w:val="0ECC26B5"/>
    <w:rsid w:val="0ECF604A"/>
    <w:rsid w:val="0EDC471F"/>
    <w:rsid w:val="0EE77825"/>
    <w:rsid w:val="0EF00B77"/>
    <w:rsid w:val="0EFB6721"/>
    <w:rsid w:val="0F665DD1"/>
    <w:rsid w:val="0F694D72"/>
    <w:rsid w:val="0F737149"/>
    <w:rsid w:val="0F7C6E4E"/>
    <w:rsid w:val="0F7F287D"/>
    <w:rsid w:val="0F8256FA"/>
    <w:rsid w:val="0FA111A8"/>
    <w:rsid w:val="0FBA1C6F"/>
    <w:rsid w:val="0FED1786"/>
    <w:rsid w:val="10212429"/>
    <w:rsid w:val="10294501"/>
    <w:rsid w:val="1030763E"/>
    <w:rsid w:val="10321608"/>
    <w:rsid w:val="103C29BD"/>
    <w:rsid w:val="1052010F"/>
    <w:rsid w:val="10855BDB"/>
    <w:rsid w:val="10945E1E"/>
    <w:rsid w:val="10BD35C7"/>
    <w:rsid w:val="10E24DDC"/>
    <w:rsid w:val="10FD1C16"/>
    <w:rsid w:val="110034B4"/>
    <w:rsid w:val="110805BA"/>
    <w:rsid w:val="11250D18"/>
    <w:rsid w:val="11345FF6"/>
    <w:rsid w:val="1154735C"/>
    <w:rsid w:val="115701E6"/>
    <w:rsid w:val="115E652A"/>
    <w:rsid w:val="117B75CD"/>
    <w:rsid w:val="118A130B"/>
    <w:rsid w:val="11B52E1D"/>
    <w:rsid w:val="11B5429E"/>
    <w:rsid w:val="11C849EC"/>
    <w:rsid w:val="11CD7E8E"/>
    <w:rsid w:val="11DF131B"/>
    <w:rsid w:val="11E51394"/>
    <w:rsid w:val="11EC3A38"/>
    <w:rsid w:val="120D1FEF"/>
    <w:rsid w:val="121E62E8"/>
    <w:rsid w:val="123C676E"/>
    <w:rsid w:val="124D4697"/>
    <w:rsid w:val="125E66E4"/>
    <w:rsid w:val="126E0DF3"/>
    <w:rsid w:val="12850115"/>
    <w:rsid w:val="1289304B"/>
    <w:rsid w:val="128F1AC9"/>
    <w:rsid w:val="129C545E"/>
    <w:rsid w:val="12AD31C8"/>
    <w:rsid w:val="12C02EFB"/>
    <w:rsid w:val="12CF7912"/>
    <w:rsid w:val="12F26E2C"/>
    <w:rsid w:val="12F40DF6"/>
    <w:rsid w:val="12FA4174"/>
    <w:rsid w:val="130D3C66"/>
    <w:rsid w:val="130F79DE"/>
    <w:rsid w:val="132D6C5C"/>
    <w:rsid w:val="13312989"/>
    <w:rsid w:val="134578A4"/>
    <w:rsid w:val="134A6C68"/>
    <w:rsid w:val="135039D7"/>
    <w:rsid w:val="13566C00"/>
    <w:rsid w:val="1377617E"/>
    <w:rsid w:val="13924778"/>
    <w:rsid w:val="13BC25A6"/>
    <w:rsid w:val="13D21C0B"/>
    <w:rsid w:val="13DB3D64"/>
    <w:rsid w:val="14004427"/>
    <w:rsid w:val="140B63F8"/>
    <w:rsid w:val="140E7C96"/>
    <w:rsid w:val="141F6347"/>
    <w:rsid w:val="143F60A1"/>
    <w:rsid w:val="14534573"/>
    <w:rsid w:val="146167AA"/>
    <w:rsid w:val="14643D5A"/>
    <w:rsid w:val="146855F8"/>
    <w:rsid w:val="146975C2"/>
    <w:rsid w:val="147E4E1C"/>
    <w:rsid w:val="148A1AF0"/>
    <w:rsid w:val="148B7538"/>
    <w:rsid w:val="14A76F84"/>
    <w:rsid w:val="14A979BF"/>
    <w:rsid w:val="14D26F15"/>
    <w:rsid w:val="14D9299B"/>
    <w:rsid w:val="14DB226E"/>
    <w:rsid w:val="14E47ED8"/>
    <w:rsid w:val="14EF7AC7"/>
    <w:rsid w:val="1506434C"/>
    <w:rsid w:val="150E796B"/>
    <w:rsid w:val="1519603C"/>
    <w:rsid w:val="15205ED3"/>
    <w:rsid w:val="152754B3"/>
    <w:rsid w:val="152A0AFF"/>
    <w:rsid w:val="15543DCE"/>
    <w:rsid w:val="15784C1B"/>
    <w:rsid w:val="157902CA"/>
    <w:rsid w:val="159D60C5"/>
    <w:rsid w:val="15C4574E"/>
    <w:rsid w:val="15DE2DF5"/>
    <w:rsid w:val="15EC6D0A"/>
    <w:rsid w:val="15FF1F8C"/>
    <w:rsid w:val="160532E6"/>
    <w:rsid w:val="16266448"/>
    <w:rsid w:val="162714E3"/>
    <w:rsid w:val="163A2FC4"/>
    <w:rsid w:val="163D2AB4"/>
    <w:rsid w:val="16762816"/>
    <w:rsid w:val="16836F24"/>
    <w:rsid w:val="168F2A1B"/>
    <w:rsid w:val="16AF6C42"/>
    <w:rsid w:val="16B42428"/>
    <w:rsid w:val="16C64858"/>
    <w:rsid w:val="16DC051F"/>
    <w:rsid w:val="1703785A"/>
    <w:rsid w:val="173E4D36"/>
    <w:rsid w:val="1776627E"/>
    <w:rsid w:val="17964BA4"/>
    <w:rsid w:val="17A0779F"/>
    <w:rsid w:val="17B91C41"/>
    <w:rsid w:val="17BB6C04"/>
    <w:rsid w:val="17D17958"/>
    <w:rsid w:val="18115297"/>
    <w:rsid w:val="18280199"/>
    <w:rsid w:val="183D3240"/>
    <w:rsid w:val="185D743E"/>
    <w:rsid w:val="18626802"/>
    <w:rsid w:val="18C740C2"/>
    <w:rsid w:val="18CA357C"/>
    <w:rsid w:val="190A3122"/>
    <w:rsid w:val="190C006F"/>
    <w:rsid w:val="190F7902"/>
    <w:rsid w:val="19126797"/>
    <w:rsid w:val="192C03C5"/>
    <w:rsid w:val="193C65EA"/>
    <w:rsid w:val="194A79C2"/>
    <w:rsid w:val="195931FC"/>
    <w:rsid w:val="1981715C"/>
    <w:rsid w:val="19946E8F"/>
    <w:rsid w:val="19B732B7"/>
    <w:rsid w:val="19BD63E6"/>
    <w:rsid w:val="19C3097F"/>
    <w:rsid w:val="19D5003B"/>
    <w:rsid w:val="19DA409B"/>
    <w:rsid w:val="19FA5A54"/>
    <w:rsid w:val="19FB4FF9"/>
    <w:rsid w:val="19FC0EA3"/>
    <w:rsid w:val="1A044015"/>
    <w:rsid w:val="1A363BA1"/>
    <w:rsid w:val="1A3F6BCB"/>
    <w:rsid w:val="1A526FE4"/>
    <w:rsid w:val="1A554870"/>
    <w:rsid w:val="1A600746"/>
    <w:rsid w:val="1A933BF8"/>
    <w:rsid w:val="1AF000F5"/>
    <w:rsid w:val="1AFD4F2D"/>
    <w:rsid w:val="1B000A4D"/>
    <w:rsid w:val="1B23671D"/>
    <w:rsid w:val="1B3C333B"/>
    <w:rsid w:val="1B486183"/>
    <w:rsid w:val="1B4B7DA4"/>
    <w:rsid w:val="1B5E7A18"/>
    <w:rsid w:val="1B601107"/>
    <w:rsid w:val="1B7F2533"/>
    <w:rsid w:val="1BB15657"/>
    <w:rsid w:val="1BBB515F"/>
    <w:rsid w:val="1BC11A92"/>
    <w:rsid w:val="1BC81072"/>
    <w:rsid w:val="1BD417C5"/>
    <w:rsid w:val="1BD712B5"/>
    <w:rsid w:val="1BE51E05"/>
    <w:rsid w:val="1C05309F"/>
    <w:rsid w:val="1C0F7089"/>
    <w:rsid w:val="1C112A19"/>
    <w:rsid w:val="1C352AF7"/>
    <w:rsid w:val="1C56667E"/>
    <w:rsid w:val="1C601445"/>
    <w:rsid w:val="1C980A44"/>
    <w:rsid w:val="1CA42C54"/>
    <w:rsid w:val="1CA6062E"/>
    <w:rsid w:val="1CA613B3"/>
    <w:rsid w:val="1CA67605"/>
    <w:rsid w:val="1CB77386"/>
    <w:rsid w:val="1CC21F65"/>
    <w:rsid w:val="1CDD28FB"/>
    <w:rsid w:val="1D225E65"/>
    <w:rsid w:val="1D305121"/>
    <w:rsid w:val="1D392227"/>
    <w:rsid w:val="1D464944"/>
    <w:rsid w:val="1D522301"/>
    <w:rsid w:val="1D5801D4"/>
    <w:rsid w:val="1D5E41C9"/>
    <w:rsid w:val="1D655CA4"/>
    <w:rsid w:val="1D6E79F7"/>
    <w:rsid w:val="1D790876"/>
    <w:rsid w:val="1D7E7C3A"/>
    <w:rsid w:val="1D940CD5"/>
    <w:rsid w:val="1DC87107"/>
    <w:rsid w:val="1DFD5239"/>
    <w:rsid w:val="1DFE18A8"/>
    <w:rsid w:val="1E01086B"/>
    <w:rsid w:val="1E0A7BA4"/>
    <w:rsid w:val="1E107C7E"/>
    <w:rsid w:val="1E2C7696"/>
    <w:rsid w:val="1E4D73D9"/>
    <w:rsid w:val="1E85149C"/>
    <w:rsid w:val="1E8829F7"/>
    <w:rsid w:val="1E9E60BA"/>
    <w:rsid w:val="1EAA5EC3"/>
    <w:rsid w:val="1EE2069D"/>
    <w:rsid w:val="1EEC1EBD"/>
    <w:rsid w:val="1EFB0E1B"/>
    <w:rsid w:val="1F413615"/>
    <w:rsid w:val="1F4C5B16"/>
    <w:rsid w:val="1F5307B6"/>
    <w:rsid w:val="1F530CDA"/>
    <w:rsid w:val="1F6254E4"/>
    <w:rsid w:val="1F6B68E4"/>
    <w:rsid w:val="1F7237CF"/>
    <w:rsid w:val="1F7532BF"/>
    <w:rsid w:val="1F754AF7"/>
    <w:rsid w:val="1F7C289F"/>
    <w:rsid w:val="1F9D6372"/>
    <w:rsid w:val="1FCC0CA0"/>
    <w:rsid w:val="1FD86649"/>
    <w:rsid w:val="20085EE1"/>
    <w:rsid w:val="201137B3"/>
    <w:rsid w:val="201326D4"/>
    <w:rsid w:val="204729D7"/>
    <w:rsid w:val="20476A09"/>
    <w:rsid w:val="204F1D62"/>
    <w:rsid w:val="206A6B9C"/>
    <w:rsid w:val="20C462AC"/>
    <w:rsid w:val="20C91B14"/>
    <w:rsid w:val="20D54C81"/>
    <w:rsid w:val="20DA787E"/>
    <w:rsid w:val="20E424AA"/>
    <w:rsid w:val="20F12E19"/>
    <w:rsid w:val="210439D2"/>
    <w:rsid w:val="21127DD7"/>
    <w:rsid w:val="211B7041"/>
    <w:rsid w:val="21287C38"/>
    <w:rsid w:val="213347C0"/>
    <w:rsid w:val="213A5DCC"/>
    <w:rsid w:val="213C5BD7"/>
    <w:rsid w:val="213D0D46"/>
    <w:rsid w:val="215C0A16"/>
    <w:rsid w:val="21604622"/>
    <w:rsid w:val="21657114"/>
    <w:rsid w:val="21707EAF"/>
    <w:rsid w:val="21914242"/>
    <w:rsid w:val="21BA6626"/>
    <w:rsid w:val="21DD6DE7"/>
    <w:rsid w:val="21E40288"/>
    <w:rsid w:val="21F26E49"/>
    <w:rsid w:val="21FC16F6"/>
    <w:rsid w:val="22015A34"/>
    <w:rsid w:val="22315DA8"/>
    <w:rsid w:val="223E3E3C"/>
    <w:rsid w:val="22456F79"/>
    <w:rsid w:val="22541CC2"/>
    <w:rsid w:val="22612CC2"/>
    <w:rsid w:val="226640C8"/>
    <w:rsid w:val="227C6FEA"/>
    <w:rsid w:val="228B669A"/>
    <w:rsid w:val="22965A26"/>
    <w:rsid w:val="22AF4D3A"/>
    <w:rsid w:val="22BB548D"/>
    <w:rsid w:val="22C72083"/>
    <w:rsid w:val="22D72502"/>
    <w:rsid w:val="23046E34"/>
    <w:rsid w:val="23272B22"/>
    <w:rsid w:val="23297283"/>
    <w:rsid w:val="232B0864"/>
    <w:rsid w:val="23377209"/>
    <w:rsid w:val="2338088B"/>
    <w:rsid w:val="233D2346"/>
    <w:rsid w:val="236553F8"/>
    <w:rsid w:val="23742F66"/>
    <w:rsid w:val="23750B7B"/>
    <w:rsid w:val="23755BE2"/>
    <w:rsid w:val="23775858"/>
    <w:rsid w:val="23A423C5"/>
    <w:rsid w:val="23E168A8"/>
    <w:rsid w:val="23E72262"/>
    <w:rsid w:val="24060D92"/>
    <w:rsid w:val="243C436C"/>
    <w:rsid w:val="2455564D"/>
    <w:rsid w:val="245B0CD5"/>
    <w:rsid w:val="246A0F18"/>
    <w:rsid w:val="247F0237"/>
    <w:rsid w:val="24816262"/>
    <w:rsid w:val="249B0850"/>
    <w:rsid w:val="24A94DE7"/>
    <w:rsid w:val="24E74595"/>
    <w:rsid w:val="24F85BDF"/>
    <w:rsid w:val="2512195F"/>
    <w:rsid w:val="252A68FA"/>
    <w:rsid w:val="25325BEA"/>
    <w:rsid w:val="255B6AB3"/>
    <w:rsid w:val="257D00DA"/>
    <w:rsid w:val="258403C0"/>
    <w:rsid w:val="25A33D1C"/>
    <w:rsid w:val="25AC730F"/>
    <w:rsid w:val="25DE062A"/>
    <w:rsid w:val="25E05341"/>
    <w:rsid w:val="25FC764B"/>
    <w:rsid w:val="25FF2BAC"/>
    <w:rsid w:val="260C2968"/>
    <w:rsid w:val="26192BF6"/>
    <w:rsid w:val="262F5318"/>
    <w:rsid w:val="263856B6"/>
    <w:rsid w:val="26394FB6"/>
    <w:rsid w:val="265F6C92"/>
    <w:rsid w:val="267111C5"/>
    <w:rsid w:val="267C3185"/>
    <w:rsid w:val="267F74F6"/>
    <w:rsid w:val="268663C4"/>
    <w:rsid w:val="26AC17FC"/>
    <w:rsid w:val="26B30D08"/>
    <w:rsid w:val="26D367BA"/>
    <w:rsid w:val="26D87BBC"/>
    <w:rsid w:val="26D97E39"/>
    <w:rsid w:val="26DD00C8"/>
    <w:rsid w:val="26E256DE"/>
    <w:rsid w:val="26F62F37"/>
    <w:rsid w:val="271D04C4"/>
    <w:rsid w:val="27436541"/>
    <w:rsid w:val="27441EF5"/>
    <w:rsid w:val="275C1CA0"/>
    <w:rsid w:val="275D3960"/>
    <w:rsid w:val="276318B8"/>
    <w:rsid w:val="276F74CA"/>
    <w:rsid w:val="277771ED"/>
    <w:rsid w:val="2778394C"/>
    <w:rsid w:val="277E2742"/>
    <w:rsid w:val="279938C3"/>
    <w:rsid w:val="27C06CFE"/>
    <w:rsid w:val="27C2753A"/>
    <w:rsid w:val="27CC3C98"/>
    <w:rsid w:val="27E014F2"/>
    <w:rsid w:val="27FF406E"/>
    <w:rsid w:val="28096C9A"/>
    <w:rsid w:val="280D678A"/>
    <w:rsid w:val="281E2746"/>
    <w:rsid w:val="28236AC8"/>
    <w:rsid w:val="286C3BF6"/>
    <w:rsid w:val="28940C5A"/>
    <w:rsid w:val="28967235"/>
    <w:rsid w:val="28BD07B9"/>
    <w:rsid w:val="28C055AB"/>
    <w:rsid w:val="28CD611F"/>
    <w:rsid w:val="28DB1694"/>
    <w:rsid w:val="28EA13DF"/>
    <w:rsid w:val="292D0389"/>
    <w:rsid w:val="295B3290"/>
    <w:rsid w:val="296B1A60"/>
    <w:rsid w:val="29ED5768"/>
    <w:rsid w:val="29F0566A"/>
    <w:rsid w:val="2A1C3834"/>
    <w:rsid w:val="2A202E97"/>
    <w:rsid w:val="2A3F37A7"/>
    <w:rsid w:val="2A6015BE"/>
    <w:rsid w:val="2A7C113B"/>
    <w:rsid w:val="2A7C2A0C"/>
    <w:rsid w:val="2A834AE2"/>
    <w:rsid w:val="2A940956"/>
    <w:rsid w:val="2A9C5BA4"/>
    <w:rsid w:val="2AA81143"/>
    <w:rsid w:val="2ABA14D8"/>
    <w:rsid w:val="2ACA2D88"/>
    <w:rsid w:val="2ACC14D5"/>
    <w:rsid w:val="2AD270C2"/>
    <w:rsid w:val="2AE049E4"/>
    <w:rsid w:val="2AEC60AB"/>
    <w:rsid w:val="2AEE24AC"/>
    <w:rsid w:val="2AF7488D"/>
    <w:rsid w:val="2B11294B"/>
    <w:rsid w:val="2B4F6426"/>
    <w:rsid w:val="2B4F7378"/>
    <w:rsid w:val="2B595843"/>
    <w:rsid w:val="2B8562FE"/>
    <w:rsid w:val="2B8B0AD7"/>
    <w:rsid w:val="2B944ACD"/>
    <w:rsid w:val="2BA93F88"/>
    <w:rsid w:val="2BAD603D"/>
    <w:rsid w:val="2BD8582F"/>
    <w:rsid w:val="2BE55328"/>
    <w:rsid w:val="2BEE68D3"/>
    <w:rsid w:val="2C110D10"/>
    <w:rsid w:val="2C1711F7"/>
    <w:rsid w:val="2C1F083A"/>
    <w:rsid w:val="2C2E6CCF"/>
    <w:rsid w:val="2C4118B1"/>
    <w:rsid w:val="2C463402"/>
    <w:rsid w:val="2C5524AE"/>
    <w:rsid w:val="2C6426F1"/>
    <w:rsid w:val="2C6646BB"/>
    <w:rsid w:val="2C6D0405"/>
    <w:rsid w:val="2C6D5A4A"/>
    <w:rsid w:val="2C720C5C"/>
    <w:rsid w:val="2C731985"/>
    <w:rsid w:val="2C8C4B44"/>
    <w:rsid w:val="2CA62D0A"/>
    <w:rsid w:val="2CC413E2"/>
    <w:rsid w:val="2CC651A3"/>
    <w:rsid w:val="2CCB451E"/>
    <w:rsid w:val="2CD27106"/>
    <w:rsid w:val="2CD755B9"/>
    <w:rsid w:val="2D045C82"/>
    <w:rsid w:val="2D095047"/>
    <w:rsid w:val="2D0D1EDF"/>
    <w:rsid w:val="2D12039F"/>
    <w:rsid w:val="2D1265F1"/>
    <w:rsid w:val="2D156581"/>
    <w:rsid w:val="2D19172E"/>
    <w:rsid w:val="2D216834"/>
    <w:rsid w:val="2D237B5F"/>
    <w:rsid w:val="2D276B38"/>
    <w:rsid w:val="2D3247A1"/>
    <w:rsid w:val="2D442A76"/>
    <w:rsid w:val="2D6266C8"/>
    <w:rsid w:val="2D636D00"/>
    <w:rsid w:val="2D9C5EBB"/>
    <w:rsid w:val="2DA23F5D"/>
    <w:rsid w:val="2DC407EE"/>
    <w:rsid w:val="2DD13DB6"/>
    <w:rsid w:val="2DFE4282"/>
    <w:rsid w:val="2DFF0DF1"/>
    <w:rsid w:val="2E062593"/>
    <w:rsid w:val="2E19750B"/>
    <w:rsid w:val="2E350E75"/>
    <w:rsid w:val="2E410027"/>
    <w:rsid w:val="2E515D29"/>
    <w:rsid w:val="2E573752"/>
    <w:rsid w:val="2E675E19"/>
    <w:rsid w:val="2E8944FF"/>
    <w:rsid w:val="2EB55486"/>
    <w:rsid w:val="2EF44200"/>
    <w:rsid w:val="2F063B68"/>
    <w:rsid w:val="2F2C5DF5"/>
    <w:rsid w:val="2F662C24"/>
    <w:rsid w:val="2F6C023B"/>
    <w:rsid w:val="2F786918"/>
    <w:rsid w:val="2F7F65C3"/>
    <w:rsid w:val="2F934205"/>
    <w:rsid w:val="2FAA362C"/>
    <w:rsid w:val="2FBB23E2"/>
    <w:rsid w:val="2FBE036A"/>
    <w:rsid w:val="2FC516F9"/>
    <w:rsid w:val="2FE853E7"/>
    <w:rsid w:val="300809E8"/>
    <w:rsid w:val="30085277"/>
    <w:rsid w:val="30145201"/>
    <w:rsid w:val="30176A6B"/>
    <w:rsid w:val="301B3A0F"/>
    <w:rsid w:val="302F373C"/>
    <w:rsid w:val="30396F50"/>
    <w:rsid w:val="306742E8"/>
    <w:rsid w:val="30711881"/>
    <w:rsid w:val="30731155"/>
    <w:rsid w:val="30A718B6"/>
    <w:rsid w:val="30BC0D4E"/>
    <w:rsid w:val="30C220DC"/>
    <w:rsid w:val="30C9346B"/>
    <w:rsid w:val="30CF6B01"/>
    <w:rsid w:val="30EB68FA"/>
    <w:rsid w:val="30F32296"/>
    <w:rsid w:val="30F6609D"/>
    <w:rsid w:val="31077AEF"/>
    <w:rsid w:val="312D57A8"/>
    <w:rsid w:val="31513D86"/>
    <w:rsid w:val="31556AAC"/>
    <w:rsid w:val="31561508"/>
    <w:rsid w:val="31A55C86"/>
    <w:rsid w:val="31B83C01"/>
    <w:rsid w:val="31C61758"/>
    <w:rsid w:val="31E247B3"/>
    <w:rsid w:val="321A3377"/>
    <w:rsid w:val="323E5C15"/>
    <w:rsid w:val="32621481"/>
    <w:rsid w:val="326D6891"/>
    <w:rsid w:val="32892EB1"/>
    <w:rsid w:val="32991939"/>
    <w:rsid w:val="329A6E6D"/>
    <w:rsid w:val="329D4C03"/>
    <w:rsid w:val="32A01FA9"/>
    <w:rsid w:val="32AE31AE"/>
    <w:rsid w:val="32BA306B"/>
    <w:rsid w:val="32C119DA"/>
    <w:rsid w:val="32C23C80"/>
    <w:rsid w:val="32FC50E2"/>
    <w:rsid w:val="32FE40E3"/>
    <w:rsid w:val="33020EC6"/>
    <w:rsid w:val="33031644"/>
    <w:rsid w:val="33070A96"/>
    <w:rsid w:val="332350B4"/>
    <w:rsid w:val="332901F1"/>
    <w:rsid w:val="33423060"/>
    <w:rsid w:val="335E60EC"/>
    <w:rsid w:val="337B615B"/>
    <w:rsid w:val="337B62D2"/>
    <w:rsid w:val="33813B89"/>
    <w:rsid w:val="33833DA5"/>
    <w:rsid w:val="33A02904"/>
    <w:rsid w:val="33AD7074"/>
    <w:rsid w:val="33BA0A33"/>
    <w:rsid w:val="33CC0781"/>
    <w:rsid w:val="33DB598F"/>
    <w:rsid w:val="33DD3064"/>
    <w:rsid w:val="33E562FF"/>
    <w:rsid w:val="33E759B9"/>
    <w:rsid w:val="33E901AF"/>
    <w:rsid w:val="33E94F54"/>
    <w:rsid w:val="34073F4A"/>
    <w:rsid w:val="340C5B48"/>
    <w:rsid w:val="3417200F"/>
    <w:rsid w:val="342D5594"/>
    <w:rsid w:val="34346E4D"/>
    <w:rsid w:val="34425A0E"/>
    <w:rsid w:val="34451A66"/>
    <w:rsid w:val="3457480D"/>
    <w:rsid w:val="34943D90"/>
    <w:rsid w:val="34AE0D14"/>
    <w:rsid w:val="34AE5530"/>
    <w:rsid w:val="34B241A1"/>
    <w:rsid w:val="34B3426F"/>
    <w:rsid w:val="34B8182C"/>
    <w:rsid w:val="34DC2104"/>
    <w:rsid w:val="34F0546A"/>
    <w:rsid w:val="34F15C03"/>
    <w:rsid w:val="35016C06"/>
    <w:rsid w:val="35325A82"/>
    <w:rsid w:val="3546508A"/>
    <w:rsid w:val="354B6B44"/>
    <w:rsid w:val="355D23D3"/>
    <w:rsid w:val="35733F51"/>
    <w:rsid w:val="35956011"/>
    <w:rsid w:val="35AE03E3"/>
    <w:rsid w:val="35B81BCE"/>
    <w:rsid w:val="35CA5CBB"/>
    <w:rsid w:val="35CD1307"/>
    <w:rsid w:val="35D37C6C"/>
    <w:rsid w:val="35D94150"/>
    <w:rsid w:val="35DA584C"/>
    <w:rsid w:val="35E84C86"/>
    <w:rsid w:val="35F2150E"/>
    <w:rsid w:val="35F47571"/>
    <w:rsid w:val="36080591"/>
    <w:rsid w:val="362820EB"/>
    <w:rsid w:val="3656754F"/>
    <w:rsid w:val="36651A28"/>
    <w:rsid w:val="366C4FC4"/>
    <w:rsid w:val="366C6D72"/>
    <w:rsid w:val="368466C6"/>
    <w:rsid w:val="36A007CA"/>
    <w:rsid w:val="36A75FFC"/>
    <w:rsid w:val="36A93B22"/>
    <w:rsid w:val="36B67162"/>
    <w:rsid w:val="36D002E5"/>
    <w:rsid w:val="36D663A2"/>
    <w:rsid w:val="36E3211C"/>
    <w:rsid w:val="370A6B06"/>
    <w:rsid w:val="37224DEA"/>
    <w:rsid w:val="3729649A"/>
    <w:rsid w:val="372E16F2"/>
    <w:rsid w:val="373044DC"/>
    <w:rsid w:val="37407D7B"/>
    <w:rsid w:val="374D013B"/>
    <w:rsid w:val="37623CD1"/>
    <w:rsid w:val="376E2676"/>
    <w:rsid w:val="377203B8"/>
    <w:rsid w:val="37AF3366"/>
    <w:rsid w:val="37AF33BA"/>
    <w:rsid w:val="37B409D1"/>
    <w:rsid w:val="37BA1509"/>
    <w:rsid w:val="37C60704"/>
    <w:rsid w:val="37C97B8C"/>
    <w:rsid w:val="37D90437"/>
    <w:rsid w:val="37E34E12"/>
    <w:rsid w:val="37F60442"/>
    <w:rsid w:val="37FA1680"/>
    <w:rsid w:val="37FA2165"/>
    <w:rsid w:val="38254583"/>
    <w:rsid w:val="3828316D"/>
    <w:rsid w:val="382C4A0B"/>
    <w:rsid w:val="382E38EF"/>
    <w:rsid w:val="383218F5"/>
    <w:rsid w:val="383F2A98"/>
    <w:rsid w:val="386E3ED6"/>
    <w:rsid w:val="386F2B4A"/>
    <w:rsid w:val="387D5266"/>
    <w:rsid w:val="38855EC9"/>
    <w:rsid w:val="388A1731"/>
    <w:rsid w:val="39025497"/>
    <w:rsid w:val="391022A0"/>
    <w:rsid w:val="39251FE6"/>
    <w:rsid w:val="392C064F"/>
    <w:rsid w:val="392C0A3B"/>
    <w:rsid w:val="395F671A"/>
    <w:rsid w:val="396570D1"/>
    <w:rsid w:val="396D6DE6"/>
    <w:rsid w:val="396F22EF"/>
    <w:rsid w:val="39863D18"/>
    <w:rsid w:val="398D6900"/>
    <w:rsid w:val="39A20CFD"/>
    <w:rsid w:val="39AC2784"/>
    <w:rsid w:val="39E165D2"/>
    <w:rsid w:val="39EA57C6"/>
    <w:rsid w:val="39FE3B90"/>
    <w:rsid w:val="3A00614F"/>
    <w:rsid w:val="3A070BEA"/>
    <w:rsid w:val="3A273C34"/>
    <w:rsid w:val="3A43114E"/>
    <w:rsid w:val="3A4D6EBA"/>
    <w:rsid w:val="3A63561E"/>
    <w:rsid w:val="3A685AA2"/>
    <w:rsid w:val="3A887EF3"/>
    <w:rsid w:val="3A922667"/>
    <w:rsid w:val="3AB74334"/>
    <w:rsid w:val="3ABF3A64"/>
    <w:rsid w:val="3AEF1127"/>
    <w:rsid w:val="3AF74E62"/>
    <w:rsid w:val="3AFE47B5"/>
    <w:rsid w:val="3B0726A2"/>
    <w:rsid w:val="3B0D21A6"/>
    <w:rsid w:val="3B2E0A9A"/>
    <w:rsid w:val="3B4E0552"/>
    <w:rsid w:val="3B4E3123"/>
    <w:rsid w:val="3B5418C9"/>
    <w:rsid w:val="3B6C3AB4"/>
    <w:rsid w:val="3BA36EF4"/>
    <w:rsid w:val="3BB14E02"/>
    <w:rsid w:val="3BB33189"/>
    <w:rsid w:val="3BB54D17"/>
    <w:rsid w:val="3BC34F00"/>
    <w:rsid w:val="3BD10D36"/>
    <w:rsid w:val="3BE839DA"/>
    <w:rsid w:val="3BF476B5"/>
    <w:rsid w:val="3C1834C3"/>
    <w:rsid w:val="3C1E0A9B"/>
    <w:rsid w:val="3C1F03E3"/>
    <w:rsid w:val="3C2A6EA9"/>
    <w:rsid w:val="3C553E04"/>
    <w:rsid w:val="3C674036"/>
    <w:rsid w:val="3C6B6B95"/>
    <w:rsid w:val="3C7841B7"/>
    <w:rsid w:val="3C99647A"/>
    <w:rsid w:val="3CB1315A"/>
    <w:rsid w:val="3CB60B4C"/>
    <w:rsid w:val="3CD73D60"/>
    <w:rsid w:val="3CDE029E"/>
    <w:rsid w:val="3CE75864"/>
    <w:rsid w:val="3CF90C34"/>
    <w:rsid w:val="3D09356D"/>
    <w:rsid w:val="3D0C4E0B"/>
    <w:rsid w:val="3D113EFE"/>
    <w:rsid w:val="3D1617E6"/>
    <w:rsid w:val="3D235CB1"/>
    <w:rsid w:val="3D2507D3"/>
    <w:rsid w:val="3D2F02CC"/>
    <w:rsid w:val="3D3933FB"/>
    <w:rsid w:val="3D3A1978"/>
    <w:rsid w:val="3D507B39"/>
    <w:rsid w:val="3D581605"/>
    <w:rsid w:val="3D627C3E"/>
    <w:rsid w:val="3DCB3191"/>
    <w:rsid w:val="3DD47DFE"/>
    <w:rsid w:val="3DDE2235"/>
    <w:rsid w:val="3DE2791A"/>
    <w:rsid w:val="3DE32B7F"/>
    <w:rsid w:val="3DF908C3"/>
    <w:rsid w:val="3DFD4754"/>
    <w:rsid w:val="3E0808AB"/>
    <w:rsid w:val="3E0A2D77"/>
    <w:rsid w:val="3E0B6E71"/>
    <w:rsid w:val="3E0F40CF"/>
    <w:rsid w:val="3E27133C"/>
    <w:rsid w:val="3E38578C"/>
    <w:rsid w:val="3E4B652F"/>
    <w:rsid w:val="3E9C1AC2"/>
    <w:rsid w:val="3EA177D5"/>
    <w:rsid w:val="3EAD7F28"/>
    <w:rsid w:val="3EAE391C"/>
    <w:rsid w:val="3EBD617F"/>
    <w:rsid w:val="3ECA1683"/>
    <w:rsid w:val="3ECB7146"/>
    <w:rsid w:val="3ED52C04"/>
    <w:rsid w:val="3ED57CDA"/>
    <w:rsid w:val="3ED656D0"/>
    <w:rsid w:val="3EDD5CEC"/>
    <w:rsid w:val="3F147FA7"/>
    <w:rsid w:val="3F446AC6"/>
    <w:rsid w:val="3F5465F5"/>
    <w:rsid w:val="3F65130D"/>
    <w:rsid w:val="3F8553FA"/>
    <w:rsid w:val="3FAE5D48"/>
    <w:rsid w:val="3FD84A93"/>
    <w:rsid w:val="3FDA11F0"/>
    <w:rsid w:val="3FDA4D4C"/>
    <w:rsid w:val="3FE156B2"/>
    <w:rsid w:val="3FFA29F4"/>
    <w:rsid w:val="4013025E"/>
    <w:rsid w:val="401D10DD"/>
    <w:rsid w:val="402E6E46"/>
    <w:rsid w:val="404B3F01"/>
    <w:rsid w:val="40536250"/>
    <w:rsid w:val="406D5BC1"/>
    <w:rsid w:val="406E4841"/>
    <w:rsid w:val="408103A1"/>
    <w:rsid w:val="409475F1"/>
    <w:rsid w:val="40972C3D"/>
    <w:rsid w:val="40BB5D0C"/>
    <w:rsid w:val="40C55CD9"/>
    <w:rsid w:val="40CD3353"/>
    <w:rsid w:val="40D32C22"/>
    <w:rsid w:val="40E1210B"/>
    <w:rsid w:val="40F4221B"/>
    <w:rsid w:val="40F7192E"/>
    <w:rsid w:val="4114024C"/>
    <w:rsid w:val="41215DA5"/>
    <w:rsid w:val="412D28A8"/>
    <w:rsid w:val="413D1A37"/>
    <w:rsid w:val="413E755D"/>
    <w:rsid w:val="415B1EBD"/>
    <w:rsid w:val="41627F5C"/>
    <w:rsid w:val="416E2B79"/>
    <w:rsid w:val="41854E04"/>
    <w:rsid w:val="419A57EC"/>
    <w:rsid w:val="419B4C0C"/>
    <w:rsid w:val="41A2189A"/>
    <w:rsid w:val="41CA2B9F"/>
    <w:rsid w:val="41D072D4"/>
    <w:rsid w:val="41D659E7"/>
    <w:rsid w:val="41E579D9"/>
    <w:rsid w:val="41EC2EEF"/>
    <w:rsid w:val="41F646C8"/>
    <w:rsid w:val="41FE1774"/>
    <w:rsid w:val="420C610C"/>
    <w:rsid w:val="42126564"/>
    <w:rsid w:val="42170F9D"/>
    <w:rsid w:val="422C0342"/>
    <w:rsid w:val="423B4402"/>
    <w:rsid w:val="425A6F73"/>
    <w:rsid w:val="426E79CE"/>
    <w:rsid w:val="4278084D"/>
    <w:rsid w:val="427C658F"/>
    <w:rsid w:val="42982C9D"/>
    <w:rsid w:val="42AE0712"/>
    <w:rsid w:val="42BD4FAE"/>
    <w:rsid w:val="42BF647C"/>
    <w:rsid w:val="42CC684A"/>
    <w:rsid w:val="42D363B2"/>
    <w:rsid w:val="42D44852"/>
    <w:rsid w:val="42FE73AB"/>
    <w:rsid w:val="43081BD1"/>
    <w:rsid w:val="43144B7B"/>
    <w:rsid w:val="431765E0"/>
    <w:rsid w:val="432927CA"/>
    <w:rsid w:val="432A1CC2"/>
    <w:rsid w:val="434A21E9"/>
    <w:rsid w:val="437159C8"/>
    <w:rsid w:val="43723543"/>
    <w:rsid w:val="43A60B8B"/>
    <w:rsid w:val="43B74E39"/>
    <w:rsid w:val="43B9736F"/>
    <w:rsid w:val="43D9356D"/>
    <w:rsid w:val="43E33FD1"/>
    <w:rsid w:val="43FE181E"/>
    <w:rsid w:val="441B1DD7"/>
    <w:rsid w:val="442E57E8"/>
    <w:rsid w:val="443D58AA"/>
    <w:rsid w:val="445B0B70"/>
    <w:rsid w:val="4469003D"/>
    <w:rsid w:val="446B68BB"/>
    <w:rsid w:val="44746C5F"/>
    <w:rsid w:val="447D039C"/>
    <w:rsid w:val="44B06ABF"/>
    <w:rsid w:val="44C9538F"/>
    <w:rsid w:val="44EC561F"/>
    <w:rsid w:val="44EE129A"/>
    <w:rsid w:val="450F2C98"/>
    <w:rsid w:val="45116B80"/>
    <w:rsid w:val="452A00D4"/>
    <w:rsid w:val="452A1EBD"/>
    <w:rsid w:val="452E56DC"/>
    <w:rsid w:val="453873E8"/>
    <w:rsid w:val="4538740E"/>
    <w:rsid w:val="4540521A"/>
    <w:rsid w:val="455410FD"/>
    <w:rsid w:val="456953A7"/>
    <w:rsid w:val="45723C79"/>
    <w:rsid w:val="45941E41"/>
    <w:rsid w:val="459C3262"/>
    <w:rsid w:val="459E4A6E"/>
    <w:rsid w:val="45BB19F4"/>
    <w:rsid w:val="45CB40CB"/>
    <w:rsid w:val="45D1274E"/>
    <w:rsid w:val="45DB4A9A"/>
    <w:rsid w:val="45EA380F"/>
    <w:rsid w:val="46102858"/>
    <w:rsid w:val="46130E0A"/>
    <w:rsid w:val="46420DB4"/>
    <w:rsid w:val="46517D32"/>
    <w:rsid w:val="465810C1"/>
    <w:rsid w:val="46674E60"/>
    <w:rsid w:val="468A6DA0"/>
    <w:rsid w:val="46A61E2C"/>
    <w:rsid w:val="46B10895"/>
    <w:rsid w:val="46BE3CB2"/>
    <w:rsid w:val="46BF2EEE"/>
    <w:rsid w:val="46D60513"/>
    <w:rsid w:val="46D71FE6"/>
    <w:rsid w:val="47176886"/>
    <w:rsid w:val="476870E2"/>
    <w:rsid w:val="47743CD8"/>
    <w:rsid w:val="477D7930"/>
    <w:rsid w:val="4780267D"/>
    <w:rsid w:val="479354E3"/>
    <w:rsid w:val="47AB5220"/>
    <w:rsid w:val="47B16CDB"/>
    <w:rsid w:val="47EE05EF"/>
    <w:rsid w:val="47FF070F"/>
    <w:rsid w:val="4819383E"/>
    <w:rsid w:val="48215AFD"/>
    <w:rsid w:val="48496AAD"/>
    <w:rsid w:val="48602C58"/>
    <w:rsid w:val="486A29C1"/>
    <w:rsid w:val="486A5272"/>
    <w:rsid w:val="48C447EC"/>
    <w:rsid w:val="48FE3D3C"/>
    <w:rsid w:val="4910358D"/>
    <w:rsid w:val="491D5CAA"/>
    <w:rsid w:val="491F5EC6"/>
    <w:rsid w:val="49296D45"/>
    <w:rsid w:val="49477565"/>
    <w:rsid w:val="49574F2D"/>
    <w:rsid w:val="495A5150"/>
    <w:rsid w:val="49663AF5"/>
    <w:rsid w:val="497F27A4"/>
    <w:rsid w:val="49841976"/>
    <w:rsid w:val="4988571D"/>
    <w:rsid w:val="4990049A"/>
    <w:rsid w:val="49B91DA4"/>
    <w:rsid w:val="49BE0A90"/>
    <w:rsid w:val="49C863C9"/>
    <w:rsid w:val="49E36BA9"/>
    <w:rsid w:val="49F41101"/>
    <w:rsid w:val="4A0368E5"/>
    <w:rsid w:val="4A0661CA"/>
    <w:rsid w:val="4A06689A"/>
    <w:rsid w:val="4A0A4F84"/>
    <w:rsid w:val="4A1016DA"/>
    <w:rsid w:val="4A17094B"/>
    <w:rsid w:val="4A335637"/>
    <w:rsid w:val="4A3D31A8"/>
    <w:rsid w:val="4A5977C4"/>
    <w:rsid w:val="4A6750C3"/>
    <w:rsid w:val="4A851D59"/>
    <w:rsid w:val="4A954692"/>
    <w:rsid w:val="4A9C5CDA"/>
    <w:rsid w:val="4AA93C99"/>
    <w:rsid w:val="4ABA0F61"/>
    <w:rsid w:val="4AC62BC0"/>
    <w:rsid w:val="4AC960E9"/>
    <w:rsid w:val="4AD41CA3"/>
    <w:rsid w:val="4AE253FD"/>
    <w:rsid w:val="4AFD294A"/>
    <w:rsid w:val="4B052E99"/>
    <w:rsid w:val="4B0B1CD0"/>
    <w:rsid w:val="4B1A6945"/>
    <w:rsid w:val="4B3A0D95"/>
    <w:rsid w:val="4B3C4B0D"/>
    <w:rsid w:val="4B562725"/>
    <w:rsid w:val="4B58121B"/>
    <w:rsid w:val="4B7A5635"/>
    <w:rsid w:val="4B7B4C58"/>
    <w:rsid w:val="4B9B5087"/>
    <w:rsid w:val="4B9C2307"/>
    <w:rsid w:val="4BAA2EFE"/>
    <w:rsid w:val="4BAA5D79"/>
    <w:rsid w:val="4BCB7C3F"/>
    <w:rsid w:val="4BD04548"/>
    <w:rsid w:val="4BD54E32"/>
    <w:rsid w:val="4BED5E07"/>
    <w:rsid w:val="4BF12787"/>
    <w:rsid w:val="4C177113"/>
    <w:rsid w:val="4C2F4672"/>
    <w:rsid w:val="4C5F2E23"/>
    <w:rsid w:val="4C7505B3"/>
    <w:rsid w:val="4C7D0675"/>
    <w:rsid w:val="4C83051A"/>
    <w:rsid w:val="4C8F3BAE"/>
    <w:rsid w:val="4C983498"/>
    <w:rsid w:val="4CB9218D"/>
    <w:rsid w:val="4CD810E9"/>
    <w:rsid w:val="4CD8218A"/>
    <w:rsid w:val="4CE372B9"/>
    <w:rsid w:val="4CE410FA"/>
    <w:rsid w:val="4CEE1E91"/>
    <w:rsid w:val="4D0553D3"/>
    <w:rsid w:val="4D07739D"/>
    <w:rsid w:val="4D13140C"/>
    <w:rsid w:val="4D2649DC"/>
    <w:rsid w:val="4D2717ED"/>
    <w:rsid w:val="4D3A5CC6"/>
    <w:rsid w:val="4D3A7443"/>
    <w:rsid w:val="4D4203D5"/>
    <w:rsid w:val="4D5320B4"/>
    <w:rsid w:val="4D736BD5"/>
    <w:rsid w:val="4D7E0E31"/>
    <w:rsid w:val="4D873A58"/>
    <w:rsid w:val="4D8D3D2C"/>
    <w:rsid w:val="4D9228D2"/>
    <w:rsid w:val="4D97427D"/>
    <w:rsid w:val="4DA6412D"/>
    <w:rsid w:val="4DAB6752"/>
    <w:rsid w:val="4DDE195C"/>
    <w:rsid w:val="4DF55447"/>
    <w:rsid w:val="4E0E2361"/>
    <w:rsid w:val="4E30022D"/>
    <w:rsid w:val="4E500D8C"/>
    <w:rsid w:val="4E59789B"/>
    <w:rsid w:val="4E9702AC"/>
    <w:rsid w:val="4E9907C0"/>
    <w:rsid w:val="4E9C365E"/>
    <w:rsid w:val="4EB80F4C"/>
    <w:rsid w:val="4EC34276"/>
    <w:rsid w:val="4ECA5EC4"/>
    <w:rsid w:val="4EE7316A"/>
    <w:rsid w:val="4EF22233"/>
    <w:rsid w:val="4EF61477"/>
    <w:rsid w:val="4F1418FD"/>
    <w:rsid w:val="4F282E73"/>
    <w:rsid w:val="4F2C30EB"/>
    <w:rsid w:val="4F6F4D85"/>
    <w:rsid w:val="4F7034CF"/>
    <w:rsid w:val="4F746DB3"/>
    <w:rsid w:val="4F8B6063"/>
    <w:rsid w:val="4FD214B6"/>
    <w:rsid w:val="4FD91AFC"/>
    <w:rsid w:val="4FDF63AF"/>
    <w:rsid w:val="4FE87012"/>
    <w:rsid w:val="4FF97471"/>
    <w:rsid w:val="4FFF63AB"/>
    <w:rsid w:val="50120532"/>
    <w:rsid w:val="50292B19"/>
    <w:rsid w:val="503404A9"/>
    <w:rsid w:val="505209F3"/>
    <w:rsid w:val="506A5C79"/>
    <w:rsid w:val="508A631B"/>
    <w:rsid w:val="50AC6291"/>
    <w:rsid w:val="50C25AB5"/>
    <w:rsid w:val="50DC644B"/>
    <w:rsid w:val="50E772C9"/>
    <w:rsid w:val="50E917F7"/>
    <w:rsid w:val="50FD4D3F"/>
    <w:rsid w:val="51361FFF"/>
    <w:rsid w:val="514B1B1C"/>
    <w:rsid w:val="514B5AF1"/>
    <w:rsid w:val="518064A7"/>
    <w:rsid w:val="51B51175"/>
    <w:rsid w:val="51C92E73"/>
    <w:rsid w:val="51CA0718"/>
    <w:rsid w:val="51D82FF4"/>
    <w:rsid w:val="51DA018B"/>
    <w:rsid w:val="51E43809"/>
    <w:rsid w:val="52036385"/>
    <w:rsid w:val="52045C59"/>
    <w:rsid w:val="52122C37"/>
    <w:rsid w:val="52241ACF"/>
    <w:rsid w:val="524D7600"/>
    <w:rsid w:val="52770B21"/>
    <w:rsid w:val="529004AD"/>
    <w:rsid w:val="5297014C"/>
    <w:rsid w:val="5297562A"/>
    <w:rsid w:val="52A42F98"/>
    <w:rsid w:val="52BB0D49"/>
    <w:rsid w:val="52D2096E"/>
    <w:rsid w:val="52E43E80"/>
    <w:rsid w:val="52EA30A1"/>
    <w:rsid w:val="52EE68A0"/>
    <w:rsid w:val="532C190B"/>
    <w:rsid w:val="533B1BB0"/>
    <w:rsid w:val="533D713F"/>
    <w:rsid w:val="53806ACF"/>
    <w:rsid w:val="538B13C1"/>
    <w:rsid w:val="538D283B"/>
    <w:rsid w:val="53B05D4B"/>
    <w:rsid w:val="53BB6A43"/>
    <w:rsid w:val="53FA5565"/>
    <w:rsid w:val="53FB308C"/>
    <w:rsid w:val="5402441A"/>
    <w:rsid w:val="54080284"/>
    <w:rsid w:val="54170908"/>
    <w:rsid w:val="54210D44"/>
    <w:rsid w:val="542B1C87"/>
    <w:rsid w:val="543C792C"/>
    <w:rsid w:val="54413194"/>
    <w:rsid w:val="544310EC"/>
    <w:rsid w:val="544561BC"/>
    <w:rsid w:val="54492049"/>
    <w:rsid w:val="54513ED8"/>
    <w:rsid w:val="54534C76"/>
    <w:rsid w:val="545F1A35"/>
    <w:rsid w:val="54770964"/>
    <w:rsid w:val="549968E7"/>
    <w:rsid w:val="54A26E00"/>
    <w:rsid w:val="54A84643"/>
    <w:rsid w:val="54AF6350"/>
    <w:rsid w:val="54CC3338"/>
    <w:rsid w:val="54DA3B82"/>
    <w:rsid w:val="553966FB"/>
    <w:rsid w:val="55894DF3"/>
    <w:rsid w:val="55A467C8"/>
    <w:rsid w:val="55AC187C"/>
    <w:rsid w:val="55AE6607"/>
    <w:rsid w:val="55C070A6"/>
    <w:rsid w:val="55CA71B9"/>
    <w:rsid w:val="55CB540B"/>
    <w:rsid w:val="55D703EE"/>
    <w:rsid w:val="55F44040"/>
    <w:rsid w:val="55F942A7"/>
    <w:rsid w:val="560721BC"/>
    <w:rsid w:val="561523F3"/>
    <w:rsid w:val="561F0636"/>
    <w:rsid w:val="562B40FC"/>
    <w:rsid w:val="562C4278"/>
    <w:rsid w:val="563B3C13"/>
    <w:rsid w:val="56427548"/>
    <w:rsid w:val="56470D38"/>
    <w:rsid w:val="565901FB"/>
    <w:rsid w:val="5661676B"/>
    <w:rsid w:val="569A4DDE"/>
    <w:rsid w:val="56A3023E"/>
    <w:rsid w:val="56B063AF"/>
    <w:rsid w:val="56D55286"/>
    <w:rsid w:val="56EE1B8C"/>
    <w:rsid w:val="56FB79AF"/>
    <w:rsid w:val="57467F7B"/>
    <w:rsid w:val="574865E8"/>
    <w:rsid w:val="5753390A"/>
    <w:rsid w:val="57911D3D"/>
    <w:rsid w:val="579161E1"/>
    <w:rsid w:val="5797131D"/>
    <w:rsid w:val="57B86A55"/>
    <w:rsid w:val="57BD5228"/>
    <w:rsid w:val="57C540DC"/>
    <w:rsid w:val="57CE3012"/>
    <w:rsid w:val="57F13854"/>
    <w:rsid w:val="58024DF3"/>
    <w:rsid w:val="580A1AEF"/>
    <w:rsid w:val="581110D0"/>
    <w:rsid w:val="58331046"/>
    <w:rsid w:val="58355B0C"/>
    <w:rsid w:val="58525DD9"/>
    <w:rsid w:val="58580AAD"/>
    <w:rsid w:val="58622535"/>
    <w:rsid w:val="587753D7"/>
    <w:rsid w:val="58847AF3"/>
    <w:rsid w:val="5889510A"/>
    <w:rsid w:val="589651AD"/>
    <w:rsid w:val="589C4E3D"/>
    <w:rsid w:val="58A15938"/>
    <w:rsid w:val="58A272E0"/>
    <w:rsid w:val="58C44394"/>
    <w:rsid w:val="58CF53CB"/>
    <w:rsid w:val="58D24809"/>
    <w:rsid w:val="58DF11CE"/>
    <w:rsid w:val="58E81E30"/>
    <w:rsid w:val="58EB36CF"/>
    <w:rsid w:val="58F00457"/>
    <w:rsid w:val="591047FC"/>
    <w:rsid w:val="59155BDF"/>
    <w:rsid w:val="591F781C"/>
    <w:rsid w:val="59284166"/>
    <w:rsid w:val="594934F9"/>
    <w:rsid w:val="596418E2"/>
    <w:rsid w:val="5967369D"/>
    <w:rsid w:val="596C5225"/>
    <w:rsid w:val="597A7D1C"/>
    <w:rsid w:val="598C2BE0"/>
    <w:rsid w:val="599B50F5"/>
    <w:rsid w:val="59A85A64"/>
    <w:rsid w:val="59B91A1F"/>
    <w:rsid w:val="59BB69AF"/>
    <w:rsid w:val="59DB58D2"/>
    <w:rsid w:val="59E425D5"/>
    <w:rsid w:val="59EA2050"/>
    <w:rsid w:val="5A074538"/>
    <w:rsid w:val="5A1D72A9"/>
    <w:rsid w:val="5A2068C3"/>
    <w:rsid w:val="5A3612C1"/>
    <w:rsid w:val="5A41771A"/>
    <w:rsid w:val="5A5D684E"/>
    <w:rsid w:val="5A8B0A6A"/>
    <w:rsid w:val="5AB91C35"/>
    <w:rsid w:val="5ABD0110"/>
    <w:rsid w:val="5AE33167"/>
    <w:rsid w:val="5AE825BC"/>
    <w:rsid w:val="5AF50835"/>
    <w:rsid w:val="5AFE34FD"/>
    <w:rsid w:val="5B0E18F6"/>
    <w:rsid w:val="5B0F6590"/>
    <w:rsid w:val="5B174FD8"/>
    <w:rsid w:val="5B351DE0"/>
    <w:rsid w:val="5B3E6680"/>
    <w:rsid w:val="5B637E94"/>
    <w:rsid w:val="5B75322C"/>
    <w:rsid w:val="5B8E46C8"/>
    <w:rsid w:val="5B914A01"/>
    <w:rsid w:val="5BAA7871"/>
    <w:rsid w:val="5BE23E61"/>
    <w:rsid w:val="5BE74621"/>
    <w:rsid w:val="5BFB54CD"/>
    <w:rsid w:val="5C0C4088"/>
    <w:rsid w:val="5C1C46DE"/>
    <w:rsid w:val="5C1D1C44"/>
    <w:rsid w:val="5C2C472A"/>
    <w:rsid w:val="5C2E04A2"/>
    <w:rsid w:val="5C3F26AF"/>
    <w:rsid w:val="5C533A65"/>
    <w:rsid w:val="5C676FEC"/>
    <w:rsid w:val="5C6F67BE"/>
    <w:rsid w:val="5C7F2AAC"/>
    <w:rsid w:val="5C841E70"/>
    <w:rsid w:val="5CB0535B"/>
    <w:rsid w:val="5CB6096B"/>
    <w:rsid w:val="5CB84B6A"/>
    <w:rsid w:val="5CC42BB4"/>
    <w:rsid w:val="5CC45BA9"/>
    <w:rsid w:val="5CCA006D"/>
    <w:rsid w:val="5CCB429F"/>
    <w:rsid w:val="5CCD29B2"/>
    <w:rsid w:val="5CF26A61"/>
    <w:rsid w:val="5D3537DE"/>
    <w:rsid w:val="5D55543A"/>
    <w:rsid w:val="5D5F6439"/>
    <w:rsid w:val="5D61749E"/>
    <w:rsid w:val="5D665A1A"/>
    <w:rsid w:val="5D7A7717"/>
    <w:rsid w:val="5D954ADB"/>
    <w:rsid w:val="5DA551E3"/>
    <w:rsid w:val="5DAA1DAA"/>
    <w:rsid w:val="5DC015CE"/>
    <w:rsid w:val="5DC3689E"/>
    <w:rsid w:val="5DE0466F"/>
    <w:rsid w:val="5DED1C97"/>
    <w:rsid w:val="5E0C1BCA"/>
    <w:rsid w:val="5E121BA9"/>
    <w:rsid w:val="5E1C257C"/>
    <w:rsid w:val="5E2D7FB9"/>
    <w:rsid w:val="5E2E29DB"/>
    <w:rsid w:val="5E3420C7"/>
    <w:rsid w:val="5E3873B6"/>
    <w:rsid w:val="5E526529"/>
    <w:rsid w:val="5ED63B38"/>
    <w:rsid w:val="5F0D1A37"/>
    <w:rsid w:val="5F16000E"/>
    <w:rsid w:val="5F304531"/>
    <w:rsid w:val="5F5F701C"/>
    <w:rsid w:val="5FA17A19"/>
    <w:rsid w:val="5FB66181"/>
    <w:rsid w:val="5FCF6910"/>
    <w:rsid w:val="5FDE21DF"/>
    <w:rsid w:val="5FE86BBA"/>
    <w:rsid w:val="5FEB0A27"/>
    <w:rsid w:val="5FF62406"/>
    <w:rsid w:val="5FFB4B3F"/>
    <w:rsid w:val="600D03CE"/>
    <w:rsid w:val="601349DC"/>
    <w:rsid w:val="603B57A9"/>
    <w:rsid w:val="60667AC0"/>
    <w:rsid w:val="608033BA"/>
    <w:rsid w:val="6085265B"/>
    <w:rsid w:val="608B5521"/>
    <w:rsid w:val="60943AD9"/>
    <w:rsid w:val="609D5BF6"/>
    <w:rsid w:val="60CB2763"/>
    <w:rsid w:val="60CD1F8E"/>
    <w:rsid w:val="60CD295D"/>
    <w:rsid w:val="60D87675"/>
    <w:rsid w:val="60DD5FF3"/>
    <w:rsid w:val="60E655D4"/>
    <w:rsid w:val="60E66958"/>
    <w:rsid w:val="60EE4F6D"/>
    <w:rsid w:val="60F05E4D"/>
    <w:rsid w:val="60FF15E0"/>
    <w:rsid w:val="613A1697"/>
    <w:rsid w:val="614222FA"/>
    <w:rsid w:val="61813657"/>
    <w:rsid w:val="61816E7A"/>
    <w:rsid w:val="61897F44"/>
    <w:rsid w:val="61924217"/>
    <w:rsid w:val="6192502F"/>
    <w:rsid w:val="61A11160"/>
    <w:rsid w:val="61A540B6"/>
    <w:rsid w:val="61AC5FDE"/>
    <w:rsid w:val="61D64590"/>
    <w:rsid w:val="61E11B13"/>
    <w:rsid w:val="620E6D99"/>
    <w:rsid w:val="621912AD"/>
    <w:rsid w:val="621A6DD3"/>
    <w:rsid w:val="622044E7"/>
    <w:rsid w:val="6230783D"/>
    <w:rsid w:val="623409A6"/>
    <w:rsid w:val="624B1378"/>
    <w:rsid w:val="624F3D2A"/>
    <w:rsid w:val="625D3903"/>
    <w:rsid w:val="626F1C56"/>
    <w:rsid w:val="629B5C1E"/>
    <w:rsid w:val="62A50D92"/>
    <w:rsid w:val="62B176E2"/>
    <w:rsid w:val="62D16876"/>
    <w:rsid w:val="62DD677E"/>
    <w:rsid w:val="62DF6EC5"/>
    <w:rsid w:val="62E4391D"/>
    <w:rsid w:val="62E95123"/>
    <w:rsid w:val="62FF00B3"/>
    <w:rsid w:val="630065ED"/>
    <w:rsid w:val="630C2BBF"/>
    <w:rsid w:val="631D76FE"/>
    <w:rsid w:val="63225D72"/>
    <w:rsid w:val="633407C8"/>
    <w:rsid w:val="637D0255"/>
    <w:rsid w:val="63AD1207"/>
    <w:rsid w:val="63DA38A8"/>
    <w:rsid w:val="63E84A0F"/>
    <w:rsid w:val="64177A6E"/>
    <w:rsid w:val="64216B3E"/>
    <w:rsid w:val="64255715"/>
    <w:rsid w:val="643B2165"/>
    <w:rsid w:val="646F78AA"/>
    <w:rsid w:val="649E1E06"/>
    <w:rsid w:val="649E2A36"/>
    <w:rsid w:val="64A0147F"/>
    <w:rsid w:val="64A70DF2"/>
    <w:rsid w:val="64AC6408"/>
    <w:rsid w:val="64C64FF0"/>
    <w:rsid w:val="64CD637E"/>
    <w:rsid w:val="64D0131F"/>
    <w:rsid w:val="64EE7961"/>
    <w:rsid w:val="650C334B"/>
    <w:rsid w:val="651346D9"/>
    <w:rsid w:val="65180933"/>
    <w:rsid w:val="654474C8"/>
    <w:rsid w:val="654900FB"/>
    <w:rsid w:val="654C00DD"/>
    <w:rsid w:val="65562818"/>
    <w:rsid w:val="65566374"/>
    <w:rsid w:val="656F5FE4"/>
    <w:rsid w:val="65A96DEB"/>
    <w:rsid w:val="65B85280"/>
    <w:rsid w:val="65BA2DA7"/>
    <w:rsid w:val="65BB5537"/>
    <w:rsid w:val="65C20D04"/>
    <w:rsid w:val="65D07F6A"/>
    <w:rsid w:val="65FC5ADD"/>
    <w:rsid w:val="66041D37"/>
    <w:rsid w:val="660D0F10"/>
    <w:rsid w:val="662D7193"/>
    <w:rsid w:val="665775FD"/>
    <w:rsid w:val="667967BE"/>
    <w:rsid w:val="667B0CB0"/>
    <w:rsid w:val="669058B5"/>
    <w:rsid w:val="6695148B"/>
    <w:rsid w:val="66974E96"/>
    <w:rsid w:val="669E7FD2"/>
    <w:rsid w:val="66A7157D"/>
    <w:rsid w:val="66AE484C"/>
    <w:rsid w:val="66C022CE"/>
    <w:rsid w:val="66DB2FD4"/>
    <w:rsid w:val="670065FE"/>
    <w:rsid w:val="672506F4"/>
    <w:rsid w:val="679232E9"/>
    <w:rsid w:val="6793565D"/>
    <w:rsid w:val="67A27F96"/>
    <w:rsid w:val="67AE2497"/>
    <w:rsid w:val="67AF7FBD"/>
    <w:rsid w:val="67B13D35"/>
    <w:rsid w:val="67BB59CA"/>
    <w:rsid w:val="67C92354"/>
    <w:rsid w:val="67D5211A"/>
    <w:rsid w:val="67FD5DC4"/>
    <w:rsid w:val="68093B71"/>
    <w:rsid w:val="682E35D8"/>
    <w:rsid w:val="6841636E"/>
    <w:rsid w:val="68442F3F"/>
    <w:rsid w:val="684828EC"/>
    <w:rsid w:val="68686AEA"/>
    <w:rsid w:val="68AD7F2E"/>
    <w:rsid w:val="68EA41F5"/>
    <w:rsid w:val="68EC1253"/>
    <w:rsid w:val="69012A9A"/>
    <w:rsid w:val="690546F9"/>
    <w:rsid w:val="690D5105"/>
    <w:rsid w:val="69242AFE"/>
    <w:rsid w:val="69344C1E"/>
    <w:rsid w:val="6939173B"/>
    <w:rsid w:val="693B7E5B"/>
    <w:rsid w:val="694D5CE0"/>
    <w:rsid w:val="694D6594"/>
    <w:rsid w:val="69554A42"/>
    <w:rsid w:val="695F2A22"/>
    <w:rsid w:val="69732A99"/>
    <w:rsid w:val="69796AD5"/>
    <w:rsid w:val="69AE49D0"/>
    <w:rsid w:val="69C77840"/>
    <w:rsid w:val="69D4634C"/>
    <w:rsid w:val="69DD52B6"/>
    <w:rsid w:val="6A026ACA"/>
    <w:rsid w:val="6A097E59"/>
    <w:rsid w:val="6A2A6C1F"/>
    <w:rsid w:val="6A375412"/>
    <w:rsid w:val="6A470981"/>
    <w:rsid w:val="6A5D0E00"/>
    <w:rsid w:val="6A67567A"/>
    <w:rsid w:val="6A754122"/>
    <w:rsid w:val="6A7A213F"/>
    <w:rsid w:val="6A9040D6"/>
    <w:rsid w:val="6AAE190A"/>
    <w:rsid w:val="6AB02619"/>
    <w:rsid w:val="6AB3340E"/>
    <w:rsid w:val="6AE461D0"/>
    <w:rsid w:val="6AF9602B"/>
    <w:rsid w:val="6AF96DE2"/>
    <w:rsid w:val="6B026CED"/>
    <w:rsid w:val="6B1677AA"/>
    <w:rsid w:val="6B1854C0"/>
    <w:rsid w:val="6B23319C"/>
    <w:rsid w:val="6B696AC6"/>
    <w:rsid w:val="6B7E6624"/>
    <w:rsid w:val="6B9F4620"/>
    <w:rsid w:val="6BAD7577"/>
    <w:rsid w:val="6BCF6E80"/>
    <w:rsid w:val="6BE50451"/>
    <w:rsid w:val="6BEF79EE"/>
    <w:rsid w:val="6C134FBF"/>
    <w:rsid w:val="6C276CBC"/>
    <w:rsid w:val="6C3D64DF"/>
    <w:rsid w:val="6C3F5DB4"/>
    <w:rsid w:val="6C53360D"/>
    <w:rsid w:val="6C553829"/>
    <w:rsid w:val="6C557385"/>
    <w:rsid w:val="6C693B68"/>
    <w:rsid w:val="6C7A274D"/>
    <w:rsid w:val="6C7C7008"/>
    <w:rsid w:val="6C845EBC"/>
    <w:rsid w:val="6C9432AC"/>
    <w:rsid w:val="6C991968"/>
    <w:rsid w:val="6CA200F0"/>
    <w:rsid w:val="6CA64CB9"/>
    <w:rsid w:val="6CA67BE1"/>
    <w:rsid w:val="6CBA368C"/>
    <w:rsid w:val="6CBD4F2A"/>
    <w:rsid w:val="6CCA0AEE"/>
    <w:rsid w:val="6CCD71E0"/>
    <w:rsid w:val="6CD97FB6"/>
    <w:rsid w:val="6CFD2334"/>
    <w:rsid w:val="6D2673E0"/>
    <w:rsid w:val="6D415B5B"/>
    <w:rsid w:val="6D527D69"/>
    <w:rsid w:val="6D531D64"/>
    <w:rsid w:val="6D7777CF"/>
    <w:rsid w:val="6DAA381D"/>
    <w:rsid w:val="6DB75906"/>
    <w:rsid w:val="6DC742B3"/>
    <w:rsid w:val="6DC9627D"/>
    <w:rsid w:val="6DE85FD7"/>
    <w:rsid w:val="6DEC3D19"/>
    <w:rsid w:val="6DFB0D4A"/>
    <w:rsid w:val="6E14005B"/>
    <w:rsid w:val="6E2A4841"/>
    <w:rsid w:val="6E2C05BA"/>
    <w:rsid w:val="6E427EA1"/>
    <w:rsid w:val="6E435A5B"/>
    <w:rsid w:val="6E4B4EE4"/>
    <w:rsid w:val="6E511DCE"/>
    <w:rsid w:val="6E711EDB"/>
    <w:rsid w:val="6E9D3265"/>
    <w:rsid w:val="6EA90670"/>
    <w:rsid w:val="6EB32A89"/>
    <w:rsid w:val="6ECA29B7"/>
    <w:rsid w:val="6EE67DB6"/>
    <w:rsid w:val="6EF56BFD"/>
    <w:rsid w:val="6F0B6421"/>
    <w:rsid w:val="6F241291"/>
    <w:rsid w:val="6F257845"/>
    <w:rsid w:val="6F3F60CB"/>
    <w:rsid w:val="6F6214F1"/>
    <w:rsid w:val="6F631DB9"/>
    <w:rsid w:val="6F692303"/>
    <w:rsid w:val="6F977CB5"/>
    <w:rsid w:val="6FA50B40"/>
    <w:rsid w:val="6FCB3E2E"/>
    <w:rsid w:val="6FE54EC4"/>
    <w:rsid w:val="6FED1F44"/>
    <w:rsid w:val="6FED6CC8"/>
    <w:rsid w:val="6FF3138F"/>
    <w:rsid w:val="6FF60E7F"/>
    <w:rsid w:val="70025A76"/>
    <w:rsid w:val="700E61C9"/>
    <w:rsid w:val="701E263C"/>
    <w:rsid w:val="7048237C"/>
    <w:rsid w:val="70566516"/>
    <w:rsid w:val="70713BD1"/>
    <w:rsid w:val="70865D3B"/>
    <w:rsid w:val="70A65F9E"/>
    <w:rsid w:val="70AC1404"/>
    <w:rsid w:val="70EB650A"/>
    <w:rsid w:val="70FA1D5A"/>
    <w:rsid w:val="71145A61"/>
    <w:rsid w:val="712B2DAA"/>
    <w:rsid w:val="71381CA7"/>
    <w:rsid w:val="71473C79"/>
    <w:rsid w:val="7147688E"/>
    <w:rsid w:val="716143DA"/>
    <w:rsid w:val="71705CD4"/>
    <w:rsid w:val="71B0505E"/>
    <w:rsid w:val="71C54519"/>
    <w:rsid w:val="71CB2566"/>
    <w:rsid w:val="71EA0CF1"/>
    <w:rsid w:val="72007D93"/>
    <w:rsid w:val="720535FB"/>
    <w:rsid w:val="72086C48"/>
    <w:rsid w:val="72180B78"/>
    <w:rsid w:val="72875F99"/>
    <w:rsid w:val="72B666A4"/>
    <w:rsid w:val="72BD5C84"/>
    <w:rsid w:val="72C46090"/>
    <w:rsid w:val="72CB65F3"/>
    <w:rsid w:val="72CD32BD"/>
    <w:rsid w:val="72D056C9"/>
    <w:rsid w:val="72E66F89"/>
    <w:rsid w:val="72F02FB8"/>
    <w:rsid w:val="73016CE4"/>
    <w:rsid w:val="73061D27"/>
    <w:rsid w:val="730B69EF"/>
    <w:rsid w:val="73165394"/>
    <w:rsid w:val="73225FFC"/>
    <w:rsid w:val="732D4A53"/>
    <w:rsid w:val="732E26DE"/>
    <w:rsid w:val="73A2527A"/>
    <w:rsid w:val="73C41B47"/>
    <w:rsid w:val="73C854B8"/>
    <w:rsid w:val="73D74B24"/>
    <w:rsid w:val="73FD2F24"/>
    <w:rsid w:val="73FD6AC3"/>
    <w:rsid w:val="740C0C71"/>
    <w:rsid w:val="74100036"/>
    <w:rsid w:val="742F621F"/>
    <w:rsid w:val="7440441F"/>
    <w:rsid w:val="74466AEE"/>
    <w:rsid w:val="745436E9"/>
    <w:rsid w:val="7467234B"/>
    <w:rsid w:val="746D7236"/>
    <w:rsid w:val="747D56CB"/>
    <w:rsid w:val="74883CC4"/>
    <w:rsid w:val="748F32C8"/>
    <w:rsid w:val="74A82EA8"/>
    <w:rsid w:val="74A87AD3"/>
    <w:rsid w:val="74B66E2F"/>
    <w:rsid w:val="74C72DEA"/>
    <w:rsid w:val="74D36DD2"/>
    <w:rsid w:val="74D474BB"/>
    <w:rsid w:val="74E47DAA"/>
    <w:rsid w:val="74F14535"/>
    <w:rsid w:val="75051D1C"/>
    <w:rsid w:val="751C3136"/>
    <w:rsid w:val="75322959"/>
    <w:rsid w:val="753B50D0"/>
    <w:rsid w:val="75480753"/>
    <w:rsid w:val="754B7FC9"/>
    <w:rsid w:val="754F5823"/>
    <w:rsid w:val="757A4300"/>
    <w:rsid w:val="7581749B"/>
    <w:rsid w:val="75A35605"/>
    <w:rsid w:val="75A82C1C"/>
    <w:rsid w:val="75BF1D13"/>
    <w:rsid w:val="75FA3D83"/>
    <w:rsid w:val="760C0463"/>
    <w:rsid w:val="760D2A7F"/>
    <w:rsid w:val="76115905"/>
    <w:rsid w:val="76120095"/>
    <w:rsid w:val="761C57A4"/>
    <w:rsid w:val="76204D8E"/>
    <w:rsid w:val="76397D18"/>
    <w:rsid w:val="765406AD"/>
    <w:rsid w:val="76650C10"/>
    <w:rsid w:val="76654669"/>
    <w:rsid w:val="766C59F7"/>
    <w:rsid w:val="767F0F22"/>
    <w:rsid w:val="768B0E67"/>
    <w:rsid w:val="76A809F9"/>
    <w:rsid w:val="76CC293A"/>
    <w:rsid w:val="76D90BB3"/>
    <w:rsid w:val="770420D4"/>
    <w:rsid w:val="770E6AAE"/>
    <w:rsid w:val="771F28FF"/>
    <w:rsid w:val="77295AC0"/>
    <w:rsid w:val="772C4DFE"/>
    <w:rsid w:val="77346557"/>
    <w:rsid w:val="773A78A3"/>
    <w:rsid w:val="773B11F5"/>
    <w:rsid w:val="77470212"/>
    <w:rsid w:val="774B494E"/>
    <w:rsid w:val="775A6197"/>
    <w:rsid w:val="7760409C"/>
    <w:rsid w:val="7765512B"/>
    <w:rsid w:val="776A6102"/>
    <w:rsid w:val="77707769"/>
    <w:rsid w:val="77784870"/>
    <w:rsid w:val="778925D9"/>
    <w:rsid w:val="77B01CDC"/>
    <w:rsid w:val="77BC27B9"/>
    <w:rsid w:val="77D604B6"/>
    <w:rsid w:val="781F4CEB"/>
    <w:rsid w:val="78320EC2"/>
    <w:rsid w:val="783C764B"/>
    <w:rsid w:val="784011AE"/>
    <w:rsid w:val="78553A83"/>
    <w:rsid w:val="786A68F2"/>
    <w:rsid w:val="78746DE5"/>
    <w:rsid w:val="78843C75"/>
    <w:rsid w:val="78880AE2"/>
    <w:rsid w:val="78A35A70"/>
    <w:rsid w:val="78A51694"/>
    <w:rsid w:val="78C2428E"/>
    <w:rsid w:val="78D93B65"/>
    <w:rsid w:val="793144E1"/>
    <w:rsid w:val="793D4922"/>
    <w:rsid w:val="79411E31"/>
    <w:rsid w:val="7948418D"/>
    <w:rsid w:val="795A0263"/>
    <w:rsid w:val="79884CBA"/>
    <w:rsid w:val="798A4980"/>
    <w:rsid w:val="798D3C7E"/>
    <w:rsid w:val="798E4C9F"/>
    <w:rsid w:val="79B41C03"/>
    <w:rsid w:val="79BA2F1D"/>
    <w:rsid w:val="79C57453"/>
    <w:rsid w:val="79D02A72"/>
    <w:rsid w:val="79DB3703"/>
    <w:rsid w:val="79E84C9C"/>
    <w:rsid w:val="79F30305"/>
    <w:rsid w:val="79F3784F"/>
    <w:rsid w:val="7A00024C"/>
    <w:rsid w:val="7A07118F"/>
    <w:rsid w:val="7A0917AF"/>
    <w:rsid w:val="7A124B07"/>
    <w:rsid w:val="7A1C30A9"/>
    <w:rsid w:val="7A1F0087"/>
    <w:rsid w:val="7A2A00A3"/>
    <w:rsid w:val="7A2C173D"/>
    <w:rsid w:val="7A431DF2"/>
    <w:rsid w:val="7A50273A"/>
    <w:rsid w:val="7A5F16D0"/>
    <w:rsid w:val="7A786E84"/>
    <w:rsid w:val="7A84644A"/>
    <w:rsid w:val="7A98079C"/>
    <w:rsid w:val="7AA339B1"/>
    <w:rsid w:val="7AA716F4"/>
    <w:rsid w:val="7AB3762E"/>
    <w:rsid w:val="7AC8166A"/>
    <w:rsid w:val="7AD973D3"/>
    <w:rsid w:val="7AE30252"/>
    <w:rsid w:val="7B14578D"/>
    <w:rsid w:val="7B3A7E20"/>
    <w:rsid w:val="7B703B51"/>
    <w:rsid w:val="7B71585E"/>
    <w:rsid w:val="7B7C2BC7"/>
    <w:rsid w:val="7B8B2650"/>
    <w:rsid w:val="7BB35E76"/>
    <w:rsid w:val="7BB65396"/>
    <w:rsid w:val="7BCF61F6"/>
    <w:rsid w:val="7BF007D9"/>
    <w:rsid w:val="7C1A10F8"/>
    <w:rsid w:val="7C2620E9"/>
    <w:rsid w:val="7C46099E"/>
    <w:rsid w:val="7C492337"/>
    <w:rsid w:val="7C4E24BC"/>
    <w:rsid w:val="7C5740E3"/>
    <w:rsid w:val="7C991AC9"/>
    <w:rsid w:val="7CB00608"/>
    <w:rsid w:val="7CD95454"/>
    <w:rsid w:val="7CE60F2F"/>
    <w:rsid w:val="7D017179"/>
    <w:rsid w:val="7D0F732D"/>
    <w:rsid w:val="7D1B0177"/>
    <w:rsid w:val="7D276AC4"/>
    <w:rsid w:val="7D450D50"/>
    <w:rsid w:val="7D52346D"/>
    <w:rsid w:val="7D5471E5"/>
    <w:rsid w:val="7D5D078F"/>
    <w:rsid w:val="7D6308BF"/>
    <w:rsid w:val="7D7A4E9D"/>
    <w:rsid w:val="7DBF0B02"/>
    <w:rsid w:val="7DD236A1"/>
    <w:rsid w:val="7DE95B7F"/>
    <w:rsid w:val="7DF05160"/>
    <w:rsid w:val="7E0D3F64"/>
    <w:rsid w:val="7E1B6064"/>
    <w:rsid w:val="7E2C464B"/>
    <w:rsid w:val="7E5A5F62"/>
    <w:rsid w:val="7E6163C9"/>
    <w:rsid w:val="7E675269"/>
    <w:rsid w:val="7E771065"/>
    <w:rsid w:val="7E7D2B08"/>
    <w:rsid w:val="7E987C76"/>
    <w:rsid w:val="7EB42631"/>
    <w:rsid w:val="7EBE7F49"/>
    <w:rsid w:val="7ED14F91"/>
    <w:rsid w:val="7ED27099"/>
    <w:rsid w:val="7EEF18BB"/>
    <w:rsid w:val="7EF014CF"/>
    <w:rsid w:val="7EF37B12"/>
    <w:rsid w:val="7F340FE7"/>
    <w:rsid w:val="7F380056"/>
    <w:rsid w:val="7F6F0306"/>
    <w:rsid w:val="7F8578A0"/>
    <w:rsid w:val="7FAE720E"/>
    <w:rsid w:val="7FB327FC"/>
    <w:rsid w:val="7FC11AEE"/>
    <w:rsid w:val="7FDF6BD9"/>
    <w:rsid w:val="7FF97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link w:val="143"/>
    <w:autoRedefine/>
    <w:qFormat/>
    <w:uiPriority w:val="0"/>
    <w:pPr>
      <w:keepNext/>
      <w:jc w:val="center"/>
      <w:outlineLvl w:val="0"/>
    </w:pPr>
    <w:rPr>
      <w:b/>
      <w:bCs/>
      <w:sz w:val="24"/>
    </w:rPr>
  </w:style>
  <w:style w:type="paragraph" w:styleId="3">
    <w:name w:val="heading 2"/>
    <w:basedOn w:val="1"/>
    <w:next w:val="1"/>
    <w:link w:val="5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6"/>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8">
    <w:name w:val="heading 9"/>
    <w:basedOn w:val="1"/>
    <w:next w:val="1"/>
    <w:autoRedefine/>
    <w:qFormat/>
    <w:uiPriority w:val="0"/>
    <w:pPr>
      <w:keepNext/>
      <w:keepLines/>
      <w:spacing w:before="240" w:after="64" w:line="317" w:lineRule="auto"/>
      <w:outlineLvl w:val="8"/>
    </w:pPr>
    <w:rPr>
      <w:rFonts w:ascii="Arial" w:hAnsi="Arial" w:eastAsia="黑体"/>
      <w:szCs w:val="22"/>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Plain Text"/>
    <w:basedOn w:val="1"/>
    <w:next w:val="1"/>
    <w:link w:val="59"/>
    <w:qFormat/>
    <w:uiPriority w:val="0"/>
    <w:pPr>
      <w:spacing w:beforeLines="50" w:afterLines="50" w:line="400" w:lineRule="exact"/>
    </w:pPr>
    <w:rPr>
      <w:rFonts w:ascii="宋体" w:hAnsi="Courier New"/>
      <w:sz w:val="24"/>
    </w:rPr>
  </w:style>
  <w:style w:type="paragraph" w:styleId="9">
    <w:name w:val="List Number"/>
    <w:basedOn w:val="1"/>
    <w:autoRedefine/>
    <w:qFormat/>
    <w:uiPriority w:val="0"/>
    <w:pPr>
      <w:widowControl/>
      <w:numPr>
        <w:ilvl w:val="0"/>
        <w:numId w:val="1"/>
      </w:numPr>
      <w:tabs>
        <w:tab w:val="left" w:pos="454"/>
        <w:tab w:val="left" w:pos="720"/>
        <w:tab w:val="clear" w:pos="900"/>
      </w:tabs>
      <w:spacing w:afterLines="50"/>
      <w:ind w:left="454" w:hanging="284"/>
      <w:jc w:val="left"/>
    </w:pPr>
    <w:rPr>
      <w:kern w:val="0"/>
      <w:sz w:val="24"/>
    </w:rPr>
  </w:style>
  <w:style w:type="paragraph" w:styleId="10">
    <w:name w:val="Normal Indent"/>
    <w:basedOn w:val="1"/>
    <w:next w:val="1"/>
    <w:link w:val="58"/>
    <w:autoRedefine/>
    <w:qFormat/>
    <w:uiPriority w:val="0"/>
    <w:pPr>
      <w:ind w:firstLine="420"/>
    </w:pPr>
  </w:style>
  <w:style w:type="paragraph" w:styleId="11">
    <w:name w:val="caption"/>
    <w:basedOn w:val="1"/>
    <w:next w:val="1"/>
    <w:autoRedefine/>
    <w:qFormat/>
    <w:uiPriority w:val="0"/>
    <w:pPr>
      <w:spacing w:before="152" w:after="160"/>
    </w:pPr>
    <w:rPr>
      <w:rFonts w:ascii="Arial" w:hAnsi="Arial" w:eastAsia="黑体" w:cs="Arial"/>
      <w:sz w:val="20"/>
    </w:rPr>
  </w:style>
  <w:style w:type="paragraph" w:styleId="12">
    <w:name w:val="annotation text"/>
    <w:basedOn w:val="1"/>
    <w:autoRedefine/>
    <w:semiHidden/>
    <w:qFormat/>
    <w:uiPriority w:val="0"/>
    <w:pPr>
      <w:jc w:val="left"/>
    </w:pPr>
  </w:style>
  <w:style w:type="paragraph" w:styleId="13">
    <w:name w:val="Body Text 3"/>
    <w:basedOn w:val="1"/>
    <w:autoRedefine/>
    <w:qFormat/>
    <w:uiPriority w:val="0"/>
    <w:pPr>
      <w:snapToGrid w:val="0"/>
      <w:spacing w:before="50" w:after="50"/>
    </w:pPr>
    <w:rPr>
      <w:rFonts w:hAnsi="宋体" w:eastAsia="仿宋_GB2312"/>
      <w:b/>
      <w:bCs/>
      <w:sz w:val="24"/>
    </w:rPr>
  </w:style>
  <w:style w:type="paragraph" w:styleId="14">
    <w:name w:val="Body Text"/>
    <w:basedOn w:val="1"/>
    <w:link w:val="53"/>
    <w:autoRedefine/>
    <w:qFormat/>
    <w:uiPriority w:val="0"/>
    <w:pPr>
      <w:spacing w:after="120"/>
    </w:pPr>
    <w:rPr>
      <w:sz w:val="28"/>
    </w:rPr>
  </w:style>
  <w:style w:type="paragraph" w:styleId="15">
    <w:name w:val="Body Text Indent"/>
    <w:basedOn w:val="1"/>
    <w:next w:val="1"/>
    <w:autoRedefine/>
    <w:qFormat/>
    <w:uiPriority w:val="0"/>
    <w:pPr>
      <w:spacing w:line="200" w:lineRule="exact"/>
      <w:ind w:firstLine="301"/>
    </w:pPr>
    <w:rPr>
      <w:rFonts w:ascii="宋体" w:hAnsi="Courier New"/>
      <w:spacing w:val="-4"/>
      <w:sz w:val="18"/>
    </w:rPr>
  </w:style>
  <w:style w:type="paragraph" w:styleId="16">
    <w:name w:val="List Number 3"/>
    <w:basedOn w:val="1"/>
    <w:autoRedefine/>
    <w:qFormat/>
    <w:uiPriority w:val="0"/>
    <w:pPr>
      <w:numPr>
        <w:ilvl w:val="0"/>
        <w:numId w:val="2"/>
      </w:numPr>
    </w:pPr>
  </w:style>
  <w:style w:type="paragraph" w:styleId="17">
    <w:name w:val="List 2"/>
    <w:basedOn w:val="1"/>
    <w:autoRedefine/>
    <w:qFormat/>
    <w:uiPriority w:val="0"/>
    <w:pPr>
      <w:ind w:left="100" w:leftChars="200" w:hanging="200" w:hangingChars="200"/>
    </w:pPr>
    <w:rPr>
      <w:sz w:val="28"/>
    </w:rPr>
  </w:style>
  <w:style w:type="paragraph" w:styleId="18">
    <w:name w:val="Block Text"/>
    <w:basedOn w:val="1"/>
    <w:autoRedefine/>
    <w:unhideWhenUsed/>
    <w:qFormat/>
    <w:uiPriority w:val="99"/>
    <w:pPr>
      <w:spacing w:after="120"/>
      <w:ind w:left="1440" w:leftChars="700" w:right="1440" w:rightChars="700"/>
    </w:pPr>
  </w:style>
  <w:style w:type="paragraph" w:styleId="19">
    <w:name w:val="toc 3"/>
    <w:basedOn w:val="1"/>
    <w:next w:val="1"/>
    <w:autoRedefine/>
    <w:qFormat/>
    <w:uiPriority w:val="0"/>
    <w:pPr>
      <w:ind w:left="840" w:leftChars="400"/>
    </w:pPr>
    <w:rPr>
      <w:rFonts w:ascii="Calibri" w:hAnsi="Calibri"/>
      <w:szCs w:val="22"/>
    </w:rPr>
  </w:style>
  <w:style w:type="paragraph" w:styleId="20">
    <w:name w:val="Date"/>
    <w:basedOn w:val="1"/>
    <w:next w:val="1"/>
    <w:autoRedefine/>
    <w:qFormat/>
    <w:uiPriority w:val="0"/>
    <w:pPr>
      <w:ind w:left="2500" w:leftChars="2500"/>
    </w:pPr>
    <w:rPr>
      <w:rFonts w:eastAsia="楷体_GB2312"/>
      <w:sz w:val="32"/>
    </w:rPr>
  </w:style>
  <w:style w:type="paragraph" w:styleId="21">
    <w:name w:val="Body Text Indent 2"/>
    <w:basedOn w:val="1"/>
    <w:autoRedefine/>
    <w:qFormat/>
    <w:uiPriority w:val="0"/>
    <w:pPr>
      <w:snapToGrid w:val="0"/>
      <w:ind w:firstLine="542" w:firstLineChars="225"/>
    </w:pPr>
    <w:rPr>
      <w:rFonts w:ascii="仿宋_GB2312" w:hAnsi="宋体" w:cs="Arial"/>
      <w:b/>
      <w:bCs/>
      <w:color w:val="000000"/>
      <w:sz w:val="24"/>
    </w:rPr>
  </w:style>
  <w:style w:type="paragraph" w:styleId="22">
    <w:name w:val="Balloon Text"/>
    <w:basedOn w:val="1"/>
    <w:autoRedefine/>
    <w:semiHidden/>
    <w:qFormat/>
    <w:uiPriority w:val="0"/>
    <w:rPr>
      <w:sz w:val="18"/>
      <w:szCs w:val="18"/>
    </w:rPr>
  </w:style>
  <w:style w:type="paragraph" w:styleId="23">
    <w:name w:val="footer"/>
    <w:basedOn w:val="1"/>
    <w:link w:val="60"/>
    <w:autoRedefine/>
    <w:qFormat/>
    <w:uiPriority w:val="99"/>
    <w:pPr>
      <w:tabs>
        <w:tab w:val="center" w:pos="4153"/>
        <w:tab w:val="right" w:pos="8306"/>
      </w:tabs>
      <w:snapToGrid w:val="0"/>
      <w:jc w:val="left"/>
    </w:pPr>
    <w:rPr>
      <w:rFonts w:eastAsia="黑体"/>
      <w:snapToGrid w:val="0"/>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rFonts w:eastAsia="仿宋_GB2312"/>
      <w:sz w:val="18"/>
    </w:rPr>
  </w:style>
  <w:style w:type="paragraph" w:styleId="26">
    <w:name w:val="toc 1"/>
    <w:basedOn w:val="1"/>
    <w:next w:val="1"/>
    <w:autoRedefine/>
    <w:semiHidden/>
    <w:qFormat/>
    <w:uiPriority w:val="0"/>
  </w:style>
  <w:style w:type="paragraph" w:styleId="27">
    <w:name w:val="List"/>
    <w:basedOn w:val="1"/>
    <w:autoRedefine/>
    <w:qFormat/>
    <w:uiPriority w:val="0"/>
    <w:pPr>
      <w:ind w:left="200" w:hanging="200" w:hangingChars="200"/>
    </w:pPr>
    <w:rPr>
      <w:sz w:val="28"/>
    </w:rPr>
  </w:style>
  <w:style w:type="paragraph" w:styleId="28">
    <w:name w:val="footnote text"/>
    <w:basedOn w:val="1"/>
    <w:autoRedefine/>
    <w:unhideWhenUsed/>
    <w:qFormat/>
    <w:uiPriority w:val="99"/>
    <w:pPr>
      <w:snapToGrid w:val="0"/>
      <w:jc w:val="left"/>
    </w:pPr>
    <w:rPr>
      <w:sz w:val="18"/>
    </w:rPr>
  </w:style>
  <w:style w:type="paragraph" w:styleId="29">
    <w:name w:val="toc 6"/>
    <w:basedOn w:val="1"/>
    <w:next w:val="1"/>
    <w:autoRedefine/>
    <w:qFormat/>
    <w:uiPriority w:val="0"/>
    <w:pPr>
      <w:ind w:left="1050"/>
      <w:jc w:val="left"/>
    </w:pPr>
    <w:rPr>
      <w:rFonts w:ascii="仿宋_GB2312" w:eastAsia="仿宋_GB2312"/>
      <w:sz w:val="18"/>
      <w:szCs w:val="18"/>
    </w:rPr>
  </w:style>
  <w:style w:type="paragraph" w:styleId="30">
    <w:name w:val="List 5"/>
    <w:basedOn w:val="1"/>
    <w:autoRedefine/>
    <w:qFormat/>
    <w:uiPriority w:val="0"/>
    <w:pPr>
      <w:ind w:left="2100" w:hanging="420"/>
    </w:pPr>
    <w:rPr>
      <w:rFonts w:ascii="Calibri" w:hAnsi="Calibri" w:eastAsia="楷体_GB2312"/>
      <w:sz w:val="32"/>
      <w:szCs w:val="22"/>
    </w:rPr>
  </w:style>
  <w:style w:type="paragraph" w:styleId="31">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paragraph" w:styleId="32">
    <w:name w:val="toc 2"/>
    <w:basedOn w:val="1"/>
    <w:next w:val="1"/>
    <w:autoRedefine/>
    <w:qFormat/>
    <w:uiPriority w:val="0"/>
    <w:pPr>
      <w:ind w:left="420" w:leftChars="200"/>
    </w:pPr>
    <w:rPr>
      <w:rFonts w:ascii="Calibri" w:hAnsi="Calibri"/>
      <w:szCs w:val="22"/>
    </w:rPr>
  </w:style>
  <w:style w:type="paragraph" w:styleId="33">
    <w:name w:val="toc 9"/>
    <w:basedOn w:val="1"/>
    <w:next w:val="1"/>
    <w:autoRedefine/>
    <w:qFormat/>
    <w:uiPriority w:val="0"/>
    <w:pPr>
      <w:wordWrap w:val="0"/>
      <w:ind w:left="2975"/>
    </w:pPr>
    <w:rPr>
      <w:rFonts w:ascii="Calibri" w:hAnsi="Calibri"/>
    </w:rPr>
  </w:style>
  <w:style w:type="paragraph" w:styleId="34">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35">
    <w:name w:val="List 4"/>
    <w:basedOn w:val="1"/>
    <w:autoRedefine/>
    <w:qFormat/>
    <w:uiPriority w:val="0"/>
    <w:pPr>
      <w:ind w:left="1680" w:hanging="420"/>
    </w:pPr>
    <w:rPr>
      <w:rFonts w:ascii="Calibri" w:hAnsi="Calibri" w:eastAsia="楷体_GB2312"/>
      <w:sz w:val="32"/>
      <w:szCs w:val="22"/>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8">
    <w:name w:val="Title"/>
    <w:basedOn w:val="1"/>
    <w:next w:val="1"/>
    <w:autoRedefine/>
    <w:qFormat/>
    <w:uiPriority w:val="0"/>
    <w:pPr>
      <w:spacing w:line="520" w:lineRule="exact"/>
      <w:jc w:val="center"/>
      <w:outlineLvl w:val="3"/>
    </w:pPr>
    <w:rPr>
      <w:rFonts w:ascii="Cambria" w:hAnsi="Cambria"/>
      <w:b/>
      <w:bCs/>
      <w:sz w:val="28"/>
      <w:szCs w:val="32"/>
    </w:rPr>
  </w:style>
  <w:style w:type="paragraph" w:styleId="39">
    <w:name w:val="annotation subject"/>
    <w:basedOn w:val="12"/>
    <w:next w:val="12"/>
    <w:autoRedefine/>
    <w:qFormat/>
    <w:uiPriority w:val="0"/>
    <w:rPr>
      <w:b/>
      <w:bCs/>
    </w:rPr>
  </w:style>
  <w:style w:type="paragraph" w:styleId="40">
    <w:name w:val="Body Text First Indent"/>
    <w:basedOn w:val="14"/>
    <w:autoRedefine/>
    <w:qFormat/>
    <w:uiPriority w:val="0"/>
    <w:pPr>
      <w:autoSpaceDE w:val="0"/>
      <w:autoSpaceDN w:val="0"/>
      <w:adjustRightInd w:val="0"/>
      <w:spacing w:line="360" w:lineRule="auto"/>
      <w:ind w:firstLine="420"/>
    </w:pPr>
    <w:rPr>
      <w:rFonts w:ascii="宋体" w:hAnsi="Calibri"/>
      <w:lang w:val="zh-CN"/>
    </w:rPr>
  </w:style>
  <w:style w:type="paragraph" w:styleId="41">
    <w:name w:val="Body Text First Indent 2"/>
    <w:basedOn w:val="15"/>
    <w:next w:val="1"/>
    <w:autoRedefine/>
    <w:qFormat/>
    <w:uiPriority w:val="0"/>
    <w:pPr>
      <w:spacing w:after="120" w:line="240" w:lineRule="auto"/>
      <w:ind w:left="420" w:leftChars="200" w:firstLine="420" w:firstLineChars="200"/>
    </w:pPr>
    <w:rPr>
      <w:rFonts w:ascii="Times New Roman" w:hAnsi="Times New Roman"/>
      <w:spacing w:val="0"/>
      <w:sz w:val="21"/>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rFonts w:eastAsia="宋体"/>
      <w:b/>
      <w:bCs/>
      <w:kern w:val="2"/>
      <w:sz w:val="24"/>
      <w:szCs w:val="24"/>
      <w:lang w:val="en-US" w:eastAsia="zh-CN" w:bidi="ar-SA"/>
    </w:rPr>
  </w:style>
  <w:style w:type="character" w:styleId="46">
    <w:name w:val="page number"/>
    <w:autoRedefine/>
    <w:qFormat/>
    <w:uiPriority w:val="0"/>
  </w:style>
  <w:style w:type="character" w:styleId="47">
    <w:name w:val="FollowedHyperlink"/>
    <w:autoRedefine/>
    <w:qFormat/>
    <w:uiPriority w:val="0"/>
    <w:rPr>
      <w:rFonts w:eastAsia="宋体"/>
      <w:color w:val="800080"/>
      <w:kern w:val="2"/>
      <w:sz w:val="24"/>
      <w:szCs w:val="24"/>
      <w:u w:val="single"/>
      <w:lang w:val="en-US" w:eastAsia="zh-CN" w:bidi="ar-SA"/>
    </w:rPr>
  </w:style>
  <w:style w:type="character" w:styleId="48">
    <w:name w:val="Hyperlink"/>
    <w:autoRedefine/>
    <w:qFormat/>
    <w:uiPriority w:val="0"/>
    <w:rPr>
      <w:color w:val="0000FF"/>
      <w:u w:val="single"/>
    </w:rPr>
  </w:style>
  <w:style w:type="character" w:styleId="49">
    <w:name w:val="annotation reference"/>
    <w:basedOn w:val="44"/>
    <w:autoRedefine/>
    <w:qFormat/>
    <w:uiPriority w:val="0"/>
    <w:rPr>
      <w:rFonts w:eastAsia="宋体"/>
      <w:kern w:val="2"/>
      <w:sz w:val="21"/>
      <w:szCs w:val="21"/>
      <w:lang w:val="en-US" w:eastAsia="zh-CN" w:bidi="ar-SA"/>
    </w:rPr>
  </w:style>
  <w:style w:type="character" w:styleId="50">
    <w:name w:val="footnote reference"/>
    <w:autoRedefine/>
    <w:unhideWhenUsed/>
    <w:qFormat/>
    <w:uiPriority w:val="99"/>
    <w:rPr>
      <w:rFonts w:hint="default" w:ascii="Times New Roman"/>
      <w:sz w:val="24"/>
      <w:vertAlign w:val="superscript"/>
    </w:rPr>
  </w:style>
  <w:style w:type="character" w:styleId="51">
    <w:name w:val="HTML Sample"/>
    <w:basedOn w:val="44"/>
    <w:autoRedefine/>
    <w:qFormat/>
    <w:uiPriority w:val="0"/>
    <w:rPr>
      <w:rFonts w:ascii="Courier New" w:hAnsi="Courier New"/>
    </w:rPr>
  </w:style>
  <w:style w:type="paragraph" w:customStyle="1" w:styleId="52">
    <w:name w:val="正文文本首行缩进 21"/>
    <w:basedOn w:val="15"/>
    <w:autoRedefine/>
    <w:qFormat/>
    <w:uiPriority w:val="99"/>
    <w:pPr>
      <w:spacing w:line="200" w:lineRule="atLeast"/>
      <w:ind w:firstLine="420"/>
    </w:pPr>
  </w:style>
  <w:style w:type="character" w:customStyle="1" w:styleId="53">
    <w:name w:val="正文文本 Char"/>
    <w:link w:val="14"/>
    <w:autoRedefine/>
    <w:semiHidden/>
    <w:qFormat/>
    <w:locked/>
    <w:uiPriority w:val="0"/>
    <w:rPr>
      <w:rFonts w:eastAsia="宋体"/>
      <w:kern w:val="2"/>
      <w:sz w:val="28"/>
      <w:szCs w:val="24"/>
      <w:lang w:val="en-US" w:eastAsia="zh-CN" w:bidi="ar-SA"/>
    </w:rPr>
  </w:style>
  <w:style w:type="character" w:customStyle="1" w:styleId="54">
    <w:name w:val="标题 1 字符"/>
    <w:autoRedefine/>
    <w:qFormat/>
    <w:uiPriority w:val="0"/>
    <w:rPr>
      <w:rFonts w:eastAsia="宋体"/>
      <w:b/>
      <w:bCs/>
      <w:kern w:val="2"/>
      <w:sz w:val="24"/>
      <w:szCs w:val="24"/>
      <w:lang w:val="en-US" w:eastAsia="zh-CN" w:bidi="ar-SA"/>
    </w:rPr>
  </w:style>
  <w:style w:type="character" w:customStyle="1" w:styleId="55">
    <w:name w:val="标题 2 Char"/>
    <w:link w:val="3"/>
    <w:autoRedefine/>
    <w:qFormat/>
    <w:uiPriority w:val="0"/>
    <w:rPr>
      <w:rFonts w:ascii="Arial" w:hAnsi="Arial" w:eastAsia="黑体"/>
      <w:b/>
      <w:bCs/>
      <w:kern w:val="2"/>
      <w:sz w:val="32"/>
      <w:szCs w:val="32"/>
      <w:lang w:val="en-US" w:eastAsia="zh-CN" w:bidi="ar-SA"/>
    </w:rPr>
  </w:style>
  <w:style w:type="character" w:customStyle="1" w:styleId="56">
    <w:name w:val="标题 3 Char"/>
    <w:link w:val="4"/>
    <w:autoRedefine/>
    <w:qFormat/>
    <w:uiPriority w:val="0"/>
    <w:rPr>
      <w:rFonts w:eastAsia="宋体"/>
      <w:b/>
      <w:bCs/>
      <w:kern w:val="2"/>
      <w:sz w:val="32"/>
      <w:szCs w:val="32"/>
      <w:lang w:val="en-US" w:eastAsia="zh-CN" w:bidi="ar-SA"/>
    </w:rPr>
  </w:style>
  <w:style w:type="character" w:customStyle="1" w:styleId="57">
    <w:name w:val="标题 5 Char"/>
    <w:link w:val="7"/>
    <w:autoRedefine/>
    <w:qFormat/>
    <w:uiPriority w:val="0"/>
    <w:rPr>
      <w:rFonts w:eastAsia="宋体"/>
      <w:b/>
      <w:bCs/>
      <w:kern w:val="2"/>
      <w:sz w:val="28"/>
      <w:szCs w:val="28"/>
      <w:lang w:val="en-US" w:eastAsia="zh-CN" w:bidi="ar-SA"/>
    </w:rPr>
  </w:style>
  <w:style w:type="character" w:customStyle="1" w:styleId="58">
    <w:name w:val="正文缩进 Char"/>
    <w:link w:val="10"/>
    <w:autoRedefine/>
    <w:qFormat/>
    <w:uiPriority w:val="0"/>
    <w:rPr>
      <w:rFonts w:eastAsia="宋体"/>
      <w:kern w:val="2"/>
      <w:sz w:val="21"/>
      <w:lang w:val="en-US" w:eastAsia="zh-CN" w:bidi="ar-SA"/>
    </w:rPr>
  </w:style>
  <w:style w:type="character" w:customStyle="1" w:styleId="59">
    <w:name w:val="纯文本 Char"/>
    <w:link w:val="6"/>
    <w:autoRedefine/>
    <w:qFormat/>
    <w:uiPriority w:val="0"/>
    <w:rPr>
      <w:rFonts w:ascii="宋体" w:hAnsi="Courier New" w:eastAsia="宋体"/>
      <w:kern w:val="2"/>
      <w:sz w:val="24"/>
      <w:szCs w:val="24"/>
      <w:lang w:val="en-US" w:eastAsia="zh-CN" w:bidi="ar-SA"/>
    </w:rPr>
  </w:style>
  <w:style w:type="character" w:customStyle="1" w:styleId="60">
    <w:name w:val="页脚 Char"/>
    <w:link w:val="23"/>
    <w:autoRedefine/>
    <w:qFormat/>
    <w:uiPriority w:val="99"/>
    <w:rPr>
      <w:rFonts w:eastAsia="黑体"/>
      <w:snapToGrid w:val="0"/>
      <w:sz w:val="18"/>
      <w:szCs w:val="18"/>
      <w:lang w:val="en-US" w:eastAsia="zh-CN" w:bidi="ar-SA"/>
    </w:rPr>
  </w:style>
  <w:style w:type="character" w:customStyle="1" w:styleId="61">
    <w:name w:val="页眉 Char"/>
    <w:link w:val="25"/>
    <w:autoRedefine/>
    <w:qFormat/>
    <w:uiPriority w:val="0"/>
    <w:rPr>
      <w:rFonts w:eastAsia="仿宋_GB2312"/>
      <w:kern w:val="2"/>
      <w:sz w:val="18"/>
      <w:lang w:val="en-US" w:eastAsia="zh-CN" w:bidi="ar-SA"/>
    </w:rPr>
  </w:style>
  <w:style w:type="character" w:customStyle="1" w:styleId="62">
    <w:name w:val="font41"/>
    <w:basedOn w:val="44"/>
    <w:autoRedefine/>
    <w:qFormat/>
    <w:uiPriority w:val="0"/>
    <w:rPr>
      <w:rFonts w:hint="eastAsia" w:ascii="宋体" w:hAnsi="宋体" w:eastAsia="宋体" w:cs="宋体"/>
      <w:color w:val="000000"/>
      <w:sz w:val="20"/>
      <w:szCs w:val="20"/>
      <w:u w:val="none"/>
    </w:rPr>
  </w:style>
  <w:style w:type="character" w:customStyle="1" w:styleId="63">
    <w:name w:val="style41"/>
    <w:autoRedefine/>
    <w:qFormat/>
    <w:uiPriority w:val="0"/>
    <w:rPr>
      <w:sz w:val="18"/>
      <w:szCs w:val="18"/>
    </w:rPr>
  </w:style>
  <w:style w:type="character" w:customStyle="1" w:styleId="64">
    <w:name w:val="font01"/>
    <w:autoRedefine/>
    <w:qFormat/>
    <w:uiPriority w:val="0"/>
    <w:rPr>
      <w:rFonts w:hint="eastAsia" w:ascii="宋体" w:hAnsi="宋体" w:eastAsia="宋体" w:cs="宋体"/>
      <w:color w:val="000000"/>
      <w:sz w:val="21"/>
      <w:szCs w:val="21"/>
      <w:u w:val="none"/>
    </w:rPr>
  </w:style>
  <w:style w:type="character" w:customStyle="1" w:styleId="65">
    <w:name w:val="hui121"/>
    <w:autoRedefine/>
    <w:qFormat/>
    <w:uiPriority w:val="0"/>
    <w:rPr>
      <w:rFonts w:eastAsia="宋体"/>
      <w:color w:val="333333"/>
      <w:kern w:val="2"/>
      <w:sz w:val="18"/>
      <w:szCs w:val="18"/>
      <w:lang w:val="en-US" w:eastAsia="zh-CN" w:bidi="ar-SA"/>
    </w:rPr>
  </w:style>
  <w:style w:type="character" w:customStyle="1" w:styleId="66">
    <w:name w:val="class3"/>
    <w:autoRedefine/>
    <w:qFormat/>
    <w:uiPriority w:val="0"/>
  </w:style>
  <w:style w:type="character" w:customStyle="1" w:styleId="67">
    <w:name w:val="font11"/>
    <w:autoRedefine/>
    <w:qFormat/>
    <w:uiPriority w:val="0"/>
    <w:rPr>
      <w:rFonts w:hint="eastAsia" w:ascii="宋体" w:hAnsi="宋体" w:eastAsia="宋体" w:cs="宋体"/>
      <w:color w:val="000000"/>
      <w:sz w:val="21"/>
      <w:szCs w:val="21"/>
      <w:u w:val="none"/>
    </w:rPr>
  </w:style>
  <w:style w:type="character" w:customStyle="1" w:styleId="68">
    <w:name w:val="普通文字 Char Char1"/>
    <w:autoRedefine/>
    <w:qFormat/>
    <w:uiPriority w:val="0"/>
    <w:rPr>
      <w:rFonts w:ascii="宋体" w:hAnsi="Courier New"/>
      <w:kern w:val="2"/>
      <w:sz w:val="24"/>
      <w:szCs w:val="24"/>
    </w:rPr>
  </w:style>
  <w:style w:type="character" w:customStyle="1" w:styleId="69">
    <w:name w:val="普通文字 Char Char3"/>
    <w:autoRedefine/>
    <w:qFormat/>
    <w:uiPriority w:val="0"/>
    <w:rPr>
      <w:rFonts w:ascii="宋体" w:hAnsi="Courier New" w:eastAsia="宋体"/>
      <w:kern w:val="2"/>
      <w:sz w:val="24"/>
      <w:szCs w:val="24"/>
      <w:lang w:val="en-US" w:eastAsia="zh-CN" w:bidi="ar-SA"/>
    </w:rPr>
  </w:style>
  <w:style w:type="character" w:customStyle="1" w:styleId="70">
    <w:name w:val="class4"/>
    <w:autoRedefine/>
    <w:qFormat/>
    <w:uiPriority w:val="0"/>
  </w:style>
  <w:style w:type="character" w:customStyle="1" w:styleId="71">
    <w:name w:val="ca-3"/>
    <w:autoRedefine/>
    <w:qFormat/>
    <w:uiPriority w:val="0"/>
    <w:rPr>
      <w:rFonts w:eastAsia="宋体"/>
      <w:kern w:val="2"/>
      <w:sz w:val="24"/>
      <w:szCs w:val="24"/>
      <w:lang w:val="en-US" w:eastAsia="zh-CN" w:bidi="ar-SA"/>
    </w:rPr>
  </w:style>
  <w:style w:type="character" w:customStyle="1" w:styleId="72">
    <w:name w:val="Plain Text Char"/>
    <w:autoRedefine/>
    <w:semiHidden/>
    <w:qFormat/>
    <w:locked/>
    <w:uiPriority w:val="0"/>
    <w:rPr>
      <w:rFonts w:ascii="宋体" w:hAnsi="Courier New" w:eastAsia="宋体" w:cs="Times New Roman"/>
      <w:sz w:val="20"/>
      <w:szCs w:val="20"/>
    </w:rPr>
  </w:style>
  <w:style w:type="character" w:customStyle="1" w:styleId="73">
    <w:name w:val="List Paragraph Char"/>
    <w:link w:val="74"/>
    <w:autoRedefine/>
    <w:qFormat/>
    <w:locked/>
    <w:uiPriority w:val="0"/>
    <w:rPr>
      <w:rFonts w:eastAsia="宋体"/>
      <w:kern w:val="2"/>
      <w:sz w:val="21"/>
      <w:szCs w:val="24"/>
      <w:lang w:val="en-US" w:eastAsia="zh-CN" w:bidi="ar-SA"/>
    </w:rPr>
  </w:style>
  <w:style w:type="paragraph" w:customStyle="1" w:styleId="74">
    <w:name w:val="List Paragraph1"/>
    <w:basedOn w:val="1"/>
    <w:next w:val="1"/>
    <w:link w:val="73"/>
    <w:autoRedefine/>
    <w:qFormat/>
    <w:uiPriority w:val="0"/>
    <w:pPr>
      <w:ind w:firstLine="420" w:firstLineChars="200"/>
    </w:pPr>
  </w:style>
  <w:style w:type="character" w:customStyle="1" w:styleId="75">
    <w:name w:val="h Char Char"/>
    <w:autoRedefine/>
    <w:qFormat/>
    <w:uiPriority w:val="0"/>
    <w:rPr>
      <w:rFonts w:eastAsia="仿宋_GB2312"/>
      <w:kern w:val="2"/>
      <w:sz w:val="18"/>
      <w:lang w:val="en-US" w:eastAsia="zh-CN" w:bidi="ar-SA"/>
    </w:rPr>
  </w:style>
  <w:style w:type="character" w:customStyle="1" w:styleId="76">
    <w:name w:val="label_list1"/>
    <w:autoRedefine/>
    <w:qFormat/>
    <w:uiPriority w:val="0"/>
  </w:style>
  <w:style w:type="character" w:customStyle="1" w:styleId="77">
    <w:name w:val="普通文字 Char Char2"/>
    <w:autoRedefine/>
    <w:qFormat/>
    <w:uiPriority w:val="0"/>
    <w:rPr>
      <w:rFonts w:ascii="宋体" w:hAnsi="Courier New" w:eastAsia="宋体"/>
      <w:kern w:val="2"/>
      <w:sz w:val="21"/>
      <w:lang w:val="en-US" w:eastAsia="zh-CN" w:bidi="ar-SA"/>
    </w:rPr>
  </w:style>
  <w:style w:type="character" w:customStyle="1" w:styleId="78">
    <w:name w:val="Char Char18"/>
    <w:autoRedefine/>
    <w:qFormat/>
    <w:uiPriority w:val="0"/>
    <w:rPr>
      <w:rFonts w:ascii="宋体" w:eastAsia="宋体"/>
      <w:snapToGrid w:val="0"/>
      <w:color w:val="000000"/>
      <w:kern w:val="28"/>
      <w:sz w:val="28"/>
      <w:lang w:val="en-US" w:eastAsia="zh-CN" w:bidi="ar-SA"/>
    </w:rPr>
  </w:style>
  <w:style w:type="character" w:customStyle="1" w:styleId="79">
    <w:name w:val="font111"/>
    <w:autoRedefine/>
    <w:qFormat/>
    <w:uiPriority w:val="0"/>
    <w:rPr>
      <w:rFonts w:hint="default" w:ascii="Calibri" w:hAnsi="Calibri" w:cs="Calibri"/>
      <w:color w:val="000000"/>
      <w:sz w:val="22"/>
      <w:szCs w:val="22"/>
      <w:u w:val="none"/>
    </w:rPr>
  </w:style>
  <w:style w:type="character" w:customStyle="1" w:styleId="80">
    <w:name w:val="cf01"/>
    <w:autoRedefine/>
    <w:qFormat/>
    <w:uiPriority w:val="0"/>
    <w:rPr>
      <w:rFonts w:hint="eastAsia" w:ascii="Microsoft YaHei UI" w:hAnsi="Microsoft YaHei UI" w:eastAsia="Microsoft YaHei UI"/>
      <w:sz w:val="18"/>
      <w:szCs w:val="18"/>
    </w:rPr>
  </w:style>
  <w:style w:type="character" w:customStyle="1" w:styleId="81">
    <w:name w:val="cf11"/>
    <w:autoRedefine/>
    <w:qFormat/>
    <w:uiPriority w:val="0"/>
    <w:rPr>
      <w:rFonts w:hint="eastAsia" w:ascii="Microsoft YaHei UI" w:hAnsi="Microsoft YaHei UI" w:eastAsia="Microsoft YaHei UI"/>
      <w:sz w:val="18"/>
      <w:szCs w:val="18"/>
    </w:rPr>
  </w:style>
  <w:style w:type="character" w:customStyle="1" w:styleId="82">
    <w:name w:val="fontstyle01"/>
    <w:autoRedefine/>
    <w:qFormat/>
    <w:uiPriority w:val="0"/>
    <w:rPr>
      <w:rFonts w:hint="eastAsia" w:ascii="宋体" w:hAnsi="宋体" w:eastAsia="宋体"/>
      <w:color w:val="000000"/>
      <w:sz w:val="22"/>
      <w:szCs w:val="22"/>
    </w:rPr>
  </w:style>
  <w:style w:type="character" w:customStyle="1" w:styleId="83">
    <w:name w:val="font51"/>
    <w:basedOn w:val="44"/>
    <w:autoRedefine/>
    <w:qFormat/>
    <w:uiPriority w:val="0"/>
    <w:rPr>
      <w:rFonts w:hint="default" w:ascii="等线" w:hAnsi="等线" w:eastAsia="等线" w:cs="等线"/>
      <w:b/>
      <w:bCs/>
      <w:color w:val="000000"/>
      <w:sz w:val="22"/>
      <w:szCs w:val="22"/>
      <w:u w:val="none"/>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lp1"/>
    <w:basedOn w:val="1"/>
    <w:next w:val="74"/>
    <w:autoRedefine/>
    <w:qFormat/>
    <w:uiPriority w:val="34"/>
    <w:pPr>
      <w:widowControl/>
      <w:ind w:left="720"/>
      <w:contextualSpacing/>
      <w:jc w:val="left"/>
    </w:pPr>
    <w:rPr>
      <w:sz w:val="24"/>
      <w:szCs w:val="24"/>
    </w:rPr>
  </w:style>
  <w:style w:type="paragraph" w:customStyle="1" w:styleId="86">
    <w:name w:val="cjk"/>
    <w:basedOn w:val="1"/>
    <w:autoRedefine/>
    <w:qFormat/>
    <w:uiPriority w:val="0"/>
    <w:pPr>
      <w:widowControl/>
      <w:spacing w:line="480" w:lineRule="auto"/>
      <w:jc w:val="left"/>
    </w:pPr>
    <w:rPr>
      <w:rFonts w:ascii="宋体" w:hAnsi="宋体" w:cs="宋体"/>
      <w:kern w:val="0"/>
      <w:sz w:val="24"/>
      <w:szCs w:val="22"/>
    </w:rPr>
  </w:style>
  <w:style w:type="paragraph" w:customStyle="1" w:styleId="87">
    <w:name w:val="表格"/>
    <w:basedOn w:val="1"/>
    <w:autoRedefine/>
    <w:qFormat/>
    <w:uiPriority w:val="0"/>
    <w:pPr>
      <w:snapToGrid w:val="0"/>
      <w:spacing w:line="360" w:lineRule="auto"/>
      <w:ind w:firstLine="42" w:firstLineChars="21"/>
    </w:pPr>
    <w:rPr>
      <w:rFonts w:ascii="宋体" w:hAnsi="宋体"/>
      <w:kern w:val="0"/>
      <w:sz w:val="20"/>
    </w:rPr>
  </w:style>
  <w:style w:type="paragraph" w:customStyle="1" w:styleId="88">
    <w:name w:val="CM14"/>
    <w:basedOn w:val="89"/>
    <w:next w:val="89"/>
    <w:autoRedefine/>
    <w:unhideWhenUsed/>
    <w:qFormat/>
    <w:uiPriority w:val="99"/>
    <w:pPr>
      <w:spacing w:line="546" w:lineRule="atLeast"/>
    </w:pPr>
    <w:rPr>
      <w:rFonts w:hint="eastAsia"/>
    </w:rPr>
  </w:style>
  <w:style w:type="paragraph" w:customStyle="1" w:styleId="89">
    <w:name w:val="Default"/>
    <w:next w:val="90"/>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90">
    <w:name w:val="目录 71"/>
    <w:next w:val="1"/>
    <w:autoRedefine/>
    <w:qFormat/>
    <w:uiPriority w:val="0"/>
    <w:pPr>
      <w:wordWrap w:val="0"/>
      <w:ind w:left="2550"/>
      <w:jc w:val="both"/>
    </w:pPr>
    <w:rPr>
      <w:rFonts w:ascii="Calibri" w:hAnsi="Calibri" w:eastAsia="宋体" w:cs="Times New Roman"/>
      <w:sz w:val="21"/>
      <w:szCs w:val="22"/>
      <w:lang w:val="en-US" w:eastAsia="zh-CN" w:bidi="ar-SA"/>
    </w:rPr>
  </w:style>
  <w:style w:type="paragraph" w:customStyle="1" w:styleId="9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2">
    <w:name w:val="_Style 88"/>
    <w:autoRedefine/>
    <w:unhideWhenUsed/>
    <w:qFormat/>
    <w:uiPriority w:val="99"/>
    <w:rPr>
      <w:rFonts w:hint="eastAsia" w:ascii="Times New Roman" w:hAnsi="Times New Roman" w:eastAsia="宋体" w:cs="Times New Roman"/>
      <w:kern w:val="2"/>
      <w:sz w:val="21"/>
      <w:lang w:val="en-US" w:eastAsia="zh-CN" w:bidi="ar-SA"/>
    </w:rPr>
  </w:style>
  <w:style w:type="paragraph" w:customStyle="1" w:styleId="93">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4">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95">
    <w:name w:val="Medium Grid 1 - Accent 21"/>
    <w:basedOn w:val="1"/>
    <w:autoRedefine/>
    <w:qFormat/>
    <w:uiPriority w:val="0"/>
    <w:pPr>
      <w:spacing w:line="500" w:lineRule="exact"/>
      <w:ind w:firstLine="420" w:firstLineChars="200"/>
    </w:pPr>
    <w:rPr>
      <w:kern w:val="0"/>
      <w:szCs w:val="24"/>
    </w:rPr>
  </w:style>
  <w:style w:type="paragraph" w:styleId="96">
    <w:name w:val="List Paragraph"/>
    <w:basedOn w:val="1"/>
    <w:autoRedefine/>
    <w:qFormat/>
    <w:uiPriority w:val="0"/>
    <w:pPr>
      <w:widowControl/>
      <w:ind w:left="720" w:firstLine="360"/>
      <w:contextualSpacing/>
      <w:jc w:val="left"/>
    </w:pPr>
    <w:rPr>
      <w:rFonts w:ascii="Calibri" w:hAnsi="Calibri"/>
      <w:kern w:val="0"/>
      <w:sz w:val="22"/>
      <w:szCs w:val="22"/>
      <w:lang w:eastAsia="en-US" w:bidi="en-US"/>
    </w:rPr>
  </w:style>
  <w:style w:type="paragraph" w:customStyle="1" w:styleId="97">
    <w:name w:val="Table Paragraph"/>
    <w:basedOn w:val="1"/>
    <w:autoRedefine/>
    <w:qFormat/>
    <w:uiPriority w:val="1"/>
    <w:rPr>
      <w:rFonts w:ascii="宋体" w:hAnsi="宋体" w:cs="宋体"/>
      <w:lang w:val="zh-CN" w:bidi="zh-CN"/>
    </w:rPr>
  </w:style>
  <w:style w:type="paragraph" w:customStyle="1" w:styleId="98">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9">
    <w:name w:val="纯文本1"/>
    <w:basedOn w:val="93"/>
    <w:autoRedefine/>
    <w:qFormat/>
    <w:uiPriority w:val="0"/>
    <w:pPr>
      <w:widowControl/>
      <w:jc w:val="left"/>
    </w:pPr>
    <w:rPr>
      <w:rFonts w:ascii="宋体" w:hAnsi="Courier New"/>
    </w:rPr>
  </w:style>
  <w:style w:type="paragraph" w:customStyle="1" w:styleId="100">
    <w:name w:val="内文正文"/>
    <w:autoRedefine/>
    <w:qFormat/>
    <w:uiPriority w:val="0"/>
    <w:pPr>
      <w:autoSpaceDE w:val="0"/>
      <w:autoSpaceDN w:val="0"/>
      <w:spacing w:line="400" w:lineRule="exact"/>
      <w:ind w:firstLine="200" w:firstLineChars="200"/>
      <w:jc w:val="both"/>
      <w:textAlignment w:val="bottom"/>
    </w:pPr>
    <w:rPr>
      <w:rFonts w:ascii="??" w:hAnsi="??" w:eastAsia="??" w:cs="Times New Roman"/>
      <w:sz w:val="21"/>
      <w:szCs w:val="28"/>
      <w:lang w:val="en-US" w:eastAsia="zh-CN" w:bidi="ar-SA"/>
    </w:rPr>
  </w:style>
  <w:style w:type="paragraph" w:customStyle="1" w:styleId="101">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102">
    <w:name w:val="xl29"/>
    <w:basedOn w:val="1"/>
    <w:autoRedefine/>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rPr>
  </w:style>
  <w:style w:type="paragraph" w:customStyle="1" w:styleId="103">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04">
    <w:name w:val="CM19"/>
    <w:basedOn w:val="89"/>
    <w:next w:val="89"/>
    <w:autoRedefine/>
    <w:unhideWhenUsed/>
    <w:qFormat/>
    <w:uiPriority w:val="99"/>
    <w:rPr>
      <w:rFonts w:hint="eastAsia"/>
    </w:rPr>
  </w:style>
  <w:style w:type="paragraph" w:customStyle="1" w:styleId="105">
    <w:name w:val="列出段落1"/>
    <w:basedOn w:val="1"/>
    <w:autoRedefine/>
    <w:qFormat/>
    <w:uiPriority w:val="0"/>
    <w:pPr>
      <w:ind w:firstLine="420" w:firstLineChars="200"/>
    </w:pPr>
    <w:rPr>
      <w:rFonts w:ascii="Calibri" w:hAnsi="Calibri"/>
      <w:szCs w:val="22"/>
    </w:rPr>
  </w:style>
  <w:style w:type="paragraph" w:customStyle="1" w:styleId="106">
    <w:name w:val="1 Char"/>
    <w:basedOn w:val="1"/>
    <w:autoRedefine/>
    <w:qFormat/>
    <w:uiPriority w:val="0"/>
  </w:style>
  <w:style w:type="paragraph" w:customStyle="1" w:styleId="107">
    <w:name w:val="默认段落字体 Para Char Char Char Char"/>
    <w:basedOn w:val="1"/>
    <w:autoRedefine/>
    <w:qFormat/>
    <w:uiPriority w:val="0"/>
    <w:rPr>
      <w:spacing w:val="20"/>
      <w:sz w:val="28"/>
      <w:szCs w:val="21"/>
    </w:rPr>
  </w:style>
  <w:style w:type="paragraph" w:customStyle="1" w:styleId="108">
    <w:name w:val="标题B"/>
    <w:basedOn w:val="3"/>
    <w:autoRedefine/>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109">
    <w:name w:val="样式 正文文本"/>
    <w:basedOn w:val="1"/>
    <w:autoRedefine/>
    <w:qFormat/>
    <w:uiPriority w:val="0"/>
    <w:pPr>
      <w:adjustRightInd w:val="0"/>
      <w:snapToGrid w:val="0"/>
      <w:spacing w:line="400" w:lineRule="exact"/>
      <w:ind w:firstLine="200" w:firstLineChars="200"/>
    </w:pPr>
    <w:rPr>
      <w:rFonts w:ascii="Arial" w:hAnsi="Arial"/>
      <w:color w:val="000000"/>
    </w:rPr>
  </w:style>
  <w:style w:type="paragraph" w:customStyle="1" w:styleId="110">
    <w:name w:val="Char Char Char"/>
    <w:basedOn w:val="1"/>
    <w:autoRedefine/>
    <w:qFormat/>
    <w:uiPriority w:val="0"/>
    <w:rPr>
      <w:rFonts w:ascii="Calibri" w:hAnsi="Calibri"/>
      <w:szCs w:val="22"/>
    </w:rPr>
  </w:style>
  <w:style w:type="paragraph" w:customStyle="1" w:styleId="111">
    <w:name w:val="Char Char Char Char Char Char"/>
    <w:basedOn w:val="1"/>
    <w:autoRedefine/>
    <w:qFormat/>
    <w:uiPriority w:val="0"/>
    <w:rPr>
      <w:rFonts w:ascii="仿宋_GB2312" w:eastAsia="仿宋_GB2312"/>
      <w:b/>
      <w:sz w:val="32"/>
      <w:szCs w:val="32"/>
    </w:rPr>
  </w:style>
  <w:style w:type="paragraph" w:customStyle="1" w:styleId="112">
    <w:name w:val="Blockquote"/>
    <w:basedOn w:val="1"/>
    <w:autoRedefine/>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13">
    <w:name w:val="CM11"/>
    <w:basedOn w:val="89"/>
    <w:next w:val="89"/>
    <w:autoRedefine/>
    <w:unhideWhenUsed/>
    <w:qFormat/>
    <w:uiPriority w:val="99"/>
    <w:pPr>
      <w:spacing w:line="520" w:lineRule="atLeast"/>
    </w:pPr>
    <w:rPr>
      <w:rFonts w:hint="eastAsia"/>
    </w:rPr>
  </w:style>
  <w:style w:type="paragraph" w:customStyle="1" w:styleId="114">
    <w:name w:val="xl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ascii="仿宋_GB2312" w:hAnsi="宋体" w:eastAsia="仿宋_GB2312"/>
      <w:kern w:val="0"/>
      <w:sz w:val="24"/>
    </w:rPr>
  </w:style>
  <w:style w:type="paragraph" w:customStyle="1" w:styleId="115">
    <w:name w:val="Char"/>
    <w:basedOn w:val="1"/>
    <w:autoRedefine/>
    <w:qFormat/>
    <w:uiPriority w:val="0"/>
    <w:pPr>
      <w:tabs>
        <w:tab w:val="left" w:pos="1200"/>
      </w:tabs>
      <w:ind w:left="1200" w:hanging="360"/>
    </w:pPr>
    <w:rPr>
      <w:sz w:val="24"/>
    </w:rPr>
  </w:style>
  <w:style w:type="paragraph" w:customStyle="1" w:styleId="116">
    <w:name w:val="UserStyle_0"/>
    <w:next w:val="117"/>
    <w:autoRedefine/>
    <w:qFormat/>
    <w:uiPriority w:val="0"/>
    <w:pPr>
      <w:textAlignment w:val="baseline"/>
    </w:pPr>
    <w:rPr>
      <w:rFonts w:ascii="Arial" w:hAnsi="Arial" w:eastAsia="宋体" w:cs="Times New Roman"/>
      <w:color w:val="000000"/>
      <w:sz w:val="24"/>
      <w:szCs w:val="24"/>
      <w:lang w:val="en-US" w:eastAsia="zh-CN" w:bidi="ar-SA"/>
    </w:rPr>
  </w:style>
  <w:style w:type="paragraph" w:customStyle="1" w:styleId="117">
    <w:name w:val="UserStyle_1"/>
    <w:next w:val="1"/>
    <w:autoRedefine/>
    <w:qFormat/>
    <w:uiPriority w:val="0"/>
    <w:pPr>
      <w:ind w:left="2550"/>
      <w:jc w:val="both"/>
      <w:textAlignment w:val="baseline"/>
    </w:pPr>
    <w:rPr>
      <w:rFonts w:ascii="Times New Roman" w:hAnsi="Times New Roman" w:eastAsia="宋体" w:cs="Times New Roman"/>
      <w:sz w:val="21"/>
      <w:szCs w:val="22"/>
      <w:lang w:val="en-US" w:eastAsia="zh-CN" w:bidi="ar-SA"/>
    </w:rPr>
  </w:style>
  <w:style w:type="paragraph" w:customStyle="1" w:styleId="118">
    <w:name w:val="标题C"/>
    <w:basedOn w:val="4"/>
    <w:autoRedefine/>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119">
    <w:name w:val="正文2"/>
    <w:basedOn w:val="1"/>
    <w:autoRedefine/>
    <w:qFormat/>
    <w:uiPriority w:val="0"/>
    <w:pPr>
      <w:spacing w:before="156" w:line="360" w:lineRule="auto"/>
      <w:ind w:firstLine="510" w:firstLineChars="200"/>
    </w:pPr>
    <w:rPr>
      <w:sz w:val="24"/>
    </w:rPr>
  </w:style>
  <w:style w:type="paragraph" w:customStyle="1" w:styleId="120">
    <w:name w:val="Proposals body"/>
    <w:basedOn w:val="1"/>
    <w:next w:val="1"/>
    <w:autoRedefine/>
    <w:qFormat/>
    <w:uiPriority w:val="0"/>
    <w:pPr>
      <w:widowControl/>
      <w:spacing w:line="360" w:lineRule="auto"/>
      <w:jc w:val="left"/>
    </w:pPr>
    <w:rPr>
      <w:rFonts w:ascii="宋体"/>
      <w:snapToGrid w:val="0"/>
      <w:color w:val="000000"/>
      <w:kern w:val="0"/>
      <w:sz w:val="24"/>
    </w:rPr>
  </w:style>
  <w:style w:type="paragraph" w:customStyle="1" w:styleId="121">
    <w:name w:val="Plain Text1"/>
    <w:basedOn w:val="98"/>
    <w:autoRedefine/>
    <w:qFormat/>
    <w:uiPriority w:val="0"/>
    <w:pPr>
      <w:widowControl/>
      <w:jc w:val="left"/>
    </w:pPr>
    <w:rPr>
      <w:rFonts w:ascii="宋体" w:hAnsi="Courier New"/>
    </w:rPr>
  </w:style>
  <w:style w:type="paragraph" w:customStyle="1" w:styleId="122">
    <w:name w:val="标题A"/>
    <w:basedOn w:val="2"/>
    <w:autoRedefine/>
    <w:qFormat/>
    <w:uiPriority w:val="0"/>
    <w:pPr>
      <w:keepLines/>
      <w:adjustRightInd w:val="0"/>
      <w:spacing w:before="100" w:beforeAutospacing="1" w:after="60"/>
      <w:textAlignment w:val="baseline"/>
    </w:pPr>
    <w:rPr>
      <w:rFonts w:ascii="Arial" w:hAnsi="Arial"/>
      <w:kern w:val="44"/>
      <w:sz w:val="28"/>
      <w:szCs w:val="44"/>
    </w:rPr>
  </w:style>
  <w:style w:type="paragraph" w:customStyle="1" w:styleId="123">
    <w:name w:val="CM13"/>
    <w:basedOn w:val="89"/>
    <w:next w:val="89"/>
    <w:autoRedefine/>
    <w:unhideWhenUsed/>
    <w:qFormat/>
    <w:uiPriority w:val="99"/>
    <w:pPr>
      <w:spacing w:line="520" w:lineRule="atLeast"/>
    </w:pPr>
    <w:rPr>
      <w:rFonts w:hint="eastAsia"/>
    </w:rPr>
  </w:style>
  <w:style w:type="paragraph" w:customStyle="1" w:styleId="124">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25">
    <w:name w:val="简单回函地址"/>
    <w:basedOn w:val="1"/>
    <w:autoRedefine/>
    <w:qFormat/>
    <w:uiPriority w:val="0"/>
    <w:pPr>
      <w:adjustRightInd w:val="0"/>
      <w:spacing w:line="312" w:lineRule="atLeast"/>
      <w:textAlignment w:val="baseline"/>
    </w:pPr>
    <w:rPr>
      <w:kern w:val="0"/>
    </w:rPr>
  </w:style>
  <w:style w:type="paragraph" w:customStyle="1" w:styleId="126">
    <w:name w:val="Body Text First Indent1"/>
    <w:basedOn w:val="14"/>
    <w:autoRedefine/>
    <w:qFormat/>
    <w:uiPriority w:val="0"/>
    <w:pPr>
      <w:spacing w:line="312" w:lineRule="auto"/>
      <w:ind w:firstLine="420"/>
    </w:pPr>
    <w:rPr>
      <w:rFonts w:ascii="Calibri" w:hAnsi="Calibri"/>
      <w:sz w:val="32"/>
      <w:szCs w:val="24"/>
    </w:rPr>
  </w:style>
  <w:style w:type="paragraph" w:customStyle="1" w:styleId="127">
    <w:name w:val="xl35"/>
    <w:basedOn w:val="1"/>
    <w:autoRedefine/>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28">
    <w:name w:val="首行缩进"/>
    <w:basedOn w:val="1"/>
    <w:autoRedefine/>
    <w:qFormat/>
    <w:uiPriority w:val="0"/>
    <w:pPr>
      <w:adjustRightInd w:val="0"/>
      <w:spacing w:line="360" w:lineRule="auto"/>
      <w:ind w:firstLine="480" w:firstLineChars="200"/>
    </w:pPr>
    <w:rPr>
      <w:rFonts w:ascii="宋体"/>
      <w:sz w:val="24"/>
    </w:rPr>
  </w:style>
  <w:style w:type="paragraph" w:customStyle="1" w:styleId="129">
    <w:name w:val="样式1"/>
    <w:basedOn w:val="1"/>
    <w:autoRedefine/>
    <w:qFormat/>
    <w:uiPriority w:val="0"/>
    <w:pPr>
      <w:spacing w:line="360" w:lineRule="exact"/>
      <w:ind w:firstLine="200" w:firstLineChars="200"/>
    </w:pPr>
    <w:rPr>
      <w:rFonts w:ascii="Arial" w:hAnsi="Arial"/>
    </w:rPr>
  </w:style>
  <w:style w:type="paragraph" w:customStyle="1" w:styleId="130">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 Char Char Char Char Char Char Char Char Char Char Char Char Char Char Char Char Char Char Char Char Char Char Char Char Char Char Char Char1 Char Char Char Char Char Char Char Char Char Char Char Char"/>
    <w:basedOn w:val="1"/>
    <w:autoRedefine/>
    <w:unhideWhenUsed/>
    <w:qFormat/>
    <w:uiPriority w:val="0"/>
    <w:rPr>
      <w:rFonts w:ascii="仿宋_GB2312" w:eastAsia="仿宋_GB2312"/>
      <w:b/>
      <w:sz w:val="32"/>
    </w:rPr>
  </w:style>
  <w:style w:type="paragraph" w:customStyle="1" w:styleId="132">
    <w:name w:val="Normal Indent1"/>
    <w:basedOn w:val="1"/>
    <w:autoRedefine/>
    <w:qFormat/>
    <w:uiPriority w:val="0"/>
    <w:pPr>
      <w:ind w:firstLine="420"/>
    </w:pPr>
  </w:style>
  <w:style w:type="paragraph" w:customStyle="1" w:styleId="133">
    <w:name w:val="正文段"/>
    <w:basedOn w:val="1"/>
    <w:autoRedefine/>
    <w:qFormat/>
    <w:uiPriority w:val="0"/>
    <w:pPr>
      <w:widowControl/>
      <w:snapToGrid w:val="0"/>
      <w:spacing w:afterLines="50"/>
      <w:ind w:firstLine="200" w:firstLineChars="200"/>
    </w:pPr>
    <w:rPr>
      <w:kern w:val="0"/>
      <w:sz w:val="24"/>
    </w:rPr>
  </w:style>
  <w:style w:type="paragraph" w:customStyle="1" w:styleId="134">
    <w:name w:val="默认段落字体 Para Char Char Char Char Char Char Char Char Char1 Char Char Char Char"/>
    <w:basedOn w:val="1"/>
    <w:autoRedefine/>
    <w:qFormat/>
    <w:uiPriority w:val="0"/>
    <w:rPr>
      <w:rFonts w:ascii="Tahoma" w:hAnsi="Tahoma"/>
      <w:sz w:val="24"/>
    </w:rPr>
  </w:style>
  <w:style w:type="paragraph" w:customStyle="1" w:styleId="135">
    <w:name w:val="正文缩进1"/>
    <w:basedOn w:val="136"/>
    <w:next w:val="52"/>
    <w:autoRedefine/>
    <w:qFormat/>
    <w:uiPriority w:val="0"/>
    <w:pPr>
      <w:spacing w:line="480" w:lineRule="exact"/>
    </w:pPr>
    <w:rPr>
      <w:rFonts w:ascii="宋体" w:hAnsi="宋体"/>
      <w:sz w:val="24"/>
    </w:rPr>
  </w:style>
  <w:style w:type="paragraph" w:customStyle="1" w:styleId="136">
    <w:name w:val="正文11"/>
    <w:next w:val="13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文档正文"/>
    <w:basedOn w:val="1"/>
    <w:autoRedefine/>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38">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39">
    <w:name w:val="p0"/>
    <w:basedOn w:val="1"/>
    <w:autoRedefine/>
    <w:qFormat/>
    <w:uiPriority w:val="0"/>
    <w:pPr>
      <w:widowControl/>
    </w:pPr>
    <w:rPr>
      <w:kern w:val="0"/>
      <w:szCs w:val="21"/>
    </w:rPr>
  </w:style>
  <w:style w:type="character" w:customStyle="1" w:styleId="140">
    <w:name w:val="font21"/>
    <w:basedOn w:val="44"/>
    <w:autoRedefine/>
    <w:qFormat/>
    <w:uiPriority w:val="0"/>
    <w:rPr>
      <w:rFonts w:hint="eastAsia" w:ascii="宋体" w:hAnsi="宋体" w:eastAsia="宋体" w:cs="宋体"/>
      <w:color w:val="000000"/>
      <w:sz w:val="24"/>
      <w:szCs w:val="24"/>
      <w:u w:val="none"/>
    </w:rPr>
  </w:style>
  <w:style w:type="character" w:customStyle="1" w:styleId="141">
    <w:name w:val="font31"/>
    <w:basedOn w:val="44"/>
    <w:autoRedefine/>
    <w:qFormat/>
    <w:uiPriority w:val="0"/>
    <w:rPr>
      <w:rFonts w:hint="eastAsia" w:ascii="宋体" w:hAnsi="宋体" w:eastAsia="宋体" w:cs="宋体"/>
      <w:b/>
      <w:bCs/>
      <w:color w:val="000000"/>
      <w:sz w:val="24"/>
      <w:szCs w:val="24"/>
      <w:u w:val="none"/>
    </w:rPr>
  </w:style>
  <w:style w:type="paragraph" w:customStyle="1" w:styleId="142">
    <w:name w:val="_Style 1"/>
    <w:basedOn w:val="1"/>
    <w:autoRedefine/>
    <w:qFormat/>
    <w:uiPriority w:val="0"/>
    <w:pPr>
      <w:ind w:firstLine="420"/>
    </w:pPr>
    <w:rPr>
      <w:rFonts w:ascii="Calibri" w:hAnsi="Calibri"/>
      <w:szCs w:val="22"/>
    </w:rPr>
  </w:style>
  <w:style w:type="character" w:customStyle="1" w:styleId="143">
    <w:name w:val="标题 1 Char"/>
    <w:link w:val="2"/>
    <w:autoRedefine/>
    <w:qFormat/>
    <w:uiPriority w:val="0"/>
    <w:rPr>
      <w:rFonts w:eastAsia="宋体"/>
      <w:b/>
      <w:bCs/>
      <w:kern w:val="2"/>
      <w:sz w:val="24"/>
      <w:szCs w:val="24"/>
      <w:lang w:val="en-US" w:eastAsia="zh-CN" w:bidi="ar-SA"/>
    </w:rPr>
  </w:style>
  <w:style w:type="paragraph" w:customStyle="1" w:styleId="144">
    <w:name w:val="无间隔1"/>
    <w:autoRedefine/>
    <w:qFormat/>
    <w:uiPriority w:val="0"/>
    <w:rPr>
      <w:rFonts w:ascii="Calibri" w:hAnsi="Calibri" w:eastAsia="宋体" w:cs="Times New Roman"/>
      <w:sz w:val="22"/>
      <w:szCs w:val="22"/>
      <w:lang w:val="en-US" w:eastAsia="en-US" w:bidi="ar-SA"/>
    </w:rPr>
  </w:style>
  <w:style w:type="character" w:customStyle="1" w:styleId="145">
    <w:name w:val="font211"/>
    <w:basedOn w:val="44"/>
    <w:autoRedefine/>
    <w:qFormat/>
    <w:uiPriority w:val="0"/>
    <w:rPr>
      <w:rFonts w:ascii="宋体" w:hAnsi="宋体" w:eastAsia="宋体" w:cs="宋体"/>
      <w:color w:val="000000"/>
      <w:sz w:val="20"/>
      <w:szCs w:val="20"/>
      <w:u w:val="none"/>
    </w:rPr>
  </w:style>
  <w:style w:type="character" w:customStyle="1" w:styleId="146">
    <w:name w:val="font22"/>
    <w:basedOn w:val="44"/>
    <w:autoRedefine/>
    <w:qFormat/>
    <w:uiPriority w:val="0"/>
    <w:rPr>
      <w:rFonts w:hint="eastAsia" w:ascii="宋体" w:hAnsi="宋体" w:eastAsia="宋体" w:cs="宋体"/>
      <w:color w:val="000000"/>
      <w:sz w:val="20"/>
      <w:szCs w:val="20"/>
      <w:u w:val="none"/>
    </w:rPr>
  </w:style>
  <w:style w:type="character" w:customStyle="1" w:styleId="147">
    <w:name w:val="font222"/>
    <w:basedOn w:val="44"/>
    <w:autoRedefine/>
    <w:qFormat/>
    <w:uiPriority w:val="0"/>
    <w:rPr>
      <w:rFonts w:hint="eastAsia" w:ascii="宋体" w:hAnsi="宋体" w:eastAsia="宋体" w:cs="宋体"/>
      <w:color w:val="000000"/>
      <w:sz w:val="20"/>
      <w:szCs w:val="20"/>
      <w:u w:val="none"/>
      <w:vertAlign w:val="superscript"/>
    </w:rPr>
  </w:style>
  <w:style w:type="character" w:customStyle="1" w:styleId="148">
    <w:name w:val="font231"/>
    <w:basedOn w:val="44"/>
    <w:autoRedefine/>
    <w:qFormat/>
    <w:uiPriority w:val="0"/>
    <w:rPr>
      <w:rFonts w:hint="eastAsia" w:ascii="宋体" w:hAnsi="宋体" w:eastAsia="宋体" w:cs="宋体"/>
      <w:color w:val="FF0000"/>
      <w:sz w:val="20"/>
      <w:szCs w:val="20"/>
      <w:u w:val="none"/>
    </w:rPr>
  </w:style>
  <w:style w:type="character" w:customStyle="1" w:styleId="149">
    <w:name w:val="font91"/>
    <w:basedOn w:val="44"/>
    <w:autoRedefine/>
    <w:qFormat/>
    <w:uiPriority w:val="0"/>
    <w:rPr>
      <w:rFonts w:hint="eastAsia" w:ascii="宋体" w:hAnsi="宋体" w:eastAsia="宋体" w:cs="宋体"/>
      <w:color w:val="000000"/>
      <w:sz w:val="20"/>
      <w:szCs w:val="20"/>
      <w:u w:val="none"/>
    </w:rPr>
  </w:style>
  <w:style w:type="character" w:customStyle="1" w:styleId="150">
    <w:name w:val="font251"/>
    <w:basedOn w:val="44"/>
    <w:autoRedefine/>
    <w:qFormat/>
    <w:uiPriority w:val="0"/>
    <w:rPr>
      <w:rFonts w:ascii="宋体" w:hAnsi="宋体" w:eastAsia="宋体" w:cs="宋体"/>
      <w:color w:val="000000"/>
      <w:sz w:val="20"/>
      <w:szCs w:val="20"/>
      <w:u w:val="none"/>
    </w:rPr>
  </w:style>
  <w:style w:type="character" w:customStyle="1" w:styleId="151">
    <w:name w:val="font141"/>
    <w:basedOn w:val="44"/>
    <w:autoRedefine/>
    <w:qFormat/>
    <w:uiPriority w:val="0"/>
    <w:rPr>
      <w:rFonts w:hint="eastAsia" w:ascii="宋体" w:hAnsi="宋体" w:eastAsia="宋体" w:cs="宋体"/>
      <w:color w:val="000000"/>
      <w:sz w:val="20"/>
      <w:szCs w:val="20"/>
      <w:u w:val="none"/>
    </w:rPr>
  </w:style>
  <w:style w:type="character" w:customStyle="1" w:styleId="152">
    <w:name w:val="font81"/>
    <w:basedOn w:val="44"/>
    <w:autoRedefine/>
    <w:qFormat/>
    <w:uiPriority w:val="0"/>
    <w:rPr>
      <w:rFonts w:hint="eastAsia" w:ascii="宋体" w:hAnsi="宋体" w:eastAsia="宋体" w:cs="宋体"/>
      <w:color w:val="000000"/>
      <w:sz w:val="20"/>
      <w:szCs w:val="20"/>
      <w:u w:val="none"/>
      <w:vertAlign w:val="superscript"/>
    </w:rPr>
  </w:style>
  <w:style w:type="character" w:customStyle="1" w:styleId="153">
    <w:name w:val="font131"/>
    <w:basedOn w:val="44"/>
    <w:autoRedefine/>
    <w:qFormat/>
    <w:uiPriority w:val="0"/>
    <w:rPr>
      <w:rFonts w:hint="eastAsia" w:ascii="微软雅黑" w:hAnsi="微软雅黑" w:eastAsia="微软雅黑" w:cs="微软雅黑"/>
      <w:color w:val="000000"/>
      <w:sz w:val="20"/>
      <w:szCs w:val="20"/>
      <w:u w:val="none"/>
    </w:rPr>
  </w:style>
  <w:style w:type="character" w:customStyle="1" w:styleId="154">
    <w:name w:val="font121"/>
    <w:basedOn w:val="44"/>
    <w:autoRedefine/>
    <w:qFormat/>
    <w:uiPriority w:val="0"/>
    <w:rPr>
      <w:rFonts w:hint="eastAsia" w:ascii="等线" w:hAnsi="等线" w:eastAsia="等线" w:cs="等线"/>
      <w:color w:val="000000"/>
      <w:sz w:val="20"/>
      <w:szCs w:val="20"/>
      <w:u w:val="none"/>
    </w:rPr>
  </w:style>
  <w:style w:type="character" w:customStyle="1" w:styleId="155">
    <w:name w:val="font61"/>
    <w:basedOn w:val="44"/>
    <w:autoRedefine/>
    <w:qFormat/>
    <w:uiPriority w:val="0"/>
    <w:rPr>
      <w:rFonts w:hint="eastAsia" w:ascii="宋体" w:hAnsi="宋体" w:eastAsia="宋体" w:cs="宋体"/>
      <w:color w:val="000000"/>
      <w:sz w:val="20"/>
      <w:szCs w:val="20"/>
      <w:u w:val="none"/>
    </w:rPr>
  </w:style>
  <w:style w:type="character" w:customStyle="1" w:styleId="156">
    <w:name w:val="font261"/>
    <w:basedOn w:val="44"/>
    <w:autoRedefine/>
    <w:qFormat/>
    <w:uiPriority w:val="0"/>
    <w:rPr>
      <w:rFonts w:hint="eastAsia" w:ascii="宋体" w:hAnsi="宋体" w:eastAsia="宋体" w:cs="宋体"/>
      <w:color w:val="000000"/>
      <w:sz w:val="20"/>
      <w:szCs w:val="20"/>
      <w:u w:val="none"/>
    </w:rPr>
  </w:style>
  <w:style w:type="character" w:customStyle="1" w:styleId="157">
    <w:name w:val="NormalCharacter"/>
    <w:autoRedefine/>
    <w:semiHidden/>
    <w:qFormat/>
    <w:uiPriority w:val="0"/>
    <w:rPr>
      <w:rFonts w:hint="eastAsia" w:ascii="Times New Roman" w:hAnsi="Times New Roman" w:eastAsia="宋体" w:cs="Times New Roman"/>
      <w:kern w:val="2"/>
      <w:sz w:val="21"/>
      <w:lang w:val="en-US" w:eastAsia="zh-CN" w:bidi="ar-SA"/>
    </w:rPr>
  </w:style>
  <w:style w:type="paragraph" w:customStyle="1" w:styleId="158">
    <w:name w:val="正文文本首行缩进1"/>
    <w:basedOn w:val="14"/>
    <w:next w:val="159"/>
    <w:autoRedefine/>
    <w:qFormat/>
    <w:uiPriority w:val="99"/>
    <w:pPr>
      <w:ind w:firstLine="420" w:firstLineChars="100"/>
    </w:pPr>
  </w:style>
  <w:style w:type="paragraph" w:customStyle="1" w:styleId="159">
    <w:name w:val="TOC 61"/>
    <w:basedOn w:val="1"/>
    <w:next w:val="1"/>
    <w:autoRedefine/>
    <w:qFormat/>
    <w:uiPriority w:val="0"/>
    <w:pPr>
      <w:ind w:left="2100" w:leftChars="1000"/>
    </w:pPr>
  </w:style>
  <w:style w:type="paragraph" w:customStyle="1" w:styleId="160">
    <w:name w:val="正文空2字"/>
    <w:basedOn w:val="16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61">
    <w:name w:val="左对齐正文"/>
    <w:autoRedefine/>
    <w:qFormat/>
    <w:uiPriority w:val="99"/>
    <w:rPr>
      <w:rFonts w:ascii="Calibri" w:hAnsi="Calibri" w:eastAsia="仿宋_GB2312" w:cs="Calibri"/>
      <w:kern w:val="2"/>
      <w:sz w:val="32"/>
      <w:szCs w:val="32"/>
      <w:lang w:val="en-US" w:eastAsia="zh-CN" w:bidi="ar-SA"/>
    </w:rPr>
  </w:style>
  <w:style w:type="paragraph" w:customStyle="1" w:styleId="162">
    <w:name w:val="无间隔2"/>
    <w:autoRedefine/>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63">
    <w:name w:val="font101"/>
    <w:basedOn w:val="44"/>
    <w:qFormat/>
    <w:uiPriority w:val="0"/>
    <w:rPr>
      <w:rFonts w:hint="eastAsia" w:ascii="宋体" w:hAnsi="宋体" w:eastAsia="宋体" w:cs="宋体"/>
      <w:color w:val="FF0000"/>
      <w:sz w:val="20"/>
      <w:szCs w:val="20"/>
      <w:u w:val="none"/>
    </w:rPr>
  </w:style>
  <w:style w:type="paragraph" w:customStyle="1" w:styleId="164">
    <w:name w:val="修订1"/>
    <w:hidden/>
    <w:unhideWhenUsed/>
    <w:qFormat/>
    <w:uiPriority w:val="99"/>
    <w:rPr>
      <w:rFonts w:hint="eastAsia" w:ascii="Times New Roman" w:hAnsi="Times New Roman" w:eastAsia="宋体" w:cs="Times New Roman"/>
      <w:kern w:val="2"/>
      <w:sz w:val="21"/>
      <w:lang w:val="en-US" w:eastAsia="zh-CN" w:bidi="ar-SA"/>
    </w:rPr>
  </w:style>
  <w:style w:type="paragraph" w:customStyle="1" w:styleId="165">
    <w:name w:val="Table Text"/>
    <w:basedOn w:val="1"/>
    <w:qFormat/>
    <w:uiPriority w:val="0"/>
    <w:rPr>
      <w:rFonts w:ascii="宋体" w:hAnsi="宋体" w:cs="宋体"/>
      <w:sz w:val="24"/>
      <w:szCs w:val="24"/>
      <w:lang w:eastAsia="en-US"/>
    </w:rPr>
  </w:style>
  <w:style w:type="table" w:customStyle="1" w:styleId="16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69</Pages>
  <Words>8300</Words>
  <Characters>9335</Characters>
  <Lines>290</Lines>
  <Paragraphs>81</Paragraphs>
  <TotalTime>17</TotalTime>
  <ScaleCrop>false</ScaleCrop>
  <LinksUpToDate>false</LinksUpToDate>
  <CharactersWithSpaces>9429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2026-03-10T14:05:00Z</dcterms:created>
  <dc:creator>黄旭明</dc:creator>
  <cp:lastModifiedBy>Aa</cp:lastModifiedBy>
  <cp:lastPrinted>2024-11-25T08:29:00Z</cp:lastPrinted>
  <dcterms:modified xsi:type="dcterms:W3CDTF">2026-03-27T06:57:03Z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95B1437F5A284A5F8B30D341472840CD_13</vt:lpwstr>
  </property>
  <property fmtid="{D5CDD505-2E9C-101B-9397-08002B2CF9AE}" pid="4" name="KSOTemplateDocerSaveRecord">
    <vt:lpwstr>eyJoZGlkIjoiZWU4YWU3NGI5YTdiZTBhNTlmOTkyNDdkYTA1N2Q0MzUiLCJ1c2VySWQiOiI2MTI4NTM3MjAifQ==</vt:lpwstr>
  </property>
</Properties>
</file>