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345F7">
      <w:pPr>
        <w:jc w:val="center"/>
        <w:rPr>
          <w:rFonts w:hint="eastAsia" w:asciiTheme="minorEastAsia" w:hAnsiTheme="minorEastAsia" w:eastAsiaTheme="minorEastAsia" w:cstheme="minorEastAsia"/>
          <w:bCs/>
          <w:kern w:val="0"/>
          <w:sz w:val="30"/>
          <w:szCs w:val="30"/>
        </w:rPr>
      </w:pPr>
      <w:r>
        <w:rPr>
          <w:rFonts w:hint="eastAsia" w:asciiTheme="minorEastAsia" w:hAnsiTheme="minorEastAsia" w:eastAsiaTheme="minorEastAsia" w:cstheme="minorEastAsia"/>
          <w:b/>
          <w:bCs/>
          <w:sz w:val="72"/>
          <w:szCs w:val="72"/>
        </w:rPr>
        <w:t>竞争性磋商文件</w:t>
      </w:r>
    </w:p>
    <w:p w14:paraId="0760E2C3">
      <w:pPr>
        <w:spacing w:after="240" w:line="360" w:lineRule="auto"/>
        <w:jc w:val="center"/>
        <w:rPr>
          <w:rFonts w:hint="eastAsia" w:asciiTheme="minorEastAsia" w:hAnsiTheme="minorEastAsia" w:eastAsiaTheme="minorEastAsia" w:cstheme="minorEastAsia"/>
          <w:bCs/>
          <w:kern w:val="0"/>
          <w:sz w:val="30"/>
          <w:szCs w:val="30"/>
        </w:rPr>
      </w:pPr>
    </w:p>
    <w:p w14:paraId="42887FC6">
      <w:pPr>
        <w:pStyle w:val="18"/>
        <w:widowControl/>
        <w:spacing w:line="460" w:lineRule="exact"/>
        <w:jc w:val="center"/>
        <w:rPr>
          <w:rFonts w:hint="eastAsia" w:asciiTheme="minorEastAsia" w:hAnsiTheme="minorEastAsia" w:eastAsiaTheme="minorEastAsia" w:cstheme="minorEastAsia"/>
          <w:bCs/>
          <w:color w:val="auto"/>
          <w:sz w:val="30"/>
          <w:szCs w:val="30"/>
          <w:lang w:val="en-US" w:eastAsia="zh-CN"/>
        </w:rPr>
      </w:pPr>
      <w:r>
        <w:rPr>
          <w:rFonts w:hint="eastAsia" w:asciiTheme="minorEastAsia" w:hAnsiTheme="minorEastAsia" w:eastAsiaTheme="minorEastAsia" w:cstheme="minorEastAsia"/>
          <w:bCs/>
          <w:color w:val="auto"/>
          <w:sz w:val="30"/>
          <w:szCs w:val="30"/>
        </w:rPr>
        <w:t>项目编号：</w:t>
      </w:r>
      <w:r>
        <w:rPr>
          <w:rFonts w:hint="eastAsia" w:asciiTheme="minorEastAsia" w:hAnsiTheme="minorEastAsia" w:eastAsiaTheme="minorEastAsia" w:cstheme="minorEastAsia"/>
          <w:bCs/>
          <w:color w:val="auto"/>
          <w:sz w:val="30"/>
          <w:szCs w:val="30"/>
          <w:lang w:val="en-US" w:eastAsia="zh-CN"/>
        </w:rPr>
        <w:t>HYTH（CS）2026-（Z）15</w:t>
      </w:r>
    </w:p>
    <w:p w14:paraId="0ED9D151">
      <w:pPr>
        <w:spacing w:after="240" w:line="360" w:lineRule="auto"/>
        <w:jc w:val="center"/>
        <w:rPr>
          <w:rFonts w:hint="eastAsia" w:asciiTheme="minorEastAsia" w:hAnsiTheme="minorEastAsia" w:eastAsiaTheme="minorEastAsia" w:cstheme="minorEastAsia"/>
          <w:bCs/>
          <w:kern w:val="0"/>
          <w:sz w:val="30"/>
          <w:szCs w:val="30"/>
        </w:rPr>
      </w:pPr>
    </w:p>
    <w:p w14:paraId="1FC5326B">
      <w:pPr>
        <w:pStyle w:val="7"/>
        <w:spacing w:line="460" w:lineRule="exact"/>
        <w:rPr>
          <w:rFonts w:hint="eastAsia" w:asciiTheme="minorEastAsia" w:hAnsiTheme="minorEastAsia" w:eastAsiaTheme="minorEastAsia" w:cstheme="minorEastAsia"/>
        </w:rPr>
      </w:pPr>
    </w:p>
    <w:p w14:paraId="25311835">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602" w:firstLineChars="200"/>
        <w:jc w:val="both"/>
        <w:textAlignment w:val="auto"/>
        <w:rPr>
          <w:rFonts w:hint="eastAsia" w:asciiTheme="minorEastAsia" w:hAnsiTheme="minorEastAsia" w:eastAsiaTheme="minorEastAsia" w:cstheme="minorEastAsia"/>
          <w:b w:val="0"/>
          <w:bCs w:val="0"/>
          <w:kern w:val="0"/>
          <w:sz w:val="30"/>
          <w:szCs w:val="30"/>
          <w:lang w:val="en-US" w:eastAsia="zh-CN" w:bidi="zh-CN"/>
        </w:rPr>
      </w:pPr>
      <w:r>
        <w:rPr>
          <w:rFonts w:hint="eastAsia" w:asciiTheme="minorEastAsia" w:hAnsiTheme="minorEastAsia" w:eastAsiaTheme="minorEastAsia" w:cstheme="minorEastAsia"/>
          <w:b/>
          <w:bCs/>
          <w:kern w:val="0"/>
          <w:sz w:val="30"/>
          <w:szCs w:val="30"/>
        </w:rPr>
        <w:t>项目名称：</w:t>
      </w:r>
      <w:r>
        <w:rPr>
          <w:rFonts w:hint="eastAsia" w:asciiTheme="minorEastAsia" w:hAnsiTheme="minorEastAsia" w:eastAsiaTheme="minorEastAsia" w:cstheme="minorEastAsia"/>
          <w:b w:val="0"/>
          <w:bCs w:val="0"/>
          <w:kern w:val="0"/>
          <w:sz w:val="30"/>
          <w:szCs w:val="30"/>
          <w:lang w:val="en-US" w:eastAsia="zh-CN"/>
        </w:rPr>
        <w:t>鄯善县吐峪沟乡智慧农业玻璃温室大棚建设项目</w:t>
      </w:r>
    </w:p>
    <w:p w14:paraId="3FC39733">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560" w:firstLineChars="200"/>
        <w:jc w:val="both"/>
        <w:textAlignment w:val="auto"/>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pPr>
    </w:p>
    <w:p w14:paraId="7C315D70">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 w:val="0"/>
          <w:bCs w:val="0"/>
          <w:color w:val="000000" w:themeColor="text1"/>
          <w:kern w:val="0"/>
          <w:sz w:val="30"/>
          <w:szCs w:val="30"/>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30"/>
          <w:szCs w:val="30"/>
          <w14:textFill>
            <w14:solidFill>
              <w14:schemeClr w14:val="tx1"/>
            </w14:solidFill>
          </w14:textFill>
        </w:rPr>
        <w:t>采 购人</w:t>
      </w:r>
      <w:r>
        <w:rPr>
          <w:rFonts w:hint="eastAsia" w:asciiTheme="minorEastAsia" w:hAnsiTheme="minorEastAsia" w:eastAsiaTheme="minorEastAsia" w:cstheme="minorEastAsia"/>
          <w:color w:val="000000" w:themeColor="text1"/>
          <w:kern w:val="0"/>
          <w:sz w:val="30"/>
          <w:szCs w:val="30"/>
          <w14:textFill>
            <w14:solidFill>
              <w14:schemeClr w14:val="tx1"/>
            </w14:solidFill>
          </w14:textFill>
        </w:rPr>
        <w:t>（盖章</w:t>
      </w:r>
      <w:r>
        <w:rPr>
          <w:rFonts w:hint="eastAsia" w:asciiTheme="minorEastAsia" w:hAnsiTheme="minorEastAsia" w:eastAsiaTheme="minorEastAsia" w:cstheme="minorEastAsia"/>
          <w:b w:val="0"/>
          <w:bCs w:val="0"/>
          <w:color w:val="000000" w:themeColor="text1"/>
          <w:kern w:val="0"/>
          <w:sz w:val="30"/>
          <w:szCs w:val="30"/>
          <w:lang w:val="en-US" w:eastAsia="zh-CN" w:bidi="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0"/>
          <w:szCs w:val="30"/>
          <w:lang w:val="en-US" w:eastAsia="zh-CN"/>
          <w14:textFill>
            <w14:solidFill>
              <w14:schemeClr w14:val="tx1"/>
            </w14:solidFill>
          </w14:textFill>
        </w:rPr>
        <w:t>：中共鄯善县委员会组织部</w:t>
      </w:r>
    </w:p>
    <w:p w14:paraId="61B6B8E1">
      <w:pPr>
        <w:pStyle w:val="49"/>
        <w:keepNext w:val="0"/>
        <w:keepLines w:val="0"/>
        <w:pageBreakBefore w:val="0"/>
        <w:widowControl w:val="0"/>
        <w:kinsoku/>
        <w:wordWrap/>
        <w:overflowPunct/>
        <w:topLinePunct w:val="0"/>
        <w:autoSpaceDE w:val="0"/>
        <w:autoSpaceDN w:val="0"/>
        <w:bidi w:val="0"/>
        <w:adjustRightInd/>
        <w:snapToGrid/>
        <w:spacing w:before="120" w:after="120" w:line="400" w:lineRule="exact"/>
        <w:ind w:firstLine="0" w:firstLineChars="0"/>
        <w:textAlignment w:val="auto"/>
        <w:rPr>
          <w:rFonts w:hint="eastAsia" w:asciiTheme="minorEastAsia" w:hAnsiTheme="minorEastAsia" w:eastAsiaTheme="minorEastAsia" w:cstheme="minorEastAsia"/>
          <w:color w:val="000000" w:themeColor="text1"/>
          <w14:textFill>
            <w14:solidFill>
              <w14:schemeClr w14:val="tx1"/>
            </w14:solidFill>
          </w14:textFill>
        </w:rPr>
      </w:pPr>
    </w:p>
    <w:p w14:paraId="5D2A9630">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 w:val="0"/>
          <w:bCs w:val="0"/>
          <w:color w:val="000000" w:themeColor="text1"/>
          <w:kern w:val="0"/>
          <w:sz w:val="30"/>
          <w:szCs w:val="30"/>
          <w:lang w:val="en-US" w:eastAsia="zh-CN" w:bidi="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30"/>
          <w:szCs w:val="30"/>
          <w14:textFill>
            <w14:solidFill>
              <w14:schemeClr w14:val="tx1"/>
            </w14:solidFill>
          </w14:textFill>
        </w:rPr>
        <w:t>联系人：</w:t>
      </w:r>
      <w:r>
        <w:rPr>
          <w:rFonts w:hint="eastAsia" w:asciiTheme="minorEastAsia" w:hAnsiTheme="minorEastAsia" w:eastAsiaTheme="minorEastAsia" w:cstheme="minorEastAsia"/>
          <w:b w:val="0"/>
          <w:bCs w:val="0"/>
          <w:color w:val="000000" w:themeColor="text1"/>
          <w:kern w:val="0"/>
          <w:sz w:val="30"/>
          <w:szCs w:val="30"/>
          <w:lang w:val="en-US" w:eastAsia="zh-CN"/>
          <w14:textFill>
            <w14:solidFill>
              <w14:schemeClr w14:val="tx1"/>
            </w14:solidFill>
          </w14:textFill>
        </w:rPr>
        <w:t>唐波</w:t>
      </w:r>
    </w:p>
    <w:p w14:paraId="3BC1366C">
      <w:pPr>
        <w:pStyle w:val="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Theme="minorEastAsia" w:hAnsiTheme="minorEastAsia" w:eastAsiaTheme="minorEastAsia" w:cstheme="minorEastAsia"/>
          <w:color w:val="000000" w:themeColor="text1"/>
          <w14:textFill>
            <w14:solidFill>
              <w14:schemeClr w14:val="tx1"/>
            </w14:solidFill>
          </w14:textFill>
        </w:rPr>
      </w:pPr>
    </w:p>
    <w:p w14:paraId="532A6201">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default" w:asciiTheme="minorEastAsia" w:hAnsiTheme="minorEastAsia" w:eastAsiaTheme="minorEastAsia" w:cstheme="minorEastAsia"/>
          <w:b w:val="0"/>
          <w:bCs w:val="0"/>
          <w:color w:val="000000" w:themeColor="text1"/>
          <w:kern w:val="0"/>
          <w:sz w:val="30"/>
          <w:szCs w:val="30"/>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30"/>
          <w:szCs w:val="30"/>
          <w14:textFill>
            <w14:solidFill>
              <w14:schemeClr w14:val="tx1"/>
            </w14:solidFill>
          </w14:textFill>
        </w:rPr>
        <w:t>电  话：</w:t>
      </w:r>
      <w:r>
        <w:rPr>
          <w:rFonts w:hint="eastAsia" w:asciiTheme="minorEastAsia" w:hAnsiTheme="minorEastAsia" w:eastAsiaTheme="minorEastAsia" w:cstheme="minorEastAsia"/>
          <w:b w:val="0"/>
          <w:bCs w:val="0"/>
          <w:color w:val="000000" w:themeColor="text1"/>
          <w:kern w:val="0"/>
          <w:sz w:val="30"/>
          <w:szCs w:val="30"/>
          <w:lang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kern w:val="0"/>
          <w:sz w:val="30"/>
          <w:szCs w:val="30"/>
          <w:lang w:val="en-US" w:eastAsia="zh-CN"/>
          <w14:textFill>
            <w14:solidFill>
              <w14:schemeClr w14:val="tx1"/>
            </w14:solidFill>
          </w14:textFill>
        </w:rPr>
        <w:t>7509950088</w:t>
      </w:r>
    </w:p>
    <w:p w14:paraId="74C979D8">
      <w:pPr>
        <w:keepNext w:val="0"/>
        <w:keepLines w:val="0"/>
        <w:pageBreakBefore w:val="0"/>
        <w:widowControl w:val="0"/>
        <w:kinsoku/>
        <w:wordWrap/>
        <w:overflowPunct/>
        <w:topLinePunct w:val="0"/>
        <w:autoSpaceDE w:val="0"/>
        <w:autoSpaceDN w:val="0"/>
        <w:bidi w:val="0"/>
        <w:adjustRightInd/>
        <w:snapToGrid/>
        <w:spacing w:line="400" w:lineRule="exact"/>
        <w:ind w:firstLine="44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p>
    <w:p w14:paraId="7152DEC8">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 w:val="0"/>
          <w:bCs w:val="0"/>
          <w:kern w:val="0"/>
          <w:sz w:val="30"/>
          <w:szCs w:val="30"/>
          <w:lang w:val="en-US" w:eastAsia="zh-CN"/>
        </w:rPr>
      </w:pPr>
      <w:r>
        <w:rPr>
          <w:rFonts w:hint="eastAsia" w:asciiTheme="minorEastAsia" w:hAnsiTheme="minorEastAsia" w:eastAsiaTheme="minorEastAsia" w:cstheme="minorEastAsia"/>
          <w:b/>
          <w:bCs/>
          <w:color w:val="000000" w:themeColor="text1"/>
          <w:kern w:val="0"/>
          <w:sz w:val="30"/>
          <w:szCs w:val="30"/>
          <w14:textFill>
            <w14:solidFill>
              <w14:schemeClr w14:val="tx1"/>
            </w14:solidFill>
          </w14:textFill>
        </w:rPr>
        <w:t>地  址：</w:t>
      </w:r>
      <w:r>
        <w:rPr>
          <w:rFonts w:hint="eastAsia" w:asciiTheme="minorEastAsia" w:hAnsiTheme="minorEastAsia" w:eastAsiaTheme="minorEastAsia" w:cstheme="minorEastAsia"/>
          <w:b w:val="0"/>
          <w:bCs w:val="0"/>
          <w:color w:val="000000" w:themeColor="text1"/>
          <w:kern w:val="0"/>
          <w:sz w:val="30"/>
          <w:szCs w:val="30"/>
          <w:lang w:val="en-US" w:eastAsia="zh-CN" w:bidi="zh-CN"/>
          <w14:textFill>
            <w14:solidFill>
              <w14:schemeClr w14:val="tx1"/>
            </w14:solidFill>
          </w14:textFill>
        </w:rPr>
        <w:t>鄯善县幸福路1号广场综合楼后二楼</w:t>
      </w:r>
    </w:p>
    <w:p w14:paraId="109F9172">
      <w:pPr>
        <w:pStyle w:val="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Theme="minorEastAsia" w:hAnsiTheme="minorEastAsia" w:eastAsiaTheme="minorEastAsia" w:cstheme="minorEastAsia"/>
        </w:rPr>
      </w:pPr>
    </w:p>
    <w:p w14:paraId="43F55050">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Cs/>
          <w:w w:val="96"/>
          <w:kern w:val="0"/>
          <w:sz w:val="30"/>
          <w:szCs w:val="30"/>
        </w:rPr>
      </w:pPr>
      <w:r>
        <w:rPr>
          <w:rFonts w:hint="eastAsia" w:asciiTheme="minorEastAsia" w:hAnsiTheme="minorEastAsia" w:eastAsiaTheme="minorEastAsia" w:cstheme="minorEastAsia"/>
          <w:b/>
          <w:bCs/>
          <w:kern w:val="0"/>
          <w:sz w:val="30"/>
          <w:szCs w:val="30"/>
        </w:rPr>
        <w:t>采购代理机构</w:t>
      </w:r>
      <w:r>
        <w:rPr>
          <w:rFonts w:hint="eastAsia" w:asciiTheme="minorEastAsia" w:hAnsiTheme="minorEastAsia" w:eastAsiaTheme="minorEastAsia" w:cstheme="minorEastAsia"/>
          <w:kern w:val="0"/>
          <w:sz w:val="30"/>
          <w:szCs w:val="30"/>
        </w:rPr>
        <w:t>（盖章）</w:t>
      </w:r>
      <w:r>
        <w:rPr>
          <w:rFonts w:hint="eastAsia" w:asciiTheme="minorEastAsia" w:hAnsiTheme="minorEastAsia" w:eastAsiaTheme="minorEastAsia" w:cstheme="minorEastAsia"/>
          <w:b/>
          <w:bCs/>
          <w:kern w:val="0"/>
          <w:sz w:val="30"/>
          <w:szCs w:val="30"/>
        </w:rPr>
        <w:t>：</w:t>
      </w:r>
      <w:r>
        <w:rPr>
          <w:rFonts w:hint="eastAsia" w:asciiTheme="minorEastAsia" w:hAnsiTheme="minorEastAsia" w:eastAsiaTheme="minorEastAsia" w:cstheme="minorEastAsia"/>
          <w:b w:val="0"/>
          <w:bCs w:val="0"/>
          <w:kern w:val="0"/>
          <w:sz w:val="30"/>
          <w:szCs w:val="30"/>
          <w:lang w:val="en-US" w:eastAsia="zh-CN"/>
        </w:rPr>
        <w:t>新疆华域天恒工程管理有限公司</w:t>
      </w:r>
    </w:p>
    <w:p w14:paraId="38225E52">
      <w:pPr>
        <w:pStyle w:val="49"/>
        <w:keepNext w:val="0"/>
        <w:keepLines w:val="0"/>
        <w:pageBreakBefore w:val="0"/>
        <w:widowControl w:val="0"/>
        <w:kinsoku/>
        <w:wordWrap/>
        <w:overflowPunct/>
        <w:topLinePunct w:val="0"/>
        <w:autoSpaceDE w:val="0"/>
        <w:autoSpaceDN w:val="0"/>
        <w:bidi w:val="0"/>
        <w:adjustRightInd/>
        <w:snapToGrid/>
        <w:spacing w:before="120" w:after="120" w:line="400" w:lineRule="exact"/>
        <w:ind w:firstLine="480"/>
        <w:textAlignment w:val="auto"/>
        <w:rPr>
          <w:rFonts w:hint="eastAsia" w:asciiTheme="minorEastAsia" w:hAnsiTheme="minorEastAsia" w:eastAsiaTheme="minorEastAsia" w:cstheme="minorEastAsia"/>
        </w:rPr>
      </w:pPr>
    </w:p>
    <w:p w14:paraId="1F6A1C7F">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Cs/>
          <w:sz w:val="30"/>
          <w:szCs w:val="30"/>
          <w:lang w:val="en-US" w:eastAsia="zh-CN"/>
        </w:rPr>
      </w:pPr>
      <w:r>
        <w:rPr>
          <w:rFonts w:hint="eastAsia" w:asciiTheme="minorEastAsia" w:hAnsiTheme="minorEastAsia" w:eastAsiaTheme="minorEastAsia" w:cstheme="minorEastAsia"/>
          <w:b/>
          <w:bCs/>
          <w:kern w:val="0"/>
          <w:sz w:val="30"/>
          <w:szCs w:val="30"/>
        </w:rPr>
        <w:t>联系人</w:t>
      </w:r>
      <w:r>
        <w:rPr>
          <w:rFonts w:hint="eastAsia" w:asciiTheme="minorEastAsia" w:hAnsiTheme="minorEastAsia" w:eastAsiaTheme="minorEastAsia" w:cstheme="minorEastAsia"/>
          <w:b/>
          <w:bCs/>
          <w:sz w:val="30"/>
          <w:szCs w:val="30"/>
        </w:rPr>
        <w:t>：</w:t>
      </w:r>
      <w:r>
        <w:rPr>
          <w:rFonts w:hint="eastAsia" w:asciiTheme="minorEastAsia" w:hAnsiTheme="minorEastAsia" w:eastAsiaTheme="minorEastAsia" w:cstheme="minorEastAsia"/>
          <w:b/>
          <w:bCs/>
          <w:sz w:val="30"/>
          <w:szCs w:val="30"/>
          <w:lang w:val="en-US" w:eastAsia="zh-CN"/>
        </w:rPr>
        <w:t>张莉</w:t>
      </w:r>
    </w:p>
    <w:p w14:paraId="07E464D5">
      <w:pPr>
        <w:pStyle w:val="49"/>
        <w:keepNext w:val="0"/>
        <w:keepLines w:val="0"/>
        <w:pageBreakBefore w:val="0"/>
        <w:widowControl w:val="0"/>
        <w:kinsoku/>
        <w:wordWrap/>
        <w:overflowPunct/>
        <w:topLinePunct w:val="0"/>
        <w:autoSpaceDE w:val="0"/>
        <w:autoSpaceDN w:val="0"/>
        <w:bidi w:val="0"/>
        <w:adjustRightInd/>
        <w:snapToGrid/>
        <w:spacing w:before="120" w:after="120" w:line="400" w:lineRule="exact"/>
        <w:ind w:firstLine="480"/>
        <w:textAlignment w:val="auto"/>
        <w:rPr>
          <w:rFonts w:hint="eastAsia" w:asciiTheme="minorEastAsia" w:hAnsiTheme="minorEastAsia" w:eastAsiaTheme="minorEastAsia" w:cstheme="minorEastAsia"/>
        </w:rPr>
      </w:pPr>
    </w:p>
    <w:p w14:paraId="73A5EFEF">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default" w:asciiTheme="minorEastAsia" w:hAnsiTheme="minorEastAsia" w:eastAsiaTheme="minorEastAsia" w:cstheme="minorEastAsia"/>
          <w:bCs/>
          <w:kern w:val="0"/>
          <w:sz w:val="30"/>
          <w:szCs w:val="30"/>
          <w:lang w:val="en-US" w:eastAsia="zh-CN"/>
        </w:rPr>
      </w:pPr>
      <w:r>
        <w:rPr>
          <w:rFonts w:hint="eastAsia" w:asciiTheme="minorEastAsia" w:hAnsiTheme="minorEastAsia" w:eastAsiaTheme="minorEastAsia" w:cstheme="minorEastAsia"/>
          <w:b/>
          <w:bCs/>
          <w:kern w:val="0"/>
          <w:sz w:val="30"/>
          <w:szCs w:val="30"/>
        </w:rPr>
        <w:t>电  话</w:t>
      </w:r>
      <w:r>
        <w:rPr>
          <w:rFonts w:hint="eastAsia" w:asciiTheme="minorEastAsia" w:hAnsiTheme="minorEastAsia" w:eastAsiaTheme="minorEastAsia" w:cstheme="minorEastAsia"/>
          <w:b/>
          <w:bCs/>
          <w:sz w:val="30"/>
          <w:szCs w:val="30"/>
        </w:rPr>
        <w:t>：</w:t>
      </w:r>
      <w:r>
        <w:rPr>
          <w:rFonts w:hint="eastAsia" w:asciiTheme="minorEastAsia" w:hAnsiTheme="minorEastAsia" w:eastAsiaTheme="minorEastAsia" w:cstheme="minorEastAsia"/>
          <w:color w:val="151515"/>
          <w:kern w:val="2"/>
          <w:sz w:val="32"/>
          <w:szCs w:val="32"/>
          <w:shd w:val="clear" w:color="auto" w:fill="FFFFFF"/>
          <w:lang w:val="en-US" w:eastAsia="zh-CN" w:bidi="ar-SA"/>
        </w:rPr>
        <w:t>13699902201</w:t>
      </w:r>
    </w:p>
    <w:p w14:paraId="0E604C81">
      <w:pPr>
        <w:pStyle w:val="49"/>
        <w:keepNext w:val="0"/>
        <w:keepLines w:val="0"/>
        <w:pageBreakBefore w:val="0"/>
        <w:widowControl w:val="0"/>
        <w:kinsoku/>
        <w:wordWrap/>
        <w:overflowPunct/>
        <w:topLinePunct w:val="0"/>
        <w:autoSpaceDE w:val="0"/>
        <w:autoSpaceDN w:val="0"/>
        <w:bidi w:val="0"/>
        <w:adjustRightInd/>
        <w:snapToGrid/>
        <w:spacing w:before="120" w:after="120" w:line="400" w:lineRule="exact"/>
        <w:ind w:firstLine="480"/>
        <w:textAlignment w:val="auto"/>
        <w:rPr>
          <w:rFonts w:hint="eastAsia" w:asciiTheme="minorEastAsia" w:hAnsiTheme="minorEastAsia" w:eastAsiaTheme="minorEastAsia" w:cstheme="minorEastAsia"/>
        </w:rPr>
      </w:pPr>
    </w:p>
    <w:p w14:paraId="675EF13E">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 w:val="0"/>
          <w:bCs w:val="0"/>
          <w:kern w:val="0"/>
          <w:sz w:val="30"/>
          <w:szCs w:val="30"/>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134" w:right="1474" w:bottom="1134" w:left="1474" w:header="851" w:footer="794" w:gutter="0"/>
          <w:pgNumType w:fmt="decimal" w:start="1"/>
          <w:cols w:space="0" w:num="1"/>
          <w:titlePg/>
          <w:rtlGutter w:val="0"/>
          <w:docGrid w:linePitch="312" w:charSpace="0"/>
        </w:sectPr>
      </w:pPr>
      <w:r>
        <w:rPr>
          <w:rFonts w:hint="eastAsia" w:asciiTheme="minorEastAsia" w:hAnsiTheme="minorEastAsia" w:eastAsiaTheme="minorEastAsia" w:cstheme="minorEastAsia"/>
          <w:b/>
          <w:bCs/>
          <w:kern w:val="0"/>
          <w:sz w:val="30"/>
          <w:szCs w:val="30"/>
        </w:rPr>
        <w:t>地  址：</w:t>
      </w:r>
      <w:r>
        <w:rPr>
          <w:rFonts w:hint="eastAsia" w:asciiTheme="minorEastAsia" w:hAnsiTheme="minorEastAsia" w:eastAsiaTheme="minorEastAsia" w:cstheme="minorEastAsia"/>
          <w:b w:val="0"/>
          <w:bCs w:val="0"/>
          <w:kern w:val="0"/>
          <w:sz w:val="30"/>
          <w:szCs w:val="30"/>
          <w:lang w:val="en-US" w:eastAsia="zh-CN"/>
        </w:rPr>
        <w:t>吐鲁番市高昌区示范区和平街11幢2层201号</w:t>
      </w:r>
    </w:p>
    <w:p w14:paraId="4AB8B26A">
      <w:pPr>
        <w:keepNext w:val="0"/>
        <w:keepLines w:val="0"/>
        <w:pageBreakBefore w:val="0"/>
        <w:widowControl w:val="0"/>
        <w:kinsoku/>
        <w:wordWrap/>
        <w:overflowPunct/>
        <w:topLinePunct w:val="0"/>
        <w:autoSpaceDE w:val="0"/>
        <w:autoSpaceDN w:val="0"/>
        <w:bidi w:val="0"/>
        <w:adjustRightInd/>
        <w:snapToGrid/>
        <w:spacing w:line="440" w:lineRule="exact"/>
        <w:ind w:firstLine="643" w:firstLineChars="200"/>
        <w:jc w:val="center"/>
        <w:textAlignment w:val="auto"/>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 xml:space="preserve"> </w:t>
      </w:r>
      <w:bookmarkStart w:id="0" w:name="_Toc27580_WPSOffice_Level1"/>
    </w:p>
    <w:p w14:paraId="0AE93170">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color w:val="auto"/>
          <w:highlight w:val="none"/>
        </w:rPr>
      </w:pPr>
      <w:bookmarkStart w:id="1" w:name="_Toc13968_WPSOffice_Type1"/>
      <w:r>
        <w:rPr>
          <w:rFonts w:hint="eastAsia" w:asciiTheme="minorEastAsia" w:hAnsiTheme="minorEastAsia" w:eastAsiaTheme="minorEastAsia" w:cstheme="minorEastAsia"/>
          <w:b/>
          <w:bCs/>
          <w:color w:val="auto"/>
          <w:sz w:val="40"/>
          <w:szCs w:val="44"/>
          <w:highlight w:val="none"/>
        </w:rPr>
        <w:t>目录</w:t>
      </w:r>
    </w:p>
    <w:p w14:paraId="225CB40A">
      <w:pPr>
        <w:pStyle w:val="48"/>
        <w:tabs>
          <w:tab w:val="right" w:leader="dot" w:pos="8848"/>
        </w:tabs>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_Toc3822_WPSOffice_Level1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第一部分 磋商</w:t>
      </w:r>
      <w:r>
        <w:rPr>
          <w:rFonts w:hint="eastAsia" w:asciiTheme="minorEastAsia" w:hAnsiTheme="minorEastAsia" w:eastAsiaTheme="minorEastAsia" w:cstheme="minorEastAsia"/>
          <w:color w:val="auto"/>
          <w:sz w:val="24"/>
          <w:szCs w:val="24"/>
          <w:highlight w:val="none"/>
          <w:lang w:val="en-US" w:eastAsia="zh-CN"/>
        </w:rPr>
        <w:t>公告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fldChar w:fldCharType="end"/>
      </w:r>
    </w:p>
    <w:p w14:paraId="42835902">
      <w:pPr>
        <w:pStyle w:val="48"/>
        <w:tabs>
          <w:tab w:val="right" w:leader="dot" w:pos="8848"/>
        </w:tabs>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_Toc27580_WPSOffice_Level1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第二部分 磋商须知</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fldChar w:fldCharType="end"/>
      </w:r>
    </w:p>
    <w:p w14:paraId="5959EC9D">
      <w:pPr>
        <w:pStyle w:val="48"/>
        <w:tabs>
          <w:tab w:val="right" w:leader="dot" w:pos="8848"/>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_Toc26743_WPSOffice_Level1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第三部分 采购项目需求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rPr>
        <w:fldChar w:fldCharType="end"/>
      </w:r>
    </w:p>
    <w:p w14:paraId="04A2504E">
      <w:pPr>
        <w:pStyle w:val="48"/>
        <w:tabs>
          <w:tab w:val="right" w:leader="dot" w:pos="8848"/>
        </w:tabs>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_Toc2627_WPSOffice_Level1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第四部分 合同格式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34</w:t>
      </w:r>
    </w:p>
    <w:p w14:paraId="529D7CBC">
      <w:pPr>
        <w:pStyle w:val="48"/>
        <w:tabs>
          <w:tab w:val="right" w:leader="dot" w:pos="8848"/>
        </w:tabs>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_Toc10386_WPSOffice_Level1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第五部分 响应文件格式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7</w:t>
      </w:r>
    </w:p>
    <w:bookmarkEnd w:id="1"/>
    <w:p w14:paraId="19E32BD4">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p w14:paraId="15C4659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sectPr>
          <w:headerReference r:id="rId11" w:type="default"/>
          <w:footerReference r:id="rId12" w:type="default"/>
          <w:pgSz w:w="11910" w:h="16840"/>
          <w:pgMar w:top="1134" w:right="1531" w:bottom="1134" w:left="1531" w:header="670" w:footer="1041" w:gutter="0"/>
          <w:pgNumType w:fmt="decimal"/>
          <w:cols w:space="0" w:num="1"/>
          <w:rtlGutter w:val="0"/>
          <w:docGrid w:linePitch="1" w:charSpace="0"/>
        </w:sectPr>
      </w:pPr>
    </w:p>
    <w:p w14:paraId="68215562">
      <w:pPr>
        <w:pStyle w:val="18"/>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jc w:val="center"/>
        <w:textAlignment w:val="auto"/>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lang w:val="en-US" w:eastAsia="zh-CN"/>
        </w:rPr>
        <w:t>磋商</w:t>
      </w:r>
      <w:r>
        <w:rPr>
          <w:rFonts w:hint="eastAsia" w:ascii="仿宋" w:hAnsi="仿宋" w:eastAsia="仿宋"/>
          <w:b/>
          <w:color w:val="000000"/>
          <w:sz w:val="32"/>
          <w:szCs w:val="32"/>
          <w:highlight w:val="none"/>
        </w:rPr>
        <w:t>公告</w:t>
      </w:r>
    </w:p>
    <w:p w14:paraId="0769305B">
      <w:pPr>
        <w:keepNext w:val="0"/>
        <w:keepLines w:val="0"/>
        <w:widowControl/>
        <w:suppressLineNumbers w:val="0"/>
        <w:pBdr>
          <w:bottom w:val="none" w:color="auto" w:sz="0" w:space="0"/>
        </w:pBdr>
        <w:spacing w:line="450" w:lineRule="atLeast"/>
        <w:jc w:val="center"/>
        <w:rPr>
          <w:rFonts w:hint="eastAsia" w:ascii="宋体" w:hAnsi="宋体" w:eastAsia="宋体" w:cs="宋体"/>
          <w:b/>
          <w:bCs/>
          <w:kern w:val="0"/>
          <w:sz w:val="36"/>
          <w:szCs w:val="36"/>
          <w:lang w:val="en-US" w:eastAsia="zh-CN" w:bidi="ar"/>
        </w:rPr>
      </w:pPr>
      <w:r>
        <w:rPr>
          <w:rFonts w:hint="eastAsia" w:cs="宋体"/>
          <w:b/>
          <w:bCs/>
          <w:kern w:val="0"/>
          <w:sz w:val="36"/>
          <w:szCs w:val="36"/>
          <w:lang w:val="en-US" w:eastAsia="zh-CN" w:bidi="ar"/>
        </w:rPr>
        <w:t>鄯善县吐峪沟乡智慧农业玻璃温室大棚建设项目</w:t>
      </w:r>
      <w:r>
        <w:rPr>
          <w:rFonts w:hint="eastAsia" w:ascii="宋体" w:hAnsi="宋体" w:eastAsia="宋体" w:cs="宋体"/>
          <w:b/>
          <w:bCs/>
          <w:kern w:val="0"/>
          <w:sz w:val="36"/>
          <w:szCs w:val="36"/>
          <w:lang w:val="en-US" w:eastAsia="zh-CN" w:bidi="ar"/>
        </w:rPr>
        <w:t>竞争性磋商公告</w:t>
      </w:r>
    </w:p>
    <w:p w14:paraId="6BEAFA97">
      <w:pPr>
        <w:pStyle w:val="18"/>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7"/>
          <w:szCs w:val="27"/>
        </w:rPr>
        <w:t xml:space="preserve">  </w:t>
      </w:r>
      <w:r>
        <w:rPr>
          <w:rFonts w:hint="eastAsia" w:ascii="宋体" w:hAnsi="宋体" w:eastAsia="宋体" w:cs="宋体"/>
          <w:i w:val="0"/>
          <w:iCs w:val="0"/>
          <w:caps w:val="0"/>
          <w:color w:val="000000"/>
          <w:spacing w:val="0"/>
          <w:sz w:val="24"/>
          <w:szCs w:val="24"/>
        </w:rPr>
        <w:t>项目概况</w:t>
      </w:r>
    </w:p>
    <w:p w14:paraId="5B0EDC87">
      <w:pPr>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i w:val="0"/>
          <w:iCs w:val="0"/>
          <w:caps w:val="0"/>
          <w:color w:val="auto"/>
          <w:spacing w:val="0"/>
          <w:sz w:val="24"/>
          <w:szCs w:val="24"/>
          <w:lang w:val="en-US" w:eastAsia="zh-CN"/>
        </w:rPr>
      </w:pPr>
      <w:r>
        <w:rPr>
          <w:rFonts w:hint="eastAsia" w:cs="宋体"/>
          <w:i w:val="0"/>
          <w:iCs w:val="0"/>
          <w:caps w:val="0"/>
          <w:color w:val="000000"/>
          <w:spacing w:val="0"/>
          <w:sz w:val="24"/>
          <w:szCs w:val="24"/>
          <w:lang w:val="en-US" w:eastAsia="zh-CN"/>
        </w:rPr>
        <w:t>鄯善县吐峪沟乡智慧农业玻璃温室大棚建设项目</w:t>
      </w:r>
      <w:r>
        <w:rPr>
          <w:rFonts w:hint="eastAsia" w:ascii="宋体" w:hAnsi="宋体" w:eastAsia="宋体" w:cs="宋体"/>
          <w:i w:val="0"/>
          <w:iCs w:val="0"/>
          <w:caps w:val="0"/>
          <w:color w:val="000000"/>
          <w:spacing w:val="0"/>
          <w:sz w:val="24"/>
          <w:szCs w:val="24"/>
          <w:lang w:val="en-US" w:eastAsia="zh-CN"/>
        </w:rPr>
        <w:t>的潜在投标人应在政采云平台线上获取</w:t>
      </w:r>
      <w:r>
        <w:rPr>
          <w:rFonts w:hint="eastAsia" w:cs="宋体"/>
          <w:i w:val="0"/>
          <w:iCs w:val="0"/>
          <w:caps w:val="0"/>
          <w:color w:val="000000"/>
          <w:spacing w:val="0"/>
          <w:sz w:val="24"/>
          <w:szCs w:val="24"/>
          <w:lang w:val="en-US" w:eastAsia="zh-CN"/>
        </w:rPr>
        <w:t>磋商文件</w:t>
      </w:r>
      <w:r>
        <w:rPr>
          <w:rFonts w:hint="eastAsia" w:ascii="宋体" w:hAnsi="宋体" w:eastAsia="宋体" w:cs="宋体"/>
          <w:i w:val="0"/>
          <w:iCs w:val="0"/>
          <w:caps w:val="0"/>
          <w:color w:val="auto"/>
          <w:spacing w:val="0"/>
          <w:sz w:val="24"/>
          <w:szCs w:val="24"/>
          <w:lang w:val="en-US" w:eastAsia="zh-CN"/>
        </w:rPr>
        <w:t>，并于</w:t>
      </w:r>
      <w:r>
        <w:rPr>
          <w:rFonts w:hint="eastAsia" w:ascii="宋体" w:hAnsi="宋体" w:eastAsia="宋体" w:cs="宋体"/>
          <w:i w:val="0"/>
          <w:iCs w:val="0"/>
          <w:caps w:val="0"/>
          <w:color w:val="auto"/>
          <w:spacing w:val="0"/>
          <w:kern w:val="0"/>
          <w:sz w:val="24"/>
          <w:szCs w:val="24"/>
          <w:lang w:val="en-US" w:eastAsia="zh-CN" w:bidi="ar"/>
        </w:rPr>
        <w:t>202</w:t>
      </w:r>
      <w:r>
        <w:rPr>
          <w:rFonts w:hint="eastAsia" w:cs="宋体"/>
          <w:i w:val="0"/>
          <w:iCs w:val="0"/>
          <w:caps w:val="0"/>
          <w:color w:val="auto"/>
          <w:spacing w:val="0"/>
          <w:kern w:val="0"/>
          <w:sz w:val="24"/>
          <w:szCs w:val="24"/>
          <w:lang w:val="en-US" w:eastAsia="zh-CN" w:bidi="ar"/>
        </w:rPr>
        <w:t>6</w:t>
      </w:r>
      <w:r>
        <w:rPr>
          <w:rFonts w:hint="eastAsia" w:ascii="宋体" w:hAnsi="宋体" w:eastAsia="宋体" w:cs="宋体"/>
          <w:i w:val="0"/>
          <w:iCs w:val="0"/>
          <w:caps w:val="0"/>
          <w:color w:val="auto"/>
          <w:spacing w:val="0"/>
          <w:kern w:val="0"/>
          <w:sz w:val="24"/>
          <w:szCs w:val="24"/>
          <w:lang w:val="en-US" w:eastAsia="zh-CN" w:bidi="ar"/>
        </w:rPr>
        <w:t>年</w:t>
      </w:r>
      <w:r>
        <w:rPr>
          <w:rFonts w:hint="eastAsia" w:cs="宋体"/>
          <w:i w:val="0"/>
          <w:iCs w:val="0"/>
          <w:caps w:val="0"/>
          <w:color w:val="auto"/>
          <w:spacing w:val="0"/>
          <w:kern w:val="0"/>
          <w:sz w:val="24"/>
          <w:szCs w:val="24"/>
          <w:lang w:val="en-US" w:eastAsia="zh-CN" w:bidi="ar"/>
        </w:rPr>
        <w:t>05</w:t>
      </w:r>
      <w:r>
        <w:rPr>
          <w:rFonts w:hint="eastAsia" w:ascii="宋体" w:hAnsi="宋体" w:eastAsia="宋体" w:cs="宋体"/>
          <w:i w:val="0"/>
          <w:iCs w:val="0"/>
          <w:caps w:val="0"/>
          <w:color w:val="auto"/>
          <w:spacing w:val="0"/>
          <w:kern w:val="0"/>
          <w:sz w:val="24"/>
          <w:szCs w:val="24"/>
          <w:lang w:val="en-US" w:eastAsia="zh-CN" w:bidi="ar"/>
        </w:rPr>
        <w:t>月</w:t>
      </w:r>
      <w:r>
        <w:rPr>
          <w:rFonts w:hint="eastAsia" w:cs="宋体"/>
          <w:i w:val="0"/>
          <w:iCs w:val="0"/>
          <w:caps w:val="0"/>
          <w:color w:val="auto"/>
          <w:spacing w:val="0"/>
          <w:kern w:val="0"/>
          <w:sz w:val="24"/>
          <w:szCs w:val="24"/>
          <w:lang w:val="en-US" w:eastAsia="zh-CN" w:bidi="ar"/>
        </w:rPr>
        <w:t>07</w:t>
      </w:r>
      <w:r>
        <w:rPr>
          <w:rFonts w:hint="eastAsia" w:ascii="宋体" w:hAnsi="宋体" w:eastAsia="宋体" w:cs="宋体"/>
          <w:i w:val="0"/>
          <w:iCs w:val="0"/>
          <w:caps w:val="0"/>
          <w:color w:val="auto"/>
          <w:spacing w:val="0"/>
          <w:kern w:val="0"/>
          <w:sz w:val="24"/>
          <w:szCs w:val="24"/>
          <w:lang w:val="en-US" w:eastAsia="zh-CN" w:bidi="ar"/>
        </w:rPr>
        <w:t>日1</w:t>
      </w:r>
      <w:r>
        <w:rPr>
          <w:rFonts w:hint="eastAsia" w:cs="宋体"/>
          <w:i w:val="0"/>
          <w:iCs w:val="0"/>
          <w:caps w:val="0"/>
          <w:color w:val="auto"/>
          <w:spacing w:val="0"/>
          <w:kern w:val="0"/>
          <w:sz w:val="24"/>
          <w:szCs w:val="24"/>
          <w:lang w:val="en-US" w:eastAsia="zh-CN" w:bidi="ar"/>
        </w:rPr>
        <w:t>7</w:t>
      </w:r>
      <w:r>
        <w:rPr>
          <w:rFonts w:hint="eastAsia" w:ascii="宋体" w:hAnsi="宋体" w:eastAsia="宋体" w:cs="宋体"/>
          <w:i w:val="0"/>
          <w:iCs w:val="0"/>
          <w:caps w:val="0"/>
          <w:color w:val="auto"/>
          <w:spacing w:val="0"/>
          <w:kern w:val="0"/>
          <w:sz w:val="24"/>
          <w:szCs w:val="24"/>
          <w:lang w:val="en-US" w:eastAsia="zh-CN" w:bidi="ar"/>
        </w:rPr>
        <w:t>:</w:t>
      </w:r>
      <w:r>
        <w:rPr>
          <w:rFonts w:hint="eastAsia" w:cs="宋体"/>
          <w:i w:val="0"/>
          <w:iCs w:val="0"/>
          <w:caps w:val="0"/>
          <w:color w:val="auto"/>
          <w:spacing w:val="0"/>
          <w:kern w:val="0"/>
          <w:sz w:val="24"/>
          <w:szCs w:val="24"/>
          <w:lang w:val="en-US" w:eastAsia="zh-CN" w:bidi="ar"/>
        </w:rPr>
        <w:t>0</w:t>
      </w:r>
      <w:r>
        <w:rPr>
          <w:rFonts w:hint="eastAsia" w:ascii="宋体" w:hAnsi="宋体" w:eastAsia="宋体" w:cs="宋体"/>
          <w:i w:val="0"/>
          <w:iCs w:val="0"/>
          <w:caps w:val="0"/>
          <w:color w:val="auto"/>
          <w:spacing w:val="0"/>
          <w:kern w:val="0"/>
          <w:sz w:val="24"/>
          <w:szCs w:val="24"/>
          <w:lang w:val="en-US" w:eastAsia="zh-CN" w:bidi="ar"/>
        </w:rPr>
        <w:t>0</w:t>
      </w:r>
      <w:r>
        <w:rPr>
          <w:rFonts w:hint="eastAsia" w:ascii="宋体" w:hAnsi="宋体" w:eastAsia="宋体" w:cs="宋体"/>
          <w:i w:val="0"/>
          <w:iCs w:val="0"/>
          <w:caps w:val="0"/>
          <w:color w:val="auto"/>
          <w:spacing w:val="0"/>
          <w:sz w:val="24"/>
          <w:szCs w:val="24"/>
          <w:lang w:val="en-US" w:eastAsia="zh-CN"/>
        </w:rPr>
        <w:t>（北京时间）前递交</w:t>
      </w:r>
      <w:r>
        <w:rPr>
          <w:rFonts w:hint="eastAsia" w:cs="宋体"/>
          <w:i w:val="0"/>
          <w:iCs w:val="0"/>
          <w:caps w:val="0"/>
          <w:color w:val="auto"/>
          <w:spacing w:val="0"/>
          <w:sz w:val="24"/>
          <w:szCs w:val="24"/>
          <w:lang w:val="en-US" w:eastAsia="zh-CN"/>
        </w:rPr>
        <w:t>响应文件</w:t>
      </w:r>
      <w:r>
        <w:rPr>
          <w:rFonts w:hint="eastAsia" w:ascii="宋体" w:hAnsi="宋体" w:eastAsia="宋体" w:cs="宋体"/>
          <w:i w:val="0"/>
          <w:iCs w:val="0"/>
          <w:caps w:val="0"/>
          <w:color w:val="auto"/>
          <w:spacing w:val="0"/>
          <w:sz w:val="24"/>
          <w:szCs w:val="24"/>
          <w:lang w:val="en-US" w:eastAsia="zh-CN"/>
        </w:rPr>
        <w:t>。</w:t>
      </w:r>
    </w:p>
    <w:p w14:paraId="3DDCE1E1">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auto"/>
          <w:spacing w:val="0"/>
          <w:sz w:val="24"/>
          <w:szCs w:val="24"/>
        </w:rPr>
      </w:pPr>
      <w:r>
        <w:rPr>
          <w:rStyle w:val="23"/>
          <w:rFonts w:hint="eastAsia" w:ascii="宋体" w:hAnsi="宋体" w:eastAsia="宋体" w:cs="宋体"/>
          <w:i w:val="0"/>
          <w:iCs w:val="0"/>
          <w:caps w:val="0"/>
          <w:color w:val="auto"/>
          <w:spacing w:val="0"/>
          <w:sz w:val="24"/>
          <w:szCs w:val="24"/>
        </w:rPr>
        <w:t>一、项目基本情况</w:t>
      </w:r>
    </w:p>
    <w:p w14:paraId="059BD46E">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default"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sz w:val="24"/>
          <w:szCs w:val="24"/>
        </w:rPr>
        <w:t>项目编号</w:t>
      </w:r>
      <w:r>
        <w:rPr>
          <w:rFonts w:hint="eastAsia" w:ascii="宋体" w:hAnsi="宋体" w:eastAsia="宋体" w:cs="宋体"/>
          <w:i w:val="0"/>
          <w:iCs w:val="0"/>
          <w:caps w:val="0"/>
          <w:color w:val="auto"/>
          <w:spacing w:val="0"/>
          <w:kern w:val="2"/>
          <w:sz w:val="24"/>
          <w:szCs w:val="24"/>
          <w:lang w:val="en-US" w:eastAsia="zh-CN" w:bidi="ar-SA"/>
        </w:rPr>
        <w:t>：</w:t>
      </w:r>
      <w:r>
        <w:rPr>
          <w:rFonts w:hint="eastAsia" w:cs="宋体"/>
          <w:i w:val="0"/>
          <w:iCs w:val="0"/>
          <w:caps w:val="0"/>
          <w:color w:val="auto"/>
          <w:spacing w:val="0"/>
          <w:kern w:val="2"/>
          <w:sz w:val="24"/>
          <w:szCs w:val="24"/>
          <w:highlight w:val="none"/>
          <w:lang w:val="en-US" w:eastAsia="zh-CN" w:bidi="ar-SA"/>
        </w:rPr>
        <w:t>HYTH（CS）2026-（Z）15</w:t>
      </w:r>
    </w:p>
    <w:p w14:paraId="276B6470">
      <w:pPr>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sz w:val="24"/>
          <w:szCs w:val="24"/>
        </w:rPr>
        <w:t>项目</w:t>
      </w:r>
      <w:r>
        <w:rPr>
          <w:rFonts w:hint="eastAsia" w:ascii="宋体" w:hAnsi="宋体" w:eastAsia="宋体" w:cs="宋体"/>
          <w:i w:val="0"/>
          <w:iCs w:val="0"/>
          <w:caps w:val="0"/>
          <w:color w:val="auto"/>
          <w:spacing w:val="0"/>
          <w:kern w:val="0"/>
          <w:sz w:val="24"/>
          <w:szCs w:val="24"/>
          <w:lang w:val="en-US" w:eastAsia="zh-CN" w:bidi="ar"/>
        </w:rPr>
        <w:t>名称</w:t>
      </w:r>
      <w:r>
        <w:rPr>
          <w:rFonts w:hint="eastAsia" w:ascii="宋体" w:hAnsi="宋体" w:eastAsia="宋体" w:cs="宋体"/>
          <w:i w:val="0"/>
          <w:iCs w:val="0"/>
          <w:caps w:val="0"/>
          <w:color w:val="auto"/>
          <w:spacing w:val="0"/>
          <w:kern w:val="2"/>
          <w:sz w:val="24"/>
          <w:szCs w:val="24"/>
          <w:lang w:val="en-US" w:eastAsia="zh-CN" w:bidi="ar-SA"/>
        </w:rPr>
        <w:t>：</w:t>
      </w:r>
      <w:r>
        <w:rPr>
          <w:rFonts w:hint="eastAsia" w:cs="宋体"/>
          <w:i w:val="0"/>
          <w:iCs w:val="0"/>
          <w:caps w:val="0"/>
          <w:color w:val="auto"/>
          <w:spacing w:val="0"/>
          <w:kern w:val="2"/>
          <w:sz w:val="24"/>
          <w:szCs w:val="24"/>
          <w:lang w:val="en-US" w:eastAsia="zh-CN" w:bidi="ar-SA"/>
        </w:rPr>
        <w:t>鄯善县吐峪沟乡智慧农业玻璃温室大棚建设项目</w:t>
      </w:r>
    </w:p>
    <w:p w14:paraId="508798EF">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采购方式：竞争性磋商</w:t>
      </w:r>
    </w:p>
    <w:p w14:paraId="40137AEA">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left"/>
        <w:textAlignment w:val="auto"/>
        <w:rPr>
          <w:rFonts w:hint="default"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预算金额（元）：</w:t>
      </w:r>
      <w:r>
        <w:rPr>
          <w:rFonts w:hint="eastAsia" w:cs="宋体"/>
          <w:i w:val="0"/>
          <w:iCs w:val="0"/>
          <w:caps w:val="0"/>
          <w:color w:val="auto"/>
          <w:spacing w:val="0"/>
          <w:kern w:val="2"/>
          <w:sz w:val="24"/>
          <w:szCs w:val="24"/>
          <w:lang w:val="en-US" w:eastAsia="zh-CN" w:bidi="ar-SA"/>
        </w:rPr>
        <w:t>2000000</w:t>
      </w:r>
    </w:p>
    <w:p w14:paraId="15EB59EB">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default"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最高限价（元）：</w:t>
      </w:r>
      <w:r>
        <w:rPr>
          <w:rFonts w:hint="eastAsia" w:cs="宋体"/>
          <w:i w:val="0"/>
          <w:iCs w:val="0"/>
          <w:caps w:val="0"/>
          <w:color w:val="auto"/>
          <w:spacing w:val="0"/>
          <w:kern w:val="2"/>
          <w:sz w:val="24"/>
          <w:szCs w:val="24"/>
          <w:highlight w:val="none"/>
          <w:lang w:val="en-US" w:eastAsia="zh-CN" w:bidi="ar-SA"/>
        </w:rPr>
        <w:t>1891962.65</w:t>
      </w:r>
    </w:p>
    <w:p w14:paraId="1AE7B845">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采购需求：</w:t>
      </w:r>
    </w:p>
    <w:p w14:paraId="3DDB6CF6">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   标项名称:</w:t>
      </w:r>
      <w:r>
        <w:rPr>
          <w:rFonts w:hint="eastAsia" w:cs="宋体"/>
          <w:i w:val="0"/>
          <w:iCs w:val="0"/>
          <w:caps w:val="0"/>
          <w:color w:val="auto"/>
          <w:spacing w:val="0"/>
          <w:kern w:val="2"/>
          <w:sz w:val="24"/>
          <w:szCs w:val="24"/>
          <w:lang w:val="en-US" w:eastAsia="zh-CN" w:bidi="ar-SA"/>
        </w:rPr>
        <w:t>鄯善县吐峪沟乡智慧农业玻璃温室大棚建设项目</w:t>
      </w:r>
    </w:p>
    <w:p w14:paraId="03851566">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   数量:1</w:t>
      </w:r>
    </w:p>
    <w:p w14:paraId="4FC0B401">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default"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   预算金额（元）:</w:t>
      </w:r>
      <w:r>
        <w:rPr>
          <w:rFonts w:hint="eastAsia" w:cs="宋体"/>
          <w:i w:val="0"/>
          <w:iCs w:val="0"/>
          <w:caps w:val="0"/>
          <w:color w:val="auto"/>
          <w:spacing w:val="0"/>
          <w:kern w:val="2"/>
          <w:sz w:val="24"/>
          <w:szCs w:val="24"/>
          <w:lang w:val="en-US" w:eastAsia="zh-CN" w:bidi="ar-SA"/>
        </w:rPr>
        <w:t>2000000</w:t>
      </w:r>
    </w:p>
    <w:p w14:paraId="1D03A0B8">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i w:val="0"/>
          <w:iCs w:val="0"/>
          <w:caps w:val="0"/>
          <w:color w:val="auto"/>
          <w:spacing w:val="0"/>
          <w:sz w:val="24"/>
          <w:szCs w:val="24"/>
          <w:lang w:val="en-US" w:eastAsia="zh-CN"/>
        </w:rPr>
        <w:t>单位：</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项</w:t>
      </w:r>
    </w:p>
    <w:p w14:paraId="1F8AC7F0">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简要规格描述或项目基本概况介绍、用途：</w:t>
      </w:r>
      <w:r>
        <w:rPr>
          <w:rFonts w:hint="eastAsia" w:cs="宋体"/>
          <w:i w:val="0"/>
          <w:iCs w:val="0"/>
          <w:caps w:val="0"/>
          <w:color w:val="000000" w:themeColor="text1"/>
          <w:spacing w:val="0"/>
          <w:sz w:val="24"/>
          <w:szCs w:val="24"/>
          <w:lang w:val="en-US" w:eastAsia="zh-CN"/>
          <w14:textFill>
            <w14:solidFill>
              <w14:schemeClr w14:val="tx1"/>
            </w14:solidFill>
          </w14:textFill>
        </w:rPr>
        <w:t>新建3168平方米玻璃温室，室内配电配套，潮汐苗床、移动水车、水系统，冷凝水收集及排水系统、外遮阳传动系统、内保温传动系统、顶开窗传动系统、外翻窗传动系统。</w:t>
      </w:r>
    </w:p>
    <w:p w14:paraId="10810505">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备注：</w:t>
      </w:r>
    </w:p>
    <w:p w14:paraId="591E1CBB">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lang w:val="en-US"/>
        </w:rPr>
      </w:pPr>
      <w:r>
        <w:rPr>
          <w:rFonts w:hint="eastAsia" w:ascii="宋体" w:hAnsi="宋体" w:eastAsia="宋体" w:cs="宋体"/>
          <w:i w:val="0"/>
          <w:iCs w:val="0"/>
          <w:caps w:val="0"/>
          <w:color w:val="000000"/>
          <w:spacing w:val="0"/>
          <w:sz w:val="24"/>
          <w:szCs w:val="24"/>
        </w:rPr>
        <w:t>合同履约期限：</w:t>
      </w:r>
      <w:r>
        <w:rPr>
          <w:rFonts w:hint="eastAsia" w:ascii="宋体" w:hAnsi="宋体" w:eastAsia="宋体" w:cs="宋体"/>
          <w:i w:val="0"/>
          <w:iCs w:val="0"/>
          <w:caps w:val="0"/>
          <w:color w:val="000000"/>
          <w:spacing w:val="0"/>
          <w:sz w:val="24"/>
          <w:szCs w:val="24"/>
          <w:lang w:val="en-US" w:eastAsia="zh-CN"/>
        </w:rPr>
        <w:t>60</w:t>
      </w:r>
      <w:r>
        <w:rPr>
          <w:rFonts w:hint="eastAsia" w:cs="宋体"/>
          <w:i w:val="0"/>
          <w:iCs w:val="0"/>
          <w:caps w:val="0"/>
          <w:color w:val="000000"/>
          <w:spacing w:val="0"/>
          <w:sz w:val="24"/>
          <w:szCs w:val="24"/>
          <w:lang w:val="en-US" w:eastAsia="zh-CN"/>
        </w:rPr>
        <w:t>日历天</w:t>
      </w:r>
      <w:r>
        <w:rPr>
          <w:rFonts w:hint="eastAsia" w:ascii="宋体" w:hAnsi="宋体" w:cs="宋体"/>
          <w:i w:val="0"/>
          <w:iCs w:val="0"/>
          <w:caps w:val="0"/>
          <w:color w:val="000000"/>
          <w:spacing w:val="0"/>
          <w:sz w:val="24"/>
          <w:szCs w:val="24"/>
          <w:lang w:val="en-US" w:eastAsia="zh-CN"/>
        </w:rPr>
        <w:t>。</w:t>
      </w:r>
    </w:p>
    <w:p w14:paraId="0F1FE16B">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rPr>
        <w:t>本项目（否）接受联合体投标。</w:t>
      </w:r>
    </w:p>
    <w:p w14:paraId="7175FD9F">
      <w:pPr>
        <w:pStyle w:val="18"/>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Style w:val="23"/>
          <w:rFonts w:hint="eastAsia" w:ascii="宋体" w:hAnsi="宋体" w:eastAsia="宋体" w:cs="宋体"/>
          <w:i w:val="0"/>
          <w:iCs w:val="0"/>
          <w:caps w:val="0"/>
          <w:color w:val="auto"/>
          <w:spacing w:val="0"/>
          <w:sz w:val="24"/>
          <w:szCs w:val="24"/>
        </w:rPr>
        <w:t>二、申请人的资格要求：</w:t>
      </w:r>
    </w:p>
    <w:p w14:paraId="5BD33277">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1.满足《中华人民共和国政府采购法》第二十二条规定；</w:t>
      </w:r>
    </w:p>
    <w:p w14:paraId="1AEC0EBA">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rPr>
        <w:t>2.落实政府采购政策需满足的资格要求：</w:t>
      </w:r>
      <w:r>
        <w:rPr>
          <w:rFonts w:hint="eastAsia" w:ascii="宋体" w:hAnsi="宋体" w:eastAsia="宋体" w:cs="宋体"/>
          <w:i w:val="0"/>
          <w:iCs w:val="0"/>
          <w:caps w:val="0"/>
          <w:color w:val="auto"/>
          <w:spacing w:val="0"/>
          <w:sz w:val="24"/>
          <w:szCs w:val="24"/>
          <w:lang w:val="en-US" w:eastAsia="zh-CN"/>
        </w:rPr>
        <w:t>专门面向中</w:t>
      </w:r>
      <w:r>
        <w:rPr>
          <w:rFonts w:hint="eastAsia" w:ascii="宋体" w:hAnsi="宋体" w:eastAsia="宋体" w:cs="宋体"/>
          <w:i w:val="0"/>
          <w:iCs w:val="0"/>
          <w:caps w:val="0"/>
          <w:color w:val="auto"/>
          <w:spacing w:val="0"/>
          <w:sz w:val="24"/>
          <w:szCs w:val="24"/>
        </w:rPr>
        <w:t>小企业</w:t>
      </w:r>
      <w:r>
        <w:rPr>
          <w:rFonts w:hint="eastAsia" w:ascii="宋体" w:hAnsi="宋体" w:eastAsia="宋体" w:cs="宋体"/>
          <w:i w:val="0"/>
          <w:iCs w:val="0"/>
          <w:caps w:val="0"/>
          <w:color w:val="auto"/>
          <w:spacing w:val="0"/>
          <w:sz w:val="24"/>
          <w:szCs w:val="24"/>
          <w:lang w:eastAsia="zh-CN"/>
        </w:rPr>
        <w:t>；</w:t>
      </w:r>
    </w:p>
    <w:p w14:paraId="301197C1">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auto"/>
          <w:spacing w:val="0"/>
          <w:sz w:val="24"/>
          <w:szCs w:val="24"/>
        </w:rPr>
        <w:t>3.本项目</w:t>
      </w:r>
      <w:r>
        <w:rPr>
          <w:rFonts w:hint="eastAsia" w:ascii="宋体" w:hAnsi="宋体" w:eastAsia="宋体" w:cs="宋体"/>
          <w:i w:val="0"/>
          <w:iCs w:val="0"/>
          <w:caps w:val="0"/>
          <w:color w:val="000000"/>
          <w:spacing w:val="0"/>
          <w:sz w:val="24"/>
          <w:szCs w:val="24"/>
        </w:rPr>
        <w:t>的特定资格要求：</w:t>
      </w:r>
    </w:p>
    <w:p w14:paraId="3214BB8B">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cs="宋体"/>
          <w:i w:val="0"/>
          <w:iCs w:val="0"/>
          <w:caps w:val="0"/>
          <w:color w:val="000000"/>
          <w:spacing w:val="0"/>
          <w:sz w:val="24"/>
          <w:szCs w:val="24"/>
          <w:lang w:eastAsia="zh-CN"/>
        </w:rPr>
      </w:pPr>
      <w:r>
        <w:rPr>
          <w:rFonts w:hint="eastAsia" w:cs="宋体"/>
          <w:i w:val="0"/>
          <w:iCs w:val="0"/>
          <w:caps w:val="0"/>
          <w:color w:val="000000"/>
          <w:spacing w:val="0"/>
          <w:sz w:val="24"/>
          <w:szCs w:val="24"/>
          <w:lang w:eastAsia="zh-CN"/>
        </w:rPr>
        <w:t>(1)须具有有效的建筑工程施工总承包三级及以上资质、具有有效的安全生产许可证，并在人员、设备、资金等方面具有相应的施工能力；（2）项目负责人要求：应具备合格有效期内的建筑工程专业贰级以上（含）注册建造师执业资格、有效的安全生产考核合格证（B类），且未担任其他在施建设工程项目的项目负责人。</w:t>
      </w:r>
    </w:p>
    <w:p w14:paraId="23E1971B">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000000"/>
          <w:spacing w:val="0"/>
          <w:sz w:val="24"/>
          <w:szCs w:val="24"/>
        </w:rPr>
      </w:pPr>
      <w:r>
        <w:rPr>
          <w:rStyle w:val="23"/>
          <w:rFonts w:hint="eastAsia" w:ascii="宋体" w:hAnsi="宋体" w:eastAsia="宋体" w:cs="宋体"/>
          <w:i w:val="0"/>
          <w:iCs w:val="0"/>
          <w:caps w:val="0"/>
          <w:color w:val="000000"/>
          <w:spacing w:val="0"/>
          <w:sz w:val="24"/>
          <w:szCs w:val="24"/>
        </w:rPr>
        <w:t>三、获取</w:t>
      </w:r>
      <w:r>
        <w:rPr>
          <w:rStyle w:val="23"/>
          <w:rFonts w:hint="eastAsia" w:ascii="宋体" w:hAnsi="宋体" w:eastAsia="宋体" w:cs="宋体"/>
          <w:i w:val="0"/>
          <w:iCs w:val="0"/>
          <w:caps w:val="0"/>
          <w:color w:val="000000"/>
          <w:spacing w:val="0"/>
          <w:sz w:val="24"/>
          <w:szCs w:val="24"/>
          <w:lang w:val="en-US" w:eastAsia="zh-CN"/>
        </w:rPr>
        <w:t>采购</w:t>
      </w:r>
      <w:r>
        <w:rPr>
          <w:rStyle w:val="23"/>
          <w:rFonts w:hint="eastAsia" w:ascii="宋体" w:hAnsi="宋体" w:eastAsia="宋体" w:cs="宋体"/>
          <w:i w:val="0"/>
          <w:iCs w:val="0"/>
          <w:caps w:val="0"/>
          <w:color w:val="000000"/>
          <w:spacing w:val="0"/>
          <w:sz w:val="24"/>
          <w:szCs w:val="24"/>
        </w:rPr>
        <w:t>文件</w:t>
      </w:r>
    </w:p>
    <w:p w14:paraId="64109B93">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000000"/>
          <w:spacing w:val="0"/>
          <w:sz w:val="24"/>
          <w:szCs w:val="24"/>
        </w:rPr>
        <w:t>时间：</w:t>
      </w:r>
      <w:r>
        <w:rPr>
          <w:rFonts w:hint="eastAsia" w:ascii="宋体" w:hAnsi="宋体" w:eastAsia="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202</w:t>
      </w:r>
      <w:r>
        <w:rPr>
          <w:rFonts w:hint="eastAsia"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rPr>
        <w:t>年</w:t>
      </w:r>
      <w:r>
        <w:rPr>
          <w:rFonts w:hint="eastAsia" w:cs="宋体"/>
          <w:i w:val="0"/>
          <w:iCs w:val="0"/>
          <w:caps w:val="0"/>
          <w:color w:val="000000"/>
          <w:spacing w:val="0"/>
          <w:sz w:val="24"/>
          <w:szCs w:val="24"/>
          <w:lang w:val="en-US" w:eastAsia="zh-CN"/>
        </w:rPr>
        <w:t>04</w:t>
      </w:r>
      <w:r>
        <w:rPr>
          <w:rFonts w:hint="eastAsia" w:ascii="宋体" w:hAnsi="宋体" w:eastAsia="宋体" w:cs="宋体"/>
          <w:i w:val="0"/>
          <w:iCs w:val="0"/>
          <w:caps w:val="0"/>
          <w:color w:val="000000"/>
          <w:spacing w:val="0"/>
          <w:sz w:val="24"/>
          <w:szCs w:val="24"/>
        </w:rPr>
        <w:t>月</w:t>
      </w:r>
      <w:r>
        <w:rPr>
          <w:rFonts w:hint="eastAsia" w:cs="宋体"/>
          <w:i w:val="0"/>
          <w:iCs w:val="0"/>
          <w:caps w:val="0"/>
          <w:color w:val="000000"/>
          <w:spacing w:val="0"/>
          <w:sz w:val="24"/>
          <w:szCs w:val="24"/>
          <w:lang w:val="en-US" w:eastAsia="zh-CN"/>
        </w:rPr>
        <w:t>22</w:t>
      </w:r>
      <w:r>
        <w:rPr>
          <w:rFonts w:hint="eastAsia" w:ascii="宋体" w:hAnsi="宋体" w:eastAsia="宋体" w:cs="宋体"/>
          <w:i w:val="0"/>
          <w:iCs w:val="0"/>
          <w:caps w:val="0"/>
          <w:color w:val="000000"/>
          <w:spacing w:val="0"/>
          <w:sz w:val="24"/>
          <w:szCs w:val="24"/>
        </w:rPr>
        <w:t>日至202</w:t>
      </w:r>
      <w:r>
        <w:rPr>
          <w:rFonts w:hint="eastAsia"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rPr>
        <w:t>年</w:t>
      </w:r>
      <w:r>
        <w:rPr>
          <w:rFonts w:hint="eastAsia" w:cs="宋体"/>
          <w:i w:val="0"/>
          <w:iCs w:val="0"/>
          <w:caps w:val="0"/>
          <w:color w:val="000000"/>
          <w:spacing w:val="0"/>
          <w:sz w:val="24"/>
          <w:szCs w:val="24"/>
          <w:lang w:val="en-US" w:eastAsia="zh-CN"/>
        </w:rPr>
        <w:t>04</w:t>
      </w:r>
      <w:r>
        <w:rPr>
          <w:rFonts w:hint="eastAsia" w:ascii="宋体" w:hAnsi="宋体" w:eastAsia="宋体" w:cs="宋体"/>
          <w:i w:val="0"/>
          <w:iCs w:val="0"/>
          <w:caps w:val="0"/>
          <w:color w:val="000000"/>
          <w:spacing w:val="0"/>
          <w:sz w:val="24"/>
          <w:szCs w:val="24"/>
        </w:rPr>
        <w:t>月</w:t>
      </w:r>
      <w:r>
        <w:rPr>
          <w:rFonts w:hint="eastAsia" w:cs="宋体"/>
          <w:i w:val="0"/>
          <w:iCs w:val="0"/>
          <w:caps w:val="0"/>
          <w:color w:val="000000"/>
          <w:spacing w:val="0"/>
          <w:sz w:val="24"/>
          <w:szCs w:val="24"/>
          <w:lang w:val="en-US" w:eastAsia="zh-CN"/>
        </w:rPr>
        <w:t>29</w:t>
      </w:r>
      <w:r>
        <w:rPr>
          <w:rFonts w:hint="eastAsia" w:ascii="宋体" w:hAnsi="宋体" w:eastAsia="宋体" w:cs="宋体"/>
          <w:i w:val="0"/>
          <w:iCs w:val="0"/>
          <w:caps w:val="0"/>
          <w:color w:val="000000"/>
          <w:spacing w:val="0"/>
          <w:sz w:val="24"/>
          <w:szCs w:val="24"/>
        </w:rPr>
        <w:t>日，每天上午</w:t>
      </w:r>
      <w:r>
        <w:rPr>
          <w:rFonts w:hint="eastAsia" w:cs="宋体"/>
          <w:i w:val="0"/>
          <w:iCs w:val="0"/>
          <w:caps w:val="0"/>
          <w:color w:val="000000"/>
          <w:spacing w:val="0"/>
          <w:sz w:val="24"/>
          <w:szCs w:val="24"/>
          <w:lang w:val="en-US" w:eastAsia="zh-CN"/>
        </w:rPr>
        <w:t>10</w:t>
      </w:r>
      <w:r>
        <w:rPr>
          <w:rFonts w:hint="eastAsia" w:ascii="宋体" w:hAnsi="宋体" w:eastAsia="宋体" w:cs="宋体"/>
          <w:i w:val="0"/>
          <w:iCs w:val="0"/>
          <w:caps w:val="0"/>
          <w:color w:val="000000"/>
          <w:spacing w:val="0"/>
          <w:sz w:val="24"/>
          <w:szCs w:val="24"/>
        </w:rPr>
        <w:t>:</w:t>
      </w:r>
      <w:r>
        <w:rPr>
          <w:rFonts w:hint="eastAsia" w:cs="宋体"/>
          <w:i w:val="0"/>
          <w:iCs w:val="0"/>
          <w:caps w:val="0"/>
          <w:color w:val="000000"/>
          <w:spacing w:val="0"/>
          <w:sz w:val="24"/>
          <w:szCs w:val="24"/>
          <w:lang w:val="en-US" w:eastAsia="zh-CN"/>
        </w:rPr>
        <w:t>0</w:t>
      </w:r>
      <w:r>
        <w:rPr>
          <w:rFonts w:hint="eastAsia" w:ascii="宋体" w:hAnsi="宋体" w:eastAsia="宋体" w:cs="宋体"/>
          <w:i w:val="0"/>
          <w:iCs w:val="0"/>
          <w:caps w:val="0"/>
          <w:color w:val="000000"/>
          <w:spacing w:val="0"/>
          <w:sz w:val="24"/>
          <w:szCs w:val="24"/>
        </w:rPr>
        <w:t>0至13:30，下午1</w:t>
      </w:r>
      <w:r>
        <w:rPr>
          <w:rFonts w:hint="eastAsia" w:cs="宋体"/>
          <w:i w:val="0"/>
          <w:iCs w:val="0"/>
          <w:caps w:val="0"/>
          <w:color w:val="000000"/>
          <w:spacing w:val="0"/>
          <w:sz w:val="24"/>
          <w:szCs w:val="24"/>
          <w:lang w:val="en-US" w:eastAsia="zh-CN"/>
        </w:rPr>
        <w:t>5</w:t>
      </w:r>
      <w:r>
        <w:rPr>
          <w:rFonts w:hint="eastAsia" w:ascii="宋体" w:hAnsi="宋体" w:eastAsia="宋体" w:cs="宋体"/>
          <w:i w:val="0"/>
          <w:iCs w:val="0"/>
          <w:caps w:val="0"/>
          <w:color w:val="000000"/>
          <w:spacing w:val="0"/>
          <w:sz w:val="24"/>
          <w:szCs w:val="24"/>
        </w:rPr>
        <w:t>:30至</w:t>
      </w:r>
      <w:r>
        <w:rPr>
          <w:rFonts w:hint="eastAsia" w:cs="宋体"/>
          <w:i w:val="0"/>
          <w:iCs w:val="0"/>
          <w:caps w:val="0"/>
          <w:color w:val="000000"/>
          <w:spacing w:val="0"/>
          <w:sz w:val="24"/>
          <w:szCs w:val="24"/>
          <w:lang w:val="en-US" w:eastAsia="zh-CN"/>
        </w:rPr>
        <w:t>19</w:t>
      </w:r>
      <w:r>
        <w:rPr>
          <w:rFonts w:hint="eastAsia" w:ascii="宋体" w:hAnsi="宋体" w:eastAsia="宋体" w:cs="宋体"/>
          <w:i w:val="0"/>
          <w:iCs w:val="0"/>
          <w:caps w:val="0"/>
          <w:color w:val="000000"/>
          <w:spacing w:val="0"/>
          <w:sz w:val="24"/>
          <w:szCs w:val="24"/>
        </w:rPr>
        <w:t>:</w:t>
      </w:r>
      <w:r>
        <w:rPr>
          <w:rFonts w:hint="eastAsia"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0（北京时</w:t>
      </w:r>
      <w:r>
        <w:rPr>
          <w:rFonts w:hint="eastAsia" w:ascii="宋体" w:hAnsi="宋体" w:eastAsia="宋体" w:cs="宋体"/>
          <w:i w:val="0"/>
          <w:iCs w:val="0"/>
          <w:caps w:val="0"/>
          <w:color w:val="auto"/>
          <w:spacing w:val="0"/>
          <w:sz w:val="24"/>
          <w:szCs w:val="24"/>
        </w:rPr>
        <w:t>间，法定节假日除外）</w:t>
      </w:r>
    </w:p>
    <w:p w14:paraId="6EFE307B">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rPr>
        <w:t>地点：政采云平台线上</w:t>
      </w:r>
      <w:r>
        <w:rPr>
          <w:rFonts w:hint="eastAsia" w:ascii="宋体" w:hAnsi="宋体" w:eastAsia="宋体" w:cs="宋体"/>
          <w:i w:val="0"/>
          <w:iCs w:val="0"/>
          <w:caps w:val="0"/>
          <w:color w:val="auto"/>
          <w:spacing w:val="0"/>
          <w:sz w:val="24"/>
          <w:szCs w:val="24"/>
          <w:lang w:val="en-US" w:eastAsia="zh-CN"/>
        </w:rPr>
        <w:t>获取</w:t>
      </w:r>
    </w:p>
    <w:p w14:paraId="5D9B28FE">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F4B99EE">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售价（元）：0</w:t>
      </w:r>
    </w:p>
    <w:p w14:paraId="4945B322">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auto"/>
          <w:spacing w:val="0"/>
          <w:sz w:val="24"/>
          <w:szCs w:val="24"/>
          <w:lang w:eastAsia="zh-CN"/>
        </w:rPr>
      </w:pPr>
      <w:r>
        <w:rPr>
          <w:rStyle w:val="23"/>
          <w:rFonts w:hint="eastAsia" w:ascii="宋体" w:hAnsi="宋体" w:eastAsia="宋体" w:cs="宋体"/>
          <w:i w:val="0"/>
          <w:iCs w:val="0"/>
          <w:caps w:val="0"/>
          <w:color w:val="auto"/>
          <w:spacing w:val="0"/>
          <w:sz w:val="24"/>
          <w:szCs w:val="24"/>
        </w:rPr>
        <w:t>四、</w:t>
      </w:r>
      <w:r>
        <w:rPr>
          <w:rStyle w:val="23"/>
          <w:rFonts w:hint="eastAsia" w:ascii="宋体" w:hAnsi="宋体" w:eastAsia="宋体" w:cs="宋体"/>
          <w:i w:val="0"/>
          <w:iCs w:val="0"/>
          <w:caps w:val="0"/>
          <w:color w:val="auto"/>
          <w:spacing w:val="0"/>
          <w:sz w:val="24"/>
          <w:szCs w:val="24"/>
          <w:lang w:val="en-US" w:eastAsia="zh-CN"/>
        </w:rPr>
        <w:t>响应文件提交</w:t>
      </w:r>
    </w:p>
    <w:p w14:paraId="75240D53">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提交</w:t>
      </w:r>
      <w:r>
        <w:rPr>
          <w:rFonts w:hint="eastAsia" w:cs="宋体"/>
          <w:i w:val="0"/>
          <w:iCs w:val="0"/>
          <w:caps w:val="0"/>
          <w:color w:val="auto"/>
          <w:spacing w:val="0"/>
          <w:sz w:val="24"/>
          <w:szCs w:val="24"/>
          <w:highlight w:val="none"/>
          <w:lang w:eastAsia="zh-CN"/>
        </w:rPr>
        <w:t>响应文件</w:t>
      </w:r>
      <w:r>
        <w:rPr>
          <w:rFonts w:hint="eastAsia" w:ascii="宋体" w:hAnsi="宋体" w:eastAsia="宋体" w:cs="宋体"/>
          <w:i w:val="0"/>
          <w:iCs w:val="0"/>
          <w:caps w:val="0"/>
          <w:color w:val="auto"/>
          <w:spacing w:val="0"/>
          <w:sz w:val="24"/>
          <w:szCs w:val="24"/>
          <w:highlight w:val="none"/>
        </w:rPr>
        <w:t>截止时间：</w:t>
      </w:r>
      <w:r>
        <w:rPr>
          <w:rFonts w:hint="eastAsia" w:ascii="宋体" w:hAnsi="宋体" w:eastAsia="宋体" w:cs="宋体"/>
          <w:i w:val="0"/>
          <w:iCs w:val="0"/>
          <w:caps w:val="0"/>
          <w:color w:val="auto"/>
          <w:spacing w:val="0"/>
          <w:kern w:val="0"/>
          <w:sz w:val="24"/>
          <w:szCs w:val="24"/>
          <w:highlight w:val="none"/>
          <w:lang w:val="en-US" w:eastAsia="zh-CN" w:bidi="ar"/>
        </w:rPr>
        <w:t>202</w:t>
      </w:r>
      <w:r>
        <w:rPr>
          <w:rFonts w:hint="eastAsia" w:cs="宋体"/>
          <w:i w:val="0"/>
          <w:iCs w:val="0"/>
          <w:caps w:val="0"/>
          <w:color w:val="auto"/>
          <w:spacing w:val="0"/>
          <w:kern w:val="0"/>
          <w:sz w:val="24"/>
          <w:szCs w:val="24"/>
          <w:highlight w:val="none"/>
          <w:lang w:val="en-US" w:eastAsia="zh-CN" w:bidi="ar"/>
        </w:rPr>
        <w:t>6</w:t>
      </w:r>
      <w:r>
        <w:rPr>
          <w:rFonts w:hint="eastAsia" w:ascii="宋体" w:hAnsi="宋体" w:eastAsia="宋体" w:cs="宋体"/>
          <w:i w:val="0"/>
          <w:iCs w:val="0"/>
          <w:caps w:val="0"/>
          <w:color w:val="auto"/>
          <w:spacing w:val="0"/>
          <w:kern w:val="0"/>
          <w:sz w:val="24"/>
          <w:szCs w:val="24"/>
          <w:highlight w:val="none"/>
          <w:lang w:val="en-US" w:eastAsia="zh-CN" w:bidi="ar"/>
        </w:rPr>
        <w:t>年</w:t>
      </w:r>
      <w:r>
        <w:rPr>
          <w:rFonts w:hint="eastAsia" w:cs="宋体"/>
          <w:i w:val="0"/>
          <w:iCs w:val="0"/>
          <w:caps w:val="0"/>
          <w:color w:val="auto"/>
          <w:spacing w:val="0"/>
          <w:kern w:val="0"/>
          <w:sz w:val="24"/>
          <w:szCs w:val="24"/>
          <w:highlight w:val="none"/>
          <w:lang w:val="en-US" w:eastAsia="zh-CN" w:bidi="ar"/>
        </w:rPr>
        <w:t>05</w:t>
      </w:r>
      <w:r>
        <w:rPr>
          <w:rFonts w:hint="eastAsia" w:ascii="宋体" w:hAnsi="宋体" w:eastAsia="宋体" w:cs="宋体"/>
          <w:i w:val="0"/>
          <w:iCs w:val="0"/>
          <w:caps w:val="0"/>
          <w:color w:val="auto"/>
          <w:spacing w:val="0"/>
          <w:kern w:val="0"/>
          <w:sz w:val="24"/>
          <w:szCs w:val="24"/>
          <w:highlight w:val="none"/>
          <w:lang w:val="en-US" w:eastAsia="zh-CN" w:bidi="ar"/>
        </w:rPr>
        <w:t>月</w:t>
      </w:r>
      <w:r>
        <w:rPr>
          <w:rFonts w:hint="eastAsia" w:cs="宋体"/>
          <w:i w:val="0"/>
          <w:iCs w:val="0"/>
          <w:caps w:val="0"/>
          <w:color w:val="auto"/>
          <w:spacing w:val="0"/>
          <w:kern w:val="0"/>
          <w:sz w:val="24"/>
          <w:szCs w:val="24"/>
          <w:highlight w:val="none"/>
          <w:lang w:val="en-US" w:eastAsia="zh-CN" w:bidi="ar"/>
        </w:rPr>
        <w:t>07</w:t>
      </w:r>
      <w:r>
        <w:rPr>
          <w:rFonts w:hint="eastAsia" w:ascii="宋体" w:hAnsi="宋体" w:eastAsia="宋体" w:cs="宋体"/>
          <w:i w:val="0"/>
          <w:iCs w:val="0"/>
          <w:caps w:val="0"/>
          <w:color w:val="auto"/>
          <w:spacing w:val="0"/>
          <w:kern w:val="0"/>
          <w:sz w:val="24"/>
          <w:szCs w:val="24"/>
          <w:highlight w:val="none"/>
          <w:lang w:val="en-US" w:eastAsia="zh-CN" w:bidi="ar"/>
        </w:rPr>
        <w:t>日1</w:t>
      </w:r>
      <w:r>
        <w:rPr>
          <w:rFonts w:hint="eastAsia" w:cs="宋体"/>
          <w:i w:val="0"/>
          <w:iCs w:val="0"/>
          <w:caps w:val="0"/>
          <w:color w:val="auto"/>
          <w:spacing w:val="0"/>
          <w:kern w:val="0"/>
          <w:sz w:val="24"/>
          <w:szCs w:val="24"/>
          <w:highlight w:val="none"/>
          <w:lang w:val="en-US" w:eastAsia="zh-CN" w:bidi="ar"/>
        </w:rPr>
        <w:t>7</w:t>
      </w:r>
      <w:r>
        <w:rPr>
          <w:rFonts w:hint="eastAsia" w:ascii="宋体" w:hAnsi="宋体" w:eastAsia="宋体" w:cs="宋体"/>
          <w:i w:val="0"/>
          <w:iCs w:val="0"/>
          <w:caps w:val="0"/>
          <w:color w:val="auto"/>
          <w:spacing w:val="0"/>
          <w:kern w:val="0"/>
          <w:sz w:val="24"/>
          <w:szCs w:val="24"/>
          <w:highlight w:val="none"/>
          <w:lang w:val="en-US" w:eastAsia="zh-CN" w:bidi="ar"/>
        </w:rPr>
        <w:t>:</w:t>
      </w:r>
      <w:r>
        <w:rPr>
          <w:rFonts w:hint="eastAsia" w:cs="宋体"/>
          <w:i w:val="0"/>
          <w:iCs w:val="0"/>
          <w:caps w:val="0"/>
          <w:color w:val="auto"/>
          <w:spacing w:val="0"/>
          <w:kern w:val="0"/>
          <w:sz w:val="24"/>
          <w:szCs w:val="24"/>
          <w:highlight w:val="none"/>
          <w:lang w:val="en-US" w:eastAsia="zh-CN" w:bidi="ar"/>
        </w:rPr>
        <w:t>0</w:t>
      </w:r>
      <w:r>
        <w:rPr>
          <w:rFonts w:hint="eastAsia" w:ascii="宋体" w:hAnsi="宋体" w:eastAsia="宋体" w:cs="宋体"/>
          <w:i w:val="0"/>
          <w:iCs w:val="0"/>
          <w:caps w:val="0"/>
          <w:color w:val="auto"/>
          <w:spacing w:val="0"/>
          <w:kern w:val="0"/>
          <w:sz w:val="24"/>
          <w:szCs w:val="24"/>
          <w:highlight w:val="none"/>
          <w:lang w:val="en-US" w:eastAsia="zh-CN" w:bidi="ar"/>
        </w:rPr>
        <w:t>0</w:t>
      </w:r>
      <w:r>
        <w:rPr>
          <w:rFonts w:hint="eastAsia" w:ascii="宋体" w:hAnsi="宋体" w:eastAsia="宋体" w:cs="宋体"/>
          <w:i w:val="0"/>
          <w:iCs w:val="0"/>
          <w:caps w:val="0"/>
          <w:color w:val="auto"/>
          <w:spacing w:val="0"/>
          <w:sz w:val="24"/>
          <w:szCs w:val="24"/>
          <w:highlight w:val="none"/>
        </w:rPr>
        <w:t>（北京时间）</w:t>
      </w:r>
    </w:p>
    <w:p w14:paraId="1C678CF9">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投标地点：将响应文件上传至政采云平台https://www.zcygov.cn/对应位置（逾期未上传的或不符合规定的响应文件将被拒绝接收）。 </w:t>
      </w:r>
    </w:p>
    <w:p w14:paraId="6C6A0499">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right="0" w:firstLine="0"/>
        <w:jc w:val="both"/>
        <w:textAlignment w:val="auto"/>
        <w:rPr>
          <w:rFonts w:hint="eastAsia" w:ascii="宋体" w:hAnsi="宋体" w:eastAsia="宋体" w:cs="宋体"/>
          <w:i w:val="0"/>
          <w:iCs w:val="0"/>
          <w:caps w:val="0"/>
          <w:color w:val="auto"/>
          <w:spacing w:val="0"/>
          <w:sz w:val="24"/>
          <w:szCs w:val="24"/>
        </w:rPr>
      </w:pPr>
      <w:r>
        <w:rPr>
          <w:rStyle w:val="23"/>
          <w:rFonts w:hint="eastAsia" w:ascii="宋体" w:hAnsi="宋体" w:eastAsia="宋体" w:cs="宋体"/>
          <w:i w:val="0"/>
          <w:iCs w:val="0"/>
          <w:caps w:val="0"/>
          <w:color w:val="auto"/>
          <w:spacing w:val="0"/>
          <w:sz w:val="24"/>
          <w:szCs w:val="24"/>
        </w:rPr>
        <w:t>五、响应文件开启</w:t>
      </w:r>
      <w:r>
        <w:rPr>
          <w:rFonts w:hint="eastAsia" w:ascii="宋体" w:hAnsi="宋体" w:eastAsia="宋体" w:cs="宋体"/>
          <w:i w:val="0"/>
          <w:iCs w:val="0"/>
          <w:caps w:val="0"/>
          <w:color w:val="auto"/>
          <w:spacing w:val="0"/>
          <w:sz w:val="24"/>
          <w:szCs w:val="24"/>
        </w:rPr>
        <w:t> </w:t>
      </w:r>
    </w:p>
    <w:p w14:paraId="789BE735">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sz w:val="24"/>
          <w:szCs w:val="24"/>
          <w:highlight w:val="yellow"/>
        </w:rPr>
      </w:pPr>
      <w:r>
        <w:rPr>
          <w:rFonts w:hint="eastAsia" w:ascii="宋体" w:hAnsi="宋体" w:eastAsia="宋体" w:cs="宋体"/>
          <w:i w:val="0"/>
          <w:iCs w:val="0"/>
          <w:caps w:val="0"/>
          <w:color w:val="auto"/>
          <w:spacing w:val="0"/>
          <w:sz w:val="24"/>
          <w:szCs w:val="24"/>
        </w:rPr>
        <w:t> </w:t>
      </w:r>
      <w:r>
        <w:rPr>
          <w:rFonts w:hint="eastAsia" w:ascii="宋体" w:hAnsi="宋体" w:eastAsia="宋体" w:cs="宋体"/>
          <w:i w:val="0"/>
          <w:iCs w:val="0"/>
          <w:caps w:val="0"/>
          <w:color w:val="auto"/>
          <w:spacing w:val="0"/>
          <w:sz w:val="24"/>
          <w:szCs w:val="24"/>
          <w:highlight w:val="none"/>
        </w:rPr>
        <w:t>开启时间：</w:t>
      </w:r>
      <w:r>
        <w:rPr>
          <w:rFonts w:hint="eastAsia" w:ascii="宋体" w:hAnsi="宋体" w:eastAsia="宋体" w:cs="宋体"/>
          <w:i w:val="0"/>
          <w:iCs w:val="0"/>
          <w:caps w:val="0"/>
          <w:color w:val="auto"/>
          <w:spacing w:val="0"/>
          <w:kern w:val="0"/>
          <w:sz w:val="24"/>
          <w:szCs w:val="24"/>
          <w:highlight w:val="none"/>
          <w:lang w:val="en-US" w:eastAsia="zh-CN" w:bidi="ar"/>
        </w:rPr>
        <w:t>202</w:t>
      </w:r>
      <w:r>
        <w:rPr>
          <w:rFonts w:hint="eastAsia" w:cs="宋体"/>
          <w:i w:val="0"/>
          <w:iCs w:val="0"/>
          <w:caps w:val="0"/>
          <w:color w:val="auto"/>
          <w:spacing w:val="0"/>
          <w:kern w:val="0"/>
          <w:sz w:val="24"/>
          <w:szCs w:val="24"/>
          <w:highlight w:val="none"/>
          <w:lang w:val="en-US" w:eastAsia="zh-CN" w:bidi="ar"/>
        </w:rPr>
        <w:t>6</w:t>
      </w:r>
      <w:r>
        <w:rPr>
          <w:rFonts w:hint="eastAsia" w:ascii="宋体" w:hAnsi="宋体" w:eastAsia="宋体" w:cs="宋体"/>
          <w:i w:val="0"/>
          <w:iCs w:val="0"/>
          <w:caps w:val="0"/>
          <w:color w:val="auto"/>
          <w:spacing w:val="0"/>
          <w:kern w:val="0"/>
          <w:sz w:val="24"/>
          <w:szCs w:val="24"/>
          <w:highlight w:val="none"/>
          <w:lang w:val="en-US" w:eastAsia="zh-CN" w:bidi="ar"/>
        </w:rPr>
        <w:t>年</w:t>
      </w:r>
      <w:r>
        <w:rPr>
          <w:rFonts w:hint="eastAsia" w:cs="宋体"/>
          <w:i w:val="0"/>
          <w:iCs w:val="0"/>
          <w:caps w:val="0"/>
          <w:color w:val="auto"/>
          <w:spacing w:val="0"/>
          <w:kern w:val="0"/>
          <w:sz w:val="24"/>
          <w:szCs w:val="24"/>
          <w:highlight w:val="none"/>
          <w:lang w:val="en-US" w:eastAsia="zh-CN" w:bidi="ar"/>
        </w:rPr>
        <w:t>05</w:t>
      </w:r>
      <w:r>
        <w:rPr>
          <w:rFonts w:hint="eastAsia" w:ascii="宋体" w:hAnsi="宋体" w:eastAsia="宋体" w:cs="宋体"/>
          <w:i w:val="0"/>
          <w:iCs w:val="0"/>
          <w:caps w:val="0"/>
          <w:color w:val="auto"/>
          <w:spacing w:val="0"/>
          <w:kern w:val="0"/>
          <w:sz w:val="24"/>
          <w:szCs w:val="24"/>
          <w:highlight w:val="none"/>
          <w:lang w:val="en-US" w:eastAsia="zh-CN" w:bidi="ar"/>
        </w:rPr>
        <w:t>月</w:t>
      </w:r>
      <w:r>
        <w:rPr>
          <w:rFonts w:hint="eastAsia" w:cs="宋体"/>
          <w:i w:val="0"/>
          <w:iCs w:val="0"/>
          <w:caps w:val="0"/>
          <w:color w:val="auto"/>
          <w:spacing w:val="0"/>
          <w:kern w:val="0"/>
          <w:sz w:val="24"/>
          <w:szCs w:val="24"/>
          <w:highlight w:val="none"/>
          <w:lang w:val="en-US" w:eastAsia="zh-CN" w:bidi="ar"/>
        </w:rPr>
        <w:t>07</w:t>
      </w:r>
      <w:r>
        <w:rPr>
          <w:rFonts w:hint="eastAsia" w:ascii="宋体" w:hAnsi="宋体" w:eastAsia="宋体" w:cs="宋体"/>
          <w:i w:val="0"/>
          <w:iCs w:val="0"/>
          <w:caps w:val="0"/>
          <w:color w:val="auto"/>
          <w:spacing w:val="0"/>
          <w:kern w:val="0"/>
          <w:sz w:val="24"/>
          <w:szCs w:val="24"/>
          <w:highlight w:val="none"/>
          <w:lang w:val="en-US" w:eastAsia="zh-CN" w:bidi="ar"/>
        </w:rPr>
        <w:t>日1</w:t>
      </w:r>
      <w:r>
        <w:rPr>
          <w:rFonts w:hint="eastAsia" w:cs="宋体"/>
          <w:i w:val="0"/>
          <w:iCs w:val="0"/>
          <w:caps w:val="0"/>
          <w:color w:val="auto"/>
          <w:spacing w:val="0"/>
          <w:kern w:val="0"/>
          <w:sz w:val="24"/>
          <w:szCs w:val="24"/>
          <w:highlight w:val="none"/>
          <w:lang w:val="en-US" w:eastAsia="zh-CN" w:bidi="ar"/>
        </w:rPr>
        <w:t>7</w:t>
      </w:r>
      <w:r>
        <w:rPr>
          <w:rFonts w:hint="eastAsia" w:ascii="宋体" w:hAnsi="宋体" w:eastAsia="宋体" w:cs="宋体"/>
          <w:i w:val="0"/>
          <w:iCs w:val="0"/>
          <w:caps w:val="0"/>
          <w:color w:val="auto"/>
          <w:spacing w:val="0"/>
          <w:kern w:val="0"/>
          <w:sz w:val="24"/>
          <w:szCs w:val="24"/>
          <w:highlight w:val="none"/>
          <w:lang w:val="en-US" w:eastAsia="zh-CN" w:bidi="ar"/>
        </w:rPr>
        <w:t>:</w:t>
      </w:r>
      <w:r>
        <w:rPr>
          <w:rFonts w:hint="eastAsia" w:cs="宋体"/>
          <w:i w:val="0"/>
          <w:iCs w:val="0"/>
          <w:caps w:val="0"/>
          <w:color w:val="auto"/>
          <w:spacing w:val="0"/>
          <w:kern w:val="0"/>
          <w:sz w:val="24"/>
          <w:szCs w:val="24"/>
          <w:highlight w:val="none"/>
          <w:lang w:val="en-US" w:eastAsia="zh-CN" w:bidi="ar"/>
        </w:rPr>
        <w:t>0</w:t>
      </w:r>
      <w:r>
        <w:rPr>
          <w:rFonts w:hint="eastAsia" w:ascii="宋体" w:hAnsi="宋体" w:eastAsia="宋体" w:cs="宋体"/>
          <w:i w:val="0"/>
          <w:iCs w:val="0"/>
          <w:caps w:val="0"/>
          <w:color w:val="auto"/>
          <w:spacing w:val="0"/>
          <w:kern w:val="0"/>
          <w:sz w:val="24"/>
          <w:szCs w:val="24"/>
          <w:highlight w:val="none"/>
          <w:lang w:val="en-US" w:eastAsia="zh-CN" w:bidi="ar"/>
        </w:rPr>
        <w:t>0</w:t>
      </w:r>
      <w:r>
        <w:rPr>
          <w:rFonts w:hint="eastAsia" w:ascii="宋体" w:hAnsi="宋体" w:eastAsia="宋体" w:cs="宋体"/>
          <w:i w:val="0"/>
          <w:iCs w:val="0"/>
          <w:caps w:val="0"/>
          <w:color w:val="auto"/>
          <w:spacing w:val="0"/>
          <w:sz w:val="24"/>
          <w:szCs w:val="24"/>
          <w:highlight w:val="none"/>
        </w:rPr>
        <w:t>北京时间）</w:t>
      </w:r>
    </w:p>
    <w:p w14:paraId="6B60CED0">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auto"/>
          <w:spacing w:val="0"/>
          <w:sz w:val="24"/>
          <w:szCs w:val="24"/>
        </w:rPr>
        <w:t> 地点：投标人登录政采云平台https://www.zcygov.cn/，进入“项目采购-开标评标-右边选择对应项目点击“进入项目”进入开标大</w:t>
      </w:r>
      <w:r>
        <w:rPr>
          <w:rFonts w:hint="eastAsia" w:ascii="宋体" w:hAnsi="宋体" w:eastAsia="宋体" w:cs="宋体"/>
          <w:i w:val="0"/>
          <w:iCs w:val="0"/>
          <w:caps w:val="0"/>
          <w:color w:val="000000"/>
          <w:spacing w:val="0"/>
          <w:sz w:val="24"/>
          <w:szCs w:val="24"/>
        </w:rPr>
        <w:t>厅。 </w:t>
      </w:r>
    </w:p>
    <w:p w14:paraId="799EB4D3">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000000"/>
          <w:spacing w:val="0"/>
          <w:sz w:val="24"/>
          <w:szCs w:val="24"/>
        </w:rPr>
      </w:pPr>
      <w:r>
        <w:rPr>
          <w:rStyle w:val="23"/>
          <w:rFonts w:hint="eastAsia" w:ascii="宋体" w:hAnsi="宋体" w:eastAsia="宋体" w:cs="宋体"/>
          <w:i w:val="0"/>
          <w:iCs w:val="0"/>
          <w:caps w:val="0"/>
          <w:color w:val="000000"/>
          <w:spacing w:val="0"/>
          <w:sz w:val="24"/>
          <w:szCs w:val="24"/>
          <w:lang w:val="en-US" w:eastAsia="zh-CN"/>
        </w:rPr>
        <w:t>六</w:t>
      </w:r>
      <w:r>
        <w:rPr>
          <w:rStyle w:val="23"/>
          <w:rFonts w:hint="eastAsia" w:ascii="宋体" w:hAnsi="宋体" w:eastAsia="宋体" w:cs="宋体"/>
          <w:i w:val="0"/>
          <w:iCs w:val="0"/>
          <w:caps w:val="0"/>
          <w:color w:val="000000"/>
          <w:spacing w:val="0"/>
          <w:sz w:val="24"/>
          <w:szCs w:val="24"/>
        </w:rPr>
        <w:t>、公告期限</w:t>
      </w:r>
    </w:p>
    <w:p w14:paraId="2652A4A6">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自本公告发布之日起</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个工作日。</w:t>
      </w:r>
    </w:p>
    <w:p w14:paraId="22C4F621">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000000"/>
          <w:spacing w:val="0"/>
          <w:sz w:val="24"/>
          <w:szCs w:val="24"/>
        </w:rPr>
      </w:pPr>
      <w:r>
        <w:rPr>
          <w:rStyle w:val="23"/>
          <w:rFonts w:hint="eastAsia" w:ascii="宋体" w:hAnsi="宋体" w:eastAsia="宋体" w:cs="宋体"/>
          <w:i w:val="0"/>
          <w:iCs w:val="0"/>
          <w:caps w:val="0"/>
          <w:color w:val="000000"/>
          <w:spacing w:val="0"/>
          <w:sz w:val="24"/>
          <w:szCs w:val="24"/>
          <w:lang w:val="en-US" w:eastAsia="zh-CN"/>
        </w:rPr>
        <w:t>七</w:t>
      </w:r>
      <w:r>
        <w:rPr>
          <w:rStyle w:val="23"/>
          <w:rFonts w:hint="eastAsia" w:ascii="宋体" w:hAnsi="宋体" w:eastAsia="宋体" w:cs="宋体"/>
          <w:i w:val="0"/>
          <w:iCs w:val="0"/>
          <w:caps w:val="0"/>
          <w:color w:val="000000"/>
          <w:spacing w:val="0"/>
          <w:sz w:val="24"/>
          <w:szCs w:val="24"/>
        </w:rPr>
        <w:t>、其他补充事宜</w:t>
      </w:r>
    </w:p>
    <w:p w14:paraId="47F4323D">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1、本项目实行网上投标，采用电子</w:t>
      </w:r>
      <w:r>
        <w:rPr>
          <w:rFonts w:hint="eastAsia" w:cs="宋体"/>
          <w:i w:val="0"/>
          <w:iCs w:val="0"/>
          <w:caps w:val="0"/>
          <w:color w:val="000000"/>
          <w:spacing w:val="0"/>
          <w:sz w:val="24"/>
          <w:szCs w:val="24"/>
          <w:lang w:eastAsia="zh-CN"/>
        </w:rPr>
        <w:t>响应文件</w:t>
      </w:r>
      <w:r>
        <w:rPr>
          <w:rFonts w:hint="eastAsia" w:ascii="宋体" w:hAnsi="宋体" w:eastAsia="宋体" w:cs="宋体"/>
          <w:i w:val="0"/>
          <w:iCs w:val="0"/>
          <w:caps w:val="0"/>
          <w:color w:val="000000"/>
          <w:spacing w:val="0"/>
          <w:sz w:val="24"/>
          <w:szCs w:val="24"/>
        </w:rPr>
        <w:t>。</w:t>
      </w:r>
    </w:p>
    <w:p w14:paraId="681B1E34">
      <w:pPr>
        <w:pStyle w:val="18"/>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3D57D431">
      <w:pPr>
        <w:pStyle w:val="18"/>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3、供应商将政采云电子交易客户端下载、安装完成后，可通过账号密码或CA登录客户端进行</w:t>
      </w:r>
      <w:r>
        <w:rPr>
          <w:rFonts w:hint="eastAsia" w:cs="宋体"/>
          <w:i w:val="0"/>
          <w:iCs w:val="0"/>
          <w:caps w:val="0"/>
          <w:color w:val="000000"/>
          <w:spacing w:val="0"/>
          <w:sz w:val="24"/>
          <w:szCs w:val="24"/>
          <w:lang w:eastAsia="zh-CN"/>
        </w:rPr>
        <w:t>响应文件</w:t>
      </w:r>
      <w:r>
        <w:rPr>
          <w:rFonts w:hint="eastAsia" w:ascii="宋体" w:hAnsi="宋体" w:eastAsia="宋体" w:cs="宋体"/>
          <w:i w:val="0"/>
          <w:iCs w:val="0"/>
          <w:caps w:val="0"/>
          <w:color w:val="000000"/>
          <w:spacing w:val="0"/>
          <w:sz w:val="24"/>
          <w:szCs w:val="24"/>
        </w:rPr>
        <w:t>的制作。在使用政采云投标客户端时，建议使用WIN7及以上操作系统。</w:t>
      </w:r>
    </w:p>
    <w:p w14:paraId="3CE8FDDE">
      <w:pPr>
        <w:pStyle w:val="18"/>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4、其他事项：/  </w:t>
      </w:r>
    </w:p>
    <w:p w14:paraId="5875A2C3">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特别提示：</w:t>
      </w:r>
    </w:p>
    <w:p w14:paraId="7B654F4F">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1、采购限额标准以上，200万元以下的货物和服务采购项目、400万元以下的工程采购项目，适宜由中小企业提供的，采购人应当专门面向中小企业采购。</w:t>
      </w:r>
    </w:p>
    <w:p w14:paraId="1279DBEF">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2、超过200万元的货物和服务采购项目，预留该部分采购项目预算总额的30%以上专门面向中小企业采购，其中预留给小微企业的比例不低于60%。</w:t>
      </w:r>
    </w:p>
    <w:p w14:paraId="5574DF49">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3、超过400万元的工程采购项目中适宜由中小企业提供的，预留该部分采购项目预算总额的40%以上专门面向中小企业采购，其中预留给小微企业的比例不低于60%。</w:t>
      </w:r>
    </w:p>
    <w:p w14:paraId="66B55BD8">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191598E">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7877C0D">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000000"/>
          <w:spacing w:val="0"/>
          <w:sz w:val="24"/>
          <w:szCs w:val="24"/>
        </w:rPr>
      </w:pPr>
      <w:r>
        <w:rPr>
          <w:rStyle w:val="23"/>
          <w:rFonts w:hint="eastAsia" w:ascii="宋体" w:hAnsi="宋体" w:eastAsia="宋体" w:cs="宋体"/>
          <w:i w:val="0"/>
          <w:iCs w:val="0"/>
          <w:caps w:val="0"/>
          <w:color w:val="000000"/>
          <w:spacing w:val="0"/>
          <w:sz w:val="24"/>
          <w:szCs w:val="24"/>
        </w:rPr>
        <w:t>七、对本次采购提出询问，请按以下方式联系</w:t>
      </w:r>
    </w:p>
    <w:p w14:paraId="18BD1F88">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1.采购人信息</w:t>
      </w:r>
    </w:p>
    <w:p w14:paraId="63CD31CC">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名 称</w:t>
      </w:r>
      <w:r>
        <w:rPr>
          <w:rFonts w:hint="eastAsia" w:ascii="宋体" w:hAnsi="宋体" w:eastAsia="宋体" w:cs="宋体"/>
          <w:i w:val="0"/>
          <w:iCs w:val="0"/>
          <w:caps w:val="0"/>
          <w:color w:val="000000"/>
          <w:spacing w:val="0"/>
          <w:sz w:val="24"/>
          <w:szCs w:val="24"/>
          <w:lang w:val="en-US" w:eastAsia="zh-CN"/>
        </w:rPr>
        <w:t>：</w:t>
      </w:r>
      <w:r>
        <w:rPr>
          <w:rFonts w:hint="eastAsia" w:cs="宋体"/>
          <w:i w:val="0"/>
          <w:iCs w:val="0"/>
          <w:caps w:val="0"/>
          <w:color w:val="000000"/>
          <w:spacing w:val="0"/>
          <w:sz w:val="24"/>
          <w:szCs w:val="24"/>
          <w:lang w:eastAsia="zh-CN"/>
        </w:rPr>
        <w:t>中共鄯善县委员会组织部</w:t>
      </w:r>
    </w:p>
    <w:p w14:paraId="32A708B1">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 xml:space="preserve">地 </w:t>
      </w:r>
      <w:r>
        <w:rPr>
          <w:rFonts w:hint="eastAsia" w:ascii="宋体" w:hAnsi="宋体" w:eastAsia="宋体" w:cs="宋体"/>
          <w:i w:val="0"/>
          <w:iCs w:val="0"/>
          <w:caps w:val="0"/>
          <w:color w:val="000000"/>
          <w:spacing w:val="0"/>
          <w:sz w:val="24"/>
          <w:szCs w:val="24"/>
          <w:lang w:val="en-US" w:eastAsia="zh-CN"/>
        </w:rPr>
        <w:t>址：</w:t>
      </w:r>
      <w:r>
        <w:rPr>
          <w:rFonts w:hint="eastAsia" w:cs="宋体"/>
          <w:i w:val="0"/>
          <w:iCs w:val="0"/>
          <w:caps w:val="0"/>
          <w:color w:val="000000"/>
          <w:spacing w:val="0"/>
          <w:sz w:val="24"/>
          <w:szCs w:val="24"/>
          <w:lang w:val="en-US" w:eastAsia="zh-CN"/>
        </w:rPr>
        <w:t>鄯善县幸福路1号广场综合楼后二楼</w:t>
      </w:r>
    </w:p>
    <w:p w14:paraId="5E1F5530">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jc w:val="left"/>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联系方式</w:t>
      </w:r>
      <w:r>
        <w:rPr>
          <w:rFonts w:hint="eastAsia" w:ascii="宋体" w:hAnsi="宋体" w:eastAsia="宋体" w:cs="宋体"/>
          <w:i w:val="0"/>
          <w:iCs w:val="0"/>
          <w:caps w:val="0"/>
          <w:color w:val="000000"/>
          <w:spacing w:val="0"/>
          <w:sz w:val="24"/>
          <w:szCs w:val="24"/>
          <w:lang w:val="en-US" w:eastAsia="zh-CN"/>
        </w:rPr>
        <w:t>：1</w:t>
      </w:r>
      <w:r>
        <w:rPr>
          <w:rFonts w:hint="eastAsia" w:cs="宋体"/>
          <w:i w:val="0"/>
          <w:iCs w:val="0"/>
          <w:caps w:val="0"/>
          <w:color w:val="000000"/>
          <w:spacing w:val="0"/>
          <w:sz w:val="24"/>
          <w:szCs w:val="24"/>
          <w:lang w:val="en-US" w:eastAsia="zh-CN"/>
        </w:rPr>
        <w:t>7509950088</w:t>
      </w:r>
    </w:p>
    <w:p w14:paraId="63375A3D">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2.采购代理机构信息</w:t>
      </w:r>
    </w:p>
    <w:p w14:paraId="09BB6767">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 称：</w:t>
      </w:r>
      <w:r>
        <w:rPr>
          <w:rFonts w:hint="eastAsia" w:ascii="宋体" w:hAnsi="宋体" w:eastAsia="宋体" w:cs="宋体"/>
          <w:i w:val="0"/>
          <w:iCs w:val="0"/>
          <w:caps w:val="0"/>
          <w:color w:val="000000"/>
          <w:spacing w:val="0"/>
          <w:sz w:val="24"/>
          <w:szCs w:val="24"/>
          <w:lang w:val="en-US" w:eastAsia="zh-CN"/>
        </w:rPr>
        <w:t>新疆</w:t>
      </w:r>
      <w:r>
        <w:rPr>
          <w:rFonts w:hint="eastAsia" w:ascii="宋体" w:hAnsi="宋体" w:eastAsia="宋体" w:cs="宋体"/>
          <w:i w:val="0"/>
          <w:iCs w:val="0"/>
          <w:caps w:val="0"/>
          <w:color w:val="000000"/>
          <w:spacing w:val="0"/>
          <w:sz w:val="24"/>
          <w:szCs w:val="24"/>
        </w:rPr>
        <w:t>华域天恒工程管理有限公司</w:t>
      </w:r>
    </w:p>
    <w:p w14:paraId="3B26B189">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址：吐鲁番市高昌区示范区和平街11幢2层201号</w:t>
      </w:r>
    </w:p>
    <w:p w14:paraId="1F76238D">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联系方式：13</w:t>
      </w:r>
      <w:r>
        <w:rPr>
          <w:rFonts w:hint="eastAsia" w:cs="宋体"/>
          <w:i w:val="0"/>
          <w:iCs w:val="0"/>
          <w:caps w:val="0"/>
          <w:color w:val="000000"/>
          <w:spacing w:val="0"/>
          <w:sz w:val="24"/>
          <w:szCs w:val="24"/>
          <w:lang w:val="en-US" w:eastAsia="zh-CN"/>
        </w:rPr>
        <w:t>699902201</w:t>
      </w:r>
    </w:p>
    <w:p w14:paraId="3FA9296B">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3.项目联系方式</w:t>
      </w:r>
    </w:p>
    <w:p w14:paraId="02C32E11">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项目联系人：</w:t>
      </w:r>
      <w:r>
        <w:rPr>
          <w:rStyle w:val="26"/>
          <w:rFonts w:hint="eastAsia" w:cs="宋体"/>
          <w:i w:val="0"/>
          <w:iCs w:val="0"/>
          <w:caps w:val="0"/>
          <w:color w:val="000000"/>
          <w:spacing w:val="0"/>
          <w:sz w:val="24"/>
          <w:szCs w:val="24"/>
          <w:lang w:val="en-US" w:eastAsia="zh-CN"/>
        </w:rPr>
        <w:t>张莉</w:t>
      </w:r>
    </w:p>
    <w:p w14:paraId="22256A95">
      <w:pPr>
        <w:pStyle w:val="18"/>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default" w:ascii="宋体" w:hAnsi="宋体" w:eastAsia="宋体" w:cs="宋体"/>
          <w:i w:val="0"/>
          <w:iCs w:val="0"/>
          <w:caps w:val="0"/>
          <w:color w:val="000000"/>
          <w:spacing w:val="0"/>
          <w:sz w:val="24"/>
          <w:szCs w:val="24"/>
          <w:lang w:val="en-US"/>
        </w:rPr>
      </w:pPr>
      <w:r>
        <w:rPr>
          <w:rFonts w:hint="eastAsia" w:ascii="宋体" w:hAnsi="宋体" w:eastAsia="宋体" w:cs="宋体"/>
          <w:i w:val="0"/>
          <w:iCs w:val="0"/>
          <w:caps w:val="0"/>
          <w:color w:val="000000"/>
          <w:spacing w:val="0"/>
          <w:sz w:val="24"/>
          <w:szCs w:val="24"/>
        </w:rPr>
        <w:t>电 话：13</w:t>
      </w:r>
      <w:r>
        <w:rPr>
          <w:rFonts w:hint="eastAsia" w:cs="宋体"/>
          <w:i w:val="0"/>
          <w:iCs w:val="0"/>
          <w:caps w:val="0"/>
          <w:color w:val="000000"/>
          <w:spacing w:val="0"/>
          <w:sz w:val="24"/>
          <w:szCs w:val="24"/>
          <w:lang w:val="en-US" w:eastAsia="zh-CN"/>
        </w:rPr>
        <w:t>699902201</w:t>
      </w:r>
    </w:p>
    <w:p w14:paraId="0E23DF0E">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宋体" w:hAnsi="宋体" w:eastAsia="宋体" w:cs="宋体"/>
          <w:i w:val="0"/>
          <w:iCs w:val="0"/>
          <w:caps w:val="0"/>
          <w:color w:val="000000"/>
          <w:spacing w:val="0"/>
          <w:sz w:val="28"/>
          <w:szCs w:val="28"/>
        </w:rPr>
      </w:pPr>
    </w:p>
    <w:p w14:paraId="417DE4DD">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宋体" w:hAnsi="宋体" w:eastAsia="宋体" w:cs="宋体"/>
        </w:rPr>
      </w:pPr>
      <w:r>
        <w:rPr>
          <w:rFonts w:hint="eastAsia" w:ascii="宋体" w:hAnsi="宋体" w:eastAsia="宋体" w:cs="宋体"/>
          <w:i w:val="0"/>
          <w:iCs w:val="0"/>
          <w:caps w:val="0"/>
          <w:color w:val="000000"/>
          <w:spacing w:val="0"/>
          <w:sz w:val="24"/>
          <w:szCs w:val="24"/>
          <w:lang w:val="en-US" w:eastAsia="zh-CN"/>
        </w:rPr>
        <w:t>202</w:t>
      </w:r>
      <w:r>
        <w:rPr>
          <w:rFonts w:hint="eastAsia"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lang w:val="en-US" w:eastAsia="zh-CN"/>
        </w:rPr>
        <w:t>年</w:t>
      </w:r>
      <w:r>
        <w:rPr>
          <w:rFonts w:hint="eastAsia" w:cs="宋体"/>
          <w:i w:val="0"/>
          <w:iCs w:val="0"/>
          <w:caps w:val="0"/>
          <w:color w:val="000000"/>
          <w:spacing w:val="0"/>
          <w:sz w:val="24"/>
          <w:szCs w:val="24"/>
          <w:lang w:val="en-US" w:eastAsia="zh-CN"/>
        </w:rPr>
        <w:t>04</w:t>
      </w:r>
      <w:r>
        <w:rPr>
          <w:rFonts w:hint="eastAsia" w:ascii="宋体" w:hAnsi="宋体" w:eastAsia="宋体" w:cs="宋体"/>
          <w:i w:val="0"/>
          <w:iCs w:val="0"/>
          <w:caps w:val="0"/>
          <w:color w:val="000000"/>
          <w:spacing w:val="0"/>
          <w:sz w:val="24"/>
          <w:szCs w:val="24"/>
          <w:lang w:val="en-US" w:eastAsia="zh-CN"/>
        </w:rPr>
        <w:t>月</w:t>
      </w:r>
      <w:r>
        <w:rPr>
          <w:rFonts w:hint="eastAsia" w:cs="宋体"/>
          <w:i w:val="0"/>
          <w:iCs w:val="0"/>
          <w:caps w:val="0"/>
          <w:color w:val="000000"/>
          <w:spacing w:val="0"/>
          <w:sz w:val="24"/>
          <w:szCs w:val="24"/>
          <w:lang w:val="en-US" w:eastAsia="zh-CN"/>
        </w:rPr>
        <w:t>22</w:t>
      </w:r>
      <w:r>
        <w:rPr>
          <w:rFonts w:hint="eastAsia" w:ascii="宋体" w:hAnsi="宋体" w:eastAsia="宋体" w:cs="宋体"/>
          <w:i w:val="0"/>
          <w:iCs w:val="0"/>
          <w:caps w:val="0"/>
          <w:color w:val="000000"/>
          <w:spacing w:val="0"/>
          <w:sz w:val="24"/>
          <w:szCs w:val="24"/>
          <w:lang w:val="en-US" w:eastAsia="zh-CN"/>
        </w:rPr>
        <w:t>日</w:t>
      </w:r>
    </w:p>
    <w:p w14:paraId="67844B5E">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20EA2DAD">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15A4992A">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6040D15B">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5005E3A2">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33CDB91D">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07682BE7">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79717F5F">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31C98480">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44634F3F">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44AACD8A">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42DCF2AA">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5FA1C685">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1326AFC7">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76F74872">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65CC3D82">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6B304623">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382E5711">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10BC0366">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1F6C05E2">
      <w:pPr>
        <w:pStyle w:val="18"/>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1A76CA0B">
      <w:pPr>
        <w:rPr>
          <w:rFonts w:hint="eastAsia"/>
        </w:rPr>
      </w:pPr>
    </w:p>
    <w:p w14:paraId="3DFD355E">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宋体" w:hAnsi="宋体" w:eastAsia="宋体" w:cs="宋体"/>
          <w:color w:val="auto"/>
          <w:sz w:val="24"/>
          <w:szCs w:val="24"/>
          <w:highlight w:val="none"/>
        </w:rPr>
      </w:pPr>
      <w:r>
        <w:rPr>
          <w:rFonts w:hint="eastAsia" w:ascii="微软雅黑" w:hAnsi="微软雅黑" w:eastAsia="微软雅黑" w:cs="微软雅黑"/>
          <w:b/>
          <w:bCs/>
          <w:color w:val="auto"/>
          <w:sz w:val="32"/>
          <w:szCs w:val="32"/>
          <w:highlight w:val="none"/>
        </w:rPr>
        <w:t>第二部分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rPr>
        <w:t>磋商须知</w:t>
      </w:r>
      <w:bookmarkEnd w:id="0"/>
    </w:p>
    <w:p w14:paraId="218AF733">
      <w:pPr>
        <w:rPr>
          <w:rFonts w:hint="eastAsia"/>
          <w:color w:val="auto"/>
          <w:highlight w:val="none"/>
        </w:rPr>
      </w:pPr>
    </w:p>
    <w:p w14:paraId="0AF1954A">
      <w:pPr>
        <w:keepNext w:val="0"/>
        <w:keepLines w:val="0"/>
        <w:pageBreakBefore w:val="0"/>
        <w:widowControl w:val="0"/>
        <w:numPr>
          <w:ilvl w:val="0"/>
          <w:numId w:val="2"/>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磋商须知前附表 </w:t>
      </w:r>
    </w:p>
    <w:tbl>
      <w:tblPr>
        <w:tblStyle w:val="20"/>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341"/>
        <w:gridCol w:w="6555"/>
      </w:tblGrid>
      <w:tr w14:paraId="1F21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8058B40">
            <w:pPr>
              <w:pStyle w:val="31"/>
              <w:keepNext w:val="0"/>
              <w:keepLines w:val="0"/>
              <w:pageBreakBefore w:val="0"/>
              <w:widowControl/>
              <w:kinsoku/>
              <w:wordWrap/>
              <w:overflowPunct/>
              <w:topLinePunct w:val="0"/>
              <w:bidi w:val="0"/>
              <w:snapToGrid/>
              <w:spacing w:line="320" w:lineRule="exact"/>
              <w:textAlignment w:val="auto"/>
              <w:rPr>
                <w:rFonts w:ascii="宋体" w:hAnsi="宋体" w:eastAsia="宋体"/>
                <w:b/>
                <w:color w:val="auto"/>
                <w:sz w:val="24"/>
                <w:highlight w:val="none"/>
              </w:rPr>
            </w:pPr>
            <w:r>
              <w:rPr>
                <w:rFonts w:ascii="宋体" w:hAnsi="宋体" w:eastAsia="宋体"/>
                <w:b/>
                <w:color w:val="auto"/>
                <w:sz w:val="24"/>
                <w:highlight w:val="none"/>
              </w:rPr>
              <w:t>条款号</w:t>
            </w:r>
          </w:p>
        </w:tc>
        <w:tc>
          <w:tcPr>
            <w:tcW w:w="1341" w:type="dxa"/>
            <w:noWrap w:val="0"/>
            <w:vAlign w:val="center"/>
          </w:tcPr>
          <w:p w14:paraId="1870AF9E">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ascii="宋体" w:hAnsi="宋体" w:eastAsia="宋体"/>
                <w:b/>
                <w:color w:val="auto"/>
                <w:sz w:val="24"/>
                <w:highlight w:val="none"/>
              </w:rPr>
            </w:pPr>
            <w:r>
              <w:rPr>
                <w:rFonts w:ascii="宋体" w:hAnsi="宋体" w:eastAsia="宋体"/>
                <w:b/>
                <w:color w:val="auto"/>
                <w:sz w:val="24"/>
                <w:highlight w:val="none"/>
              </w:rPr>
              <w:t>条 款 名 称</w:t>
            </w:r>
          </w:p>
        </w:tc>
        <w:tc>
          <w:tcPr>
            <w:tcW w:w="6555" w:type="dxa"/>
            <w:noWrap w:val="0"/>
            <w:vAlign w:val="center"/>
          </w:tcPr>
          <w:p w14:paraId="5D29E4D6">
            <w:pPr>
              <w:pStyle w:val="31"/>
              <w:keepNext w:val="0"/>
              <w:keepLines w:val="0"/>
              <w:pageBreakBefore w:val="0"/>
              <w:widowControl/>
              <w:kinsoku/>
              <w:wordWrap/>
              <w:overflowPunct/>
              <w:topLinePunct w:val="0"/>
              <w:bidi w:val="0"/>
              <w:snapToGrid/>
              <w:spacing w:line="320" w:lineRule="exact"/>
              <w:jc w:val="center"/>
              <w:textAlignment w:val="auto"/>
              <w:rPr>
                <w:rFonts w:ascii="宋体" w:hAnsi="宋体" w:eastAsia="宋体"/>
                <w:b/>
                <w:color w:val="auto"/>
                <w:sz w:val="24"/>
                <w:highlight w:val="none"/>
              </w:rPr>
            </w:pPr>
            <w:r>
              <w:rPr>
                <w:rFonts w:ascii="宋体" w:hAnsi="宋体" w:eastAsia="宋体"/>
                <w:b/>
                <w:color w:val="auto"/>
                <w:sz w:val="24"/>
                <w:highlight w:val="none"/>
              </w:rPr>
              <w:t>编  列  内  容</w:t>
            </w:r>
          </w:p>
        </w:tc>
      </w:tr>
      <w:tr w14:paraId="54F4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14EA6383">
            <w:pPr>
              <w:pStyle w:val="31"/>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1</w:t>
            </w:r>
          </w:p>
        </w:tc>
        <w:tc>
          <w:tcPr>
            <w:tcW w:w="1341" w:type="dxa"/>
            <w:noWrap w:val="0"/>
            <w:vAlign w:val="center"/>
          </w:tcPr>
          <w:p w14:paraId="2B117470">
            <w:pPr>
              <w:adjustRightInd w:val="0"/>
              <w:snapToGrid w:val="0"/>
              <w:spacing w:line="440" w:lineRule="exact"/>
              <w:ind w:left="-140" w:leftChars="0" w:right="-155" w:rightChars="0" w:firstLine="0" w:firstLineChars="0"/>
              <w:jc w:val="center"/>
              <w:rPr>
                <w:rFonts w:ascii="宋体" w:hAnsi="宋体" w:eastAsia="宋体"/>
                <w:b w:val="0"/>
                <w:bCs w:val="0"/>
                <w:color w:val="auto"/>
                <w:sz w:val="24"/>
                <w:highlight w:val="none"/>
              </w:rPr>
            </w:pPr>
            <w:r>
              <w:rPr>
                <w:rFonts w:hint="eastAsia" w:asciiTheme="minorEastAsia" w:hAnsiTheme="minorEastAsia" w:eastAsiaTheme="minorEastAsia" w:cstheme="minorEastAsia"/>
                <w:b w:val="0"/>
                <w:bCs w:val="0"/>
                <w:sz w:val="24"/>
                <w:szCs w:val="24"/>
                <w:highlight w:val="none"/>
              </w:rPr>
              <w:t>采购人</w:t>
            </w:r>
          </w:p>
        </w:tc>
        <w:tc>
          <w:tcPr>
            <w:tcW w:w="6555" w:type="dxa"/>
            <w:noWrap w:val="0"/>
            <w:vAlign w:val="center"/>
          </w:tcPr>
          <w:p w14:paraId="3904C538">
            <w:pPr>
              <w:keepNext w:val="0"/>
              <w:keepLines w:val="0"/>
              <w:pageBreakBefore w:val="0"/>
              <w:kinsoku/>
              <w:wordWrap/>
              <w:overflowPunct/>
              <w:topLinePunct w:val="0"/>
              <w:bidi w:val="0"/>
              <w:adjustRightInd w:val="0"/>
              <w:snapToGrid w:val="0"/>
              <w:spacing w:before="0" w:beforeAutospacing="0" w:after="0" w:afterAutospacing="0" w:line="360" w:lineRule="exact"/>
              <w:ind w:left="0" w:right="0" w:rightChars="0"/>
              <w:rPr>
                <w:rFonts w:asciiTheme="minorEastAsia" w:hAnsiTheme="minorEastAsia" w:eastAsiaTheme="minorEastAsia" w:cstheme="minorEastAsia"/>
                <w:sz w:val="24"/>
                <w:szCs w:val="24"/>
                <w:highlight w:val="none"/>
              </w:rPr>
            </w:pPr>
            <w:bookmarkStart w:id="2" w:name="EB797d1b4079594a778b9f2da7a47c4236"/>
            <w:bookmarkEnd w:id="2"/>
            <w:r>
              <w:rPr>
                <w:rFonts w:hint="eastAsia" w:asciiTheme="minorEastAsia" w:hAnsiTheme="minorEastAsia" w:eastAsiaTheme="minorEastAsia" w:cstheme="minorEastAsia"/>
                <w:sz w:val="24"/>
                <w:szCs w:val="24"/>
                <w:highlight w:val="none"/>
              </w:rPr>
              <w:t>名称：</w:t>
            </w:r>
            <w:r>
              <w:rPr>
                <w:rFonts w:hint="eastAsia" w:asciiTheme="minorEastAsia" w:hAnsiTheme="minorEastAsia" w:eastAsiaTheme="minorEastAsia" w:cstheme="minorEastAsia"/>
                <w:sz w:val="24"/>
                <w:szCs w:val="24"/>
                <w:highlight w:val="none"/>
                <w:lang w:val="en-US" w:eastAsia="zh-CN"/>
              </w:rPr>
              <w:t>中共鄯善县委员会组织部</w:t>
            </w:r>
            <w:r>
              <w:rPr>
                <w:rFonts w:hint="eastAsia" w:asciiTheme="minorEastAsia" w:hAnsiTheme="minorEastAsia" w:eastAsiaTheme="minorEastAsia" w:cstheme="minorEastAsia"/>
                <w:sz w:val="24"/>
                <w:szCs w:val="24"/>
                <w:highlight w:val="none"/>
              </w:rPr>
              <w:t>　　　　　　　　</w:t>
            </w:r>
          </w:p>
          <w:p w14:paraId="5F1C1B7C">
            <w:pPr>
              <w:keepNext w:val="0"/>
              <w:keepLines w:val="0"/>
              <w:pageBreakBefore w:val="0"/>
              <w:kinsoku/>
              <w:wordWrap/>
              <w:overflowPunct/>
              <w:topLinePunct w:val="0"/>
              <w:bidi w:val="0"/>
              <w:adjustRightInd w:val="0"/>
              <w:snapToGrid w:val="0"/>
              <w:spacing w:before="0" w:beforeAutospacing="0" w:after="0" w:afterAutospacing="0" w:line="360" w:lineRule="exact"/>
              <w:ind w:left="0" w:right="0" w:right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sz w:val="24"/>
                <w:szCs w:val="24"/>
                <w:highlight w:val="none"/>
                <w:lang w:val="en-US" w:eastAsia="zh-CN"/>
              </w:rPr>
              <w:t>鄯善县幸福路1号广场综合楼后二楼</w:t>
            </w:r>
          </w:p>
          <w:p w14:paraId="3AA7CC0F">
            <w:pPr>
              <w:keepNext w:val="0"/>
              <w:keepLines w:val="0"/>
              <w:pageBreakBefore w:val="0"/>
              <w:kinsoku/>
              <w:wordWrap/>
              <w:overflowPunct/>
              <w:topLinePunct w:val="0"/>
              <w:bidi w:val="0"/>
              <w:adjustRightInd w:val="0"/>
              <w:snapToGrid w:val="0"/>
              <w:spacing w:before="0" w:beforeAutospacing="0" w:after="0" w:afterAutospacing="0" w:line="360" w:lineRule="exact"/>
              <w:ind w:left="0" w:right="0" w:rightChars="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sz w:val="24"/>
                <w:szCs w:val="24"/>
                <w:highlight w:val="none"/>
                <w:lang w:val="en-US" w:eastAsia="zh-CN"/>
              </w:rPr>
              <w:t>唐波</w:t>
            </w:r>
          </w:p>
          <w:p w14:paraId="233BDC3C">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Fonts w:hint="eastAsia" w:eastAsia="宋体" w:cs="Times New Roman"/>
                <w:color w:val="auto"/>
                <w:sz w:val="24"/>
                <w:highlight w:val="none"/>
                <w:lang w:val="en-US" w:eastAsia="zh-CN"/>
              </w:rPr>
            </w:pPr>
            <w:r>
              <w:rPr>
                <w:rFonts w:hint="eastAsia" w:asciiTheme="minorEastAsia" w:hAnsiTheme="minorEastAsia" w:eastAsiaTheme="minorEastAsia" w:cstheme="minorEastAsia"/>
                <w:sz w:val="24"/>
                <w:szCs w:val="24"/>
                <w:highlight w:val="none"/>
              </w:rPr>
              <w:t>电  话：</w:t>
            </w:r>
            <w:r>
              <w:rPr>
                <w:rFonts w:hint="eastAsia" w:ascii="宋体" w:hAnsi="宋体" w:eastAsia="宋体" w:cs="宋体"/>
                <w:i w:val="0"/>
                <w:iCs w:val="0"/>
                <w:caps w:val="0"/>
                <w:color w:val="000000"/>
                <w:spacing w:val="0"/>
                <w:sz w:val="24"/>
                <w:szCs w:val="24"/>
                <w:lang w:val="en-US" w:eastAsia="zh-CN"/>
              </w:rPr>
              <w:t>1</w:t>
            </w:r>
            <w:r>
              <w:rPr>
                <w:rFonts w:hint="eastAsia" w:cs="宋体"/>
                <w:i w:val="0"/>
                <w:iCs w:val="0"/>
                <w:caps w:val="0"/>
                <w:color w:val="000000"/>
                <w:spacing w:val="0"/>
                <w:sz w:val="24"/>
                <w:szCs w:val="24"/>
                <w:lang w:val="en-US" w:eastAsia="zh-CN"/>
              </w:rPr>
              <w:t>7509950088</w:t>
            </w:r>
          </w:p>
        </w:tc>
      </w:tr>
      <w:tr w14:paraId="7386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68" w:type="dxa"/>
            <w:noWrap w:val="0"/>
            <w:vAlign w:val="center"/>
          </w:tcPr>
          <w:p w14:paraId="2045322C">
            <w:pPr>
              <w:pStyle w:val="31"/>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2</w:t>
            </w:r>
          </w:p>
        </w:tc>
        <w:tc>
          <w:tcPr>
            <w:tcW w:w="1341" w:type="dxa"/>
            <w:noWrap w:val="0"/>
            <w:vAlign w:val="center"/>
          </w:tcPr>
          <w:p w14:paraId="6350FEAA">
            <w:pPr>
              <w:adjustRightInd w:val="0"/>
              <w:snapToGrid w:val="0"/>
              <w:spacing w:line="440" w:lineRule="exact"/>
              <w:ind w:left="-140" w:leftChars="0" w:right="-155" w:rightChars="0" w:firstLine="0" w:firstLineChars="0"/>
              <w:jc w:val="center"/>
              <w:rPr>
                <w:rFonts w:ascii="宋体" w:hAnsi="宋体" w:eastAsia="宋体"/>
                <w:b w:val="0"/>
                <w:bCs w:val="0"/>
                <w:color w:val="auto"/>
                <w:sz w:val="24"/>
                <w:highlight w:val="none"/>
              </w:rPr>
            </w:pPr>
            <w:r>
              <w:rPr>
                <w:rFonts w:hint="eastAsia" w:asciiTheme="minorEastAsia" w:hAnsiTheme="minorEastAsia" w:eastAsiaTheme="minorEastAsia" w:cstheme="minorEastAsia"/>
                <w:b w:val="0"/>
                <w:bCs w:val="0"/>
                <w:sz w:val="24"/>
                <w:szCs w:val="24"/>
                <w:highlight w:val="none"/>
              </w:rPr>
              <w:t>采购代理机构</w:t>
            </w:r>
          </w:p>
        </w:tc>
        <w:tc>
          <w:tcPr>
            <w:tcW w:w="6555" w:type="dxa"/>
            <w:noWrap w:val="0"/>
            <w:vAlign w:val="center"/>
          </w:tcPr>
          <w:p w14:paraId="2A5A822F">
            <w:pPr>
              <w:keepNext w:val="0"/>
              <w:keepLines w:val="0"/>
              <w:pageBreakBefore w:val="0"/>
              <w:widowControl/>
              <w:kinsoku/>
              <w:wordWrap/>
              <w:overflowPunct/>
              <w:topLinePunct w:val="0"/>
              <w:bidi w:val="0"/>
              <w:adjustRightInd w:val="0"/>
              <w:snapToGrid w:val="0"/>
              <w:spacing w:before="0" w:beforeAutospacing="0" w:after="0" w:afterAutospacing="0" w:line="360" w:lineRule="exact"/>
              <w:ind w:left="0" w:right="0" w:rightChars="0"/>
              <w:jc w:val="left"/>
              <w:rPr>
                <w:rFonts w:hint="eastAsia" w:asciiTheme="minorEastAsia" w:hAnsiTheme="minorEastAsia" w:eastAsiaTheme="minorEastAsia" w:cstheme="minorEastAsia"/>
                <w:sz w:val="24"/>
                <w:szCs w:val="24"/>
                <w:highlight w:val="none"/>
                <w:lang w:eastAsia="zh-CN"/>
              </w:rPr>
            </w:pPr>
            <w:bookmarkStart w:id="3" w:name="EB711ab04762684375a014a19528cf06dd"/>
            <w:bookmarkEnd w:id="3"/>
            <w:r>
              <w:rPr>
                <w:rFonts w:hint="eastAsia" w:asciiTheme="minorEastAsia" w:hAnsiTheme="minorEastAsia" w:eastAsiaTheme="minorEastAsia" w:cstheme="minorEastAsia"/>
                <w:sz w:val="24"/>
                <w:szCs w:val="24"/>
                <w:highlight w:val="none"/>
              </w:rPr>
              <w:t>采购代理机构名称：</w:t>
            </w:r>
            <w:r>
              <w:rPr>
                <w:rFonts w:hint="eastAsia" w:asciiTheme="minorEastAsia" w:hAnsiTheme="minorEastAsia" w:eastAsiaTheme="minorEastAsia" w:cstheme="minorEastAsia"/>
                <w:sz w:val="24"/>
                <w:szCs w:val="24"/>
                <w:highlight w:val="none"/>
                <w:lang w:eastAsia="zh-CN"/>
              </w:rPr>
              <w:t>新疆华域天恒工程管理有限公司</w:t>
            </w:r>
          </w:p>
          <w:p w14:paraId="7F5C27A5">
            <w:pPr>
              <w:keepNext w:val="0"/>
              <w:keepLines w:val="0"/>
              <w:pageBreakBefore w:val="0"/>
              <w:widowControl/>
              <w:kinsoku/>
              <w:wordWrap/>
              <w:overflowPunct/>
              <w:topLinePunct w:val="0"/>
              <w:bidi w:val="0"/>
              <w:adjustRightInd w:val="0"/>
              <w:snapToGrid w:val="0"/>
              <w:spacing w:before="0" w:beforeAutospacing="0" w:after="0" w:afterAutospacing="0" w:line="360" w:lineRule="exact"/>
              <w:ind w:left="0" w:right="0" w:rightChars="0"/>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kern w:val="2"/>
                <w:sz w:val="24"/>
                <w:szCs w:val="24"/>
                <w:highlight w:val="none"/>
                <w:lang w:val="en-US" w:eastAsia="zh-CN" w:bidi="ar-SA"/>
              </w:rPr>
              <w:t>张莉</w:t>
            </w:r>
            <w:r>
              <w:rPr>
                <w:rFonts w:hint="eastAsia" w:asciiTheme="minorEastAsia" w:hAnsiTheme="minorEastAsia" w:eastAsiaTheme="minorEastAsia" w:cstheme="minorEastAsia"/>
                <w:sz w:val="24"/>
                <w:szCs w:val="24"/>
                <w:highlight w:val="none"/>
              </w:rPr>
              <w:t> </w:t>
            </w:r>
            <w:r>
              <w:rPr>
                <w:rFonts w:hint="eastAsia" w:asciiTheme="minorEastAsia" w:hAnsiTheme="minorEastAsia" w:eastAsiaTheme="minorEastAsia" w:cstheme="minorEastAsia"/>
                <w:sz w:val="24"/>
                <w:szCs w:val="24"/>
                <w:highlight w:val="none"/>
                <w:lang w:val="en-US" w:eastAsia="zh-CN"/>
              </w:rPr>
              <w:t xml:space="preserve">  </w:t>
            </w:r>
          </w:p>
          <w:p w14:paraId="017EAFB9">
            <w:pPr>
              <w:pStyle w:val="18"/>
              <w:keepNext w:val="0"/>
              <w:keepLines w:val="0"/>
              <w:pageBreakBefore w:val="0"/>
              <w:kinsoku/>
              <w:wordWrap/>
              <w:overflowPunct/>
              <w:topLinePunct w:val="0"/>
              <w:bidi w:val="0"/>
              <w:adjustRightInd w:val="0"/>
              <w:snapToGrid w:val="0"/>
              <w:spacing w:before="0" w:beforeAutospacing="0" w:after="0" w:afterAutospacing="0" w:line="360" w:lineRule="exact"/>
              <w:ind w:left="0" w:right="0" w:rightChars="0"/>
              <w:rPr>
                <w:rFonts w:hint="default" w:asciiTheme="minorEastAsia" w:hAnsiTheme="minorEastAsia" w:eastAsiaTheme="minorEastAsia" w:cstheme="minorEastAsia"/>
                <w:szCs w:val="24"/>
                <w:highlight w:val="none"/>
                <w:lang w:val="en-US" w:eastAsia="zh-CN"/>
              </w:rPr>
            </w:pPr>
            <w:r>
              <w:rPr>
                <w:rFonts w:hint="eastAsia" w:asciiTheme="minorEastAsia" w:hAnsiTheme="minorEastAsia" w:eastAsiaTheme="minorEastAsia" w:cstheme="minorEastAsia"/>
                <w:szCs w:val="24"/>
                <w:highlight w:val="none"/>
              </w:rPr>
              <w:t>联系电话：</w:t>
            </w:r>
            <w:r>
              <w:rPr>
                <w:rFonts w:hint="eastAsia" w:asciiTheme="minorEastAsia" w:hAnsiTheme="minorEastAsia" w:eastAsiaTheme="minorEastAsia" w:cstheme="minorEastAsia"/>
                <w:kern w:val="2"/>
                <w:sz w:val="24"/>
                <w:szCs w:val="24"/>
                <w:highlight w:val="none"/>
                <w:lang w:val="en-US" w:eastAsia="zh-CN" w:bidi="ar-SA"/>
              </w:rPr>
              <w:t>13699902201 0995-8637000</w:t>
            </w:r>
          </w:p>
          <w:p w14:paraId="6CFEF817">
            <w:pPr>
              <w:keepNext w:val="0"/>
              <w:keepLines w:val="0"/>
              <w:pageBreakBefore w:val="0"/>
              <w:widowControl/>
              <w:kinsoku/>
              <w:wordWrap/>
              <w:overflowPunct/>
              <w:topLinePunct w:val="0"/>
              <w:bidi w:val="0"/>
              <w:adjustRightInd w:val="0"/>
              <w:snapToGrid w:val="0"/>
              <w:spacing w:before="0" w:beforeAutospacing="0" w:after="0" w:afterAutospacing="0" w:line="360" w:lineRule="exact"/>
              <w:ind w:left="0" w:leftChars="0" w:right="0" w:rightChars="0"/>
              <w:jc w:val="left"/>
              <w:rPr>
                <w:rFonts w:hint="default" w:eastAsia="宋体" w:cs="Times New Roman"/>
                <w:color w:val="auto"/>
                <w:sz w:val="24"/>
                <w:highlight w:val="none"/>
                <w:lang w:val="en-US" w:eastAsia="zh-CN"/>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kern w:val="2"/>
                <w:sz w:val="24"/>
                <w:szCs w:val="24"/>
                <w:highlight w:val="none"/>
                <w:lang w:val="en-US" w:eastAsia="zh-CN" w:bidi="ar-SA"/>
              </w:rPr>
              <w:t>吐鲁番市高昌区示范区和平街11幢2层201号 </w:t>
            </w:r>
            <w:r>
              <w:rPr>
                <w:rFonts w:hint="eastAsia" w:asciiTheme="minorEastAsia" w:hAnsiTheme="minorEastAsia" w:eastAsiaTheme="minorEastAsia" w:cstheme="minorEastAsia"/>
                <w:sz w:val="24"/>
                <w:szCs w:val="24"/>
                <w:highlight w:val="none"/>
              </w:rPr>
              <w:t xml:space="preserve">       </w:t>
            </w:r>
          </w:p>
        </w:tc>
      </w:tr>
      <w:tr w14:paraId="509F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46529F10">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1341" w:type="dxa"/>
            <w:noWrap w:val="0"/>
            <w:vAlign w:val="center"/>
          </w:tcPr>
          <w:p w14:paraId="6D92173F">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项目概况</w:t>
            </w:r>
          </w:p>
        </w:tc>
        <w:tc>
          <w:tcPr>
            <w:tcW w:w="6555" w:type="dxa"/>
            <w:noWrap w:val="0"/>
            <w:vAlign w:val="center"/>
          </w:tcPr>
          <w:p w14:paraId="16EE2B3B">
            <w:pPr>
              <w:pStyle w:val="31"/>
              <w:keepNext w:val="0"/>
              <w:keepLines w:val="0"/>
              <w:pageBreakBefore w:val="0"/>
              <w:widowControl/>
              <w:kinsoku/>
              <w:wordWrap/>
              <w:overflowPunct/>
              <w:topLinePunct w:val="0"/>
              <w:bidi w:val="0"/>
              <w:snapToGrid/>
              <w:spacing w:beforeAutospacing="0" w:afterAutospacing="0" w:line="360" w:lineRule="exact"/>
              <w:ind w:left="0" w:right="0" w:rightChars="0"/>
              <w:textAlignment w:val="auto"/>
              <w:rPr>
                <w:rFonts w:hint="eastAsia" w:eastAsia="宋体" w:cs="Times New Roman"/>
                <w:color w:val="auto"/>
                <w:sz w:val="24"/>
                <w:highlight w:val="none"/>
                <w:lang w:val="en-US" w:eastAsia="zh-CN"/>
              </w:rPr>
            </w:pPr>
            <w:bookmarkStart w:id="4" w:name="EBdaf02b35eef04948bb826c544b7758c6"/>
            <w:bookmarkEnd w:id="4"/>
            <w:r>
              <w:rPr>
                <w:rFonts w:hint="eastAsia" w:eastAsia="宋体" w:cs="Times New Roman"/>
                <w:color w:val="auto"/>
                <w:sz w:val="24"/>
                <w:highlight w:val="none"/>
                <w:lang w:val="en-US" w:eastAsia="zh-CN"/>
              </w:rPr>
              <w:t>标项名称：鄯善县吐峪沟乡智慧农业玻璃温室大棚建设项目</w:t>
            </w:r>
          </w:p>
          <w:p w14:paraId="3ADDE6E2">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项目预算金</w:t>
            </w:r>
            <w:r>
              <w:rPr>
                <w:rFonts w:hint="eastAsia" w:ascii="宋体" w:hAnsi="宋体" w:eastAsia="宋体" w:cs="宋体"/>
                <w:color w:val="auto"/>
                <w:kern w:val="0"/>
                <w:sz w:val="24"/>
                <w:szCs w:val="24"/>
                <w:highlight w:val="none"/>
                <w:lang w:val="en-US" w:eastAsia="zh-CN"/>
              </w:rPr>
              <w:t xml:space="preserve">额：2000000元； </w:t>
            </w:r>
          </w:p>
          <w:p w14:paraId="02F7CCF6">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olor w:val="auto"/>
                <w:sz w:val="24"/>
                <w:highlight w:val="none"/>
                <w:lang w:val="en-US" w:eastAsia="zh-CN"/>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最高限价：1891962.65元</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（各投标单位报价不得超过最高限价，否则将按废标处理。）</w:t>
            </w:r>
          </w:p>
          <w:p w14:paraId="39908605">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采购内容：新建3168平方米玻璃温室，室内配电配套，潮汐苗床、移动水车、水系统，冷凝水收集及排水系统、外遮阳传动系统、内保温传动系统、顶开窗传动系统、外翻窗传动系统。</w:t>
            </w:r>
          </w:p>
          <w:p w14:paraId="7228FB7D">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履约期限：60日历天</w:t>
            </w:r>
          </w:p>
          <w:p w14:paraId="66AE6046">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olor w:val="auto"/>
                <w:sz w:val="24"/>
                <w:highlight w:val="no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项目资金来源：中央资金</w:t>
            </w:r>
          </w:p>
          <w:p w14:paraId="573A628B">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质量标准：合格</w:t>
            </w:r>
          </w:p>
          <w:p w14:paraId="5ADC75E0">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质保期：符合国家规定</w:t>
            </w:r>
          </w:p>
        </w:tc>
      </w:tr>
      <w:tr w14:paraId="6F7C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4B608F2">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1341" w:type="dxa"/>
            <w:noWrap w:val="0"/>
            <w:vAlign w:val="center"/>
          </w:tcPr>
          <w:p w14:paraId="1060B4F9">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2FF2F12E">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43E935F5">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合格供应商的资格要求</w:t>
            </w:r>
          </w:p>
          <w:p w14:paraId="5F1F5152">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ascii="宋体" w:hAnsi="宋体" w:eastAsia="宋体"/>
                <w:color w:val="auto"/>
                <w:sz w:val="24"/>
                <w:highlight w:val="none"/>
              </w:rPr>
            </w:pPr>
          </w:p>
        </w:tc>
        <w:tc>
          <w:tcPr>
            <w:tcW w:w="6555" w:type="dxa"/>
            <w:noWrap w:val="0"/>
            <w:vAlign w:val="center"/>
          </w:tcPr>
          <w:p w14:paraId="41CA1370">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bookmarkStart w:id="5" w:name="EB93f4d92dc67243458e6fe4614c19bd8f"/>
            <w:bookmarkEnd w:id="5"/>
            <w:bookmarkStart w:id="6" w:name="EB8d5c7d73ca244b28bcae3699d53bc511"/>
            <w:bookmarkEnd w:id="6"/>
            <w:r>
              <w:rPr>
                <w:rFonts w:hint="eastAsia"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满足《中华人民共和国政府采购法》第二十二条规定</w:t>
            </w:r>
          </w:p>
          <w:p w14:paraId="2D4A092B">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rPr>
              <w:t>落实政府采购政策需满足的资格要求：</w:t>
            </w:r>
            <w:r>
              <w:rPr>
                <w:rFonts w:hint="eastAsia" w:ascii="宋体" w:hAnsi="宋体" w:eastAsia="宋体" w:cs="宋体"/>
                <w:i w:val="0"/>
                <w:iCs w:val="0"/>
                <w:caps w:val="0"/>
                <w:color w:val="auto"/>
                <w:spacing w:val="0"/>
                <w:sz w:val="24"/>
                <w:szCs w:val="24"/>
                <w:lang w:val="en-US" w:eastAsia="zh-CN"/>
              </w:rPr>
              <w:t>专门面向中</w:t>
            </w:r>
            <w:r>
              <w:rPr>
                <w:rFonts w:hint="eastAsia" w:ascii="宋体" w:hAnsi="宋体" w:eastAsia="宋体" w:cs="宋体"/>
                <w:i w:val="0"/>
                <w:iCs w:val="0"/>
                <w:caps w:val="0"/>
                <w:color w:val="auto"/>
                <w:spacing w:val="0"/>
                <w:sz w:val="24"/>
                <w:szCs w:val="24"/>
              </w:rPr>
              <w:t>小企业</w:t>
            </w:r>
          </w:p>
          <w:p w14:paraId="1DB9CFEE">
            <w:pPr>
              <w:pStyle w:val="18"/>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cs="宋体"/>
                <w:i w:val="0"/>
                <w:iCs w:val="0"/>
                <w:caps w:val="0"/>
                <w:color w:val="000000"/>
                <w:spacing w:val="0"/>
                <w:sz w:val="24"/>
                <w:szCs w:val="24"/>
                <w:lang w:eastAsia="zh-CN"/>
              </w:rPr>
            </w:pPr>
            <w:r>
              <w:rPr>
                <w:rFonts w:hint="eastAsia" w:ascii="宋体" w:hAnsi="宋体" w:eastAsia="宋体" w:cs="宋体"/>
                <w:i w:val="0"/>
                <w:iCs w:val="0"/>
                <w:caps w:val="0"/>
                <w:color w:val="auto"/>
                <w:spacing w:val="0"/>
                <w:sz w:val="24"/>
                <w:szCs w:val="24"/>
              </w:rPr>
              <w:t>3.本项目</w:t>
            </w:r>
            <w:r>
              <w:rPr>
                <w:rFonts w:hint="eastAsia" w:ascii="宋体" w:hAnsi="宋体" w:eastAsia="宋体" w:cs="宋体"/>
                <w:i w:val="0"/>
                <w:iCs w:val="0"/>
                <w:caps w:val="0"/>
                <w:color w:val="000000"/>
                <w:spacing w:val="0"/>
                <w:sz w:val="24"/>
                <w:szCs w:val="24"/>
              </w:rPr>
              <w:t>的特定资格要求：</w:t>
            </w:r>
            <w:r>
              <w:rPr>
                <w:rFonts w:hint="eastAsia" w:cs="宋体"/>
                <w:i w:val="0"/>
                <w:iCs w:val="0"/>
                <w:caps w:val="0"/>
                <w:color w:val="000000"/>
                <w:spacing w:val="0"/>
                <w:sz w:val="24"/>
                <w:szCs w:val="24"/>
                <w:lang w:eastAsia="zh-CN"/>
              </w:rPr>
              <w:t>(1)须具有有效的建筑工程施工总承包三级及以上资质、具有有效的安全生产许可证，并在人员、设备、资金等方面具有相应的施工能力；（2）项目负责人要求：应具备合格有效期内的建筑工程专业贰级以上（含）注册建造师执业资格、有效的安全生产考核合格证（B类），且未担任其他在施建设工程项目的项目负责人。</w:t>
            </w:r>
          </w:p>
          <w:p w14:paraId="00B1E4EF">
            <w:pPr>
              <w:pStyle w:val="18"/>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cs="宋体"/>
                <w:i w:val="0"/>
                <w:iCs w:val="0"/>
                <w:caps w:val="0"/>
                <w:color w:val="000000"/>
                <w:spacing w:val="0"/>
                <w:sz w:val="24"/>
                <w:szCs w:val="24"/>
                <w:lang w:val="en-US" w:eastAsia="zh-CN"/>
              </w:rPr>
            </w:pPr>
            <w:r>
              <w:rPr>
                <w:rFonts w:hint="eastAsia" w:cs="宋体"/>
                <w:i w:val="0"/>
                <w:iCs w:val="0"/>
                <w:caps w:val="0"/>
                <w:color w:val="000000"/>
                <w:spacing w:val="0"/>
                <w:sz w:val="24"/>
                <w:szCs w:val="24"/>
                <w:lang w:val="en-US" w:eastAsia="zh-CN"/>
              </w:rPr>
              <w:t>其他要求：疆外企业若中标，中标后须提供有效的《新疆维吾尔自治区区外进疆建筑企业信息报送册》</w:t>
            </w:r>
          </w:p>
        </w:tc>
      </w:tr>
      <w:tr w14:paraId="44CA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68" w:type="dxa"/>
            <w:noWrap w:val="0"/>
            <w:vAlign w:val="center"/>
          </w:tcPr>
          <w:p w14:paraId="132BDDEB">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1341" w:type="dxa"/>
            <w:noWrap w:val="0"/>
            <w:vAlign w:val="center"/>
          </w:tcPr>
          <w:p w14:paraId="63BA5989">
            <w:pPr>
              <w:keepNext w:val="0"/>
              <w:keepLines w:val="0"/>
              <w:pageBreakBefore w:val="0"/>
              <w:shd w:val="solid" w:color="FFFFFF" w:fill="auto"/>
              <w:kinsoku/>
              <w:wordWrap/>
              <w:topLinePunct w:val="0"/>
              <w:autoSpaceDN w:val="0"/>
              <w:bidi w:val="0"/>
              <w:spacing w:line="400" w:lineRule="exact"/>
              <w:ind w:left="-140" w:leftChars="0" w:right="-155" w:rightChars="0" w:firstLine="0" w:firstLineChars="0"/>
              <w:jc w:val="center"/>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lang w:val="en-US" w:eastAsia="zh-CN"/>
              </w:rPr>
              <w:t>本项目采购标的中小企业划分所属行业</w:t>
            </w:r>
          </w:p>
        </w:tc>
        <w:tc>
          <w:tcPr>
            <w:tcW w:w="6555" w:type="dxa"/>
            <w:noWrap w:val="0"/>
            <w:vAlign w:val="center"/>
          </w:tcPr>
          <w:p w14:paraId="1AF5DC94">
            <w:pPr>
              <w:pStyle w:val="54"/>
              <w:keepNext w:val="0"/>
              <w:keepLines w:val="0"/>
              <w:pageBreakBefore w:val="0"/>
              <w:kinsoku/>
              <w:wordWrap/>
              <w:overflowPunct/>
              <w:topLinePunct w:val="0"/>
              <w:bidi w:val="0"/>
              <w:spacing w:beforeAutospacing="0" w:afterAutospacing="0" w:line="360" w:lineRule="exact"/>
              <w:ind w:left="0" w:leftChars="0" w:right="0" w:rightChars="0" w:firstLine="0" w:firstLineChars="0"/>
              <w:textAlignment w:val="auto"/>
              <w:rPr>
                <w:rFonts w:hint="eastAsia" w:ascii="宋体" w:hAnsi="宋体" w:eastAsia="宋体" w:cs="宋体"/>
                <w:color w:val="000000" w:themeColor="text1"/>
                <w:sz w:val="24"/>
                <w:szCs w:val="24"/>
                <w:highlight w:val="none"/>
                <w:lang w:val="zh-CN" w:eastAsia="zh-CN" w:bidi="zh-CN"/>
                <w14:textFill>
                  <w14:solidFill>
                    <w14:schemeClr w14:val="tx1"/>
                  </w14:solidFill>
                </w14:textFill>
              </w:rPr>
            </w:pPr>
            <w:r>
              <w:rPr>
                <w:rFonts w:hint="eastAsia" w:ascii="宋体" w:hAnsi="宋体" w:eastAsia="宋体" w:cs="宋体"/>
                <w:color w:val="auto"/>
                <w:kern w:val="2"/>
                <w:sz w:val="24"/>
                <w:szCs w:val="24"/>
                <w:lang w:val="en-US" w:eastAsia="zh-CN"/>
              </w:rPr>
              <w:t>建筑业</w:t>
            </w:r>
          </w:p>
        </w:tc>
      </w:tr>
      <w:tr w14:paraId="7B44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168" w:type="dxa"/>
            <w:noWrap w:val="0"/>
            <w:vAlign w:val="center"/>
          </w:tcPr>
          <w:p w14:paraId="0A5F7EA6">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1341" w:type="dxa"/>
            <w:noWrap w:val="0"/>
            <w:vAlign w:val="center"/>
          </w:tcPr>
          <w:p w14:paraId="60E8E96C">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是否允许联合体投标</w:t>
            </w:r>
          </w:p>
        </w:tc>
        <w:tc>
          <w:tcPr>
            <w:tcW w:w="6555" w:type="dxa"/>
            <w:noWrap w:val="0"/>
            <w:vAlign w:val="center"/>
          </w:tcPr>
          <w:p w14:paraId="34EA08AB">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kern w:val="0"/>
                <w:sz w:val="24"/>
                <w:szCs w:val="24"/>
                <w:highlight w:val="none"/>
                <w:lang w:val="en-US" w:eastAsia="zh-CN"/>
              </w:rPr>
              <w:t xml:space="preserve"> 否    </w:t>
            </w:r>
          </w:p>
        </w:tc>
      </w:tr>
      <w:tr w14:paraId="0175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68" w:type="dxa"/>
            <w:noWrap w:val="0"/>
            <w:vAlign w:val="center"/>
          </w:tcPr>
          <w:p w14:paraId="417EF1CD">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p>
        </w:tc>
        <w:tc>
          <w:tcPr>
            <w:tcW w:w="1341" w:type="dxa"/>
            <w:noWrap w:val="0"/>
            <w:vAlign w:val="center"/>
          </w:tcPr>
          <w:p w14:paraId="48501AAA">
            <w:pPr>
              <w:keepNext w:val="0"/>
              <w:keepLines w:val="0"/>
              <w:pageBreakBefore w:val="0"/>
              <w:shd w:val="solid" w:color="FFFFFF" w:fill="auto"/>
              <w:kinsoku/>
              <w:wordWrap/>
              <w:topLinePunct w:val="0"/>
              <w:autoSpaceDN w:val="0"/>
              <w:bidi w:val="0"/>
              <w:spacing w:line="400" w:lineRule="exact"/>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是否专门面向中小企业</w:t>
            </w:r>
          </w:p>
        </w:tc>
        <w:tc>
          <w:tcPr>
            <w:tcW w:w="6555" w:type="dxa"/>
            <w:noWrap w:val="0"/>
            <w:vAlign w:val="center"/>
          </w:tcPr>
          <w:p w14:paraId="18827EE7">
            <w:pPr>
              <w:pStyle w:val="54"/>
              <w:keepNext w:val="0"/>
              <w:keepLines w:val="0"/>
              <w:pageBreakBefore w:val="0"/>
              <w:kinsoku/>
              <w:wordWrap/>
              <w:topLinePunct w:val="0"/>
              <w:bidi w:val="0"/>
              <w:spacing w:line="360" w:lineRule="exact"/>
              <w:ind w:right="0" w:rightChars="0"/>
              <w:textAlignment w:val="auto"/>
              <w:rPr>
                <w:rStyle w:val="57"/>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Fonts w:hint="eastAsia" w:cs="宋体"/>
                <w:color w:val="000000" w:themeColor="text1"/>
                <w:kern w:val="2"/>
                <w:sz w:val="24"/>
                <w:szCs w:val="24"/>
                <w:highlight w:val="none"/>
                <w:lang w:val="en-US" w:eastAsia="zh-CN"/>
                <w14:textFill>
                  <w14:solidFill>
                    <w14:schemeClr w14:val="tx1"/>
                  </w14:solidFill>
                </w14:textFill>
              </w:rPr>
              <w:t xml:space="preserve">是  </w:t>
            </w:r>
          </w:p>
        </w:tc>
      </w:tr>
      <w:tr w14:paraId="6A6D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68" w:type="dxa"/>
            <w:noWrap w:val="0"/>
            <w:vAlign w:val="center"/>
          </w:tcPr>
          <w:p w14:paraId="07589A5D">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p>
        </w:tc>
        <w:tc>
          <w:tcPr>
            <w:tcW w:w="1341" w:type="dxa"/>
            <w:noWrap w:val="0"/>
            <w:vAlign w:val="center"/>
          </w:tcPr>
          <w:p w14:paraId="74D240F6">
            <w:pPr>
              <w:adjustRightInd w:val="0"/>
              <w:snapToGrid w:val="0"/>
              <w:spacing w:line="440" w:lineRule="exact"/>
              <w:ind w:left="0" w:leftChars="0" w:right="-155"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是否允许分包</w:t>
            </w:r>
          </w:p>
        </w:tc>
        <w:tc>
          <w:tcPr>
            <w:tcW w:w="6555" w:type="dxa"/>
            <w:noWrap w:val="0"/>
            <w:vAlign w:val="center"/>
          </w:tcPr>
          <w:p w14:paraId="7E6531C0">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Style w:val="57"/>
                <w:rFonts w:hint="default"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Style w:val="57"/>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否</w:t>
            </w:r>
          </w:p>
        </w:tc>
      </w:tr>
      <w:tr w14:paraId="1A27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8" w:type="dxa"/>
            <w:noWrap w:val="0"/>
            <w:vAlign w:val="center"/>
          </w:tcPr>
          <w:p w14:paraId="55A9D2FF">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w:t>
            </w:r>
          </w:p>
        </w:tc>
        <w:tc>
          <w:tcPr>
            <w:tcW w:w="1341" w:type="dxa"/>
            <w:noWrap w:val="0"/>
            <w:vAlign w:val="center"/>
          </w:tcPr>
          <w:p w14:paraId="670815EE">
            <w:pPr>
              <w:adjustRightInd w:val="0"/>
              <w:snapToGrid w:val="0"/>
              <w:spacing w:line="440" w:lineRule="exact"/>
              <w:ind w:left="0" w:leftChars="0" w:right="-155"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响应文件提交截止时间</w:t>
            </w:r>
          </w:p>
        </w:tc>
        <w:tc>
          <w:tcPr>
            <w:tcW w:w="6555" w:type="dxa"/>
            <w:noWrap w:val="0"/>
            <w:vAlign w:val="center"/>
          </w:tcPr>
          <w:p w14:paraId="4D169988">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Style w:val="57"/>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2026年</w:t>
            </w:r>
            <w:r>
              <w:rPr>
                <w:rFonts w:hint="eastAsia" w:cs="宋体"/>
                <w:i w:val="0"/>
                <w:iCs w:val="0"/>
                <w:caps w:val="0"/>
                <w:color w:val="auto"/>
                <w:spacing w:val="0"/>
                <w:kern w:val="0"/>
                <w:sz w:val="24"/>
                <w:szCs w:val="24"/>
                <w:highlight w:val="none"/>
                <w:lang w:val="en-US" w:eastAsia="zh-CN" w:bidi="ar"/>
              </w:rPr>
              <w:t>05</w:t>
            </w:r>
            <w:r>
              <w:rPr>
                <w:rFonts w:hint="eastAsia" w:ascii="宋体" w:hAnsi="宋体" w:eastAsia="宋体" w:cs="宋体"/>
                <w:i w:val="0"/>
                <w:iCs w:val="0"/>
                <w:caps w:val="0"/>
                <w:color w:val="auto"/>
                <w:spacing w:val="0"/>
                <w:kern w:val="0"/>
                <w:sz w:val="24"/>
                <w:szCs w:val="24"/>
                <w:highlight w:val="none"/>
                <w:lang w:val="en-US" w:eastAsia="zh-CN" w:bidi="ar"/>
              </w:rPr>
              <w:t>月</w:t>
            </w:r>
            <w:r>
              <w:rPr>
                <w:rFonts w:hint="eastAsia" w:cs="宋体"/>
                <w:i w:val="0"/>
                <w:iCs w:val="0"/>
                <w:caps w:val="0"/>
                <w:color w:val="auto"/>
                <w:spacing w:val="0"/>
                <w:kern w:val="0"/>
                <w:sz w:val="24"/>
                <w:szCs w:val="24"/>
                <w:highlight w:val="none"/>
                <w:lang w:val="en-US" w:eastAsia="zh-CN" w:bidi="ar"/>
              </w:rPr>
              <w:t>07</w:t>
            </w:r>
            <w:r>
              <w:rPr>
                <w:rFonts w:hint="eastAsia" w:ascii="宋体" w:hAnsi="宋体" w:eastAsia="宋体" w:cs="宋体"/>
                <w:i w:val="0"/>
                <w:iCs w:val="0"/>
                <w:caps w:val="0"/>
                <w:color w:val="auto"/>
                <w:spacing w:val="0"/>
                <w:kern w:val="0"/>
                <w:sz w:val="24"/>
                <w:szCs w:val="24"/>
                <w:highlight w:val="none"/>
                <w:lang w:val="en-US" w:eastAsia="zh-CN" w:bidi="ar"/>
              </w:rPr>
              <w:t>日1</w:t>
            </w:r>
            <w:r>
              <w:rPr>
                <w:rFonts w:hint="eastAsia" w:cs="宋体"/>
                <w:i w:val="0"/>
                <w:iCs w:val="0"/>
                <w:caps w:val="0"/>
                <w:color w:val="auto"/>
                <w:spacing w:val="0"/>
                <w:kern w:val="0"/>
                <w:sz w:val="24"/>
                <w:szCs w:val="24"/>
                <w:highlight w:val="none"/>
                <w:lang w:val="en-US" w:eastAsia="zh-CN" w:bidi="ar"/>
              </w:rPr>
              <w:t>7</w:t>
            </w:r>
            <w:r>
              <w:rPr>
                <w:rFonts w:hint="eastAsia" w:ascii="宋体" w:hAnsi="宋体" w:eastAsia="宋体" w:cs="宋体"/>
                <w:i w:val="0"/>
                <w:iCs w:val="0"/>
                <w:caps w:val="0"/>
                <w:color w:val="auto"/>
                <w:spacing w:val="0"/>
                <w:kern w:val="0"/>
                <w:sz w:val="24"/>
                <w:szCs w:val="24"/>
                <w:highlight w:val="none"/>
                <w:lang w:val="en-US" w:eastAsia="zh-CN" w:bidi="ar"/>
              </w:rPr>
              <w:t>:</w:t>
            </w:r>
            <w:r>
              <w:rPr>
                <w:rFonts w:hint="eastAsia" w:cs="宋体"/>
                <w:i w:val="0"/>
                <w:iCs w:val="0"/>
                <w:caps w:val="0"/>
                <w:color w:val="auto"/>
                <w:spacing w:val="0"/>
                <w:kern w:val="0"/>
                <w:sz w:val="24"/>
                <w:szCs w:val="24"/>
                <w:highlight w:val="none"/>
                <w:lang w:val="en-US" w:eastAsia="zh-CN" w:bidi="ar"/>
              </w:rPr>
              <w:t>0</w:t>
            </w:r>
            <w:r>
              <w:rPr>
                <w:rFonts w:hint="eastAsia" w:ascii="宋体" w:hAnsi="宋体" w:eastAsia="宋体" w:cs="宋体"/>
                <w:i w:val="0"/>
                <w:iCs w:val="0"/>
                <w:caps w:val="0"/>
                <w:color w:val="auto"/>
                <w:spacing w:val="0"/>
                <w:kern w:val="0"/>
                <w:sz w:val="24"/>
                <w:szCs w:val="24"/>
                <w:highlight w:val="none"/>
                <w:lang w:val="en-US" w:eastAsia="zh-CN" w:bidi="ar"/>
              </w:rPr>
              <w:t>0</w:t>
            </w:r>
            <w:r>
              <w:rPr>
                <w:rFonts w:hint="eastAsia" w:asciiTheme="minorEastAsia" w:hAnsiTheme="minorEastAsia" w:eastAsiaTheme="minorEastAsia" w:cstheme="minorEastAsia"/>
                <w:sz w:val="24"/>
                <w:szCs w:val="24"/>
                <w:highlight w:val="none"/>
              </w:rPr>
              <w:t>（北京时间）</w:t>
            </w:r>
          </w:p>
        </w:tc>
      </w:tr>
      <w:tr w14:paraId="0DD2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546C4362">
            <w:pPr>
              <w:pStyle w:val="31"/>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p>
        </w:tc>
        <w:tc>
          <w:tcPr>
            <w:tcW w:w="1341" w:type="dxa"/>
            <w:noWrap w:val="0"/>
            <w:vAlign w:val="center"/>
          </w:tcPr>
          <w:p w14:paraId="3C9025D3">
            <w:pPr>
              <w:adjustRightInd w:val="0"/>
              <w:snapToGrid w:val="0"/>
              <w:spacing w:line="440" w:lineRule="exact"/>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sz w:val="24"/>
                <w:szCs w:val="24"/>
                <w:highlight w:val="none"/>
              </w:rPr>
              <w:t>磋商时间、地点</w:t>
            </w:r>
          </w:p>
        </w:tc>
        <w:tc>
          <w:tcPr>
            <w:tcW w:w="6555" w:type="dxa"/>
            <w:noWrap w:val="0"/>
            <w:vAlign w:val="center"/>
          </w:tcPr>
          <w:p w14:paraId="71889145">
            <w:pPr>
              <w:pStyle w:val="50"/>
              <w:keepNext w:val="0"/>
              <w:keepLines w:val="0"/>
              <w:pageBreakBefore w:val="0"/>
              <w:kinsoku/>
              <w:wordWrap/>
              <w:overflowPunct/>
              <w:topLinePunct w:val="0"/>
              <w:bidi w:val="0"/>
              <w:spacing w:before="0" w:beforeAutospacing="0" w:after="0" w:afterAutospacing="0" w:line="360" w:lineRule="exact"/>
              <w:ind w:left="0" w:right="0" w:rightChars="0" w:firstLine="0" w:firstLineChars="0"/>
              <w:rPr>
                <w:rStyle w:val="57"/>
                <w:rFonts w:asciiTheme="minorEastAsia" w:hAnsiTheme="minorEastAsia" w:eastAsiaTheme="minorEastAsia" w:cstheme="minorEastAsia"/>
                <w:b w:val="0"/>
                <w:sz w:val="24"/>
                <w:szCs w:val="24"/>
                <w:highlight w:val="none"/>
              </w:rPr>
            </w:pPr>
            <w:r>
              <w:rPr>
                <w:rStyle w:val="57"/>
                <w:rFonts w:hint="eastAsia" w:asciiTheme="minorEastAsia" w:hAnsiTheme="minorEastAsia" w:eastAsiaTheme="minorEastAsia" w:cstheme="minorEastAsia"/>
                <w:b w:val="0"/>
                <w:sz w:val="24"/>
                <w:szCs w:val="24"/>
                <w:highlight w:val="none"/>
              </w:rPr>
              <w:t>☑采用不见面开标</w:t>
            </w:r>
          </w:p>
          <w:p w14:paraId="7C10DB45">
            <w:pPr>
              <w:keepNext w:val="0"/>
              <w:keepLines w:val="0"/>
              <w:pageBreakBefore w:val="0"/>
              <w:kinsoku/>
              <w:wordWrap/>
              <w:overflowPunct/>
              <w:topLinePunct w:val="0"/>
              <w:bidi w:val="0"/>
              <w:spacing w:before="0" w:beforeAutospacing="0" w:after="0" w:afterAutospacing="0" w:line="360" w:lineRule="exact"/>
              <w:ind w:left="0" w:right="0" w:rightChars="0"/>
              <w:textAlignment w:val="baseline"/>
              <w:rPr>
                <w:rStyle w:val="57"/>
                <w:rFonts w:asciiTheme="minorEastAsia" w:hAnsiTheme="minorEastAsia" w:eastAsiaTheme="minorEastAsia" w:cstheme="minorEastAsia"/>
                <w:b w:val="0"/>
                <w:sz w:val="24"/>
                <w:szCs w:val="24"/>
                <w:highlight w:val="none"/>
              </w:rPr>
            </w:pPr>
            <w:r>
              <w:rPr>
                <w:rStyle w:val="57"/>
                <w:rFonts w:hint="eastAsia" w:asciiTheme="minorEastAsia" w:hAnsiTheme="minorEastAsia" w:eastAsiaTheme="minorEastAsia" w:cstheme="minorEastAsia"/>
                <w:b w:val="0"/>
                <w:sz w:val="24"/>
                <w:szCs w:val="24"/>
                <w:highlight w:val="none"/>
              </w:rPr>
              <w:t>磋商时间：</w:t>
            </w:r>
            <w:r>
              <w:rPr>
                <w:rStyle w:val="57"/>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2026年</w:t>
            </w:r>
            <w:r>
              <w:rPr>
                <w:rFonts w:hint="eastAsia" w:cs="宋体"/>
                <w:i w:val="0"/>
                <w:iCs w:val="0"/>
                <w:caps w:val="0"/>
                <w:color w:val="auto"/>
                <w:spacing w:val="0"/>
                <w:kern w:val="0"/>
                <w:sz w:val="24"/>
                <w:szCs w:val="24"/>
                <w:highlight w:val="none"/>
                <w:lang w:val="en-US" w:eastAsia="zh-CN" w:bidi="ar"/>
              </w:rPr>
              <w:t>05</w:t>
            </w:r>
            <w:r>
              <w:rPr>
                <w:rFonts w:hint="eastAsia" w:ascii="宋体" w:hAnsi="宋体" w:eastAsia="宋体" w:cs="宋体"/>
                <w:i w:val="0"/>
                <w:iCs w:val="0"/>
                <w:caps w:val="0"/>
                <w:color w:val="auto"/>
                <w:spacing w:val="0"/>
                <w:kern w:val="0"/>
                <w:sz w:val="24"/>
                <w:szCs w:val="24"/>
                <w:highlight w:val="none"/>
                <w:lang w:val="en-US" w:eastAsia="zh-CN" w:bidi="ar"/>
              </w:rPr>
              <w:t>月</w:t>
            </w:r>
            <w:r>
              <w:rPr>
                <w:rFonts w:hint="eastAsia" w:cs="宋体"/>
                <w:i w:val="0"/>
                <w:iCs w:val="0"/>
                <w:caps w:val="0"/>
                <w:color w:val="auto"/>
                <w:spacing w:val="0"/>
                <w:kern w:val="0"/>
                <w:sz w:val="24"/>
                <w:szCs w:val="24"/>
                <w:highlight w:val="none"/>
                <w:lang w:val="en-US" w:eastAsia="zh-CN" w:bidi="ar"/>
              </w:rPr>
              <w:t>07</w:t>
            </w:r>
            <w:r>
              <w:rPr>
                <w:rFonts w:hint="eastAsia" w:ascii="宋体" w:hAnsi="宋体" w:eastAsia="宋体" w:cs="宋体"/>
                <w:i w:val="0"/>
                <w:iCs w:val="0"/>
                <w:caps w:val="0"/>
                <w:color w:val="auto"/>
                <w:spacing w:val="0"/>
                <w:kern w:val="0"/>
                <w:sz w:val="24"/>
                <w:szCs w:val="24"/>
                <w:highlight w:val="none"/>
                <w:lang w:val="en-US" w:eastAsia="zh-CN" w:bidi="ar"/>
              </w:rPr>
              <w:t>日1</w:t>
            </w:r>
            <w:r>
              <w:rPr>
                <w:rFonts w:hint="eastAsia" w:cs="宋体"/>
                <w:i w:val="0"/>
                <w:iCs w:val="0"/>
                <w:caps w:val="0"/>
                <w:color w:val="auto"/>
                <w:spacing w:val="0"/>
                <w:kern w:val="0"/>
                <w:sz w:val="24"/>
                <w:szCs w:val="24"/>
                <w:highlight w:val="none"/>
                <w:lang w:val="en-US" w:eastAsia="zh-CN" w:bidi="ar"/>
              </w:rPr>
              <w:t>7</w:t>
            </w:r>
            <w:r>
              <w:rPr>
                <w:rFonts w:hint="eastAsia" w:ascii="宋体" w:hAnsi="宋体" w:eastAsia="宋体" w:cs="宋体"/>
                <w:i w:val="0"/>
                <w:iCs w:val="0"/>
                <w:caps w:val="0"/>
                <w:color w:val="auto"/>
                <w:spacing w:val="0"/>
                <w:kern w:val="0"/>
                <w:sz w:val="24"/>
                <w:szCs w:val="24"/>
                <w:highlight w:val="none"/>
                <w:lang w:val="en-US" w:eastAsia="zh-CN" w:bidi="ar"/>
              </w:rPr>
              <w:t>:</w:t>
            </w:r>
            <w:r>
              <w:rPr>
                <w:rFonts w:hint="eastAsia" w:cs="宋体"/>
                <w:i w:val="0"/>
                <w:iCs w:val="0"/>
                <w:caps w:val="0"/>
                <w:color w:val="auto"/>
                <w:spacing w:val="0"/>
                <w:kern w:val="0"/>
                <w:sz w:val="24"/>
                <w:szCs w:val="24"/>
                <w:highlight w:val="none"/>
                <w:lang w:val="en-US" w:eastAsia="zh-CN" w:bidi="ar"/>
              </w:rPr>
              <w:t>0</w:t>
            </w:r>
            <w:r>
              <w:rPr>
                <w:rFonts w:hint="eastAsia" w:ascii="宋体" w:hAnsi="宋体" w:eastAsia="宋体" w:cs="宋体"/>
                <w:i w:val="0"/>
                <w:iCs w:val="0"/>
                <w:caps w:val="0"/>
                <w:color w:val="auto"/>
                <w:spacing w:val="0"/>
                <w:kern w:val="0"/>
                <w:sz w:val="24"/>
                <w:szCs w:val="24"/>
                <w:highlight w:val="none"/>
                <w:lang w:val="en-US" w:eastAsia="zh-CN" w:bidi="ar"/>
              </w:rPr>
              <w:t>0</w:t>
            </w:r>
            <w:r>
              <w:rPr>
                <w:rStyle w:val="57"/>
                <w:rFonts w:hint="eastAsia" w:asciiTheme="minorEastAsia" w:hAnsiTheme="minorEastAsia" w:eastAsiaTheme="minorEastAsia" w:cstheme="minorEastAsia"/>
                <w:b w:val="0"/>
                <w:sz w:val="24"/>
                <w:szCs w:val="24"/>
                <w:highlight w:val="none"/>
              </w:rPr>
              <w:t>（北京时间）</w:t>
            </w:r>
          </w:p>
          <w:p w14:paraId="6DDC729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Style w:val="57"/>
                <w:rFonts w:hint="eastAsia" w:asciiTheme="minorEastAsia" w:hAnsiTheme="minorEastAsia" w:eastAsiaTheme="minorEastAsia" w:cstheme="minorEastAsia"/>
                <w:b w:val="0"/>
                <w:sz w:val="24"/>
                <w:szCs w:val="24"/>
                <w:highlight w:val="none"/>
              </w:rPr>
              <w:t>磋商地点：本项目采用不见面开标，供应商需要递交加密的电子响应文件，在磋商截止时间前通过新疆政府采购云平台https://www.zcygov.cn/开标系统上传到指定位置。逾期未上传的或不符合规定的响应文件将被拒绝接收。</w:t>
            </w:r>
          </w:p>
        </w:tc>
      </w:tr>
      <w:tr w14:paraId="4A99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68" w:type="dxa"/>
            <w:noWrap w:val="0"/>
            <w:vAlign w:val="center"/>
          </w:tcPr>
          <w:p w14:paraId="60EBFF26">
            <w:pPr>
              <w:pStyle w:val="31"/>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1341" w:type="dxa"/>
            <w:noWrap w:val="0"/>
            <w:vAlign w:val="center"/>
          </w:tcPr>
          <w:p w14:paraId="4FD2D3A0">
            <w:pPr>
              <w:adjustRightInd w:val="0"/>
              <w:snapToGrid w:val="0"/>
              <w:spacing w:line="440" w:lineRule="exact"/>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Theme="minorEastAsia" w:hAnsiTheme="minorEastAsia" w:eastAsiaTheme="minorEastAsia" w:cstheme="minorEastAsia"/>
                <w:b/>
                <w:bCs/>
                <w:sz w:val="24"/>
                <w:szCs w:val="24"/>
                <w:highlight w:val="none"/>
              </w:rPr>
              <w:t>磋商保证金</w:t>
            </w:r>
            <w:r>
              <w:rPr>
                <w:rFonts w:hint="eastAsia" w:asciiTheme="minorEastAsia" w:hAnsiTheme="minorEastAsia" w:eastAsiaTheme="minorEastAsia" w:cstheme="minorEastAsia"/>
                <w:b/>
                <w:bCs/>
                <w:sz w:val="24"/>
                <w:szCs w:val="24"/>
                <w:highlight w:val="none"/>
                <w:lang w:val="en-US" w:eastAsia="zh-CN"/>
              </w:rPr>
              <w:t>缴纳方式</w:t>
            </w:r>
          </w:p>
        </w:tc>
        <w:tc>
          <w:tcPr>
            <w:tcW w:w="6555" w:type="dxa"/>
            <w:noWrap w:val="0"/>
            <w:vAlign w:val="center"/>
          </w:tcPr>
          <w:p w14:paraId="1F866545">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en-US" w:eastAsia="zh-CN" w:bidi="ar-SA"/>
              </w:rPr>
              <w:t>投</w:t>
            </w:r>
            <w:r>
              <w:rPr>
                <w:rFonts w:hint="eastAsia" w:asciiTheme="minorEastAsia" w:hAnsiTheme="minorEastAsia" w:eastAsiaTheme="minorEastAsia" w:cstheme="minorEastAsia"/>
                <w:b/>
                <w:bCs/>
                <w:color w:val="auto"/>
                <w:kern w:val="2"/>
                <w:sz w:val="24"/>
                <w:szCs w:val="24"/>
                <w:lang w:val="zh-CN" w:eastAsia="zh-CN" w:bidi="ar-SA"/>
              </w:rPr>
              <w:t>标保证金金额：人民币</w:t>
            </w:r>
            <w:r>
              <w:rPr>
                <w:rFonts w:hint="eastAsia" w:asciiTheme="minorEastAsia" w:hAnsiTheme="minorEastAsia" w:eastAsiaTheme="minorEastAsia" w:cstheme="minorEastAsia"/>
                <w:b/>
                <w:bCs/>
                <w:color w:val="auto"/>
                <w:kern w:val="2"/>
                <w:sz w:val="24"/>
                <w:szCs w:val="24"/>
                <w:lang w:val="en-US" w:eastAsia="zh-CN" w:bidi="ar-SA"/>
              </w:rPr>
              <w:t>贰万</w:t>
            </w:r>
            <w:r>
              <w:rPr>
                <w:rFonts w:hint="eastAsia" w:asciiTheme="minorEastAsia" w:hAnsiTheme="minorEastAsia" w:eastAsiaTheme="minorEastAsia" w:cstheme="minorEastAsia"/>
                <w:b/>
                <w:bCs/>
                <w:color w:val="auto"/>
                <w:kern w:val="2"/>
                <w:sz w:val="24"/>
                <w:szCs w:val="24"/>
                <w:lang w:val="zh-CN" w:eastAsia="zh-CN" w:bidi="ar-SA"/>
              </w:rPr>
              <w:t>元整（</w:t>
            </w:r>
            <w:r>
              <w:rPr>
                <w:rFonts w:hint="eastAsia" w:asciiTheme="minorEastAsia" w:hAnsiTheme="minorEastAsia" w:eastAsiaTheme="minorEastAsia" w:cstheme="minorEastAsia"/>
                <w:b/>
                <w:bCs/>
                <w:color w:val="auto"/>
                <w:kern w:val="2"/>
                <w:sz w:val="24"/>
                <w:szCs w:val="24"/>
                <w:lang w:val="en-US" w:eastAsia="zh-CN" w:bidi="ar-SA"/>
              </w:rPr>
              <w:t>200</w:t>
            </w:r>
            <w:r>
              <w:rPr>
                <w:rFonts w:hint="eastAsia" w:asciiTheme="minorEastAsia" w:hAnsiTheme="minorEastAsia" w:eastAsiaTheme="minorEastAsia" w:cstheme="minorEastAsia"/>
                <w:b/>
                <w:bCs/>
                <w:color w:val="auto"/>
                <w:kern w:val="2"/>
                <w:sz w:val="24"/>
                <w:szCs w:val="24"/>
                <w:lang w:val="zh-CN" w:eastAsia="zh-CN" w:bidi="ar-SA"/>
              </w:rPr>
              <w:t>00.00元整）</w:t>
            </w:r>
          </w:p>
          <w:p w14:paraId="24F9A5FE">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保证金形式：支票、汇票、本票、网上银行支付或者金融机构、担保机构出具的保函等政府采购法律法规中要求的非现金形式；</w:t>
            </w:r>
          </w:p>
          <w:p w14:paraId="70E5E61F">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en-US" w:eastAsia="zh-CN" w:bidi="ar-SA"/>
              </w:rPr>
              <w:t>（1）若采用电汇或转账：</w:t>
            </w:r>
            <w:r>
              <w:rPr>
                <w:rFonts w:hint="eastAsia" w:asciiTheme="minorEastAsia" w:hAnsiTheme="minorEastAsia" w:eastAsiaTheme="minorEastAsia" w:cstheme="minorEastAsia"/>
                <w:b/>
                <w:bCs/>
                <w:color w:val="auto"/>
                <w:kern w:val="2"/>
                <w:sz w:val="24"/>
                <w:szCs w:val="24"/>
                <w:lang w:val="zh-CN" w:eastAsia="zh-CN" w:bidi="ar-SA"/>
              </w:rPr>
              <w:t>投标保证金于投标时间截止之前（北京时间，以到账时间为准）从投标人基本账户以网银或银行电汇形式汇至本公司账户，否则响应文件将</w:t>
            </w:r>
            <w:r>
              <w:rPr>
                <w:rFonts w:hint="eastAsia" w:asciiTheme="minorEastAsia" w:hAnsiTheme="minorEastAsia" w:eastAsiaTheme="minorEastAsia" w:cstheme="minorEastAsia"/>
                <w:b/>
                <w:bCs/>
                <w:color w:val="auto"/>
                <w:kern w:val="2"/>
                <w:sz w:val="24"/>
                <w:szCs w:val="24"/>
                <w:lang w:val="en-US" w:eastAsia="zh-CN" w:bidi="ar-SA"/>
              </w:rPr>
              <w:t>视为无效投标</w:t>
            </w:r>
            <w:r>
              <w:rPr>
                <w:rFonts w:hint="eastAsia" w:asciiTheme="minorEastAsia" w:hAnsiTheme="minorEastAsia" w:eastAsiaTheme="minorEastAsia" w:cstheme="minorEastAsia"/>
                <w:b/>
                <w:bCs/>
                <w:color w:val="auto"/>
                <w:kern w:val="2"/>
                <w:sz w:val="24"/>
                <w:szCs w:val="24"/>
                <w:lang w:val="zh-CN" w:eastAsia="zh-CN" w:bidi="ar-SA"/>
              </w:rPr>
              <w:t>。投标人提交投标保证金应充分考虑资金在途时间。汇（转）款时，应在用途栏（备注栏）准确注明“（简写项目名称）投标保证金”字样。</w:t>
            </w:r>
            <w:bookmarkStart w:id="526" w:name="_GoBack"/>
            <w:bookmarkEnd w:id="526"/>
          </w:p>
          <w:p w14:paraId="7388FCD4">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户名：新疆华域天恒工程管理有限公司</w:t>
            </w:r>
          </w:p>
          <w:p w14:paraId="397D3A0A">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xml:space="preserve">开户银行：中国农业银行股份有限公司吐鲁番高昌支行  </w:t>
            </w:r>
          </w:p>
          <w:p w14:paraId="1F9EEAEE">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xml:space="preserve">帐号：3026 5301 0400 1229 8     </w:t>
            </w:r>
          </w:p>
          <w:p w14:paraId="718577C6">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行号：1038 8302 6535</w:t>
            </w:r>
          </w:p>
          <w:p w14:paraId="65EC964A">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（2）若采用保函形式：采用保函形式应按以下要求办理：</w:t>
            </w:r>
            <w:r>
              <w:rPr>
                <w:rFonts w:hint="eastAsia" w:asciiTheme="minorEastAsia" w:hAnsiTheme="minorEastAsia" w:eastAsiaTheme="minorEastAsia" w:cstheme="minorEastAsia"/>
                <w:b/>
                <w:bCs/>
                <w:color w:val="auto"/>
                <w:kern w:val="2"/>
                <w:sz w:val="24"/>
                <w:szCs w:val="24"/>
                <w:lang w:val="zh-CN" w:eastAsia="zh-CN" w:bidi="ar-SA"/>
              </w:rPr>
              <w:t>1、</w:t>
            </w:r>
            <w:r>
              <w:rPr>
                <w:rFonts w:hint="eastAsia" w:asciiTheme="minorEastAsia" w:hAnsiTheme="minorEastAsia" w:eastAsiaTheme="minorEastAsia" w:cstheme="minorEastAsia"/>
                <w:b/>
                <w:bCs/>
                <w:color w:val="auto"/>
                <w:kern w:val="2"/>
                <w:sz w:val="24"/>
                <w:szCs w:val="24"/>
                <w:lang w:val="en-US" w:eastAsia="zh-CN" w:bidi="ar-SA"/>
              </w:rPr>
              <w:t>保函须在磋商文件规定的投标截止时间前办理完成；2.</w:t>
            </w:r>
            <w:r>
              <w:rPr>
                <w:rFonts w:hint="eastAsia" w:asciiTheme="minorEastAsia" w:hAnsiTheme="minorEastAsia" w:eastAsiaTheme="minorEastAsia" w:cstheme="minorEastAsia"/>
                <w:b/>
                <w:bCs/>
                <w:color w:val="auto"/>
                <w:kern w:val="2"/>
                <w:sz w:val="24"/>
                <w:szCs w:val="24"/>
                <w:lang w:val="zh-CN" w:eastAsia="zh-CN" w:bidi="ar-SA"/>
              </w:rPr>
              <w:t>保函金额不得少于保证金金额；</w:t>
            </w:r>
            <w:r>
              <w:rPr>
                <w:rFonts w:hint="eastAsia" w:asciiTheme="minorEastAsia" w:hAnsiTheme="minorEastAsia" w:eastAsiaTheme="minorEastAsia" w:cstheme="minorEastAsia"/>
                <w:b/>
                <w:bCs/>
                <w:color w:val="auto"/>
                <w:kern w:val="2"/>
                <w:sz w:val="24"/>
                <w:szCs w:val="24"/>
                <w:lang w:val="en-US" w:eastAsia="zh-CN" w:bidi="ar-SA"/>
              </w:rPr>
              <w:t>3</w:t>
            </w:r>
            <w:r>
              <w:rPr>
                <w:rFonts w:hint="eastAsia" w:asciiTheme="minorEastAsia" w:hAnsiTheme="minorEastAsia" w:eastAsiaTheme="minorEastAsia" w:cstheme="minorEastAsia"/>
                <w:b/>
                <w:bCs/>
                <w:color w:val="auto"/>
                <w:kern w:val="2"/>
                <w:sz w:val="24"/>
                <w:szCs w:val="24"/>
                <w:lang w:val="zh-CN" w:eastAsia="zh-CN" w:bidi="ar-SA"/>
              </w:rPr>
              <w:t>、保函的有效期不得少于本项目投标有效期；</w:t>
            </w:r>
            <w:r>
              <w:rPr>
                <w:rFonts w:hint="eastAsia" w:asciiTheme="minorEastAsia" w:hAnsiTheme="minorEastAsia" w:eastAsiaTheme="minorEastAsia" w:cstheme="minorEastAsia"/>
                <w:b/>
                <w:bCs/>
                <w:color w:val="auto"/>
                <w:kern w:val="2"/>
                <w:sz w:val="24"/>
                <w:szCs w:val="24"/>
                <w:lang w:val="en-US" w:eastAsia="zh-CN" w:bidi="ar-SA"/>
              </w:rPr>
              <w:t>4</w:t>
            </w:r>
            <w:r>
              <w:rPr>
                <w:rFonts w:hint="eastAsia" w:asciiTheme="minorEastAsia" w:hAnsiTheme="minorEastAsia" w:eastAsiaTheme="minorEastAsia" w:cstheme="minorEastAsia"/>
                <w:b/>
                <w:bCs/>
                <w:color w:val="auto"/>
                <w:kern w:val="2"/>
                <w:sz w:val="24"/>
                <w:szCs w:val="24"/>
                <w:lang w:val="zh-CN" w:eastAsia="zh-CN" w:bidi="ar-SA"/>
              </w:rPr>
              <w:t>、保函应是针对本项目开具的；</w:t>
            </w:r>
            <w:r>
              <w:rPr>
                <w:rFonts w:hint="eastAsia" w:asciiTheme="minorEastAsia" w:hAnsiTheme="minorEastAsia" w:eastAsiaTheme="minorEastAsia" w:cstheme="minorEastAsia"/>
                <w:b/>
                <w:bCs/>
                <w:color w:val="auto"/>
                <w:kern w:val="2"/>
                <w:sz w:val="24"/>
                <w:szCs w:val="24"/>
                <w:lang w:val="en-US" w:eastAsia="zh-CN" w:bidi="ar-SA"/>
              </w:rPr>
              <w:t>5、</w:t>
            </w:r>
            <w:r>
              <w:rPr>
                <w:rFonts w:hint="eastAsia" w:asciiTheme="minorEastAsia" w:hAnsiTheme="minorEastAsia" w:eastAsiaTheme="minorEastAsia" w:cstheme="minorEastAsia"/>
                <w:b/>
                <w:bCs/>
                <w:color w:val="auto"/>
                <w:kern w:val="2"/>
                <w:sz w:val="24"/>
                <w:szCs w:val="24"/>
                <w:lang w:val="zh-CN" w:eastAsia="zh-CN" w:bidi="ar-SA"/>
              </w:rPr>
              <w:t>保函是响应文件中组成部分；</w:t>
            </w:r>
            <w:r>
              <w:rPr>
                <w:rFonts w:hint="eastAsia" w:asciiTheme="minorEastAsia" w:hAnsiTheme="minorEastAsia" w:eastAsiaTheme="minorEastAsia" w:cstheme="minorEastAsia"/>
                <w:b/>
                <w:bCs/>
                <w:color w:val="auto"/>
                <w:kern w:val="2"/>
                <w:sz w:val="24"/>
                <w:szCs w:val="24"/>
                <w:lang w:val="en-US" w:eastAsia="zh-CN" w:bidi="ar-SA"/>
              </w:rPr>
              <w:t>6.保函按照“一项目一保函”的原则。</w:t>
            </w:r>
          </w:p>
          <w:p w14:paraId="6CED6ABA">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退投标保证金程序：</w:t>
            </w:r>
          </w:p>
          <w:p w14:paraId="7DB4255C">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xml:space="preserve">  未中标的投标保证金，在中标结果发出后5个工作日内予以退还。</w:t>
            </w:r>
          </w:p>
          <w:p w14:paraId="44FB2E2C">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jc w:val="left"/>
              <w:textAlignment w:val="baseline"/>
              <w:rPr>
                <w:rFonts w:hint="eastAsia" w:ascii="宋体" w:hAnsi="宋体" w:eastAsia="宋体" w:cs="宋体"/>
                <w:color w:val="auto"/>
                <w:kern w:val="0"/>
                <w:sz w:val="24"/>
                <w:szCs w:val="24"/>
                <w:highlight w:val="none"/>
                <w:lang w:val="en-US" w:eastAsia="zh-CN"/>
              </w:rPr>
            </w:pPr>
            <w:r>
              <w:rPr>
                <w:rFonts w:hint="eastAsia" w:asciiTheme="minorEastAsia" w:hAnsiTheme="minorEastAsia" w:eastAsiaTheme="minorEastAsia" w:cstheme="minorEastAsia"/>
                <w:b/>
                <w:bCs/>
                <w:color w:val="auto"/>
                <w:kern w:val="2"/>
                <w:sz w:val="24"/>
                <w:szCs w:val="24"/>
                <w:lang w:val="zh-CN" w:eastAsia="zh-CN" w:bidi="ar-SA"/>
              </w:rPr>
              <w:t>中标的投标保证金，与采购人签订采购合同后5个工作日内予以退还。</w:t>
            </w:r>
          </w:p>
        </w:tc>
      </w:tr>
      <w:tr w14:paraId="7674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71A89198">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olor w:val="auto"/>
                <w:sz w:val="24"/>
                <w:highlight w:val="none"/>
                <w:lang w:val="en-US" w:eastAsia="zh-CN"/>
              </w:rPr>
              <w:t>12</w:t>
            </w:r>
          </w:p>
        </w:tc>
        <w:tc>
          <w:tcPr>
            <w:tcW w:w="1341" w:type="dxa"/>
            <w:noWrap w:val="0"/>
            <w:vAlign w:val="top"/>
          </w:tcPr>
          <w:p w14:paraId="6BEEE405">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127B9BD6">
            <w:pPr>
              <w:keepNext w:val="0"/>
              <w:keepLines w:val="0"/>
              <w:pageBreakBefore w:val="0"/>
              <w:widowControl w:val="0"/>
              <w:kinsoku/>
              <w:wordWrap/>
              <w:overflowPunct/>
              <w:topLinePunct w:val="0"/>
              <w:autoSpaceDE w:val="0"/>
              <w:autoSpaceDN w:val="0"/>
              <w:bidi w:val="0"/>
              <w:adjustRightInd/>
              <w:snapToGrid/>
              <w:spacing w:line="320" w:lineRule="exact"/>
              <w:ind w:right="0" w:rightChars="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rPr>
              <w:t>★报价</w:t>
            </w:r>
          </w:p>
        </w:tc>
        <w:tc>
          <w:tcPr>
            <w:tcW w:w="6555" w:type="dxa"/>
            <w:noWrap w:val="0"/>
            <w:vAlign w:val="top"/>
          </w:tcPr>
          <w:p w14:paraId="260582D8">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textAlignment w:val="auto"/>
              <w:rPr>
                <w:rFonts w:hint="eastAsia" w:cs="宋体"/>
                <w:b/>
                <w:bCs/>
                <w:color w:val="000000" w:themeColor="text1"/>
                <w:sz w:val="24"/>
                <w:szCs w:val="24"/>
                <w:highlight w:val="none"/>
                <w:lang w:val="en-US" w:eastAsia="zh-CN"/>
                <w14:textFill>
                  <w14:solidFill>
                    <w14:schemeClr w14:val="tx1"/>
                  </w14:solidFill>
                </w14:textFill>
              </w:rPr>
            </w:pPr>
            <w:r>
              <w:rPr>
                <w:rFonts w:hint="eastAsia" w:cs="宋体"/>
                <w:b/>
                <w:bCs/>
                <w:color w:val="000000" w:themeColor="text1"/>
                <w:sz w:val="24"/>
                <w:szCs w:val="24"/>
                <w:highlight w:val="none"/>
                <w:lang w:val="en-US" w:eastAsia="zh-CN"/>
                <w14:textFill>
                  <w14:solidFill>
                    <w14:schemeClr w14:val="tx1"/>
                  </w14:solidFill>
                </w14:textFill>
              </w:rPr>
              <w:t>本工程的投标报价采用总价方式进行报价。</w:t>
            </w:r>
          </w:p>
          <w:p w14:paraId="7D1160BD">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textAlignment w:val="auto"/>
              <w:rPr>
                <w:rFonts w:hint="eastAsia"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报价（含首次报价或最后报价）超出本项目采购预算金额的为无效报价，其响应文件将被认定为无效响应。 </w:t>
            </w:r>
            <w:r>
              <w:rPr>
                <w:rFonts w:hint="eastAsia" w:cs="宋体"/>
                <w:b/>
                <w:bCs/>
                <w:color w:val="000000" w:themeColor="text1"/>
                <w:sz w:val="24"/>
                <w:szCs w:val="24"/>
                <w:highlight w:val="none"/>
                <w:lang w:val="en-US" w:eastAsia="zh-CN"/>
                <w14:textFill>
                  <w14:solidFill>
                    <w14:schemeClr w14:val="tx1"/>
                  </w14:solidFill>
                </w14:textFill>
              </w:rPr>
              <w:t>供应商最后报价下浮金额，视为总价让利（不改变清单投标单价）。</w:t>
            </w:r>
          </w:p>
          <w:p w14:paraId="19F708E3">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textAlignment w:val="auto"/>
              <w:rPr>
                <w:rFonts w:hint="eastAsia"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snapToGrid/>
                <w:color w:val="auto"/>
                <w:kern w:val="0"/>
                <w:sz w:val="24"/>
                <w:szCs w:val="24"/>
                <w:lang w:val="en-US" w:eastAsia="zh-CN" w:bidi="ar-SA"/>
              </w:rPr>
              <w:t xml:space="preserve">竞争性磋商共有两次报价 ，二次报价为最终报价 </w:t>
            </w:r>
            <w:r>
              <w:rPr>
                <w:rFonts w:hint="eastAsia" w:ascii="宋体" w:hAnsi="宋体" w:eastAsia="宋体" w:cs="宋体"/>
                <w:color w:val="auto"/>
                <w:kern w:val="0"/>
                <w:sz w:val="24"/>
                <w:szCs w:val="24"/>
                <w:highlight w:val="none"/>
                <w:lang w:val="en-US" w:eastAsia="zh-CN"/>
              </w:rPr>
              <w:t>，但最终报价不得高于第一次报价，否则其投标将</w:t>
            </w:r>
            <w:r>
              <w:rPr>
                <w:rFonts w:hint="eastAsia" w:ascii="宋体" w:hAnsi="宋体" w:eastAsia="宋体" w:cs="宋体"/>
                <w:b w:val="0"/>
                <w:bCs w:val="0"/>
                <w:color w:val="auto"/>
                <w:kern w:val="0"/>
                <w:sz w:val="24"/>
                <w:szCs w:val="24"/>
                <w:highlight w:val="none"/>
                <w:lang w:val="en-US" w:eastAsia="zh-CN"/>
              </w:rPr>
              <w:t>被否决。</w:t>
            </w:r>
            <w:r>
              <w:rPr>
                <w:rFonts w:hint="eastAsia" w:ascii="宋体" w:hAnsi="宋体" w:eastAsia="宋体" w:cs="宋体"/>
                <w:b w:val="0"/>
                <w:bCs w:val="0"/>
                <w:snapToGrid/>
                <w:color w:val="auto"/>
                <w:kern w:val="0"/>
                <w:sz w:val="24"/>
                <w:szCs w:val="24"/>
                <w:lang w:val="en-US" w:eastAsia="zh-CN" w:bidi="ar-SA"/>
              </w:rPr>
              <w:t>磋商小组要求所有实质性响应的供应商在规定时间30分钟内提交最后报价，未报价的供应商视为退出磋商。</w:t>
            </w:r>
          </w:p>
        </w:tc>
      </w:tr>
      <w:tr w14:paraId="6DF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68" w:type="dxa"/>
            <w:noWrap w:val="0"/>
            <w:vAlign w:val="center"/>
          </w:tcPr>
          <w:p w14:paraId="1EF2BAB3">
            <w:pPr>
              <w:pStyle w:val="31"/>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13</w:t>
            </w:r>
          </w:p>
        </w:tc>
        <w:tc>
          <w:tcPr>
            <w:tcW w:w="1341" w:type="dxa"/>
            <w:shd w:val="clear" w:color="auto" w:fill="auto"/>
            <w:noWrap w:val="0"/>
            <w:vAlign w:val="center"/>
          </w:tcPr>
          <w:p w14:paraId="2F98DE8E">
            <w:pPr>
              <w:adjustRightInd w:val="0"/>
              <w:snapToGrid w:val="0"/>
              <w:spacing w:line="440" w:lineRule="exact"/>
              <w:ind w:left="-140" w:leftChars="0" w:right="-155" w:rightChars="0" w:firstLine="0" w:firstLineChars="0"/>
              <w:jc w:val="center"/>
              <w:rPr>
                <w:rFonts w:hint="eastAsia" w:ascii="宋体" w:hAnsi="宋体" w:eastAsia="宋体" w:cs="宋体"/>
                <w:color w:val="000000" w:themeColor="text1"/>
                <w:kern w:val="0"/>
                <w:sz w:val="24"/>
                <w:szCs w:val="24"/>
                <w:highlight w:val="none"/>
                <w:lang w:val="en-US" w:eastAsia="zh-CN" w:bidi="zh-CN"/>
                <w14:textFill>
                  <w14:solidFill>
                    <w14:schemeClr w14:val="tx1"/>
                  </w14:solidFill>
                </w14:textFill>
              </w:rPr>
            </w:pPr>
            <w:r>
              <w:rPr>
                <w:rFonts w:hint="eastAsia" w:asciiTheme="minorEastAsia" w:hAnsiTheme="minorEastAsia" w:eastAsiaTheme="minorEastAsia" w:cstheme="minorEastAsia"/>
                <w:b w:val="0"/>
                <w:bCs w:val="0"/>
                <w:sz w:val="24"/>
                <w:szCs w:val="24"/>
                <w:highlight w:val="none"/>
              </w:rPr>
              <w:t>磋商小组的组建及评审专家的确定方式</w:t>
            </w:r>
          </w:p>
        </w:tc>
        <w:tc>
          <w:tcPr>
            <w:tcW w:w="6555" w:type="dxa"/>
            <w:shd w:val="clear" w:color="auto" w:fill="auto"/>
            <w:noWrap w:val="0"/>
            <w:vAlign w:val="center"/>
          </w:tcPr>
          <w:p w14:paraId="5E472034">
            <w:pPr>
              <w:keepNext w:val="0"/>
              <w:keepLines w:val="0"/>
              <w:pageBreakBefore w:val="0"/>
              <w:kinsoku/>
              <w:wordWrap/>
              <w:overflowPunct/>
              <w:topLinePunct w:val="0"/>
              <w:bidi w:val="0"/>
              <w:adjustRightInd w:val="0"/>
              <w:snapToGrid w:val="0"/>
              <w:spacing w:before="0" w:beforeAutospacing="0" w:after="0" w:afterAutospacing="0" w:line="360" w:lineRule="exact"/>
              <w:ind w:left="0" w:right="0" w:rightChars="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磋商小组由采购人代表和评审专家共3人单数组成，其中评审专家人数不得少于磋商小组成员总数的2/3。</w:t>
            </w:r>
          </w:p>
          <w:p w14:paraId="47905BF9">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Fonts w:hint="default" w:ascii="宋体" w:hAnsi="宋体" w:eastAsia="宋体" w:cs="宋体"/>
                <w:color w:val="auto"/>
                <w:kern w:val="0"/>
                <w:sz w:val="24"/>
                <w:szCs w:val="24"/>
                <w:highlight w:val="none"/>
                <w:lang w:val="en-US" w:eastAsia="zh-CN" w:bidi="zh-CN"/>
              </w:rPr>
            </w:pPr>
            <w:r>
              <w:rPr>
                <w:rFonts w:hint="eastAsia" w:asciiTheme="minorEastAsia" w:hAnsiTheme="minorEastAsia" w:eastAsiaTheme="minorEastAsia" w:cstheme="minorEastAsia"/>
                <w:sz w:val="24"/>
                <w:szCs w:val="24"/>
                <w:highlight w:val="none"/>
              </w:rPr>
              <w:t>小组确定方式：</w:t>
            </w:r>
            <w:r>
              <w:rPr>
                <w:rFonts w:hint="eastAsia" w:asciiTheme="minorEastAsia" w:hAnsiTheme="minorEastAsia" w:eastAsiaTheme="minorEastAsia" w:cstheme="minorEastAsia"/>
                <w:sz w:val="24"/>
                <w:szCs w:val="24"/>
                <w:highlight w:val="none"/>
                <w:lang w:val="en-US" w:eastAsia="zh-CN"/>
              </w:rPr>
              <w:t>政采云系统</w:t>
            </w:r>
            <w:r>
              <w:rPr>
                <w:rFonts w:hint="eastAsia" w:asciiTheme="minorEastAsia" w:hAnsiTheme="minorEastAsia" w:eastAsiaTheme="minorEastAsia" w:cstheme="minorEastAsia"/>
                <w:sz w:val="24"/>
                <w:szCs w:val="24"/>
                <w:highlight w:val="none"/>
              </w:rPr>
              <w:t xml:space="preserve">随机抽取方式 </w:t>
            </w:r>
          </w:p>
        </w:tc>
      </w:tr>
      <w:tr w14:paraId="1670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shd w:val="clear" w:color="auto" w:fill="auto"/>
            <w:noWrap w:val="0"/>
            <w:vAlign w:val="center"/>
          </w:tcPr>
          <w:p w14:paraId="2574CEB8">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14</w:t>
            </w:r>
          </w:p>
        </w:tc>
        <w:tc>
          <w:tcPr>
            <w:tcW w:w="1341" w:type="dxa"/>
            <w:noWrap w:val="0"/>
            <w:vAlign w:val="center"/>
          </w:tcPr>
          <w:p w14:paraId="1BFA77AE">
            <w:pPr>
              <w:adjustRightInd w:val="0"/>
              <w:snapToGrid w:val="0"/>
              <w:spacing w:line="440" w:lineRule="exact"/>
              <w:ind w:left="0" w:leftChars="0" w:right="-155"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sz w:val="24"/>
                <w:szCs w:val="24"/>
                <w:highlight w:val="none"/>
              </w:rPr>
              <w:t>磋商有效期</w:t>
            </w:r>
          </w:p>
        </w:tc>
        <w:tc>
          <w:tcPr>
            <w:tcW w:w="6555" w:type="dxa"/>
            <w:noWrap w:val="0"/>
            <w:vAlign w:val="center"/>
          </w:tcPr>
          <w:p w14:paraId="46F12EEB">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single"/>
                <w:lang w:val="en-US" w:eastAsia="zh-CN"/>
              </w:rPr>
              <w:t>6</w:t>
            </w:r>
            <w:r>
              <w:rPr>
                <w:rFonts w:hint="eastAsia" w:asciiTheme="minorEastAsia" w:hAnsiTheme="minorEastAsia" w:eastAsiaTheme="minorEastAsia" w:cstheme="minorEastAsia"/>
                <w:sz w:val="24"/>
                <w:szCs w:val="24"/>
                <w:highlight w:val="none"/>
                <w:u w:val="single"/>
              </w:rPr>
              <w:t>0</w:t>
            </w:r>
            <w:r>
              <w:rPr>
                <w:rFonts w:hint="eastAsia" w:asciiTheme="minorEastAsia" w:hAnsiTheme="minorEastAsia" w:eastAsiaTheme="minorEastAsia" w:cstheme="minorEastAsia"/>
                <w:sz w:val="24"/>
                <w:szCs w:val="24"/>
                <w:highlight w:val="none"/>
              </w:rPr>
              <w:t>日（日历日）</w:t>
            </w:r>
          </w:p>
        </w:tc>
      </w:tr>
      <w:tr w14:paraId="73A1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168" w:type="dxa"/>
            <w:shd w:val="clear" w:color="auto" w:fill="auto"/>
            <w:noWrap w:val="0"/>
            <w:vAlign w:val="center"/>
          </w:tcPr>
          <w:p w14:paraId="1D584B4B">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15</w:t>
            </w:r>
          </w:p>
        </w:tc>
        <w:tc>
          <w:tcPr>
            <w:tcW w:w="1341" w:type="dxa"/>
            <w:noWrap w:val="0"/>
            <w:vAlign w:val="center"/>
          </w:tcPr>
          <w:p w14:paraId="28A106C5">
            <w:pPr>
              <w:adjustRightInd w:val="0"/>
              <w:snapToGrid w:val="0"/>
              <w:spacing w:line="440" w:lineRule="exact"/>
              <w:ind w:left="-140" w:leftChars="0" w:right="-155" w:rightChars="0" w:firstLine="0" w:firstLineChars="0"/>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cs="宋体"/>
                <w:color w:val="000000" w:themeColor="text1"/>
                <w:kern w:val="0"/>
                <w:sz w:val="24"/>
                <w:szCs w:val="24"/>
                <w:highlight w:val="none"/>
                <w:lang w:val="en-US" w:eastAsia="zh-CN"/>
                <w14:textFill>
                  <w14:solidFill>
                    <w14:schemeClr w14:val="tx1"/>
                  </w14:solidFill>
                </w14:textFill>
              </w:rPr>
              <w:t>评审方法</w:t>
            </w:r>
          </w:p>
        </w:tc>
        <w:tc>
          <w:tcPr>
            <w:tcW w:w="6555" w:type="dxa"/>
            <w:noWrap w:val="0"/>
            <w:vAlign w:val="center"/>
          </w:tcPr>
          <w:p w14:paraId="217873E7">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Fonts w:hint="default"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综合评估法</w:t>
            </w:r>
          </w:p>
        </w:tc>
      </w:tr>
      <w:tr w14:paraId="2406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8" w:type="dxa"/>
            <w:shd w:val="clear" w:color="auto" w:fill="auto"/>
            <w:noWrap w:val="0"/>
            <w:vAlign w:val="center"/>
          </w:tcPr>
          <w:p w14:paraId="40FBA142">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16</w:t>
            </w:r>
          </w:p>
        </w:tc>
        <w:tc>
          <w:tcPr>
            <w:tcW w:w="1341" w:type="dxa"/>
            <w:noWrap w:val="0"/>
            <w:vAlign w:val="center"/>
          </w:tcPr>
          <w:p w14:paraId="288F6467">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ascii="宋体" w:hAnsi="宋体" w:eastAsia="宋体"/>
                <w:color w:val="auto"/>
                <w:sz w:val="24"/>
                <w:highlight w:val="none"/>
              </w:rPr>
              <w:t>踏勘</w:t>
            </w:r>
            <w:r>
              <w:rPr>
                <w:rFonts w:hint="eastAsia" w:ascii="宋体" w:hAnsi="宋体" w:eastAsia="宋体"/>
                <w:color w:val="auto"/>
                <w:sz w:val="24"/>
                <w:highlight w:val="none"/>
              </w:rPr>
              <w:t>现场</w:t>
            </w:r>
          </w:p>
        </w:tc>
        <w:tc>
          <w:tcPr>
            <w:tcW w:w="6555" w:type="dxa"/>
            <w:noWrap w:val="0"/>
            <w:vAlign w:val="center"/>
          </w:tcPr>
          <w:p w14:paraId="1B8597BA">
            <w:pPr>
              <w:pStyle w:val="31"/>
              <w:keepNext w:val="0"/>
              <w:keepLines w:val="0"/>
              <w:pageBreakBefore w:val="0"/>
              <w:widowControl/>
              <w:kinsoku/>
              <w:wordWrap/>
              <w:overflowPunct/>
              <w:topLinePunct w:val="0"/>
              <w:bidi w:val="0"/>
              <w:snapToGrid/>
              <w:spacing w:beforeAutospacing="0" w:afterAutospacing="0" w:line="360" w:lineRule="exact"/>
              <w:ind w:left="0" w:right="0" w:rightChars="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eastAsia="宋体" w:cs="Times New Roman"/>
                <w:color w:val="auto"/>
                <w:sz w:val="24"/>
                <w:highlight w:val="none"/>
                <w:lang w:val="en-US" w:eastAsia="zh-CN"/>
              </w:rPr>
              <w:t>不组织</w:t>
            </w:r>
          </w:p>
        </w:tc>
      </w:tr>
      <w:tr w14:paraId="617F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68" w:type="dxa"/>
            <w:shd w:val="clear" w:color="auto" w:fill="auto"/>
            <w:noWrap w:val="0"/>
            <w:vAlign w:val="center"/>
          </w:tcPr>
          <w:p w14:paraId="2149D9A4">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17</w:t>
            </w:r>
          </w:p>
        </w:tc>
        <w:tc>
          <w:tcPr>
            <w:tcW w:w="1341" w:type="dxa"/>
            <w:noWrap w:val="0"/>
            <w:vAlign w:val="center"/>
          </w:tcPr>
          <w:p w14:paraId="326C08F6">
            <w:pPr>
              <w:pStyle w:val="54"/>
              <w:keepNext w:val="0"/>
              <w:keepLines w:val="0"/>
              <w:pageBreakBefore w:val="0"/>
              <w:kinsoku/>
              <w:wordWrap/>
              <w:topLinePunct w:val="0"/>
              <w:bidi w:val="0"/>
              <w:spacing w:line="400" w:lineRule="exact"/>
              <w:ind w:left="16" w:leftChars="0" w:right="-155" w:rightChars="0" w:hanging="16"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zh-CN"/>
              </w:rPr>
              <w:t>履约保证金</w:t>
            </w:r>
          </w:p>
        </w:tc>
        <w:tc>
          <w:tcPr>
            <w:tcW w:w="6555" w:type="dxa"/>
            <w:noWrap w:val="0"/>
            <w:vAlign w:val="center"/>
          </w:tcPr>
          <w:p w14:paraId="073F278B">
            <w:pPr>
              <w:keepNext w:val="0"/>
              <w:keepLines w:val="0"/>
              <w:pageBreakBefore w:val="0"/>
              <w:shd w:val="solid" w:color="FFFFFF" w:fill="auto"/>
              <w:kinsoku/>
              <w:wordWrap/>
              <w:overflowPunct/>
              <w:topLinePunct w:val="0"/>
              <w:autoSpaceDN w:val="0"/>
              <w:bidi w:val="0"/>
              <w:spacing w:before="0" w:beforeAutospacing="0" w:after="0" w:afterAutospacing="0" w:line="360" w:lineRule="exact"/>
              <w:ind w:left="0" w:leftChars="0" w:right="0" w:rightChars="0"/>
              <w:jc w:val="left"/>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sz w:val="24"/>
                <w:szCs w:val="24"/>
                <w:lang w:val="en-US" w:eastAsia="zh-CN"/>
              </w:rPr>
              <w:t>0元</w:t>
            </w:r>
          </w:p>
        </w:tc>
      </w:tr>
      <w:tr w14:paraId="1422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68" w:type="dxa"/>
            <w:noWrap w:val="0"/>
            <w:vAlign w:val="center"/>
          </w:tcPr>
          <w:p w14:paraId="3FCB1BB9">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18</w:t>
            </w:r>
          </w:p>
        </w:tc>
        <w:tc>
          <w:tcPr>
            <w:tcW w:w="1341" w:type="dxa"/>
            <w:noWrap w:val="0"/>
            <w:vAlign w:val="center"/>
          </w:tcPr>
          <w:p w14:paraId="725C4FC7">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rightChars="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kern w:val="2"/>
                <w:sz w:val="24"/>
                <w:szCs w:val="24"/>
                <w:highlight w:val="none"/>
                <w:lang w:val="en-US" w:eastAsia="zh-CN" w:bidi="ar-SA"/>
              </w:rPr>
              <w:t>中小企业政策</w:t>
            </w:r>
          </w:p>
        </w:tc>
        <w:tc>
          <w:tcPr>
            <w:tcW w:w="6555" w:type="dxa"/>
            <w:noWrap w:val="0"/>
            <w:vAlign w:val="center"/>
          </w:tcPr>
          <w:p w14:paraId="1BE378C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根据工信部等部委发布的《关于印发中小企业划型标准规定的通知》（工信部联企业〔2011〕300号）；财政部《关于进一步加大政府采购支持中小企业力度的通知》（财库〔2022〕19号）规定，本次采购标的</w:t>
            </w:r>
            <w:r>
              <w:rPr>
                <w:rFonts w:hint="eastAsia" w:ascii="宋体" w:hAnsi="宋体" w:eastAsia="宋体" w:cs="宋体"/>
                <w:b/>
                <w:bCs/>
                <w:color w:val="auto"/>
                <w:kern w:val="2"/>
                <w:sz w:val="24"/>
                <w:szCs w:val="24"/>
                <w:highlight w:val="none"/>
                <w:lang w:val="en-US" w:eastAsia="zh-CN" w:bidi="ar-SA"/>
              </w:rPr>
              <w:t>所属行业为建筑业</w:t>
            </w:r>
            <w:r>
              <w:rPr>
                <w:rFonts w:hint="eastAsia" w:ascii="宋体" w:hAnsi="宋体" w:eastAsia="宋体" w:cs="宋体"/>
                <w:color w:val="auto"/>
                <w:kern w:val="2"/>
                <w:sz w:val="24"/>
                <w:szCs w:val="24"/>
                <w:highlight w:val="none"/>
                <w:lang w:val="en-US" w:eastAsia="zh-CN" w:bidi="ar-SA"/>
              </w:rPr>
              <w:t>、《政府采购需求管理办法的通知》（财库〔2021〕22 号）、《政府采购促进中小企业发展管理办法》（财库[2020]46 号）、《财政部 司法部关于政府采购支持监狱企业发展有关问题的通知》（财库〔2014〕68 号）和《三部门联合发布关于促进残疾人就业政府采购政策的通知》（财库〔2017〕 141 号）的规定，对满足价格扣除条件且在响应文件中提交了《供应商企业类型声明函》或省级以上监狱管理局、戒毒管理局（含新疆生产建设兵团）出具的属于监狱企业的证明文件的供应商，其投标报价扣除 10%后参与评审。符合以下条件的中小微型企业应按照采购文件格式要求提供《中小企业声明函》。</w:t>
            </w:r>
          </w:p>
          <w:p w14:paraId="71CB8FB2">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003FDE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14:paraId="3477A85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（3）根据上述文件规定，对满足上述（1）（2）两项条件的小微企业的投标总报价给予10%的扣除，用扣除后的价格参与评审。</w:t>
            </w:r>
          </w:p>
          <w:p w14:paraId="6CFA222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（4）依据本办法规定享受扶持政策获得政府采购合同的，小微企业不得将合同分包给大中型企业，中型企业不得将合同分包给大型企业。</w:t>
            </w:r>
          </w:p>
          <w:p w14:paraId="798805A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kern w:val="2"/>
                <w:sz w:val="24"/>
                <w:szCs w:val="24"/>
                <w:highlight w:val="none"/>
                <w:lang w:val="en-US" w:eastAsia="zh-CN" w:bidi="ar-SA"/>
              </w:rPr>
              <w:t>（5）联合体各方均为中小企业的,联合体视同中小企业。其中,联合体各方均为小微企业的,联合体视同小微企业。组成联合体的小微企业与其他企业之间存在直接控股、管理关系的,不享受价格扣除优惠政策。</w:t>
            </w:r>
          </w:p>
        </w:tc>
      </w:tr>
      <w:tr w14:paraId="6B61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68" w:type="dxa"/>
            <w:noWrap w:val="0"/>
            <w:vAlign w:val="center"/>
          </w:tcPr>
          <w:p w14:paraId="2876CAE3">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w:t>
            </w:r>
          </w:p>
        </w:tc>
        <w:tc>
          <w:tcPr>
            <w:tcW w:w="1341" w:type="dxa"/>
            <w:noWrap w:val="0"/>
            <w:vAlign w:val="center"/>
          </w:tcPr>
          <w:p w14:paraId="625D4B77">
            <w:pPr>
              <w:pStyle w:val="54"/>
              <w:keepNext w:val="0"/>
              <w:keepLines w:val="0"/>
              <w:pageBreakBefore w:val="0"/>
              <w:kinsoku/>
              <w:wordWrap/>
              <w:topLinePunct w:val="0"/>
              <w:bidi w:val="0"/>
              <w:spacing w:line="400" w:lineRule="exact"/>
              <w:ind w:left="96" w:lef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zh-CN"/>
              </w:rPr>
              <w:t>信用查询记录</w:t>
            </w:r>
          </w:p>
        </w:tc>
        <w:tc>
          <w:tcPr>
            <w:tcW w:w="6555" w:type="dxa"/>
            <w:noWrap w:val="0"/>
            <w:vAlign w:val="center"/>
          </w:tcPr>
          <w:p w14:paraId="652BCA05">
            <w:pPr>
              <w:keepNext w:val="0"/>
              <w:keepLines w:val="0"/>
              <w:pageBreakBefore w:val="0"/>
              <w:widowControl w:val="0"/>
              <w:tabs>
                <w:tab w:val="left" w:pos="7665"/>
              </w:tabs>
              <w:kinsoku/>
              <w:wordWrap w:val="0"/>
              <w:overflowPunct/>
              <w:topLinePunct w:val="0"/>
              <w:autoSpaceDE w:val="0"/>
              <w:autoSpaceDN w:val="0"/>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zh-CN"/>
              </w:rPr>
              <w:t>资格审查时，通过“信用中国”网站(www.creditchina.gov.cn)、中国政府采购网(www.ccgp.gov.cn)渠道查询投标人信用记录，经查询列入失信被执行人、重大税收违法案件当事人名单、政府采购严重违法失信行为记录名单，其投标无效，无效投标人的信用记录查询结果截图将作为项目材料的组成部分。</w:t>
            </w:r>
          </w:p>
        </w:tc>
      </w:tr>
      <w:tr w14:paraId="3DF1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168" w:type="dxa"/>
            <w:noWrap w:val="0"/>
            <w:vAlign w:val="center"/>
          </w:tcPr>
          <w:p w14:paraId="5D17F5FD">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1341" w:type="dxa"/>
            <w:noWrap w:val="0"/>
            <w:vAlign w:val="center"/>
          </w:tcPr>
          <w:p w14:paraId="1DBC0BE6">
            <w:pPr>
              <w:pStyle w:val="54"/>
              <w:keepNext w:val="0"/>
              <w:keepLines w:val="0"/>
              <w:pageBreakBefore w:val="0"/>
              <w:kinsoku/>
              <w:wordWrap/>
              <w:topLinePunct w:val="0"/>
              <w:bidi w:val="0"/>
              <w:spacing w:line="400" w:lineRule="exact"/>
              <w:ind w:left="-140" w:leftChars="0" w:right="-155" w:righ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2"/>
                <w:sz w:val="24"/>
                <w:szCs w:val="24"/>
              </w:rPr>
              <w:t>对</w:t>
            </w:r>
            <w:r>
              <w:rPr>
                <w:rFonts w:hint="eastAsia" w:cs="宋体"/>
                <w:color w:val="auto"/>
                <w:sz w:val="24"/>
                <w:szCs w:val="24"/>
                <w:lang w:eastAsia="zh-CN"/>
              </w:rPr>
              <w:t>磋商文件</w:t>
            </w:r>
            <w:r>
              <w:rPr>
                <w:rFonts w:hint="eastAsia" w:ascii="宋体" w:hAnsi="宋体" w:eastAsia="宋体" w:cs="宋体"/>
                <w:color w:val="auto"/>
                <w:sz w:val="24"/>
                <w:szCs w:val="24"/>
              </w:rPr>
              <w:t>除资质要求、技术参数、商务要求、评分办法等采购需求内容以外事项、</w:t>
            </w:r>
            <w:r>
              <w:rPr>
                <w:rFonts w:hint="eastAsia" w:ascii="宋体" w:hAnsi="宋体" w:eastAsia="宋体" w:cs="宋体"/>
                <w:color w:val="auto"/>
                <w:kern w:val="2"/>
                <w:sz w:val="24"/>
                <w:szCs w:val="24"/>
              </w:rPr>
              <w:t>采购过程和采购结果的询问和质疑</w:t>
            </w:r>
          </w:p>
        </w:tc>
        <w:tc>
          <w:tcPr>
            <w:tcW w:w="6555" w:type="dxa"/>
            <w:noWrap w:val="0"/>
            <w:vAlign w:val="center"/>
          </w:tcPr>
          <w:p w14:paraId="69E28FB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受理单位：新疆华域天恒工程管理有限公司</w:t>
            </w:r>
          </w:p>
          <w:p w14:paraId="17EAD2C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 系 人：张莉    邮箱：370882269@qq.com</w:t>
            </w:r>
          </w:p>
          <w:p w14:paraId="6FF5DCF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联系电话：0995-8637000、13699902201</w:t>
            </w:r>
          </w:p>
          <w:p w14:paraId="3C8F2E3D">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质疑函接受方式：书面形式</w:t>
            </w:r>
          </w:p>
          <w:p w14:paraId="1FB5B83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地址：吐鲁番市高昌区示范区和平街11幢2层201号</w:t>
            </w:r>
          </w:p>
          <w:p w14:paraId="796C4B9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对采购过程提出质疑时间：为各采购程序环节结束之日起七个工作日内。</w:t>
            </w:r>
          </w:p>
          <w:p w14:paraId="586FED0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对采购结果提出质疑时间：为中标结果公告发布次日后七个工作日内。</w:t>
            </w:r>
          </w:p>
          <w:p w14:paraId="3ADB1F7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p w14:paraId="3CBEEA3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1、采购单位无正当理由不按照依法推荐的中标候选供应商顺序确定中标供应商，或者在评标委员会依法推荐的中标候选供应商以外确定中标供应商的质疑由采购单位受理。</w:t>
            </w:r>
          </w:p>
          <w:p w14:paraId="5D79045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2、供应商应当在法定质疑期内一次性提出针对统一采购程序环节的质疑。</w:t>
            </w:r>
          </w:p>
        </w:tc>
      </w:tr>
      <w:tr w14:paraId="7BB5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68" w:type="dxa"/>
            <w:noWrap w:val="0"/>
            <w:vAlign w:val="center"/>
          </w:tcPr>
          <w:p w14:paraId="21C30688">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p>
        </w:tc>
        <w:tc>
          <w:tcPr>
            <w:tcW w:w="1341" w:type="dxa"/>
            <w:noWrap w:val="0"/>
            <w:vAlign w:val="center"/>
          </w:tcPr>
          <w:p w14:paraId="6C52EC19">
            <w:pPr>
              <w:pStyle w:val="54"/>
              <w:keepNext w:val="0"/>
              <w:keepLines w:val="0"/>
              <w:pageBreakBefore w:val="0"/>
              <w:kinsoku/>
              <w:wordWrap/>
              <w:topLinePunct w:val="0"/>
              <w:bidi w:val="0"/>
              <w:spacing w:line="400" w:lineRule="exact"/>
              <w:ind w:right="-155" w:rightChars="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推荐的中标候选人数量</w:t>
            </w:r>
          </w:p>
        </w:tc>
        <w:tc>
          <w:tcPr>
            <w:tcW w:w="6555" w:type="dxa"/>
            <w:noWrap w:val="0"/>
            <w:vAlign w:val="center"/>
          </w:tcPr>
          <w:p w14:paraId="3065707A">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000000"/>
                <w:kern w:val="0"/>
                <w:sz w:val="24"/>
                <w:szCs w:val="24"/>
                <w:lang w:val="en-US" w:eastAsia="zh-CN" w:bidi="ar"/>
              </w:rPr>
              <w:t>3名</w:t>
            </w:r>
          </w:p>
        </w:tc>
      </w:tr>
      <w:tr w14:paraId="78EE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68" w:type="dxa"/>
            <w:noWrap w:val="0"/>
            <w:vAlign w:val="center"/>
          </w:tcPr>
          <w:p w14:paraId="04FE4A1D">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w:t>
            </w:r>
          </w:p>
        </w:tc>
        <w:tc>
          <w:tcPr>
            <w:tcW w:w="1341" w:type="dxa"/>
            <w:noWrap w:val="0"/>
            <w:vAlign w:val="center"/>
          </w:tcPr>
          <w:p w14:paraId="04EEBBFE">
            <w:pPr>
              <w:pStyle w:val="54"/>
              <w:keepNext w:val="0"/>
              <w:keepLines w:val="0"/>
              <w:pageBreakBefore w:val="0"/>
              <w:kinsoku/>
              <w:wordWrap/>
              <w:topLinePunct w:val="0"/>
              <w:bidi w:val="0"/>
              <w:spacing w:line="4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评审情况的公告</w:t>
            </w:r>
          </w:p>
        </w:tc>
        <w:tc>
          <w:tcPr>
            <w:tcW w:w="6555" w:type="dxa"/>
            <w:noWrap w:val="0"/>
            <w:vAlign w:val="center"/>
          </w:tcPr>
          <w:p w14:paraId="23B52538">
            <w:pPr>
              <w:keepNext w:val="0"/>
              <w:keepLines w:val="0"/>
              <w:pageBreakBefore w:val="0"/>
              <w:kinsoku/>
              <w:wordWrap/>
              <w:overflowPunct/>
              <w:topLinePunct w:val="0"/>
              <w:bidi w:val="0"/>
              <w:spacing w:before="0" w:beforeAutospacing="0" w:after="0" w:afterAutospacing="0" w:line="36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评审结果将在新疆政府采购网上采购结果公告栏中予以公告。</w:t>
            </w:r>
          </w:p>
        </w:tc>
      </w:tr>
      <w:tr w14:paraId="6EE2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168" w:type="dxa"/>
            <w:noWrap w:val="0"/>
            <w:vAlign w:val="center"/>
          </w:tcPr>
          <w:p w14:paraId="244DF2C8">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w:t>
            </w:r>
          </w:p>
        </w:tc>
        <w:tc>
          <w:tcPr>
            <w:tcW w:w="1341" w:type="dxa"/>
            <w:noWrap w:val="0"/>
            <w:vAlign w:val="center"/>
          </w:tcPr>
          <w:p w14:paraId="56848A90">
            <w:pPr>
              <w:keepNext w:val="0"/>
              <w:keepLines w:val="0"/>
              <w:pageBreakBefore w:val="0"/>
              <w:kinsoku/>
              <w:wordWrap/>
              <w:topLinePunct w:val="0"/>
              <w:bidi w:val="0"/>
              <w:spacing w:line="400" w:lineRule="exact"/>
              <w:ind w:left="0" w:leftChars="0" w:right="0" w:right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政府采购合同备案</w:t>
            </w:r>
          </w:p>
        </w:tc>
        <w:tc>
          <w:tcPr>
            <w:tcW w:w="6555" w:type="dxa"/>
            <w:noWrap w:val="0"/>
            <w:vAlign w:val="center"/>
          </w:tcPr>
          <w:p w14:paraId="0949CFB1">
            <w:pPr>
              <w:keepNext w:val="0"/>
              <w:keepLines w:val="0"/>
              <w:pageBreakBefore w:val="0"/>
              <w:kinsoku/>
              <w:wordWrap/>
              <w:overflowPunct/>
              <w:topLinePunct w:val="0"/>
              <w:bidi w:val="0"/>
              <w:spacing w:before="0" w:beforeAutospacing="0" w:after="0" w:afterAutospacing="0" w:line="360" w:lineRule="exact"/>
              <w:ind w:left="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政府采购合同签订之日起2个工作日内，采购人应将政府采购合同在新疆政府采购网公告；政府采购合同签订之日起七个工作日内，政府采购合同将向本采购项目同级财政部门备案。</w:t>
            </w:r>
          </w:p>
          <w:p w14:paraId="65AB6377">
            <w:pPr>
              <w:keepNext w:val="0"/>
              <w:keepLines w:val="0"/>
              <w:pageBreakBefore w:val="0"/>
              <w:kinsoku/>
              <w:wordWrap/>
              <w:overflowPunct/>
              <w:topLinePunct w:val="0"/>
              <w:bidi w:val="0"/>
              <w:spacing w:before="0" w:beforeAutospacing="0" w:after="0" w:afterAutospacing="0" w:line="360" w:lineRule="exact"/>
              <w:ind w:left="0" w:leftChars="0" w:right="0" w:right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政府采购合同签订之日起2个工作日内，成交供应商应将政府采购合同向采购代理机构审核</w:t>
            </w:r>
            <w:r>
              <w:rPr>
                <w:rFonts w:hint="eastAsia" w:ascii="宋体" w:hAnsi="宋体" w:eastAsia="宋体" w:cs="宋体"/>
                <w:color w:val="auto"/>
                <w:sz w:val="24"/>
                <w:szCs w:val="24"/>
                <w:lang w:val="zh-CN"/>
              </w:rPr>
              <w:t>备案。</w:t>
            </w:r>
          </w:p>
        </w:tc>
      </w:tr>
      <w:tr w14:paraId="3F8C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168" w:type="dxa"/>
            <w:noWrap w:val="0"/>
            <w:vAlign w:val="center"/>
          </w:tcPr>
          <w:p w14:paraId="71033CD2">
            <w:pPr>
              <w:pStyle w:val="31"/>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24</w:t>
            </w:r>
          </w:p>
        </w:tc>
        <w:tc>
          <w:tcPr>
            <w:tcW w:w="1341" w:type="dxa"/>
            <w:noWrap w:val="0"/>
            <w:vAlign w:val="center"/>
          </w:tcPr>
          <w:p w14:paraId="211CA261">
            <w:pPr>
              <w:pStyle w:val="62"/>
              <w:autoSpaceDE w:val="0"/>
              <w:autoSpaceDN w:val="0"/>
              <w:adjustRightInd w:val="0"/>
              <w:snapToGrid w:val="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val="0"/>
                <w:kern w:val="0"/>
                <w:sz w:val="24"/>
                <w:szCs w:val="22"/>
                <w:lang w:val="zh-CN" w:eastAsia="zh-CN" w:bidi="ar-SA"/>
              </w:rPr>
              <w:t>低价不正当竞争预防措施</w:t>
            </w:r>
          </w:p>
        </w:tc>
        <w:tc>
          <w:tcPr>
            <w:tcW w:w="6555" w:type="dxa"/>
            <w:noWrap w:val="0"/>
            <w:vAlign w:val="center"/>
          </w:tcPr>
          <w:p w14:paraId="23DCCE09">
            <w:pPr>
              <w:pStyle w:val="36"/>
              <w:keepNext w:val="0"/>
              <w:keepLines w:val="0"/>
              <w:pageBreakBefore w:val="0"/>
              <w:kinsoku/>
              <w:wordWrap/>
              <w:topLinePunct w:val="0"/>
              <w:bidi w:val="0"/>
              <w:adjustRightInd w:val="0"/>
              <w:snapToGrid w:val="0"/>
              <w:spacing w:line="360" w:lineRule="exact"/>
              <w:ind w:right="0" w:rightChars="0"/>
              <w:textAlignment w:val="auto"/>
              <w:rPr>
                <w:rFonts w:hint="eastAsia" w:ascii="仿宋" w:hAnsi="仿宋" w:eastAsia="仿宋"/>
                <w:b/>
                <w:bCs/>
                <w:snapToGrid w:val="0"/>
                <w:kern w:val="0"/>
                <w:sz w:val="24"/>
                <w:szCs w:val="22"/>
                <w:lang w:val="zh-CN"/>
              </w:rPr>
            </w:pPr>
            <w:r>
              <w:rPr>
                <w:rFonts w:hint="eastAsia" w:ascii="宋体" w:hAnsi="宋体" w:eastAsia="宋体" w:cs="宋体"/>
                <w:b/>
                <w:bCs/>
                <w:snapToGrid w:val="0"/>
                <w:kern w:val="0"/>
                <w:sz w:val="24"/>
                <w:szCs w:val="22"/>
                <w:lang w:val="zh-CN"/>
              </w:rPr>
              <w:t>低价不正当竞争预防措施(实质性要求):</w:t>
            </w:r>
          </w:p>
          <w:p w14:paraId="382CC98C">
            <w:pPr>
              <w:pStyle w:val="36"/>
              <w:keepNext w:val="0"/>
              <w:keepLines w:val="0"/>
              <w:pageBreakBefore w:val="0"/>
              <w:numPr>
                <w:ilvl w:val="0"/>
                <w:numId w:val="3"/>
              </w:numPr>
              <w:kinsoku/>
              <w:wordWrap/>
              <w:topLinePunct w:val="0"/>
              <w:bidi w:val="0"/>
              <w:adjustRightInd w:val="0"/>
              <w:snapToGrid w:val="0"/>
              <w:spacing w:line="360" w:lineRule="exact"/>
              <w:ind w:right="0" w:rightChars="0"/>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 xml:space="preserve">在评标过程中，评标委员会认为投标人的报价明显低于其 他通过符合性审查投标人的报价，有可能影响产品质量或者不能 诚信履约的，应当要求其在评标现场合理的时间内提供书面说明，必要时提交相关证明材料；投标人不能证明其报价合理性的，评标委员会应当将其作为无效投标处理。 </w:t>
            </w:r>
          </w:p>
          <w:p w14:paraId="4AAA4914">
            <w:pPr>
              <w:pStyle w:val="36"/>
              <w:keepNext w:val="0"/>
              <w:keepLines w:val="0"/>
              <w:pageBreakBefore w:val="0"/>
              <w:numPr>
                <w:ilvl w:val="0"/>
                <w:numId w:val="3"/>
              </w:numPr>
              <w:kinsoku/>
              <w:wordWrap/>
              <w:topLinePunct w:val="0"/>
              <w:bidi w:val="0"/>
              <w:adjustRightInd w:val="0"/>
              <w:snapToGrid w:val="0"/>
              <w:spacing w:line="360" w:lineRule="exact"/>
              <w:ind w:right="0" w:rightChars="0"/>
              <w:textAlignment w:val="auto"/>
              <w:rPr>
                <w:rFonts w:hint="eastAsia" w:ascii="宋体" w:hAnsi="宋体" w:eastAsia="宋体" w:cs="宋体"/>
                <w:snapToGrid w:val="0"/>
                <w:color w:val="auto"/>
                <w:kern w:val="0"/>
                <w:sz w:val="24"/>
                <w:szCs w:val="22"/>
                <w:lang w:val="zh-CN" w:eastAsia="zh-CN" w:bidi="ar-SA"/>
              </w:rPr>
            </w:pPr>
            <w:r>
              <w:rPr>
                <w:rFonts w:hint="eastAsia" w:ascii="宋体" w:hAnsi="宋体" w:eastAsia="宋体" w:cs="宋体"/>
                <w:snapToGrid w:val="0"/>
                <w:color w:val="auto"/>
                <w:kern w:val="0"/>
                <w:sz w:val="24"/>
                <w:szCs w:val="22"/>
                <w:lang w:val="en-US" w:eastAsia="zh-CN" w:bidi="ar-SA"/>
              </w:rPr>
              <w:t>政府采购异常低价审查：根据《关于推动解决政府采购异常低价问题的通知》（财库〔2026〕2号）的规定：</w:t>
            </w:r>
          </w:p>
          <w:p w14:paraId="4A6AFE81">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（一）采购评审中出现下列情形之一的，评审委员会应当启动异常低价投标（响应）审查程序：</w:t>
            </w:r>
          </w:p>
          <w:p w14:paraId="2F20F680">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1.投标（响应）报价低于全部通过符合性审查供应商投标（响应）报价平均值50%的，即投标（响应）报价&lt;全部通过符合性审查供应商投标（响应）报价平均值×50%；</w:t>
            </w:r>
          </w:p>
          <w:p w14:paraId="28E3B780">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2.投标（响应）报价低于通过符合性审查的次低报价供应商投标（响应）报价50%的，即投标（响应）报价&lt;通过符合性审查的次低报价供应商投标（响应）报价×50%；</w:t>
            </w:r>
          </w:p>
          <w:p w14:paraId="736EAE7F">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3.投标（响应）报价低于采购项目最高限价45%的，即投标（响应）报价&lt;采购项目最高限价×45%；</w:t>
            </w:r>
          </w:p>
          <w:p w14:paraId="6DFCF2D6">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4.评审委员会基于专业判断，认为供应商报价过低，有可能影响产品质量或者不能诚信履约的其他情形。</w:t>
            </w:r>
          </w:p>
          <w:p w14:paraId="1A5CC7DE">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采购人可以结合具体项目实际情况，提高上述第1项至第3项中启动异常低价投标（响应）审查的数值标准，但是最高不得超过65%。</w:t>
            </w:r>
          </w:p>
          <w:p w14:paraId="5B274468">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相关法律法规对供应商报价有规定的，从其规定。</w:t>
            </w:r>
          </w:p>
          <w:p w14:paraId="0EEF57CD">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817614">
            <w:pPr>
              <w:pStyle w:val="36"/>
              <w:keepNext w:val="0"/>
              <w:keepLines w:val="0"/>
              <w:pageBreakBefore w:val="0"/>
              <w:widowControl w:val="0"/>
              <w:kinsoku/>
              <w:wordWrap/>
              <w:overflowPunct/>
              <w:topLinePunct w:val="0"/>
              <w:bidi w:val="0"/>
              <w:adjustRightInd w:val="0"/>
              <w:snapToGrid w:val="0"/>
              <w:spacing w:line="360" w:lineRule="exact"/>
              <w:ind w:right="0" w:right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napToGrid w:val="0"/>
                <w:color w:val="auto"/>
                <w:kern w:val="0"/>
                <w:sz w:val="24"/>
                <w:szCs w:val="22"/>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942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68" w:type="dxa"/>
            <w:noWrap w:val="0"/>
            <w:vAlign w:val="center"/>
          </w:tcPr>
          <w:p w14:paraId="5634BECE">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w:t>
            </w:r>
          </w:p>
        </w:tc>
        <w:tc>
          <w:tcPr>
            <w:tcW w:w="1341" w:type="dxa"/>
            <w:noWrap w:val="0"/>
            <w:vAlign w:val="center"/>
          </w:tcPr>
          <w:p w14:paraId="26D3ACC1">
            <w:pPr>
              <w:pStyle w:val="54"/>
              <w:keepNext w:val="0"/>
              <w:keepLines w:val="0"/>
              <w:pageBreakBefore w:val="0"/>
              <w:kinsoku/>
              <w:wordWrap/>
              <w:topLinePunct w:val="0"/>
              <w:bidi w:val="0"/>
              <w:spacing w:line="400" w:lineRule="exact"/>
              <w:ind w:left="96" w:leftChars="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招标代理费</w:t>
            </w:r>
          </w:p>
        </w:tc>
        <w:tc>
          <w:tcPr>
            <w:tcW w:w="6555" w:type="dxa"/>
            <w:noWrap w:val="0"/>
            <w:vAlign w:val="center"/>
          </w:tcPr>
          <w:p w14:paraId="6250F3DB">
            <w:pPr>
              <w:keepNext w:val="0"/>
              <w:keepLines w:val="0"/>
              <w:pageBreakBefore w:val="0"/>
              <w:tabs>
                <w:tab w:val="left" w:pos="7665"/>
              </w:tabs>
              <w:kinsoku/>
              <w:wordWrap/>
              <w:overflowPunct/>
              <w:topLinePunct w:val="0"/>
              <w:bidi w:val="0"/>
              <w:spacing w:before="0" w:beforeAutospacing="0" w:after="0" w:afterAutospacing="0" w:line="360" w:lineRule="exact"/>
              <w:ind w:left="0" w:right="0" w:right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代理费收取方式：电汇或银行转账</w:t>
            </w:r>
          </w:p>
          <w:p w14:paraId="5C617EB1">
            <w:pPr>
              <w:keepNext w:val="0"/>
              <w:keepLines w:val="0"/>
              <w:pageBreakBefore w:val="0"/>
              <w:tabs>
                <w:tab w:val="left" w:pos="7665"/>
              </w:tabs>
              <w:kinsoku/>
              <w:wordWrap/>
              <w:overflowPunct/>
              <w:topLinePunct w:val="0"/>
              <w:bidi w:val="0"/>
              <w:spacing w:before="0" w:beforeAutospacing="0" w:after="0" w:afterAutospacing="0" w:line="360" w:lineRule="exact"/>
              <w:ind w:left="0" w:leftChars="0" w:right="0" w:rightChars="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lang w:val="zh-CN"/>
              </w:rPr>
              <w:t>代</w:t>
            </w:r>
            <w:r>
              <w:rPr>
                <w:rFonts w:hint="eastAsia" w:ascii="宋体" w:hAnsi="宋体" w:eastAsia="宋体" w:cs="宋体"/>
                <w:color w:val="auto"/>
                <w:sz w:val="24"/>
                <w:szCs w:val="24"/>
                <w:highlight w:val="none"/>
                <w:lang w:val="zh-CN"/>
              </w:rPr>
              <w:t>理费收取标准：</w:t>
            </w:r>
            <w:r>
              <w:rPr>
                <w:rFonts w:hint="eastAsia" w:cs="宋体"/>
                <w:color w:val="auto"/>
                <w:sz w:val="24"/>
                <w:szCs w:val="24"/>
                <w:highlight w:val="none"/>
                <w:lang w:val="en-US" w:eastAsia="zh-CN"/>
              </w:rPr>
              <w:t>15000.00元</w:t>
            </w:r>
            <w:r>
              <w:rPr>
                <w:rFonts w:hint="eastAsia" w:ascii="宋体" w:hAnsi="宋体" w:eastAsia="宋体" w:cs="宋体"/>
                <w:color w:val="auto"/>
                <w:sz w:val="24"/>
                <w:szCs w:val="24"/>
                <w:highlight w:val="none"/>
                <w:lang w:val="zh-CN" w:eastAsia="zh-CN"/>
              </w:rPr>
              <w:t>，由中标人支付</w:t>
            </w:r>
            <w:r>
              <w:rPr>
                <w:rFonts w:hint="eastAsia" w:ascii="宋体" w:hAnsi="宋体" w:eastAsia="宋体" w:cs="宋体"/>
                <w:color w:val="auto"/>
                <w:sz w:val="24"/>
                <w:szCs w:val="24"/>
                <w:highlight w:val="none"/>
                <w:lang w:val="zh-CN"/>
              </w:rPr>
              <w:t>。</w:t>
            </w:r>
          </w:p>
        </w:tc>
      </w:tr>
      <w:tr w14:paraId="13CE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68" w:type="dxa"/>
            <w:noWrap w:val="0"/>
            <w:vAlign w:val="center"/>
          </w:tcPr>
          <w:p w14:paraId="11AD6635">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26</w:t>
            </w:r>
          </w:p>
        </w:tc>
        <w:tc>
          <w:tcPr>
            <w:tcW w:w="1341" w:type="dxa"/>
            <w:noWrap w:val="0"/>
            <w:vAlign w:val="center"/>
          </w:tcPr>
          <w:p w14:paraId="3F4256E1">
            <w:pPr>
              <w:pStyle w:val="31"/>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35CBACDA">
            <w:pPr>
              <w:pStyle w:val="31"/>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2768AB1A">
            <w:pPr>
              <w:pStyle w:val="31"/>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highlight w:val="none"/>
                <w:lang w:val="en-US" w:eastAsia="zh-CN"/>
              </w:rPr>
              <w:t>实质性要求和条件</w:t>
            </w:r>
          </w:p>
        </w:tc>
        <w:tc>
          <w:tcPr>
            <w:tcW w:w="6555" w:type="dxa"/>
            <w:noWrap w:val="0"/>
            <w:vAlign w:val="top"/>
          </w:tcPr>
          <w:p w14:paraId="70EF6ADA">
            <w:pPr>
              <w:pStyle w:val="31"/>
              <w:keepNext w:val="0"/>
              <w:keepLines w:val="0"/>
              <w:pageBreakBefore w:val="0"/>
              <w:widowControl/>
              <w:kinsoku/>
              <w:wordWrap/>
              <w:overflowPunct/>
              <w:topLinePunct w:val="0"/>
              <w:bidi w:val="0"/>
              <w:snapToGrid/>
              <w:spacing w:beforeAutospacing="0" w:afterAutospacing="0" w:line="360" w:lineRule="exact"/>
              <w:ind w:left="0" w:leftChars="0" w:right="0" w:rightChars="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实质性要求和条件：除法律、法规和规章规定外，采购文件中用“拒绝”、“不接受”、“无效”、“不得”</w:t>
            </w:r>
            <w:r>
              <w:rPr>
                <w:rFonts w:hint="eastAsia" w:ascii="宋体" w:hAnsi="宋体" w:eastAsia="宋体" w:cs="宋体"/>
                <w:b w:val="0"/>
                <w:bCs/>
                <w:sz w:val="24"/>
                <w:szCs w:val="24"/>
              </w:rPr>
              <w:t>加粗、</w:t>
            </w:r>
            <w:r>
              <w:rPr>
                <w:rFonts w:hint="eastAsia" w:ascii="宋体" w:hAnsi="宋体" w:eastAsia="宋体" w:cs="宋体"/>
                <w:b w:val="0"/>
                <w:bCs/>
                <w:color w:val="auto"/>
                <w:kern w:val="0"/>
                <w:sz w:val="24"/>
                <w:szCs w:val="24"/>
                <w:highlight w:val="none"/>
                <w:lang w:val="en-US" w:eastAsia="zh-CN"/>
              </w:rPr>
              <w:t>等文字规定或采购文件初步审查表中的内容以及标注“★”</w:t>
            </w:r>
            <w:r>
              <w:rPr>
                <w:rFonts w:hint="eastAsia" w:ascii="宋体" w:hAnsi="宋体" w:eastAsia="宋体" w:cs="宋体"/>
                <w:color w:val="auto"/>
                <w:kern w:val="0"/>
                <w:sz w:val="24"/>
                <w:szCs w:val="24"/>
                <w:highlight w:val="none"/>
                <w:lang w:val="en-US" w:eastAsia="zh-CN"/>
              </w:rPr>
              <w:t>符号的条款为实质性要求条款（即重要条款），对其中任何一条的偏离，在评标时将其视为无效投标。</w:t>
            </w:r>
          </w:p>
        </w:tc>
      </w:tr>
    </w:tbl>
    <w:p w14:paraId="1837DC52">
      <w:pPr>
        <w:pStyle w:val="31"/>
        <w:widowControl/>
        <w:spacing w:line="334" w:lineRule="exact"/>
        <w:rPr>
          <w:rFonts w:hint="eastAsia" w:ascii="宋体" w:hAnsi="宋体" w:eastAsia="宋体" w:cs="宋体"/>
          <w:color w:val="auto"/>
          <w:kern w:val="0"/>
          <w:sz w:val="24"/>
          <w:szCs w:val="24"/>
          <w:highlight w:val="none"/>
          <w:lang w:val="en-US" w:eastAsia="zh-CN"/>
        </w:rPr>
      </w:pPr>
    </w:p>
    <w:p w14:paraId="744E7F83">
      <w:pPr>
        <w:pStyle w:val="31"/>
        <w:widowControl/>
        <w:spacing w:line="334" w:lineRule="exact"/>
        <w:ind w:firstLine="960" w:firstLineChars="4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磋商文件中如有内容冲突的地方，以投标须知前附表要求为准</w:t>
      </w:r>
    </w:p>
    <w:p w14:paraId="2A5E419E">
      <w:pPr>
        <w:pStyle w:val="31"/>
        <w:widowControl/>
        <w:spacing w:line="334" w:lineRule="exact"/>
        <w:rPr>
          <w:rFonts w:hint="eastAsia" w:ascii="宋体" w:hAnsi="宋体" w:eastAsia="宋体" w:cs="宋体"/>
          <w:color w:val="auto"/>
          <w:kern w:val="0"/>
          <w:sz w:val="24"/>
          <w:szCs w:val="24"/>
          <w:highlight w:val="none"/>
          <w:lang w:val="en-US" w:eastAsia="zh-CN"/>
        </w:rPr>
      </w:pPr>
    </w:p>
    <w:p w14:paraId="041E3C4A">
      <w:pPr>
        <w:pStyle w:val="31"/>
        <w:widowControl/>
        <w:spacing w:line="334" w:lineRule="exact"/>
        <w:rPr>
          <w:rFonts w:hint="eastAsia" w:ascii="宋体" w:hAnsi="宋体" w:eastAsia="宋体" w:cs="宋体"/>
          <w:color w:val="auto"/>
          <w:kern w:val="0"/>
          <w:sz w:val="24"/>
          <w:szCs w:val="24"/>
          <w:highlight w:val="none"/>
          <w:lang w:val="en-US" w:eastAsia="zh-CN"/>
        </w:rPr>
      </w:pPr>
    </w:p>
    <w:p w14:paraId="250ED52F">
      <w:pPr>
        <w:keepNext w:val="0"/>
        <w:keepLines w:val="0"/>
        <w:pageBreakBefore w:val="0"/>
        <w:widowControl w:val="0"/>
        <w:numPr>
          <w:ilvl w:val="0"/>
          <w:numId w:val="4"/>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磋商须知 </w:t>
      </w:r>
    </w:p>
    <w:p w14:paraId="718015C5">
      <w:pPr>
        <w:pStyle w:val="9"/>
        <w:numPr>
          <w:ilvl w:val="0"/>
          <w:numId w:val="0"/>
        </w:numPr>
        <w:ind w:right="0" w:rightChars="0"/>
        <w:rPr>
          <w:rFonts w:hint="eastAsia"/>
          <w:color w:val="auto"/>
          <w:highlight w:val="none"/>
        </w:rPr>
      </w:pPr>
    </w:p>
    <w:p w14:paraId="02E861DC">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color w:val="auto"/>
          <w:highlight w:val="none"/>
        </w:rPr>
      </w:pPr>
      <w:r>
        <w:rPr>
          <w:rFonts w:hint="eastAsia" w:ascii="宋体" w:hAnsi="宋体" w:eastAsia="宋体" w:cs="宋体"/>
          <w:b/>
          <w:bCs/>
          <w:color w:val="auto"/>
          <w:sz w:val="30"/>
          <w:szCs w:val="30"/>
          <w:highlight w:val="none"/>
        </w:rPr>
        <w:t>一</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说 明</w:t>
      </w:r>
    </w:p>
    <w:p w14:paraId="6A7A440E">
      <w:pPr>
        <w:pStyle w:val="9"/>
        <w:rPr>
          <w:rFonts w:hint="eastAsia"/>
          <w:color w:val="auto"/>
          <w:highlight w:val="none"/>
        </w:rPr>
      </w:pPr>
    </w:p>
    <w:p w14:paraId="73F6989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 xml:space="preserve">适用范围 </w:t>
      </w:r>
    </w:p>
    <w:p w14:paraId="126732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 xml:space="preserve">本文件适用于本竞争性磋商的采购项目。 </w:t>
      </w:r>
    </w:p>
    <w:p w14:paraId="655ACDBC">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 xml:space="preserve">本项目的采购人、供应商及各方当事人均适用本须知。 </w:t>
      </w:r>
    </w:p>
    <w:p w14:paraId="2E7712E0">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 </w:t>
      </w:r>
      <w:r>
        <w:rPr>
          <w:rFonts w:hint="eastAsia" w:ascii="宋体" w:hAnsi="宋体" w:eastAsia="宋体" w:cs="宋体"/>
          <w:b/>
          <w:bCs/>
          <w:color w:val="auto"/>
          <w:sz w:val="24"/>
          <w:szCs w:val="24"/>
          <w:highlight w:val="none"/>
        </w:rPr>
        <w:t>定义</w:t>
      </w:r>
      <w:r>
        <w:rPr>
          <w:rFonts w:hint="eastAsia" w:ascii="宋体" w:hAnsi="宋体" w:eastAsia="宋体" w:cs="宋体"/>
          <w:color w:val="auto"/>
          <w:sz w:val="24"/>
          <w:szCs w:val="24"/>
          <w:highlight w:val="none"/>
        </w:rPr>
        <w:t xml:space="preserve"> </w:t>
      </w:r>
    </w:p>
    <w:p w14:paraId="2BD5D4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 </w:t>
      </w:r>
      <w:r>
        <w:rPr>
          <w:rFonts w:hint="eastAsia" w:ascii="宋体" w:hAnsi="宋体" w:eastAsia="宋体" w:cs="宋体"/>
          <w:color w:val="auto"/>
          <w:sz w:val="24"/>
          <w:szCs w:val="24"/>
          <w:highlight w:val="none"/>
        </w:rPr>
        <w:t xml:space="preserve">监管部门：指同级或以上人民政府财政部门。 </w:t>
      </w:r>
    </w:p>
    <w:p w14:paraId="41D6C86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 </w:t>
      </w: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是指采购人已拥有一笔财政性资金或资金来源已落实。 </w:t>
      </w:r>
    </w:p>
    <w:p w14:paraId="76BDF55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2.3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依法进行政府采购的国家机关、事业单位、团体组织</w:t>
      </w:r>
      <w:r>
        <w:rPr>
          <w:rFonts w:hint="eastAsia" w:ascii="宋体" w:hAnsi="宋体" w:eastAsia="宋体" w:cs="宋体"/>
          <w:color w:val="auto"/>
          <w:sz w:val="24"/>
          <w:szCs w:val="24"/>
          <w:highlight w:val="none"/>
        </w:rPr>
        <w:t xml:space="preserve">。 </w:t>
      </w:r>
    </w:p>
    <w:p w14:paraId="0120F6B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2.4 </w:t>
      </w:r>
      <w:r>
        <w:rPr>
          <w:rFonts w:hint="eastAsia" w:cs="宋体"/>
          <w:color w:val="auto"/>
          <w:sz w:val="24"/>
          <w:szCs w:val="24"/>
          <w:highlight w:val="none"/>
          <w:lang w:val="en-US" w:eastAsia="zh-CN"/>
        </w:rPr>
        <w:t>代理</w:t>
      </w:r>
      <w:r>
        <w:rPr>
          <w:rFonts w:hint="eastAsia" w:ascii="宋体" w:hAnsi="宋体" w:eastAsia="宋体" w:cs="宋体"/>
          <w:color w:val="auto"/>
          <w:sz w:val="24"/>
          <w:szCs w:val="24"/>
          <w:highlight w:val="none"/>
          <w:lang w:val="en-US" w:eastAsia="zh-CN"/>
        </w:rPr>
        <w:t>采购机构</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新疆华域天恒工程管理有限公司</w:t>
      </w:r>
      <w:r>
        <w:rPr>
          <w:rFonts w:hint="eastAsia" w:ascii="宋体" w:hAnsi="宋体" w:eastAsia="宋体" w:cs="宋体"/>
          <w:color w:val="auto"/>
          <w:sz w:val="24"/>
          <w:szCs w:val="24"/>
          <w:highlight w:val="none"/>
        </w:rPr>
        <w:t xml:space="preserve">。 </w:t>
      </w:r>
    </w:p>
    <w:p w14:paraId="3D2505D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磋商小组：磋商小组是依法组建的专门负责本次磋商及评审工作的</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rPr>
        <w:t xml:space="preserve">。 </w:t>
      </w:r>
    </w:p>
    <w:p w14:paraId="4E5BEEC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 </w:t>
      </w:r>
      <w:r>
        <w:rPr>
          <w:rFonts w:hint="eastAsia" w:ascii="宋体" w:hAnsi="宋体" w:eastAsia="宋体" w:cs="宋体"/>
          <w:color w:val="auto"/>
          <w:sz w:val="24"/>
          <w:szCs w:val="24"/>
          <w:highlight w:val="none"/>
        </w:rPr>
        <w:t xml:space="preserve">供应商：符合资格要求，响应采购、依法成立的企业法人、其他组织或自然人。 </w:t>
      </w:r>
    </w:p>
    <w:p w14:paraId="7E298AD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2.7 </w:t>
      </w:r>
      <w:r>
        <w:rPr>
          <w:rFonts w:hint="eastAsia" w:ascii="宋体" w:hAnsi="宋体" w:eastAsia="宋体" w:cs="宋体"/>
          <w:color w:val="auto"/>
          <w:sz w:val="24"/>
          <w:szCs w:val="24"/>
          <w:highlight w:val="none"/>
        </w:rPr>
        <w:t xml:space="preserve">成交供应商：经合法磋商程序评选出来并经采购人确认的获得本项目成交资格的供应商。 </w:t>
      </w:r>
    </w:p>
    <w:p w14:paraId="0A251B0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 </w:t>
      </w:r>
      <w:r>
        <w:rPr>
          <w:rFonts w:hint="eastAsia" w:ascii="宋体" w:hAnsi="宋体" w:eastAsia="宋体" w:cs="宋体"/>
          <w:color w:val="auto"/>
          <w:sz w:val="24"/>
          <w:szCs w:val="24"/>
          <w:highlight w:val="none"/>
        </w:rPr>
        <w:t xml:space="preserve">日期：指公历日。 </w:t>
      </w:r>
    </w:p>
    <w:p w14:paraId="3687173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 </w:t>
      </w:r>
      <w:r>
        <w:rPr>
          <w:rFonts w:hint="eastAsia" w:ascii="宋体" w:hAnsi="宋体" w:eastAsia="宋体" w:cs="宋体"/>
          <w:color w:val="auto"/>
          <w:sz w:val="24"/>
          <w:szCs w:val="24"/>
          <w:highlight w:val="none"/>
        </w:rPr>
        <w:t xml:space="preserve">时间：指北京时间。 </w:t>
      </w:r>
    </w:p>
    <w:p w14:paraId="0F8C2F0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 </w:t>
      </w:r>
      <w:r>
        <w:rPr>
          <w:rFonts w:hint="eastAsia" w:ascii="宋体" w:hAnsi="宋体" w:eastAsia="宋体" w:cs="宋体"/>
          <w:b/>
          <w:bCs/>
          <w:color w:val="auto"/>
          <w:sz w:val="24"/>
          <w:szCs w:val="24"/>
          <w:highlight w:val="none"/>
        </w:rPr>
        <w:t>合格的供应商</w:t>
      </w:r>
      <w:r>
        <w:rPr>
          <w:rFonts w:hint="eastAsia" w:ascii="宋体" w:hAnsi="宋体" w:eastAsia="宋体" w:cs="宋体"/>
          <w:color w:val="auto"/>
          <w:sz w:val="24"/>
          <w:szCs w:val="24"/>
          <w:highlight w:val="none"/>
        </w:rPr>
        <w:t xml:space="preserve"> </w:t>
      </w:r>
    </w:p>
    <w:p w14:paraId="361237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供应商须符合第一部分“磋商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”供应商资格要求的全部条款。 </w:t>
      </w:r>
    </w:p>
    <w:p w14:paraId="3BEB4C9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4 </w:t>
      </w:r>
      <w:r>
        <w:rPr>
          <w:rFonts w:hint="eastAsia" w:ascii="宋体" w:hAnsi="宋体" w:eastAsia="宋体" w:cs="宋体"/>
          <w:b/>
          <w:bCs/>
          <w:color w:val="auto"/>
          <w:sz w:val="24"/>
          <w:szCs w:val="24"/>
          <w:highlight w:val="none"/>
        </w:rPr>
        <w:t>合格的货物</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服务</w:t>
      </w:r>
      <w:r>
        <w:rPr>
          <w:rFonts w:hint="eastAsia" w:ascii="宋体" w:hAnsi="宋体" w:eastAsia="宋体" w:cs="宋体"/>
          <w:b/>
          <w:bCs/>
          <w:color w:val="auto"/>
          <w:sz w:val="24"/>
          <w:szCs w:val="24"/>
          <w:highlight w:val="none"/>
          <w:lang w:val="en-US" w:eastAsia="zh-CN"/>
        </w:rPr>
        <w:t>和工程</w:t>
      </w:r>
      <w:r>
        <w:rPr>
          <w:rFonts w:hint="eastAsia" w:ascii="宋体" w:hAnsi="宋体" w:eastAsia="宋体" w:cs="宋体"/>
          <w:color w:val="auto"/>
          <w:sz w:val="24"/>
          <w:szCs w:val="24"/>
          <w:highlight w:val="none"/>
        </w:rPr>
        <w:t xml:space="preserve"> </w:t>
      </w:r>
    </w:p>
    <w:p w14:paraId="7BB630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 </w:t>
      </w:r>
      <w:r>
        <w:rPr>
          <w:rFonts w:hint="eastAsia" w:ascii="宋体" w:hAnsi="宋体" w:eastAsia="宋体" w:cs="宋体"/>
          <w:color w:val="auto"/>
          <w:sz w:val="24"/>
          <w:szCs w:val="24"/>
          <w:highlight w:val="none"/>
        </w:rPr>
        <w:t xml:space="preserve">“货物”是指供应商制造或符合磋商文件要求的货物等。供应商的货物必须是其合法生产、合法来源的符合国家有关标准要求的货物，并满足磋商文件规定的规格、参数、质量、价格、有效期、售后服务等要求。 </w:t>
      </w:r>
    </w:p>
    <w:p w14:paraId="5C82F2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4.2 </w:t>
      </w:r>
      <w:r>
        <w:rPr>
          <w:rFonts w:hint="eastAsia" w:ascii="宋体" w:hAnsi="宋体" w:eastAsia="宋体" w:cs="宋体"/>
          <w:color w:val="auto"/>
          <w:sz w:val="24"/>
          <w:szCs w:val="24"/>
          <w:highlight w:val="none"/>
        </w:rPr>
        <w:t>“服务”是指除货物和工程以外的其他政府采购对象，其中包括供应商须承担的运输、安装、技术支持、培训以及磋商文件规定的其它伴随服务。</w:t>
      </w:r>
    </w:p>
    <w:p w14:paraId="7B6ACE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highlight w:val="none"/>
        </w:rPr>
      </w:pPr>
      <w:r>
        <w:rPr>
          <w:rFonts w:hint="eastAsia" w:ascii="宋体" w:hAnsi="宋体" w:eastAsia="宋体" w:cs="宋体"/>
          <w:color w:val="auto"/>
          <w:sz w:val="24"/>
          <w:szCs w:val="24"/>
          <w:highlight w:val="none"/>
          <w:lang w:val="en-US" w:eastAsia="zh-CN"/>
        </w:rPr>
        <w:t xml:space="preserve">4.3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是指建设工程，包括建筑物和构筑物的新建、改建、扩建、装修、拆除、修缮等。</w:t>
      </w:r>
    </w:p>
    <w:p w14:paraId="65F2733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4.4 </w:t>
      </w:r>
      <w:r>
        <w:rPr>
          <w:rFonts w:hint="eastAsia" w:ascii="宋体" w:hAnsi="宋体" w:eastAsia="宋体" w:cs="宋体"/>
          <w:color w:val="auto"/>
          <w:sz w:val="24"/>
          <w:szCs w:val="24"/>
          <w:highlight w:val="none"/>
        </w:rPr>
        <w:t xml:space="preserve">政府采购应当采购本国产品，确需采购进口产品的，依据《政府采购进口产品管理办法》执行。 </w:t>
      </w:r>
    </w:p>
    <w:p w14:paraId="28593BD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4.5 </w:t>
      </w:r>
      <w:r>
        <w:rPr>
          <w:rFonts w:hint="eastAsia" w:ascii="宋体" w:hAnsi="宋体" w:eastAsia="宋体" w:cs="宋体"/>
          <w:color w:val="auto"/>
          <w:sz w:val="24"/>
          <w:szCs w:val="24"/>
          <w:highlight w:val="none"/>
        </w:rPr>
        <w:t xml:space="preserve">本文件所称进口产品是指通过中国海关报关验放进入中国境内且产自关境外的产品。 </w:t>
      </w:r>
    </w:p>
    <w:p w14:paraId="6E6DCFA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4.6 </w:t>
      </w:r>
      <w:r>
        <w:rPr>
          <w:rFonts w:hint="eastAsia" w:ascii="宋体" w:hAnsi="宋体" w:eastAsia="宋体" w:cs="宋体"/>
          <w:color w:val="auto"/>
          <w:sz w:val="24"/>
          <w:szCs w:val="24"/>
          <w:highlight w:val="none"/>
        </w:rPr>
        <w:t xml:space="preserve">供应商应保证，采购人在中华人民共和国使用货物或服务的任何一部分时，采购人免受第三方提出侵犯其专利权、商标权或其它知识产权的起诉。 </w:t>
      </w:r>
    </w:p>
    <w:p w14:paraId="600DFC1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5 </w:t>
      </w:r>
      <w:r>
        <w:rPr>
          <w:rFonts w:hint="eastAsia" w:ascii="宋体" w:hAnsi="宋体" w:eastAsia="宋体" w:cs="宋体"/>
          <w:b/>
          <w:bCs/>
          <w:color w:val="auto"/>
          <w:sz w:val="24"/>
          <w:szCs w:val="24"/>
          <w:highlight w:val="none"/>
        </w:rPr>
        <w:t>磋商费用</w:t>
      </w:r>
      <w:r>
        <w:rPr>
          <w:rFonts w:hint="eastAsia" w:ascii="宋体" w:hAnsi="宋体" w:eastAsia="宋体" w:cs="宋体"/>
          <w:color w:val="auto"/>
          <w:sz w:val="24"/>
          <w:szCs w:val="24"/>
          <w:highlight w:val="none"/>
        </w:rPr>
        <w:t xml:space="preserve"> </w:t>
      </w:r>
    </w:p>
    <w:p w14:paraId="5A72723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供应商应承担所有与准备和参加项目磋商有关的费用。不论磋商的结果如何，采购人及</w:t>
      </w:r>
      <w:r>
        <w:rPr>
          <w:rFonts w:hint="eastAsia" w:cs="宋体"/>
          <w:color w:val="auto"/>
          <w:sz w:val="24"/>
          <w:szCs w:val="24"/>
          <w:highlight w:val="none"/>
          <w:lang w:val="en-US" w:eastAsia="zh-CN"/>
        </w:rPr>
        <w:t>招标代理有限公司</w:t>
      </w:r>
      <w:r>
        <w:rPr>
          <w:rFonts w:hint="eastAsia" w:ascii="宋体" w:hAnsi="宋体" w:eastAsia="宋体" w:cs="宋体"/>
          <w:color w:val="auto"/>
          <w:sz w:val="24"/>
          <w:szCs w:val="24"/>
          <w:highlight w:val="none"/>
        </w:rPr>
        <w:t xml:space="preserve">均无义务和责任承担这些费用。  </w:t>
      </w:r>
    </w:p>
    <w:p w14:paraId="7D81CF5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6 </w:t>
      </w:r>
      <w:r>
        <w:rPr>
          <w:rFonts w:hint="eastAsia" w:ascii="宋体" w:hAnsi="宋体" w:eastAsia="宋体" w:cs="宋体"/>
          <w:b/>
          <w:bCs/>
          <w:color w:val="auto"/>
          <w:sz w:val="24"/>
          <w:szCs w:val="24"/>
          <w:highlight w:val="none"/>
        </w:rPr>
        <w:t>其他</w:t>
      </w:r>
      <w:r>
        <w:rPr>
          <w:rFonts w:hint="eastAsia" w:ascii="宋体" w:hAnsi="宋体" w:eastAsia="宋体" w:cs="宋体"/>
          <w:color w:val="auto"/>
          <w:sz w:val="24"/>
          <w:szCs w:val="24"/>
          <w:highlight w:val="none"/>
        </w:rPr>
        <w:t xml:space="preserve"> </w:t>
      </w:r>
    </w:p>
    <w:p w14:paraId="06BFFB4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.1. 所有时间均为24小时制北京时间，所有货币单位均为人民币元，所使用的计量单位均以《中华人民共和国法定计量单位》为准（特别注明除外）。 </w:t>
      </w:r>
    </w:p>
    <w:p w14:paraId="7901A6E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3F197F5">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3654" w:firstLineChars="13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磋商文件</w:t>
      </w:r>
    </w:p>
    <w:p w14:paraId="6A7BA308">
      <w:pPr>
        <w:pStyle w:val="9"/>
        <w:numPr>
          <w:ilvl w:val="0"/>
          <w:numId w:val="0"/>
        </w:numPr>
        <w:ind w:right="0" w:rightChars="0"/>
        <w:rPr>
          <w:rFonts w:hint="eastAsia"/>
          <w:color w:val="auto"/>
          <w:highlight w:val="none"/>
        </w:rPr>
      </w:pPr>
    </w:p>
    <w:p w14:paraId="5FB5641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 xml:space="preserve">磋商文件的编制依据与构成 </w:t>
      </w:r>
    </w:p>
    <w:p w14:paraId="2BF745F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7.1 </w:t>
      </w:r>
      <w:r>
        <w:rPr>
          <w:rFonts w:hint="eastAsia" w:ascii="宋体" w:hAnsi="宋体" w:eastAsia="宋体" w:cs="宋体"/>
          <w:color w:val="auto"/>
          <w:sz w:val="24"/>
          <w:szCs w:val="24"/>
          <w:highlight w:val="none"/>
        </w:rPr>
        <w:t xml:space="preserve">本项目磋商文件的编制依据是《中华人民共和国政府采购法》及其实施条例、《政府采购竞争性磋商采购方式管理暂行办法》及其配套的法规、规章政策。 </w:t>
      </w:r>
    </w:p>
    <w:p w14:paraId="3D8E86F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7.2 </w:t>
      </w:r>
      <w:r>
        <w:rPr>
          <w:rFonts w:hint="eastAsia" w:ascii="宋体" w:hAnsi="宋体" w:eastAsia="宋体" w:cs="宋体"/>
          <w:color w:val="auto"/>
          <w:sz w:val="24"/>
          <w:szCs w:val="24"/>
          <w:highlight w:val="none"/>
        </w:rPr>
        <w:t xml:space="preserve">要求提供的服务、货物、磋商过程和合同条件在磋商文件中均有说明。磋商文件以中文文字编写。由下列文件以及在磋商过程中发出的澄清、修改和补充文件组成，内容包括： </w:t>
      </w:r>
    </w:p>
    <w:p w14:paraId="2140D6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 </w:t>
      </w:r>
    </w:p>
    <w:p w14:paraId="25DDB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磋商须知； </w:t>
      </w:r>
    </w:p>
    <w:p w14:paraId="0423FC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 xml:space="preserve">； </w:t>
      </w:r>
    </w:p>
    <w:p w14:paraId="1308063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合同格式； </w:t>
      </w:r>
    </w:p>
    <w:p w14:paraId="522C77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响应文件格式； </w:t>
      </w:r>
    </w:p>
    <w:p w14:paraId="06BC3A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7.3 </w:t>
      </w:r>
      <w:r>
        <w:rPr>
          <w:rFonts w:hint="eastAsia" w:ascii="宋体" w:hAnsi="宋体" w:eastAsia="宋体" w:cs="宋体"/>
          <w:color w:val="auto"/>
          <w:sz w:val="24"/>
          <w:szCs w:val="24"/>
          <w:highlight w:val="none"/>
        </w:rPr>
        <w:t xml:space="preserve">供应商应认真阅读、并充分理解磋商文件的全部内容（包括所有的补充、修改内容、重要事项、格式、条款和技术规范、参数及要求等）。供应商没有按照磋商文件要求提交全部资料，或者响应文件没有对磋商文件在各方面都作出实质性响应是供应商的风险，有可能导致其响应被拒绝，或被确定为响应无效。 </w:t>
      </w:r>
    </w:p>
    <w:p w14:paraId="3BCDA7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 xml:space="preserve">磋商文件的澄清和修改 </w:t>
      </w:r>
    </w:p>
    <w:p w14:paraId="16FD96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8.1 </w:t>
      </w:r>
      <w:r>
        <w:rPr>
          <w:rFonts w:hint="eastAsia" w:ascii="宋体" w:hAnsi="宋体" w:eastAsia="宋体" w:cs="宋体"/>
          <w:color w:val="auto"/>
          <w:sz w:val="24"/>
          <w:szCs w:val="24"/>
          <w:highlight w:val="none"/>
        </w:rPr>
        <w:t>提交首次响应文件截止之日前，采购人、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可以对已发出的磋商文件进行必要的澄清或者修改，澄清或者修改的内容作为磋商文件的组成部分。澄清或者修改的内容可能影响响应文件编制的，采购人、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应当在提交首次响应文件截止时间至少5日前，以书面形式通知所有获取磋商文件的供应商；不足5日的，采购人、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应当顺延提交首次响应文件截止时间。同时在磋商文件指定的政府采购信息发布媒体上发布变更公告。</w:t>
      </w:r>
      <w:r>
        <w:rPr>
          <w:rFonts w:hint="eastAsia" w:cs="宋体"/>
          <w:color w:val="auto"/>
          <w:sz w:val="24"/>
          <w:szCs w:val="24"/>
          <w:highlight w:val="none"/>
          <w:lang w:val="en-US" w:eastAsia="zh-CN"/>
        </w:rPr>
        <w:t>一经发布，视为收到变更</w:t>
      </w:r>
      <w:r>
        <w:rPr>
          <w:rFonts w:hint="eastAsia" w:ascii="宋体" w:hAnsi="宋体" w:eastAsia="宋体" w:cs="宋体"/>
          <w:color w:val="auto"/>
          <w:sz w:val="24"/>
          <w:szCs w:val="24"/>
          <w:highlight w:val="none"/>
        </w:rPr>
        <w:t xml:space="preserve">。 </w:t>
      </w:r>
    </w:p>
    <w:p w14:paraId="170EE73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8.2 </w:t>
      </w:r>
      <w:r>
        <w:rPr>
          <w:rFonts w:hint="eastAsia" w:ascii="宋体" w:hAnsi="宋体" w:eastAsia="宋体" w:cs="宋体"/>
          <w:color w:val="auto"/>
          <w:sz w:val="24"/>
          <w:szCs w:val="24"/>
          <w:highlight w:val="none"/>
        </w:rPr>
        <w:t>磋商文件的澄清或者修改内容作为磋商文件的组成部分，并对供应商具有约束力。当磋商文件、磋商文件的澄清或修改在同一内容的表述上不一致时，以最后发出的文件内容为准。</w:t>
      </w:r>
    </w:p>
    <w:p w14:paraId="66C6704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 </w:t>
      </w:r>
      <w:r>
        <w:rPr>
          <w:rFonts w:hint="eastAsia" w:ascii="宋体" w:hAnsi="宋体" w:eastAsia="宋体" w:cs="宋体"/>
          <w:color w:val="auto"/>
          <w:sz w:val="24"/>
          <w:szCs w:val="24"/>
          <w:highlight w:val="none"/>
        </w:rPr>
        <w:t xml:space="preserve">答疑会或现场考察 </w:t>
      </w:r>
    </w:p>
    <w:p w14:paraId="1E55B49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9.1 </w:t>
      </w:r>
      <w:r>
        <w:rPr>
          <w:rFonts w:hint="eastAsia" w:ascii="宋体" w:hAnsi="宋体" w:eastAsia="宋体" w:cs="宋体"/>
          <w:color w:val="auto"/>
          <w:sz w:val="24"/>
          <w:szCs w:val="24"/>
          <w:highlight w:val="none"/>
        </w:rPr>
        <w:t>除磋商须知前附表中另有规定，本项目不举行磋商前答疑会及</w:t>
      </w:r>
      <w:r>
        <w:rPr>
          <w:rFonts w:hint="eastAsia" w:cs="宋体"/>
          <w:color w:val="auto"/>
          <w:sz w:val="24"/>
          <w:szCs w:val="24"/>
          <w:highlight w:val="none"/>
          <w:lang w:val="en-US" w:eastAsia="zh-CN"/>
        </w:rPr>
        <w:t>勘察</w:t>
      </w:r>
      <w:r>
        <w:rPr>
          <w:rFonts w:hint="eastAsia" w:ascii="宋体" w:hAnsi="宋体" w:eastAsia="宋体" w:cs="宋体"/>
          <w:color w:val="auto"/>
          <w:sz w:val="24"/>
          <w:szCs w:val="24"/>
          <w:highlight w:val="none"/>
        </w:rPr>
        <w:t xml:space="preserve">现场。 </w:t>
      </w:r>
    </w:p>
    <w:p w14:paraId="2464188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9.2 </w:t>
      </w:r>
      <w:r>
        <w:rPr>
          <w:rFonts w:hint="eastAsia" w:ascii="宋体" w:hAnsi="宋体" w:eastAsia="宋体" w:cs="宋体"/>
          <w:color w:val="auto"/>
          <w:sz w:val="24"/>
          <w:szCs w:val="24"/>
          <w:highlight w:val="none"/>
        </w:rPr>
        <w:t>如举行磋商前答疑会或现场考察的，则按以下规定：已获取磋商文件的潜在供应商对本项目提出疑问的，需在答疑会或现场考察召开日前至少一个工作日将问题以书面形式（加盖公章）提交至</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将以书面形式通知所有获取磋商文件的潜在供应商代表于磋商须知前附表规定的时间和地点出席答疑会或现场考察。 </w:t>
      </w:r>
    </w:p>
    <w:p w14:paraId="6E64C7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9.3 </w:t>
      </w:r>
      <w:r>
        <w:rPr>
          <w:rFonts w:hint="eastAsia" w:ascii="宋体" w:hAnsi="宋体" w:eastAsia="宋体" w:cs="宋体"/>
          <w:color w:val="auto"/>
          <w:sz w:val="24"/>
          <w:szCs w:val="24"/>
          <w:highlight w:val="none"/>
        </w:rPr>
        <w:t xml:space="preserve">已获取磋商文件的供应商如不出席答疑会或现场考察视为对磋商文件所有内容无任何异议。 </w:t>
      </w:r>
    </w:p>
    <w:p w14:paraId="7E2634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45E0B12">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3092" w:firstLineChars="11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响应文件的编制</w:t>
      </w:r>
    </w:p>
    <w:p w14:paraId="478F9191">
      <w:pPr>
        <w:pStyle w:val="9"/>
        <w:numPr>
          <w:ilvl w:val="0"/>
          <w:numId w:val="0"/>
        </w:numPr>
        <w:ind w:leftChars="200" w:right="0" w:rightChars="0"/>
        <w:rPr>
          <w:rFonts w:hint="eastAsia"/>
          <w:color w:val="auto"/>
          <w:highlight w:val="none"/>
        </w:rPr>
      </w:pPr>
    </w:p>
    <w:p w14:paraId="25BD9F0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10 </w:t>
      </w:r>
      <w:r>
        <w:rPr>
          <w:rFonts w:hint="eastAsia" w:ascii="宋体" w:hAnsi="宋体" w:eastAsia="宋体" w:cs="宋体"/>
          <w:color w:val="auto"/>
          <w:sz w:val="24"/>
          <w:szCs w:val="24"/>
          <w:highlight w:val="none"/>
        </w:rPr>
        <w:t xml:space="preserve">响应文件的构成 </w:t>
      </w:r>
    </w:p>
    <w:p w14:paraId="055DAB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供应商编写的响应文件应包括价格部分、商务部分和技术部分。供应商</w:t>
      </w:r>
      <w:r>
        <w:rPr>
          <w:rFonts w:hint="eastAsia" w:cs="宋体"/>
          <w:color w:val="auto"/>
          <w:sz w:val="24"/>
          <w:szCs w:val="24"/>
          <w:highlight w:val="none"/>
          <w:lang w:val="en-US" w:eastAsia="zh-CN"/>
        </w:rPr>
        <w:t>可以</w:t>
      </w:r>
      <w:r>
        <w:rPr>
          <w:rFonts w:hint="eastAsia" w:ascii="宋体" w:hAnsi="宋体" w:eastAsia="宋体" w:cs="宋体"/>
          <w:color w:val="auto"/>
          <w:sz w:val="24"/>
          <w:szCs w:val="24"/>
          <w:highlight w:val="none"/>
        </w:rPr>
        <w:t>参考磋商文件第五部分</w:t>
      </w:r>
      <w:r>
        <w:rPr>
          <w:rFonts w:hint="eastAsia" w:ascii="宋体" w:hAnsi="宋体" w:eastAsia="宋体" w:cs="宋体"/>
          <w:b/>
          <w:bCs/>
          <w:color w:val="auto"/>
          <w:sz w:val="24"/>
          <w:szCs w:val="24"/>
          <w:highlight w:val="none"/>
        </w:rPr>
        <w:t>响应文件格式</w:t>
      </w:r>
      <w:r>
        <w:rPr>
          <w:rFonts w:hint="eastAsia" w:ascii="宋体" w:hAnsi="宋体" w:eastAsia="宋体" w:cs="宋体"/>
          <w:color w:val="auto"/>
          <w:sz w:val="24"/>
          <w:szCs w:val="24"/>
          <w:highlight w:val="none"/>
        </w:rPr>
        <w:t xml:space="preserve">顺序编排响应文件。 </w:t>
      </w:r>
    </w:p>
    <w:p w14:paraId="6CA2C47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 xml:space="preserve">响应文件的语言及编写原则 </w:t>
      </w:r>
    </w:p>
    <w:p w14:paraId="021685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响应文件的语言：响应文件、供应商与</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就磋商项目的文件和来往信件，应以中文书写。供应商提供的支持文件、技术资料和印刷的文献可以用其他语言，但相应实质性内容须附有中文翻译本，在解释响应文件的修改内容时以中文翻译本为准。对中文翻译有异议的，以权威机构的译本为准。 </w:t>
      </w:r>
    </w:p>
    <w:p w14:paraId="3DFA538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11.2 </w:t>
      </w:r>
      <w:r>
        <w:rPr>
          <w:rFonts w:hint="eastAsia" w:ascii="宋体" w:hAnsi="宋体" w:eastAsia="宋体" w:cs="宋体"/>
          <w:color w:val="auto"/>
          <w:sz w:val="24"/>
          <w:szCs w:val="24"/>
          <w:highlight w:val="none"/>
        </w:rPr>
        <w:t xml:space="preserve">计量单位：除在磋商文件的技术规格中另有规定外，计量单位应使用中华人民共和国法定计量单位(国际单位制和国家选定的其他计量单位)。 </w:t>
      </w:r>
    </w:p>
    <w:p w14:paraId="7F6C98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11.3 </w:t>
      </w:r>
      <w:r>
        <w:rPr>
          <w:rFonts w:hint="eastAsia" w:ascii="宋体" w:hAnsi="宋体" w:eastAsia="宋体" w:cs="宋体"/>
          <w:color w:val="auto"/>
          <w:sz w:val="24"/>
          <w:szCs w:val="24"/>
          <w:highlight w:val="none"/>
        </w:rPr>
        <w:t>供应商应完整、真实、准确地填写磋商文件中提供的磋商函、</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w:t>
      </w:r>
      <w:r>
        <w:rPr>
          <w:rFonts w:hint="eastAsia" w:ascii="宋体" w:hAnsi="宋体" w:eastAsia="宋体" w:cs="宋体"/>
          <w:color w:val="auto"/>
          <w:sz w:val="24"/>
          <w:szCs w:val="24"/>
          <w:highlight w:val="none"/>
          <w:lang w:eastAsia="zh-CN"/>
        </w:rPr>
        <w:t>报价明细表</w:t>
      </w:r>
      <w:r>
        <w:rPr>
          <w:rFonts w:hint="eastAsia" w:ascii="宋体" w:hAnsi="宋体" w:eastAsia="宋体" w:cs="宋体"/>
          <w:color w:val="auto"/>
          <w:sz w:val="24"/>
          <w:szCs w:val="24"/>
          <w:highlight w:val="none"/>
        </w:rPr>
        <w:t xml:space="preserve">（如适用）以及磋商文件中规定的其它所有内容。 </w:t>
      </w:r>
    </w:p>
    <w:p w14:paraId="31C19A0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11.4 </w:t>
      </w:r>
      <w:r>
        <w:rPr>
          <w:rFonts w:hint="eastAsia" w:ascii="宋体" w:hAnsi="宋体" w:eastAsia="宋体" w:cs="宋体"/>
          <w:color w:val="auto"/>
          <w:sz w:val="24"/>
          <w:szCs w:val="24"/>
          <w:highlight w:val="none"/>
        </w:rPr>
        <w:t>供应商对磋商文件中多个包组进行投标的，其响应文件的编制应当按每个包</w:t>
      </w:r>
      <w:r>
        <w:rPr>
          <w:rFonts w:hint="eastAsia" w:cs="宋体"/>
          <w:color w:val="auto"/>
          <w:sz w:val="24"/>
          <w:szCs w:val="24"/>
          <w:highlight w:val="none"/>
          <w:lang w:val="en-US" w:eastAsia="zh-CN"/>
        </w:rPr>
        <w:t>上传</w:t>
      </w:r>
      <w:r>
        <w:rPr>
          <w:rFonts w:hint="eastAsia" w:ascii="宋体" w:hAnsi="宋体" w:eastAsia="宋体" w:cs="宋体"/>
          <w:color w:val="auto"/>
          <w:sz w:val="24"/>
          <w:szCs w:val="24"/>
          <w:highlight w:val="none"/>
        </w:rPr>
        <w:t>，对未</w:t>
      </w:r>
      <w:r>
        <w:rPr>
          <w:rFonts w:hint="eastAsia" w:cs="宋体"/>
          <w:color w:val="auto"/>
          <w:sz w:val="24"/>
          <w:szCs w:val="24"/>
          <w:highlight w:val="none"/>
          <w:lang w:val="en-US" w:eastAsia="zh-CN"/>
        </w:rPr>
        <w:t>按要求上传的响应文件，</w:t>
      </w:r>
      <w:r>
        <w:rPr>
          <w:rFonts w:hint="eastAsia" w:ascii="宋体" w:hAnsi="宋体" w:eastAsia="宋体" w:cs="宋体"/>
          <w:color w:val="auto"/>
          <w:sz w:val="24"/>
          <w:szCs w:val="24"/>
          <w:highlight w:val="none"/>
        </w:rPr>
        <w:t xml:space="preserve">由此造成的后果和责任由供应商承担。 </w:t>
      </w:r>
    </w:p>
    <w:p w14:paraId="4D6E26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11.5 </w:t>
      </w:r>
      <w:r>
        <w:rPr>
          <w:rFonts w:hint="eastAsia" w:ascii="宋体" w:hAnsi="宋体" w:eastAsia="宋体" w:cs="宋体"/>
          <w:color w:val="auto"/>
          <w:sz w:val="24"/>
          <w:szCs w:val="24"/>
          <w:highlight w:val="none"/>
        </w:rPr>
        <w:t>供应商必须对响应文件所提供的全部资料的真实性承担法律责任，并无条件接受采购人、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及监管部门等对其中任何资料进行核实的要求。 </w:t>
      </w:r>
    </w:p>
    <w:p w14:paraId="26D248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11.6 </w:t>
      </w:r>
      <w:r>
        <w:rPr>
          <w:rFonts w:hint="eastAsia" w:ascii="宋体" w:hAnsi="宋体" w:eastAsia="宋体" w:cs="宋体"/>
          <w:color w:val="auto"/>
          <w:sz w:val="24"/>
          <w:szCs w:val="24"/>
          <w:highlight w:val="none"/>
        </w:rPr>
        <w:t xml:space="preserve">如果因为供应商的响应文件只填写和提供了本磋商文件要求的部分内容和附件，或没有提供磋商文件中所要求的全部资料及数据，由此造成的后果和责任由供应商承担。 </w:t>
      </w:r>
    </w:p>
    <w:p w14:paraId="2A6996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 xml:space="preserve">首次报价 </w:t>
      </w:r>
    </w:p>
    <w:p w14:paraId="107302E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12.1 </w:t>
      </w:r>
      <w:r>
        <w:rPr>
          <w:rFonts w:hint="eastAsia" w:ascii="宋体" w:hAnsi="宋体" w:eastAsia="宋体" w:cs="宋体"/>
          <w:color w:val="auto"/>
          <w:sz w:val="24"/>
          <w:szCs w:val="24"/>
          <w:highlight w:val="none"/>
        </w:rPr>
        <w:t>供应商对所提供的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均以人民币报价。 </w:t>
      </w:r>
    </w:p>
    <w:p w14:paraId="2540C05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12.2 </w:t>
      </w:r>
      <w:r>
        <w:rPr>
          <w:rFonts w:hint="eastAsia" w:ascii="宋体" w:hAnsi="宋体" w:eastAsia="宋体" w:cs="宋体"/>
          <w:color w:val="auto"/>
          <w:sz w:val="24"/>
          <w:szCs w:val="24"/>
          <w:highlight w:val="none"/>
        </w:rPr>
        <w:t xml:space="preserve">首次报价超过本项目预算金额的按无效响应处理。 </w:t>
      </w:r>
    </w:p>
    <w:p w14:paraId="4D06897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 </w:t>
      </w:r>
      <w:r>
        <w:rPr>
          <w:rFonts w:hint="eastAsia" w:ascii="宋体" w:hAnsi="宋体" w:eastAsia="宋体" w:cs="宋体"/>
          <w:color w:val="auto"/>
          <w:sz w:val="24"/>
          <w:szCs w:val="24"/>
          <w:highlight w:val="none"/>
        </w:rPr>
        <w:t>供应商应按照“</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”中采购项目技术或服务要求规定的内容、责任范围进行首次报价，并按《</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的要求报出首次价格。首次报价总价中不得包含磋商文件要求以外的内容，否则，在评审时不予核减。首次报价总价中不得缺漏磋商文件所要求的内容，否则，被视为包含在首次报价总价中。《</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一览表（首次报价表）》中若出现免费项及赠送项则视同该部分价包含在总报价中。 </w:t>
      </w:r>
    </w:p>
    <w:p w14:paraId="6023483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 xml:space="preserve">12.4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标价的工程量清单</w:t>
      </w:r>
      <w:r>
        <w:rPr>
          <w:rFonts w:hint="eastAsia" w:ascii="宋体" w:hAnsi="宋体" w:eastAsia="宋体" w:cs="宋体"/>
          <w:color w:val="auto"/>
          <w:sz w:val="24"/>
          <w:szCs w:val="24"/>
          <w:highlight w:val="none"/>
        </w:rPr>
        <w:t>》内容应包含：</w:t>
      </w:r>
      <w:r>
        <w:rPr>
          <w:rFonts w:hint="eastAsia" w:ascii="宋体" w:hAnsi="宋体" w:eastAsia="宋体" w:cs="宋体"/>
          <w:color w:val="auto"/>
          <w:kern w:val="0"/>
          <w:sz w:val="24"/>
          <w:szCs w:val="24"/>
          <w:highlight w:val="none"/>
          <w:lang w:val="en-US" w:eastAsia="zh-CN" w:bidi="ar"/>
        </w:rPr>
        <w:t>具体内容及所需的表格，以</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文件的“附件</w:t>
      </w:r>
      <w:r>
        <w:rPr>
          <w:rFonts w:hint="eastAsia"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工程量清单”</w:t>
      </w:r>
      <w:r>
        <w:rPr>
          <w:rFonts w:hint="eastAsia" w:cs="宋体"/>
          <w:color w:val="auto"/>
          <w:kern w:val="0"/>
          <w:sz w:val="24"/>
          <w:szCs w:val="24"/>
          <w:highlight w:val="none"/>
          <w:lang w:val="en-US" w:eastAsia="zh-CN" w:bidi="ar"/>
        </w:rPr>
        <w:t>及投标总价单</w:t>
      </w:r>
      <w:r>
        <w:rPr>
          <w:rFonts w:hint="eastAsia" w:ascii="宋体" w:hAnsi="宋体" w:eastAsia="宋体" w:cs="宋体"/>
          <w:color w:val="auto"/>
          <w:kern w:val="0"/>
          <w:sz w:val="24"/>
          <w:szCs w:val="24"/>
          <w:highlight w:val="none"/>
          <w:lang w:val="en-US" w:eastAsia="zh-CN" w:bidi="ar"/>
        </w:rPr>
        <w:t>为准</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本项目</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文件中投标总价单必须由投标单位</w:t>
      </w:r>
      <w:r>
        <w:rPr>
          <w:rFonts w:hint="eastAsia" w:ascii="宋体" w:hAnsi="宋体" w:eastAsia="宋体" w:cs="宋体"/>
          <w:b/>
          <w:bCs/>
          <w:color w:val="auto"/>
          <w:kern w:val="0"/>
          <w:sz w:val="24"/>
          <w:szCs w:val="24"/>
          <w:highlight w:val="none"/>
          <w:lang w:val="en-US" w:eastAsia="zh-CN" w:bidi="ar"/>
        </w:rPr>
        <w:t>注册造价工程师签字并盖专用章</w:t>
      </w:r>
      <w:r>
        <w:rPr>
          <w:rFonts w:hint="eastAsia" w:ascii="宋体" w:hAnsi="宋体" w:eastAsia="宋体" w:cs="宋体"/>
          <w:color w:val="auto"/>
          <w:kern w:val="0"/>
          <w:sz w:val="24"/>
          <w:szCs w:val="24"/>
          <w:highlight w:val="none"/>
          <w:lang w:val="en-US" w:eastAsia="zh-CN" w:bidi="ar"/>
        </w:rPr>
        <w:t>，否则视为不响应磋商文件。</w:t>
      </w:r>
    </w:p>
    <w:p w14:paraId="47F747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12.5 </w:t>
      </w:r>
      <w:r>
        <w:rPr>
          <w:rFonts w:hint="eastAsia" w:ascii="宋体" w:hAnsi="宋体" w:eastAsia="宋体" w:cs="宋体"/>
          <w:color w:val="auto"/>
          <w:sz w:val="24"/>
          <w:szCs w:val="24"/>
          <w:highlight w:val="none"/>
        </w:rPr>
        <w:t>除</w:t>
      </w:r>
      <w:r>
        <w:rPr>
          <w:rFonts w:hint="eastAsia" w:ascii="宋体" w:hAnsi="宋体" w:eastAsia="宋体" w:cs="宋体"/>
          <w:b/>
          <w:bCs/>
          <w:color w:val="auto"/>
          <w:sz w:val="24"/>
          <w:szCs w:val="24"/>
          <w:highlight w:val="none"/>
        </w:rPr>
        <w:t>磋商须知前附表</w:t>
      </w:r>
      <w:r>
        <w:rPr>
          <w:rFonts w:hint="eastAsia" w:ascii="宋体" w:hAnsi="宋体" w:eastAsia="宋体" w:cs="宋体"/>
          <w:color w:val="auto"/>
          <w:sz w:val="24"/>
          <w:szCs w:val="24"/>
          <w:highlight w:val="none"/>
        </w:rPr>
        <w:t xml:space="preserve">中另有规定，供应商所报的磋商价在合同执行过程中是固定不变的，不得以任何理由予以变更。任何包含价格调整要求的磋商被认为是非实质性响应响应而予以拒绝。 </w:t>
      </w:r>
    </w:p>
    <w:p w14:paraId="0A89265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12.6 </w:t>
      </w:r>
      <w:r>
        <w:rPr>
          <w:rFonts w:hint="eastAsia" w:ascii="宋体" w:hAnsi="宋体" w:eastAsia="宋体" w:cs="宋体"/>
          <w:color w:val="auto"/>
          <w:sz w:val="24"/>
          <w:szCs w:val="24"/>
          <w:highlight w:val="none"/>
        </w:rPr>
        <w:t xml:space="preserve">除磋商须知前附表中允许有备选方案外，本次磋商不接受选择性报价，不接受具有附加条件的报价，否则将被视为无效响应。 </w:t>
      </w:r>
    </w:p>
    <w:p w14:paraId="17B2F1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 xml:space="preserve">联合体投标 </w:t>
      </w:r>
    </w:p>
    <w:p w14:paraId="79005CB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 </w:t>
      </w:r>
      <w:r>
        <w:rPr>
          <w:rFonts w:hint="eastAsia" w:ascii="宋体" w:hAnsi="宋体" w:eastAsia="宋体" w:cs="宋体"/>
          <w:color w:val="auto"/>
          <w:sz w:val="24"/>
          <w:szCs w:val="24"/>
          <w:highlight w:val="none"/>
        </w:rPr>
        <w:t>磋商文件第一部分“磋商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”中拒绝接受联合体投标的，则不接受联合体磋商。如果“磋商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”中允许联合体投标的，则必须满足： </w:t>
      </w:r>
    </w:p>
    <w:p w14:paraId="06A036A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13.1.1 </w:t>
      </w:r>
      <w:r>
        <w:rPr>
          <w:rFonts w:hint="eastAsia" w:ascii="宋体" w:hAnsi="宋体" w:eastAsia="宋体" w:cs="宋体"/>
          <w:color w:val="auto"/>
          <w:sz w:val="24"/>
          <w:szCs w:val="24"/>
          <w:highlight w:val="none"/>
        </w:rPr>
        <w:t xml:space="preserve">以联合体形式参加磋商的，联合体各方均必须符合《中华人民共和国政府采购法》第二十二条规定，联合体中有同类资质的供应商按照联合体分工承担相同工作的，按照资质等级较低的供应商确定资质等级。  </w:t>
      </w:r>
    </w:p>
    <w:p w14:paraId="105E092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13.1.2 </w:t>
      </w:r>
      <w:r>
        <w:rPr>
          <w:rFonts w:hint="eastAsia" w:ascii="宋体" w:hAnsi="宋体" w:eastAsia="宋体" w:cs="宋体"/>
          <w:color w:val="auto"/>
          <w:sz w:val="24"/>
          <w:szCs w:val="24"/>
          <w:highlight w:val="none"/>
        </w:rPr>
        <w:t xml:space="preserve">联合体磋商的，必须提供各方签订的共同投标协议，明确约定各方承担的工作和相应的责任。联合体各方签订共同磋商协议后，不得再以自己名义单独在同一项目（或包组）中磋商，也不得组成新的联合体参加同一项目（或包组）磋商。 </w:t>
      </w:r>
    </w:p>
    <w:p w14:paraId="47BAD0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13.1.3 </w:t>
      </w:r>
      <w:r>
        <w:rPr>
          <w:rFonts w:hint="eastAsia" w:ascii="宋体" w:hAnsi="宋体" w:eastAsia="宋体" w:cs="宋体"/>
          <w:color w:val="auto"/>
          <w:sz w:val="24"/>
          <w:szCs w:val="24"/>
          <w:highlight w:val="none"/>
        </w:rPr>
        <w:t xml:space="preserve">联合体磋商的，可以由联合体中的一方或者共同提交磋商保证金，以一方名义提交投磋商证金的，对联合体各方均具有约束力。 </w:t>
      </w:r>
    </w:p>
    <w:p w14:paraId="6741E9F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13.1.4 </w:t>
      </w:r>
      <w:r>
        <w:rPr>
          <w:rFonts w:hint="eastAsia" w:ascii="宋体" w:hAnsi="宋体" w:eastAsia="宋体" w:cs="宋体"/>
          <w:color w:val="auto"/>
          <w:sz w:val="24"/>
          <w:szCs w:val="24"/>
          <w:highlight w:val="none"/>
        </w:rPr>
        <w:t xml:space="preserve">联合体成交的，联合体各方应当共同与采购人签订合同。 </w:t>
      </w:r>
    </w:p>
    <w:p w14:paraId="10AB0A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13.1.5 </w:t>
      </w:r>
      <w:r>
        <w:rPr>
          <w:rFonts w:hint="eastAsia" w:ascii="宋体" w:hAnsi="宋体" w:eastAsia="宋体" w:cs="宋体"/>
          <w:color w:val="auto"/>
          <w:sz w:val="24"/>
          <w:szCs w:val="24"/>
          <w:highlight w:val="none"/>
        </w:rPr>
        <w:t>联合体在报名登记时，提交经联合体各方盖章的联合体磋商协议，以确认联合体的牵头人及成员。</w:t>
      </w:r>
    </w:p>
    <w:p w14:paraId="0EEC42A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 xml:space="preserve">证明供应商合格的资格文件 </w:t>
      </w:r>
    </w:p>
    <w:p w14:paraId="2BE35A4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14.1 </w:t>
      </w:r>
      <w:r>
        <w:rPr>
          <w:rFonts w:hint="eastAsia" w:ascii="宋体" w:hAnsi="宋体" w:eastAsia="宋体" w:cs="宋体"/>
          <w:color w:val="auto"/>
          <w:sz w:val="24"/>
          <w:szCs w:val="24"/>
          <w:highlight w:val="none"/>
        </w:rPr>
        <w:t xml:space="preserve">供应商应提交证明其有资格参加磋商和被确定为成交供应商后有能力履行合同的文件，以及证明其提供的合同项下，服务的合格性符合磋商文件规定的文件，并作为响应文件的一部分。如果供应商为联合体，应提交联合体各方的资格证明文件、共同磋商协议并注明主体方及各方拟承担的工作和责任。否则，将导致其响应无效。 </w:t>
      </w:r>
    </w:p>
    <w:p w14:paraId="255C7EC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14.2 </w:t>
      </w:r>
      <w:r>
        <w:rPr>
          <w:rFonts w:hint="eastAsia" w:ascii="宋体" w:hAnsi="宋体" w:eastAsia="宋体" w:cs="宋体"/>
          <w:color w:val="auto"/>
          <w:sz w:val="24"/>
          <w:szCs w:val="24"/>
          <w:highlight w:val="none"/>
        </w:rPr>
        <w:t>供应商提交的资格证明文件应满足第一部分“磋商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”供应商资格要求的全部条款。 </w:t>
      </w:r>
    </w:p>
    <w:p w14:paraId="3E15C6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 </w:t>
      </w:r>
      <w:r>
        <w:rPr>
          <w:rFonts w:hint="eastAsia" w:ascii="宋体" w:hAnsi="宋体" w:eastAsia="宋体" w:cs="宋体"/>
          <w:color w:val="auto"/>
          <w:sz w:val="24"/>
          <w:szCs w:val="24"/>
          <w:highlight w:val="none"/>
        </w:rPr>
        <w:t xml:space="preserve">证明标的的合格性和符合磋商文件规定的文件 </w:t>
      </w:r>
    </w:p>
    <w:p w14:paraId="4D944D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15.1 </w:t>
      </w:r>
      <w:r>
        <w:rPr>
          <w:rFonts w:hint="eastAsia" w:ascii="宋体" w:hAnsi="宋体" w:eastAsia="宋体" w:cs="宋体"/>
          <w:color w:val="auto"/>
          <w:sz w:val="24"/>
          <w:szCs w:val="24"/>
          <w:highlight w:val="none"/>
        </w:rPr>
        <w:t>供应商应提交证明文件，证明其拟磋商的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的合格性符合磋商文件规定。该证明文件作为响应文件的一部分。 </w:t>
      </w:r>
    </w:p>
    <w:p w14:paraId="0FD24E9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15.2 工程</w:t>
      </w:r>
      <w:r>
        <w:rPr>
          <w:rFonts w:hint="eastAsia" w:ascii="宋体" w:hAnsi="宋体" w:eastAsia="宋体" w:cs="宋体"/>
          <w:color w:val="auto"/>
          <w:sz w:val="24"/>
          <w:szCs w:val="24"/>
          <w:highlight w:val="none"/>
        </w:rPr>
        <w:t>合格性的证明文件应包括</w:t>
      </w:r>
      <w:r>
        <w:rPr>
          <w:rFonts w:hint="eastAsia" w:ascii="宋体" w:hAnsi="宋体" w:eastAsia="宋体" w:cs="宋体"/>
          <w:color w:val="auto"/>
          <w:sz w:val="24"/>
          <w:szCs w:val="24"/>
          <w:highlight w:val="none"/>
          <w:lang w:val="en-US" w:eastAsia="zh-CN"/>
        </w:rPr>
        <w:t>标价的工程量清单</w:t>
      </w:r>
      <w:r>
        <w:rPr>
          <w:rFonts w:hint="eastAsia" w:ascii="宋体" w:hAnsi="宋体" w:eastAsia="宋体" w:cs="宋体"/>
          <w:color w:val="auto"/>
          <w:sz w:val="24"/>
          <w:szCs w:val="24"/>
          <w:highlight w:val="none"/>
        </w:rPr>
        <w:t xml:space="preserve">中对货物和服务原产地的说明。 </w:t>
      </w:r>
    </w:p>
    <w:p w14:paraId="64ABA0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 xml:space="preserve">15.3 </w:t>
      </w:r>
      <w:r>
        <w:rPr>
          <w:rFonts w:hint="eastAsia" w:ascii="宋体" w:hAnsi="宋体" w:eastAsia="宋体" w:cs="宋体"/>
          <w:color w:val="auto"/>
          <w:sz w:val="24"/>
          <w:szCs w:val="24"/>
          <w:highlight w:val="none"/>
        </w:rPr>
        <w:t>证明</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与磋商文件的要求相一致的文件，可以是文字资料、图纸和数据，它包括： </w:t>
      </w:r>
    </w:p>
    <w:p w14:paraId="26F7C2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15.3.1 工程</w:t>
      </w:r>
      <w:r>
        <w:rPr>
          <w:rFonts w:hint="eastAsia" w:ascii="宋体" w:hAnsi="宋体" w:eastAsia="宋体" w:cs="宋体"/>
          <w:color w:val="auto"/>
          <w:sz w:val="24"/>
          <w:szCs w:val="24"/>
          <w:highlight w:val="none"/>
        </w:rPr>
        <w:t xml:space="preserve">主要技术指标和性能的详细说明； </w:t>
      </w:r>
    </w:p>
    <w:p w14:paraId="298892E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15.3.2 工程</w:t>
      </w:r>
      <w:r>
        <w:rPr>
          <w:rFonts w:hint="eastAsia" w:ascii="宋体" w:hAnsi="宋体" w:eastAsia="宋体" w:cs="宋体"/>
          <w:color w:val="auto"/>
          <w:sz w:val="24"/>
          <w:szCs w:val="24"/>
          <w:highlight w:val="none"/>
        </w:rPr>
        <w:t xml:space="preserve">正常使用所必须的备件和专用工具清单，包括备件和专用工具的货源及现行价格； </w:t>
      </w:r>
    </w:p>
    <w:p w14:paraId="313F1C0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15.3.3</w:t>
      </w:r>
      <w:r>
        <w:rPr>
          <w:rFonts w:hint="eastAsia" w:ascii="宋体" w:hAnsi="宋体" w:eastAsia="宋体" w:cs="宋体"/>
          <w:color w:val="auto"/>
          <w:sz w:val="24"/>
          <w:szCs w:val="24"/>
          <w:highlight w:val="none"/>
        </w:rPr>
        <w:t>对照磋商文件技术规格，逐条说明所提供</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已对磋商文件的技术规格作出了实质性的响应，并申明与技术规格条文的偏差和例外。对有具体参数要求的指标，供应商应提供所投设备的具体参数值。供应商在阐述时应注意磋商文件的技术规格中指出的工艺、材料和设备的标准。供应商在磋商中要实质上满足磋商文件的要求。 </w:t>
      </w:r>
    </w:p>
    <w:p w14:paraId="1D14449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 </w:t>
      </w:r>
      <w:r>
        <w:rPr>
          <w:rFonts w:hint="eastAsia" w:ascii="宋体" w:hAnsi="宋体" w:eastAsia="宋体" w:cs="宋体"/>
          <w:color w:val="auto"/>
          <w:sz w:val="24"/>
          <w:szCs w:val="24"/>
          <w:highlight w:val="none"/>
        </w:rPr>
        <w:t xml:space="preserve">不允许偏离的实质性条款 </w:t>
      </w:r>
    </w:p>
    <w:p w14:paraId="37D3EFC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 </w:t>
      </w:r>
      <w:r>
        <w:rPr>
          <w:rFonts w:hint="eastAsia" w:ascii="宋体" w:hAnsi="宋体" w:eastAsia="宋体" w:cs="宋体"/>
          <w:color w:val="auto"/>
          <w:sz w:val="24"/>
          <w:szCs w:val="24"/>
          <w:highlight w:val="none"/>
        </w:rPr>
        <w:t xml:space="preserve">响应文件必须对磋商文件中实质性条款的要求进行响应，不能出现负偏离，否则将导致响应无效。不允许负偏离的实质性条款如下： </w:t>
      </w:r>
    </w:p>
    <w:p w14:paraId="6030E0F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16.1.1 </w:t>
      </w:r>
      <w:r>
        <w:rPr>
          <w:rFonts w:hint="eastAsia" w:ascii="宋体" w:hAnsi="宋体" w:eastAsia="宋体" w:cs="宋体"/>
          <w:color w:val="auto"/>
          <w:sz w:val="24"/>
          <w:szCs w:val="24"/>
          <w:highlight w:val="none"/>
        </w:rPr>
        <w:t xml:space="preserve">加注“★部分”条款； </w:t>
      </w:r>
    </w:p>
    <w:p w14:paraId="7A9D6D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16.1.2 </w:t>
      </w:r>
      <w:r>
        <w:rPr>
          <w:rFonts w:hint="eastAsia" w:ascii="宋体" w:hAnsi="宋体" w:eastAsia="宋体" w:cs="宋体"/>
          <w:color w:val="auto"/>
          <w:sz w:val="24"/>
          <w:szCs w:val="24"/>
          <w:highlight w:val="none"/>
        </w:rPr>
        <w:t xml:space="preserve">磋商文件规定的其他必须响应的内容。 </w:t>
      </w:r>
    </w:p>
    <w:p w14:paraId="240049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16.2 </w:t>
      </w:r>
      <w:r>
        <w:rPr>
          <w:rFonts w:hint="eastAsia" w:ascii="宋体" w:hAnsi="宋体" w:eastAsia="宋体" w:cs="宋体"/>
          <w:color w:val="auto"/>
          <w:sz w:val="24"/>
          <w:szCs w:val="24"/>
          <w:highlight w:val="none"/>
        </w:rPr>
        <w:t>响应文件中技术规格、参数或其他内容优于磋商文件的要求视作正偏离，不构成响应无效，供应商对这种优于</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要求的情况必须单独说明。</w:t>
      </w:r>
    </w:p>
    <w:p w14:paraId="38DB38D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 </w:t>
      </w:r>
      <w:r>
        <w:rPr>
          <w:rFonts w:hint="eastAsia" w:ascii="宋体" w:hAnsi="宋体" w:eastAsia="宋体" w:cs="宋体"/>
          <w:color w:val="auto"/>
          <w:sz w:val="24"/>
          <w:szCs w:val="24"/>
          <w:highlight w:val="none"/>
        </w:rPr>
        <w:t xml:space="preserve">磋商保证金 </w:t>
      </w:r>
    </w:p>
    <w:p w14:paraId="2B8C0E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17.1 </w:t>
      </w:r>
      <w:r>
        <w:rPr>
          <w:rFonts w:hint="eastAsia" w:ascii="宋体" w:hAnsi="宋体" w:eastAsia="宋体" w:cs="宋体"/>
          <w:color w:val="auto"/>
          <w:sz w:val="24"/>
          <w:szCs w:val="24"/>
          <w:highlight w:val="none"/>
        </w:rPr>
        <w:t xml:space="preserve">供应商应按磋商须知前附表中规定的金额、期限缴纳磋商保证金，并作为其响应文件的组成部分。 </w:t>
      </w:r>
    </w:p>
    <w:p w14:paraId="69C65BA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17.2 采</w:t>
      </w:r>
      <w:r>
        <w:rPr>
          <w:rFonts w:hint="eastAsia" w:ascii="宋体" w:hAnsi="宋体" w:eastAsia="宋体" w:cs="宋体"/>
          <w:color w:val="auto"/>
          <w:sz w:val="24"/>
          <w:szCs w:val="24"/>
          <w:highlight w:val="none"/>
        </w:rPr>
        <w:t>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应当在采购活动结束后退还供应商的磋商保证金，但因供应商自身原因导致无法及时退还的除外。未成交供应商的磋商保证金应当在成交通知书发出后5个工作日内退还，成交供应商的磋商保证金应当在采购合同签订后5个工作日内退还。 </w:t>
      </w:r>
    </w:p>
    <w:p w14:paraId="0B8FAF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 </w:t>
      </w:r>
      <w:r>
        <w:rPr>
          <w:rFonts w:hint="eastAsia" w:ascii="宋体" w:hAnsi="宋体" w:eastAsia="宋体" w:cs="宋体"/>
          <w:color w:val="auto"/>
          <w:sz w:val="24"/>
          <w:szCs w:val="24"/>
          <w:highlight w:val="none"/>
        </w:rPr>
        <w:t xml:space="preserve">有下列情形之一的，磋商保证金不予退还： </w:t>
      </w:r>
    </w:p>
    <w:p w14:paraId="79F3BD9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17.3.1 </w:t>
      </w:r>
      <w:r>
        <w:rPr>
          <w:rFonts w:hint="eastAsia" w:ascii="宋体" w:hAnsi="宋体" w:eastAsia="宋体" w:cs="宋体"/>
          <w:color w:val="auto"/>
          <w:sz w:val="24"/>
          <w:szCs w:val="24"/>
          <w:highlight w:val="none"/>
        </w:rPr>
        <w:t xml:space="preserve">供应商在提交响应文件截止时间后撤回响应文件的； </w:t>
      </w:r>
    </w:p>
    <w:p w14:paraId="2022B6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17.3.2 </w:t>
      </w:r>
      <w:r>
        <w:rPr>
          <w:rFonts w:hint="eastAsia" w:ascii="宋体" w:hAnsi="宋体" w:eastAsia="宋体" w:cs="宋体"/>
          <w:color w:val="auto"/>
          <w:sz w:val="24"/>
          <w:szCs w:val="24"/>
          <w:highlight w:val="none"/>
        </w:rPr>
        <w:t xml:space="preserve">供应商在响应文件中提供虚假材料的； </w:t>
      </w:r>
    </w:p>
    <w:p w14:paraId="033693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17.3.3 </w:t>
      </w:r>
      <w:r>
        <w:rPr>
          <w:rFonts w:hint="eastAsia" w:ascii="宋体" w:hAnsi="宋体" w:eastAsia="宋体" w:cs="宋体"/>
          <w:color w:val="auto"/>
          <w:sz w:val="24"/>
          <w:szCs w:val="24"/>
          <w:highlight w:val="none"/>
        </w:rPr>
        <w:t xml:space="preserve">除因不可抗力或磋商文件认可的情形以外，成交供应商不与采购人签订合同的； </w:t>
      </w:r>
    </w:p>
    <w:p w14:paraId="619F3CF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17.3.4 </w:t>
      </w:r>
      <w:r>
        <w:rPr>
          <w:rFonts w:hint="eastAsia" w:ascii="宋体" w:hAnsi="宋体" w:eastAsia="宋体" w:cs="宋体"/>
          <w:color w:val="auto"/>
          <w:sz w:val="24"/>
          <w:szCs w:val="24"/>
          <w:highlight w:val="none"/>
        </w:rPr>
        <w:t xml:space="preserve">供应商与采购人、其他供应商恶意串通的； </w:t>
      </w:r>
    </w:p>
    <w:p w14:paraId="1967C5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17.3.5 </w:t>
      </w:r>
      <w:r>
        <w:rPr>
          <w:rFonts w:hint="eastAsia" w:ascii="宋体" w:hAnsi="宋体" w:eastAsia="宋体" w:cs="宋体"/>
          <w:color w:val="auto"/>
          <w:sz w:val="24"/>
          <w:szCs w:val="24"/>
          <w:highlight w:val="none"/>
        </w:rPr>
        <w:t xml:space="preserve">磋商文件规定的其他情形。 </w:t>
      </w:r>
    </w:p>
    <w:p w14:paraId="279F92A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 </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 </w:t>
      </w:r>
    </w:p>
    <w:p w14:paraId="350EF14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18.1 </w:t>
      </w:r>
      <w:r>
        <w:rPr>
          <w:rFonts w:hint="eastAsia" w:ascii="宋体" w:hAnsi="宋体" w:eastAsia="宋体" w:cs="宋体"/>
          <w:color w:val="auto"/>
          <w:sz w:val="24"/>
          <w:szCs w:val="24"/>
          <w:highlight w:val="none"/>
        </w:rPr>
        <w:t>响应文件的有效期</w:t>
      </w:r>
      <w:r>
        <w:rPr>
          <w:rFonts w:hint="eastAsia" w:ascii="宋体" w:hAnsi="宋体" w:eastAsia="宋体" w:cs="宋体"/>
          <w:color w:val="auto"/>
          <w:sz w:val="24"/>
          <w:szCs w:val="24"/>
          <w:highlight w:val="none"/>
          <w:lang w:val="en-US" w:eastAsia="zh-CN"/>
        </w:rPr>
        <w:t>见磋商须知前附表之规定</w:t>
      </w:r>
      <w:r>
        <w:rPr>
          <w:rFonts w:hint="eastAsia" w:ascii="宋体" w:hAnsi="宋体" w:eastAsia="宋体" w:cs="宋体"/>
          <w:color w:val="auto"/>
          <w:sz w:val="24"/>
          <w:szCs w:val="24"/>
          <w:highlight w:val="none"/>
        </w:rPr>
        <w:t>，响应文件应在此期限内保持有效。磋商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有效期不足的响应文件将被视为非实质性响应，视为无效响应文件。 </w:t>
      </w:r>
    </w:p>
    <w:p w14:paraId="4C80A1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18.2 </w:t>
      </w:r>
      <w:r>
        <w:rPr>
          <w:rFonts w:hint="eastAsia" w:ascii="宋体" w:hAnsi="宋体" w:eastAsia="宋体" w:cs="宋体"/>
          <w:color w:val="auto"/>
          <w:sz w:val="24"/>
          <w:szCs w:val="24"/>
          <w:highlight w:val="none"/>
        </w:rPr>
        <w:t>特殊情况下，在原磋商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有效期截止之前，</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可要求供应商延长磋商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有效期。这种要求与答复均应以书面形式提交。供应商可拒绝</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的这种要求，其磋商保证金将被无息退还，但其磋商在原磋商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有效期期满后将不再有效。同意延长磋商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有效期的供应商将不会被要求和允许修正其磋商，而只会被要求相应地延长其磋商保证金的有效期。在这种情况下，本须知有关磋商保证金的退还和没收的规定将在延长了的有效期内继续有效。 </w:t>
      </w:r>
    </w:p>
    <w:p w14:paraId="175193B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 </w:t>
      </w:r>
      <w:r>
        <w:rPr>
          <w:rFonts w:hint="eastAsia" w:ascii="宋体" w:hAnsi="宋体" w:eastAsia="宋体" w:cs="宋体"/>
          <w:color w:val="auto"/>
          <w:sz w:val="24"/>
          <w:szCs w:val="24"/>
          <w:highlight w:val="none"/>
        </w:rPr>
        <w:t xml:space="preserve">响应文件的式样和签署 </w:t>
      </w:r>
    </w:p>
    <w:p w14:paraId="6A956E5B">
      <w:pPr>
        <w:spacing w:line="440" w:lineRule="exact"/>
        <w:ind w:firstLine="480" w:firstLineChars="200"/>
        <w:rPr>
          <w:rFonts w:hint="eastAsia"/>
          <w:color w:val="auto"/>
          <w:sz w:val="24"/>
          <w:szCs w:val="24"/>
          <w:highlight w:val="none"/>
        </w:rPr>
      </w:pPr>
      <w:r>
        <w:rPr>
          <w:rFonts w:hint="eastAsia" w:ascii="宋体" w:hAnsi="宋体" w:eastAsia="宋体" w:cs="宋体"/>
          <w:color w:val="auto"/>
          <w:sz w:val="24"/>
          <w:szCs w:val="24"/>
          <w:highlight w:val="none"/>
          <w:lang w:val="en-US" w:eastAsia="zh-CN"/>
        </w:rPr>
        <w:t xml:space="preserve">19.1 </w:t>
      </w:r>
      <w:r>
        <w:rPr>
          <w:rFonts w:hint="eastAsia" w:ascii="宋体" w:hAnsi="宋体" w:eastAsia="宋体" w:cs="宋体"/>
          <w:color w:val="auto"/>
          <w:sz w:val="24"/>
          <w:szCs w:val="24"/>
          <w:highlight w:val="none"/>
        </w:rPr>
        <w:t>响应文件的式样：</w:t>
      </w:r>
      <w:r>
        <w:rPr>
          <w:rFonts w:hint="eastAsia"/>
          <w:color w:val="auto"/>
          <w:sz w:val="24"/>
          <w:szCs w:val="24"/>
          <w:highlight w:val="none"/>
        </w:rPr>
        <w:t xml:space="preserve">在政采云平台上传加密的电子响应文件。 </w:t>
      </w:r>
    </w:p>
    <w:p w14:paraId="0F62AC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 </w:t>
      </w:r>
      <w:r>
        <w:rPr>
          <w:rFonts w:hint="eastAsia" w:ascii="宋体" w:hAnsi="宋体" w:eastAsia="宋体" w:cs="宋体"/>
          <w:color w:val="auto"/>
          <w:sz w:val="24"/>
          <w:szCs w:val="24"/>
          <w:highlight w:val="none"/>
        </w:rPr>
        <w:t xml:space="preserve">响应文件的签署及盖章： </w:t>
      </w:r>
    </w:p>
    <w:p w14:paraId="08E4D92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19.2.1 </w:t>
      </w:r>
      <w:r>
        <w:rPr>
          <w:rFonts w:hint="eastAsia" w:ascii="宋体" w:hAnsi="宋体" w:eastAsia="宋体" w:cs="宋体"/>
          <w:color w:val="auto"/>
          <w:sz w:val="24"/>
          <w:szCs w:val="24"/>
          <w:highlight w:val="none"/>
        </w:rPr>
        <w:t xml:space="preserve">响应文件要求签名或盖章的内容（磋商文件第五部分“响应文件格式”中要求法人代表或授权委托人签名或盖章）必须由法定代表人或经其正式授权的代表签字或盖章，由授权代表签字或盖章的，必须将书面形式出具的《法定代表人授权委托书》附在响应文件中。 </w:t>
      </w:r>
    </w:p>
    <w:p w14:paraId="3AC8BD8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rPr>
      </w:pPr>
      <w:r>
        <w:rPr>
          <w:rFonts w:hint="eastAsia" w:ascii="宋体" w:hAnsi="宋体" w:eastAsia="宋体" w:cs="宋体"/>
          <w:color w:val="auto"/>
          <w:sz w:val="24"/>
          <w:szCs w:val="24"/>
          <w:highlight w:val="none"/>
          <w:lang w:val="en-US" w:eastAsia="zh-CN"/>
        </w:rPr>
        <w:t>19.2.2</w:t>
      </w:r>
      <w:r>
        <w:rPr>
          <w:rFonts w:hint="eastAsia"/>
          <w:color w:val="auto"/>
          <w:sz w:val="24"/>
          <w:szCs w:val="24"/>
          <w:highlight w:val="none"/>
        </w:rPr>
        <w:t>响应文件要求盖公章的内容（磋商文件第五部分“响应文件格式”中要求盖供应商公章）必须加盖供应商公章。</w:t>
      </w:r>
    </w:p>
    <w:p w14:paraId="1D8EB3C8">
      <w:pPr>
        <w:rPr>
          <w:rFonts w:hint="eastAsia" w:ascii="宋体" w:hAnsi="宋体" w:eastAsia="宋体" w:cs="宋体"/>
          <w:color w:val="auto"/>
          <w:sz w:val="24"/>
          <w:szCs w:val="24"/>
          <w:highlight w:val="none"/>
        </w:rPr>
      </w:pPr>
    </w:p>
    <w:p w14:paraId="3741AC98">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11" w:firstLineChars="10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响应文件的递交</w:t>
      </w:r>
    </w:p>
    <w:p w14:paraId="09CC1A5F">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14:paraId="363ECEE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20 </w:t>
      </w:r>
      <w:r>
        <w:rPr>
          <w:rFonts w:hint="eastAsia" w:cs="宋体"/>
          <w:b/>
          <w:bCs/>
          <w:color w:val="auto"/>
          <w:sz w:val="24"/>
          <w:szCs w:val="24"/>
          <w:highlight w:val="none"/>
          <w:lang w:val="en-US" w:eastAsia="zh-CN"/>
        </w:rPr>
        <w:t>加密电子响应文件</w:t>
      </w:r>
      <w:r>
        <w:rPr>
          <w:rFonts w:hint="eastAsia" w:ascii="宋体" w:hAnsi="宋体" w:eastAsia="宋体" w:cs="宋体"/>
          <w:b/>
          <w:bCs/>
          <w:color w:val="auto"/>
          <w:sz w:val="24"/>
          <w:szCs w:val="24"/>
          <w:highlight w:val="none"/>
        </w:rPr>
        <w:t xml:space="preserve"> </w:t>
      </w:r>
    </w:p>
    <w:p w14:paraId="1F4D43EF">
      <w:pPr>
        <w:keepNext w:val="0"/>
        <w:keepLines w:val="0"/>
        <w:pageBreakBefore w:val="0"/>
        <w:widowControl w:val="0"/>
        <w:kinsoku/>
        <w:wordWrap w:val="0"/>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rPr>
      </w:pPr>
      <w:r>
        <w:rPr>
          <w:rFonts w:hint="eastAsia"/>
          <w:color w:val="auto"/>
          <w:sz w:val="24"/>
          <w:szCs w:val="24"/>
          <w:highlight w:val="none"/>
          <w:lang w:val="en-US"/>
        </w:rPr>
        <w:t>20.1</w:t>
      </w:r>
      <w:r>
        <w:rPr>
          <w:rFonts w:hint="eastAsia"/>
          <w:color w:val="auto"/>
          <w:sz w:val="24"/>
          <w:szCs w:val="24"/>
          <w:highlight w:val="none"/>
          <w:lang w:val="en-US" w:eastAsia="zh-CN"/>
        </w:rPr>
        <w:t xml:space="preserve"> 本项目采用不见面开标，供应商须在投标截止时间前通过CA在政采云平台上传加密的电子响应文件。供应商对不见面开评标系统的技术操作咨询，可通过 （https://www.xjca.com.cn/）或下载“新疆政务通”APP自行进行申领。自助查询，也可在政采云帮助中心常见问题解答和操作流程讲解视频中自助查询，网址为：（https://www.xjca.com.cn/）“项目采购”—“操作流程-电子招投标”—“政府采购项目电子交易管理操作指南-供应商”版面获取操作指南，同时对所有无法解决的问题可通过钉钉群及政采云在线客服获取服务支持。</w:t>
      </w:r>
      <w:r>
        <w:rPr>
          <w:rFonts w:hint="eastAsia"/>
          <w:color w:val="auto"/>
          <w:sz w:val="24"/>
          <w:szCs w:val="24"/>
          <w:highlight w:val="none"/>
        </w:rPr>
        <w:t xml:space="preserve"> </w:t>
      </w:r>
    </w:p>
    <w:p w14:paraId="49A3F86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21 </w:t>
      </w:r>
      <w:r>
        <w:rPr>
          <w:rFonts w:hint="eastAsia" w:ascii="宋体" w:hAnsi="宋体" w:eastAsia="宋体" w:cs="宋体"/>
          <w:b/>
          <w:bCs/>
          <w:color w:val="auto"/>
          <w:sz w:val="24"/>
          <w:szCs w:val="24"/>
          <w:highlight w:val="none"/>
        </w:rPr>
        <w:t>磋商响应截止</w:t>
      </w:r>
      <w:r>
        <w:rPr>
          <w:rFonts w:hint="eastAsia" w:ascii="宋体" w:hAnsi="宋体" w:eastAsia="宋体" w:cs="宋体"/>
          <w:color w:val="auto"/>
          <w:sz w:val="24"/>
          <w:szCs w:val="24"/>
          <w:highlight w:val="none"/>
        </w:rPr>
        <w:t xml:space="preserve"> </w:t>
      </w:r>
    </w:p>
    <w:p w14:paraId="29FD2E92">
      <w:pPr>
        <w:spacing w:line="440" w:lineRule="exact"/>
        <w:ind w:firstLine="480" w:firstLineChars="200"/>
        <w:rPr>
          <w:rFonts w:hint="eastAsia" w:eastAsia="宋体"/>
          <w:color w:val="auto"/>
          <w:sz w:val="24"/>
          <w:szCs w:val="24"/>
          <w:highlight w:val="none"/>
          <w:lang w:eastAsia="zh-CN"/>
        </w:rPr>
      </w:pPr>
      <w:r>
        <w:rPr>
          <w:rFonts w:hint="eastAsia"/>
          <w:color w:val="auto"/>
          <w:sz w:val="24"/>
          <w:szCs w:val="24"/>
          <w:highlight w:val="none"/>
          <w:lang w:val="en-US"/>
        </w:rPr>
        <w:t xml:space="preserve">21.1 </w:t>
      </w:r>
      <w:r>
        <w:rPr>
          <w:rFonts w:hint="eastAsia"/>
          <w:color w:val="auto"/>
          <w:sz w:val="24"/>
          <w:szCs w:val="24"/>
          <w:highlight w:val="none"/>
        </w:rPr>
        <w:t>供应商应在磋商文件第一部分“磋商</w:t>
      </w:r>
      <w:r>
        <w:rPr>
          <w:rFonts w:hint="eastAsia"/>
          <w:color w:val="auto"/>
          <w:sz w:val="24"/>
          <w:szCs w:val="24"/>
          <w:highlight w:val="none"/>
          <w:lang w:val="en-US" w:eastAsia="zh-CN"/>
        </w:rPr>
        <w:t>公告</w:t>
      </w:r>
      <w:r>
        <w:rPr>
          <w:rFonts w:hint="eastAsia"/>
          <w:color w:val="auto"/>
          <w:sz w:val="24"/>
          <w:szCs w:val="24"/>
          <w:highlight w:val="none"/>
        </w:rPr>
        <w:t>”中规定的截止日期和时间前将</w:t>
      </w:r>
      <w:r>
        <w:rPr>
          <w:rFonts w:hint="eastAsia"/>
          <w:color w:val="auto"/>
          <w:sz w:val="24"/>
          <w:szCs w:val="24"/>
          <w:highlight w:val="none"/>
          <w:lang w:val="en-US" w:eastAsia="zh-CN"/>
        </w:rPr>
        <w:t>电子</w:t>
      </w:r>
      <w:r>
        <w:rPr>
          <w:rFonts w:hint="eastAsia"/>
          <w:color w:val="auto"/>
          <w:sz w:val="24"/>
          <w:szCs w:val="24"/>
          <w:highlight w:val="none"/>
        </w:rPr>
        <w:t>响应文件</w:t>
      </w:r>
      <w:r>
        <w:rPr>
          <w:rFonts w:hint="eastAsia"/>
          <w:color w:val="auto"/>
          <w:sz w:val="24"/>
          <w:szCs w:val="24"/>
          <w:highlight w:val="none"/>
          <w:lang w:val="en-US" w:eastAsia="zh-CN"/>
        </w:rPr>
        <w:t>递交上传</w:t>
      </w:r>
      <w:r>
        <w:rPr>
          <w:rFonts w:hint="eastAsia"/>
          <w:color w:val="auto"/>
          <w:sz w:val="24"/>
          <w:szCs w:val="24"/>
          <w:highlight w:val="none"/>
        </w:rPr>
        <w:t>至新疆政府采购云平台</w:t>
      </w:r>
      <w:r>
        <w:rPr>
          <w:rFonts w:hint="eastAsia"/>
          <w:color w:val="auto"/>
          <w:sz w:val="24"/>
          <w:szCs w:val="24"/>
          <w:highlight w:val="none"/>
          <w:lang w:val="en-US" w:eastAsia="zh-CN"/>
        </w:rPr>
        <w:t>（https://www.xjca.com.cn/）</w:t>
      </w:r>
      <w:r>
        <w:rPr>
          <w:rFonts w:hint="eastAsia"/>
          <w:color w:val="auto"/>
          <w:sz w:val="24"/>
          <w:szCs w:val="24"/>
          <w:highlight w:val="none"/>
          <w:lang w:eastAsia="zh-CN"/>
        </w:rPr>
        <w:t>。</w:t>
      </w:r>
    </w:p>
    <w:p w14:paraId="341AA77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21.2 </w:t>
      </w:r>
      <w:r>
        <w:rPr>
          <w:rFonts w:hint="eastAsia" w:ascii="宋体" w:hAnsi="宋体" w:eastAsia="宋体" w:cs="宋体"/>
          <w:color w:val="auto"/>
          <w:sz w:val="24"/>
          <w:szCs w:val="24"/>
          <w:highlight w:val="none"/>
        </w:rPr>
        <w:t>为使供应商准备响应时有充分时间对磋商文件的修改部分进行研究，采购人或者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可适当推迟响应截止期，但应发布公告并书面通知所有获取磋商文件的潜在供应商。在此情况下，采购人或者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和供应商受响应截止期制约的所有权利和义务均应延长至新的截止期。 </w:t>
      </w:r>
    </w:p>
    <w:p w14:paraId="0C21A07E">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21.3 </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将拒收在磋商文件规定的响应截止时间之后送达的响应文件及未报名获取磋商文件的供应商递交的响应文件。 </w:t>
      </w:r>
    </w:p>
    <w:p w14:paraId="7151DD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22 </w:t>
      </w:r>
      <w:r>
        <w:rPr>
          <w:rFonts w:hint="eastAsia" w:ascii="宋体" w:hAnsi="宋体" w:eastAsia="宋体" w:cs="宋体"/>
          <w:b/>
          <w:bCs/>
          <w:color w:val="auto"/>
          <w:sz w:val="24"/>
          <w:szCs w:val="24"/>
          <w:highlight w:val="none"/>
        </w:rPr>
        <w:t>响应文件的修改和撤回</w:t>
      </w:r>
      <w:r>
        <w:rPr>
          <w:rFonts w:hint="eastAsia" w:ascii="宋体" w:hAnsi="宋体" w:eastAsia="宋体" w:cs="宋体"/>
          <w:color w:val="auto"/>
          <w:sz w:val="24"/>
          <w:szCs w:val="24"/>
          <w:highlight w:val="none"/>
        </w:rPr>
        <w:t xml:space="preserve"> </w:t>
      </w:r>
    </w:p>
    <w:p w14:paraId="10983E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 供应商在响应文件提交截止期前，可以对所提交的响应文件进行补充、修改或者撤回，并书面通知采购单位。补充、修改的内容应当按磋商文件要求签署、盖章，并作为响应文件的组成部分。补充、修改的内容和响应文件不一致的，以补充、修改的内容为准。在响应文件递交截止期时点之后，磋商供应商不得撤回其响应文件，不得对其响应文件做任何修改和补充。</w:t>
      </w:r>
    </w:p>
    <w:p w14:paraId="7E4C5F0E">
      <w:pPr>
        <w:pStyle w:val="9"/>
        <w:rPr>
          <w:rFonts w:hint="eastAsia"/>
          <w:color w:val="auto"/>
          <w:highlight w:val="none"/>
        </w:rPr>
      </w:pPr>
    </w:p>
    <w:p w14:paraId="2BC60480">
      <w:pPr>
        <w:keepNext w:val="0"/>
        <w:keepLines w:val="0"/>
        <w:pageBreakBefore w:val="0"/>
        <w:widowControl w:val="0"/>
        <w:numPr>
          <w:ilvl w:val="0"/>
          <w:numId w:val="5"/>
        </w:numPr>
        <w:kinsoku/>
        <w:wordWrap/>
        <w:overflowPunct/>
        <w:topLinePunct w:val="0"/>
        <w:autoSpaceDE w:val="0"/>
        <w:autoSpaceDN w:val="0"/>
        <w:bidi w:val="0"/>
        <w:adjustRightInd/>
        <w:snapToGrid/>
        <w:spacing w:line="440" w:lineRule="exact"/>
        <w:ind w:right="0" w:right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磋商</w:t>
      </w:r>
      <w:r>
        <w:rPr>
          <w:rFonts w:hint="eastAsia" w:ascii="宋体" w:hAnsi="宋体" w:eastAsia="宋体" w:cs="宋体"/>
          <w:b/>
          <w:bCs/>
          <w:color w:val="auto"/>
          <w:sz w:val="28"/>
          <w:szCs w:val="28"/>
          <w:highlight w:val="none"/>
          <w:lang w:val="en-US" w:eastAsia="zh-CN"/>
        </w:rPr>
        <w:t>程序</w:t>
      </w:r>
    </w:p>
    <w:p w14:paraId="29FBA749">
      <w:pPr>
        <w:pStyle w:val="9"/>
        <w:numPr>
          <w:ilvl w:val="0"/>
          <w:numId w:val="0"/>
        </w:numPr>
        <w:ind w:right="0" w:rightChars="0"/>
        <w:rPr>
          <w:rFonts w:hint="eastAsia"/>
          <w:color w:val="auto"/>
          <w:highlight w:val="none"/>
          <w:lang w:eastAsia="zh-CN"/>
        </w:rPr>
      </w:pPr>
    </w:p>
    <w:p w14:paraId="74017B6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 开启</w:t>
      </w:r>
    </w:p>
    <w:p w14:paraId="160F00AB">
      <w:pPr>
        <w:pageBreakBefore w:val="0"/>
        <w:kinsoku/>
        <w:wordWrap/>
        <w:overflowPunct/>
        <w:topLinePunct w:val="0"/>
        <w:bidi w:val="0"/>
        <w:snapToGrid/>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lang w:val="en-US"/>
        </w:rPr>
        <w:t>23.1 开启会议</w:t>
      </w:r>
      <w:r>
        <w:rPr>
          <w:rFonts w:hint="eastAsia"/>
          <w:color w:val="auto"/>
          <w:sz w:val="24"/>
          <w:szCs w:val="24"/>
          <w:highlight w:val="none"/>
        </w:rPr>
        <w:t>由</w:t>
      </w:r>
      <w:r>
        <w:rPr>
          <w:rFonts w:hint="eastAsia"/>
          <w:color w:val="auto"/>
          <w:sz w:val="24"/>
          <w:szCs w:val="24"/>
          <w:highlight w:val="none"/>
          <w:lang w:val="en-US" w:eastAsia="zh-CN"/>
        </w:rPr>
        <w:t>采购人和招标代理公司</w:t>
      </w:r>
      <w:r>
        <w:rPr>
          <w:rFonts w:hint="eastAsia"/>
          <w:color w:val="auto"/>
          <w:sz w:val="24"/>
          <w:szCs w:val="24"/>
          <w:highlight w:val="none"/>
        </w:rPr>
        <w:t>主持并在磋商邀请中规定的日期、时间和地点组织公开</w:t>
      </w:r>
      <w:r>
        <w:rPr>
          <w:rFonts w:hint="eastAsia"/>
          <w:color w:val="auto"/>
          <w:sz w:val="24"/>
          <w:szCs w:val="24"/>
          <w:highlight w:val="none"/>
          <w:lang w:val="en-US"/>
        </w:rPr>
        <w:t>开启</w:t>
      </w:r>
      <w:r>
        <w:rPr>
          <w:rFonts w:hint="eastAsia"/>
          <w:color w:val="auto"/>
          <w:sz w:val="24"/>
          <w:szCs w:val="24"/>
          <w:highlight w:val="none"/>
        </w:rPr>
        <w:t>。允许</w:t>
      </w:r>
      <w:r>
        <w:rPr>
          <w:rFonts w:hint="eastAsia"/>
          <w:color w:val="auto"/>
          <w:sz w:val="24"/>
          <w:szCs w:val="24"/>
          <w:highlight w:val="none"/>
          <w:lang w:val="en-US"/>
        </w:rPr>
        <w:t>供应商</w:t>
      </w:r>
      <w:r>
        <w:rPr>
          <w:rFonts w:hint="eastAsia"/>
          <w:color w:val="auto"/>
          <w:sz w:val="24"/>
          <w:szCs w:val="24"/>
          <w:highlight w:val="none"/>
        </w:rPr>
        <w:t>的法定代表人或其授权人参加</w:t>
      </w:r>
      <w:r>
        <w:rPr>
          <w:rFonts w:hint="eastAsia"/>
          <w:color w:val="auto"/>
          <w:sz w:val="24"/>
          <w:szCs w:val="24"/>
          <w:highlight w:val="none"/>
          <w:lang w:val="en-US"/>
        </w:rPr>
        <w:t>开启会议</w:t>
      </w:r>
      <w:r>
        <w:rPr>
          <w:rFonts w:hint="eastAsia"/>
          <w:color w:val="auto"/>
          <w:sz w:val="24"/>
          <w:szCs w:val="24"/>
          <w:highlight w:val="none"/>
        </w:rPr>
        <w:t>。</w:t>
      </w:r>
    </w:p>
    <w:p w14:paraId="18A82907">
      <w:pPr>
        <w:spacing w:line="440" w:lineRule="exact"/>
        <w:ind w:firstLine="480" w:firstLineChars="200"/>
        <w:rPr>
          <w:rFonts w:hint="eastAsia"/>
          <w:color w:val="auto"/>
          <w:sz w:val="24"/>
          <w:szCs w:val="24"/>
          <w:highlight w:val="none"/>
          <w:lang w:val="en-US"/>
        </w:rPr>
      </w:pPr>
      <w:r>
        <w:rPr>
          <w:rFonts w:hint="eastAsia"/>
          <w:color w:val="auto"/>
          <w:sz w:val="24"/>
          <w:szCs w:val="24"/>
          <w:highlight w:val="none"/>
          <w:lang w:val="en-US"/>
        </w:rPr>
        <w:t xml:space="preserve">23.2 </w:t>
      </w:r>
      <w:r>
        <w:rPr>
          <w:rFonts w:hint="eastAsia"/>
          <w:color w:val="auto"/>
          <w:sz w:val="24"/>
          <w:szCs w:val="24"/>
          <w:highlight w:val="none"/>
          <w:lang w:val="en-US" w:eastAsia="zh-CN"/>
        </w:rPr>
        <w:t>电子响应文件解密，</w:t>
      </w:r>
      <w:r>
        <w:rPr>
          <w:rFonts w:hint="eastAsia"/>
          <w:color w:val="auto"/>
          <w:sz w:val="24"/>
          <w:szCs w:val="24"/>
          <w:highlight w:val="none"/>
        </w:rPr>
        <w:t>由</w:t>
      </w:r>
      <w:r>
        <w:rPr>
          <w:rFonts w:hint="eastAsia"/>
          <w:color w:val="auto"/>
          <w:sz w:val="24"/>
          <w:szCs w:val="24"/>
          <w:highlight w:val="none"/>
          <w:lang w:val="en-US" w:eastAsia="zh-CN"/>
        </w:rPr>
        <w:t>招标代理公司</w:t>
      </w:r>
      <w:r>
        <w:rPr>
          <w:rFonts w:hint="eastAsia"/>
          <w:color w:val="auto"/>
          <w:sz w:val="24"/>
          <w:szCs w:val="24"/>
          <w:highlight w:val="none"/>
          <w:lang w:val="en-US"/>
        </w:rPr>
        <w:t>工作人员</w:t>
      </w:r>
      <w:r>
        <w:rPr>
          <w:rFonts w:hint="eastAsia"/>
          <w:color w:val="auto"/>
          <w:sz w:val="24"/>
          <w:szCs w:val="24"/>
          <w:highlight w:val="none"/>
          <w:lang w:val="en-US" w:eastAsia="zh-CN"/>
        </w:rPr>
        <w:t>开启解密</w:t>
      </w:r>
      <w:r>
        <w:rPr>
          <w:rFonts w:hint="eastAsia"/>
          <w:color w:val="auto"/>
          <w:sz w:val="24"/>
          <w:szCs w:val="24"/>
          <w:highlight w:val="none"/>
          <w:lang w:val="en-US"/>
        </w:rPr>
        <w:t>。</w:t>
      </w:r>
    </w:p>
    <w:p w14:paraId="354B19D4">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rPr>
        <w:t xml:space="preserve">23.3  </w:t>
      </w:r>
      <w:r>
        <w:rPr>
          <w:rFonts w:hint="eastAsia"/>
          <w:color w:val="auto"/>
          <w:sz w:val="24"/>
          <w:szCs w:val="24"/>
          <w:highlight w:val="none"/>
        </w:rPr>
        <w:t>供应商代表对</w:t>
      </w:r>
      <w:r>
        <w:rPr>
          <w:rFonts w:hint="eastAsia"/>
          <w:color w:val="auto"/>
          <w:sz w:val="24"/>
          <w:szCs w:val="24"/>
          <w:highlight w:val="none"/>
          <w:lang w:val="en-US"/>
        </w:rPr>
        <w:t>开启</w:t>
      </w:r>
      <w:r>
        <w:rPr>
          <w:rFonts w:hint="eastAsia"/>
          <w:color w:val="auto"/>
          <w:sz w:val="24"/>
          <w:szCs w:val="24"/>
          <w:highlight w:val="none"/>
        </w:rPr>
        <w:t>过程和</w:t>
      </w:r>
      <w:r>
        <w:rPr>
          <w:rFonts w:hint="eastAsia"/>
          <w:color w:val="auto"/>
          <w:sz w:val="24"/>
          <w:szCs w:val="24"/>
          <w:highlight w:val="none"/>
          <w:lang w:val="en-US"/>
        </w:rPr>
        <w:t>开启</w:t>
      </w:r>
      <w:r>
        <w:rPr>
          <w:rFonts w:hint="eastAsia"/>
          <w:color w:val="auto"/>
          <w:sz w:val="24"/>
          <w:szCs w:val="24"/>
          <w:highlight w:val="none"/>
        </w:rPr>
        <w:t>记录有疑问，以及认为采购人、</w:t>
      </w:r>
      <w:r>
        <w:rPr>
          <w:rFonts w:hint="eastAsia"/>
          <w:color w:val="auto"/>
          <w:sz w:val="24"/>
          <w:szCs w:val="24"/>
          <w:highlight w:val="none"/>
          <w:lang w:val="en-US" w:eastAsia="zh-CN"/>
        </w:rPr>
        <w:t>招标代理公司</w:t>
      </w:r>
      <w:r>
        <w:rPr>
          <w:rFonts w:hint="eastAsia"/>
          <w:color w:val="auto"/>
          <w:sz w:val="24"/>
          <w:szCs w:val="24"/>
          <w:highlight w:val="none"/>
        </w:rPr>
        <w:t>相关工作人员有需要回避的情形的，应当场提出询问或者回避申请。采购人、</w:t>
      </w:r>
      <w:r>
        <w:rPr>
          <w:rFonts w:hint="eastAsia"/>
          <w:color w:val="auto"/>
          <w:sz w:val="24"/>
          <w:szCs w:val="24"/>
          <w:highlight w:val="none"/>
          <w:lang w:val="en-US" w:eastAsia="zh-CN"/>
        </w:rPr>
        <w:t>招标代理公司</w:t>
      </w:r>
      <w:r>
        <w:rPr>
          <w:rFonts w:hint="eastAsia"/>
          <w:color w:val="auto"/>
          <w:sz w:val="24"/>
          <w:szCs w:val="24"/>
          <w:highlight w:val="none"/>
          <w:lang w:val="en-US"/>
        </w:rPr>
        <w:t>工作人员</w:t>
      </w:r>
      <w:r>
        <w:rPr>
          <w:rFonts w:hint="eastAsia"/>
          <w:color w:val="auto"/>
          <w:sz w:val="24"/>
          <w:szCs w:val="24"/>
          <w:highlight w:val="none"/>
        </w:rPr>
        <w:t xml:space="preserve">对供应商代表提出的询问或者回避申请应当及时处理。 </w:t>
      </w:r>
    </w:p>
    <w:p w14:paraId="7D1CCC4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4 资格审查</w:t>
      </w:r>
      <w:r>
        <w:rPr>
          <w:rFonts w:hint="eastAsia" w:ascii="宋体" w:hAnsi="宋体" w:eastAsia="宋体" w:cs="宋体"/>
          <w:color w:val="auto"/>
          <w:sz w:val="24"/>
          <w:szCs w:val="24"/>
          <w:highlight w:val="none"/>
        </w:rPr>
        <w:t xml:space="preserve"> </w:t>
      </w:r>
    </w:p>
    <w:p w14:paraId="4B1B18A6">
      <w:pPr>
        <w:spacing w:line="440" w:lineRule="exact"/>
        <w:ind w:firstLine="482" w:firstLineChars="200"/>
        <w:rPr>
          <w:rFonts w:hint="eastAsia"/>
          <w:b/>
          <w:bCs/>
          <w:color w:val="auto"/>
          <w:sz w:val="24"/>
          <w:szCs w:val="24"/>
          <w:highlight w:val="none"/>
        </w:rPr>
      </w:pPr>
      <w:r>
        <w:rPr>
          <w:rFonts w:hint="eastAsia"/>
          <w:b/>
          <w:bCs/>
          <w:color w:val="auto"/>
          <w:sz w:val="24"/>
          <w:szCs w:val="24"/>
          <w:highlight w:val="none"/>
          <w:lang w:val="en-US"/>
        </w:rPr>
        <w:t xml:space="preserve">24.1 </w:t>
      </w:r>
      <w:r>
        <w:rPr>
          <w:rFonts w:hint="eastAsia" w:cs="宋体"/>
          <w:b/>
          <w:bCs/>
          <w:color w:val="auto"/>
          <w:sz w:val="24"/>
          <w:szCs w:val="24"/>
          <w:highlight w:val="none"/>
          <w:lang w:val="en-US" w:eastAsia="zh-CN"/>
        </w:rPr>
        <w:t>资格审查小组</w:t>
      </w:r>
      <w:r>
        <w:rPr>
          <w:rFonts w:hint="eastAsia"/>
          <w:b/>
          <w:bCs/>
          <w:color w:val="auto"/>
          <w:sz w:val="24"/>
          <w:szCs w:val="24"/>
          <w:highlight w:val="none"/>
        </w:rPr>
        <w:t>依法对供应商资格进行审查。资格审查是审查供应商</w:t>
      </w:r>
      <w:r>
        <w:rPr>
          <w:rFonts w:hint="eastAsia"/>
          <w:b/>
          <w:bCs/>
          <w:color w:val="auto"/>
          <w:sz w:val="24"/>
          <w:szCs w:val="24"/>
          <w:highlight w:val="none"/>
          <w:lang w:val="en-US"/>
        </w:rPr>
        <w:t>资格证明</w:t>
      </w:r>
      <w:r>
        <w:rPr>
          <w:rFonts w:hint="eastAsia"/>
          <w:b/>
          <w:bCs/>
          <w:color w:val="auto"/>
          <w:sz w:val="24"/>
          <w:szCs w:val="24"/>
          <w:highlight w:val="none"/>
        </w:rPr>
        <w:t>文件是否对磋商文件</w:t>
      </w:r>
      <w:r>
        <w:rPr>
          <w:rFonts w:hint="eastAsia"/>
          <w:b/>
          <w:bCs/>
          <w:color w:val="auto"/>
          <w:sz w:val="24"/>
          <w:szCs w:val="24"/>
          <w:highlight w:val="none"/>
          <w:lang w:val="en-US"/>
        </w:rPr>
        <w:t>资格条件</w:t>
      </w:r>
      <w:r>
        <w:rPr>
          <w:rFonts w:hint="eastAsia"/>
          <w:b/>
          <w:bCs/>
          <w:color w:val="auto"/>
          <w:sz w:val="24"/>
          <w:szCs w:val="24"/>
          <w:highlight w:val="none"/>
        </w:rPr>
        <w:t>作出实质性的响应，审查细则详见</w:t>
      </w:r>
      <w:r>
        <w:rPr>
          <w:rFonts w:hint="eastAsia"/>
          <w:b/>
          <w:bCs/>
          <w:color w:val="auto"/>
          <w:sz w:val="24"/>
          <w:szCs w:val="24"/>
          <w:highlight w:val="none"/>
          <w:lang w:val="en-US"/>
        </w:rPr>
        <w:t>磋商须知第</w:t>
      </w:r>
      <w:r>
        <w:rPr>
          <w:rFonts w:hint="eastAsia"/>
          <w:b/>
          <w:bCs/>
          <w:color w:val="auto"/>
          <w:sz w:val="24"/>
          <w:szCs w:val="24"/>
          <w:highlight w:val="none"/>
          <w:lang w:val="en-US" w:eastAsia="zh-CN"/>
        </w:rPr>
        <w:t>七</w:t>
      </w:r>
      <w:r>
        <w:rPr>
          <w:rFonts w:hint="eastAsia"/>
          <w:b/>
          <w:bCs/>
          <w:color w:val="auto"/>
          <w:sz w:val="24"/>
          <w:szCs w:val="24"/>
          <w:highlight w:val="none"/>
          <w:lang w:val="en-US"/>
        </w:rPr>
        <w:t>部分：《资格性审查表》</w:t>
      </w:r>
      <w:r>
        <w:rPr>
          <w:rFonts w:hint="eastAsia"/>
          <w:b/>
          <w:bCs/>
          <w:color w:val="auto"/>
          <w:sz w:val="24"/>
          <w:szCs w:val="24"/>
          <w:highlight w:val="none"/>
        </w:rPr>
        <w:t>。对</w:t>
      </w:r>
      <w:r>
        <w:rPr>
          <w:rFonts w:hint="eastAsia"/>
          <w:b/>
          <w:bCs/>
          <w:color w:val="auto"/>
          <w:sz w:val="24"/>
          <w:szCs w:val="24"/>
          <w:highlight w:val="none"/>
          <w:lang w:val="en-US"/>
        </w:rPr>
        <w:t>资格证明文件提供不全或</w:t>
      </w:r>
      <w:r>
        <w:rPr>
          <w:rFonts w:hint="eastAsia"/>
          <w:b/>
          <w:bCs/>
          <w:color w:val="auto"/>
          <w:sz w:val="24"/>
          <w:szCs w:val="24"/>
          <w:highlight w:val="none"/>
        </w:rPr>
        <w:t>资格性审查不通过的磋商供应商，</w:t>
      </w:r>
      <w:r>
        <w:rPr>
          <w:rFonts w:hint="eastAsia"/>
          <w:b/>
          <w:bCs/>
          <w:color w:val="auto"/>
          <w:sz w:val="24"/>
          <w:szCs w:val="24"/>
          <w:highlight w:val="none"/>
          <w:lang w:val="en-US"/>
        </w:rPr>
        <w:t>将</w:t>
      </w:r>
      <w:r>
        <w:rPr>
          <w:rFonts w:hint="eastAsia"/>
          <w:b/>
          <w:bCs/>
          <w:color w:val="auto"/>
          <w:sz w:val="24"/>
          <w:szCs w:val="24"/>
          <w:highlight w:val="none"/>
        </w:rPr>
        <w:t>由</w:t>
      </w:r>
      <w:r>
        <w:rPr>
          <w:rFonts w:hint="eastAsia" w:ascii="宋体" w:hAnsi="宋体" w:eastAsia="宋体" w:cs="宋体"/>
          <w:b/>
          <w:bCs/>
          <w:color w:val="auto"/>
          <w:sz w:val="24"/>
          <w:szCs w:val="24"/>
          <w:highlight w:val="none"/>
        </w:rPr>
        <w:t>磋商小组</w:t>
      </w:r>
      <w:r>
        <w:rPr>
          <w:rFonts w:hint="eastAsia"/>
          <w:b/>
          <w:bCs/>
          <w:color w:val="auto"/>
          <w:sz w:val="24"/>
          <w:szCs w:val="24"/>
          <w:highlight w:val="none"/>
        </w:rPr>
        <w:t>现场告知</w:t>
      </w:r>
      <w:r>
        <w:rPr>
          <w:rFonts w:hint="eastAsia"/>
          <w:b/>
          <w:bCs/>
          <w:color w:val="auto"/>
          <w:sz w:val="24"/>
          <w:szCs w:val="24"/>
          <w:highlight w:val="none"/>
          <w:lang w:val="en-US"/>
        </w:rPr>
        <w:t>其不得</w:t>
      </w:r>
      <w:r>
        <w:rPr>
          <w:rFonts w:hint="eastAsia"/>
          <w:b/>
          <w:bCs/>
          <w:color w:val="auto"/>
          <w:sz w:val="24"/>
          <w:szCs w:val="24"/>
          <w:highlight w:val="none"/>
        </w:rPr>
        <w:t xml:space="preserve">参与磋商。 </w:t>
      </w:r>
    </w:p>
    <w:p w14:paraId="51BB091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25 </w:t>
      </w:r>
      <w:r>
        <w:rPr>
          <w:rFonts w:hint="eastAsia" w:ascii="宋体" w:hAnsi="宋体" w:eastAsia="宋体" w:cs="宋体"/>
          <w:b/>
          <w:bCs/>
          <w:color w:val="auto"/>
          <w:sz w:val="24"/>
          <w:szCs w:val="24"/>
          <w:highlight w:val="none"/>
        </w:rPr>
        <w:t>磋商小组</w:t>
      </w:r>
      <w:r>
        <w:rPr>
          <w:rFonts w:hint="eastAsia" w:ascii="宋体" w:hAnsi="宋体" w:eastAsia="宋体" w:cs="宋体"/>
          <w:color w:val="auto"/>
          <w:sz w:val="24"/>
          <w:szCs w:val="24"/>
          <w:highlight w:val="none"/>
        </w:rPr>
        <w:t xml:space="preserve"> </w:t>
      </w:r>
    </w:p>
    <w:p w14:paraId="1F2A975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25.1 </w:t>
      </w:r>
      <w:r>
        <w:rPr>
          <w:rFonts w:hint="eastAsia" w:ascii="宋体" w:hAnsi="宋体" w:eastAsia="宋体" w:cs="宋体"/>
          <w:color w:val="auto"/>
          <w:sz w:val="24"/>
          <w:szCs w:val="24"/>
          <w:highlight w:val="none"/>
        </w:rPr>
        <w:t xml:space="preserve">磋商小组根据采购项目的特点进行组建，并负责磋商工作。磋商小组由评审专家共3人以上单数组成，其中评审专家人数不得少于磋商小组成员总数的三分之二。评标专家依法从政府采购评审专家库内相关的专家名单中随机抽取。采购人代表人数、专家人数构成将按照磋商须知前附表中确定。 </w:t>
      </w:r>
    </w:p>
    <w:p w14:paraId="6CE299C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25.2 </w:t>
      </w:r>
      <w:r>
        <w:rPr>
          <w:rFonts w:hint="eastAsia" w:ascii="宋体" w:hAnsi="宋体" w:eastAsia="宋体" w:cs="宋体"/>
          <w:color w:val="auto"/>
          <w:sz w:val="24"/>
          <w:szCs w:val="24"/>
          <w:highlight w:val="none"/>
        </w:rPr>
        <w:t xml:space="preserve">磋商基本原则：磋商工作根据《中华人民共和国政府采购法》及其实施条例、《政府采购竞争性磋商采购方式管理暂行办法》、《财政部关于政府采购竞争性磋商采购方式管理暂行办法有关问题的补充通知》以及相关配套的法律法规和政策规定进行。磋商小组将按照磋商文件规定的程序与各供应商单独进行磋商。 </w:t>
      </w:r>
    </w:p>
    <w:p w14:paraId="61DAF7D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 </w:t>
      </w:r>
      <w:r>
        <w:rPr>
          <w:rFonts w:hint="eastAsia" w:ascii="宋体" w:hAnsi="宋体" w:eastAsia="宋体" w:cs="宋体"/>
          <w:color w:val="auto"/>
          <w:sz w:val="24"/>
          <w:szCs w:val="24"/>
          <w:highlight w:val="none"/>
        </w:rPr>
        <w:t>磋商小组名单在评审结果确定前严格保密。评审专家有下列情形之一的，受到邀请应主动提出回避， 采购当事人也可以要求该评审专家回避</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3284893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25.3.1 </w:t>
      </w:r>
      <w:r>
        <w:rPr>
          <w:rFonts w:hint="eastAsia" w:ascii="宋体" w:hAnsi="宋体" w:eastAsia="宋体" w:cs="宋体"/>
          <w:color w:val="auto"/>
          <w:sz w:val="24"/>
          <w:szCs w:val="24"/>
          <w:highlight w:val="none"/>
        </w:rPr>
        <w:t xml:space="preserve">参加采购活动前3年内与参加该采购项目的供应商存在劳动关系或担任过供应商的董事、监事或是供应商的控股股东或者实际控制人； </w:t>
      </w:r>
    </w:p>
    <w:p w14:paraId="3F6377C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25.3.2 </w:t>
      </w:r>
      <w:r>
        <w:rPr>
          <w:rFonts w:hint="eastAsia" w:ascii="宋体" w:hAnsi="宋体" w:eastAsia="宋体" w:cs="宋体"/>
          <w:color w:val="auto"/>
          <w:sz w:val="24"/>
          <w:szCs w:val="24"/>
          <w:highlight w:val="none"/>
        </w:rPr>
        <w:t xml:space="preserve">与参加该采购项目的供应商的法定代表人或者负责人有夫妻、直系血亲、三代以内旁系血亲或者近姻亲关系； </w:t>
      </w:r>
    </w:p>
    <w:p w14:paraId="141D967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25.3.3 </w:t>
      </w:r>
      <w:r>
        <w:rPr>
          <w:rFonts w:hint="eastAsia" w:ascii="宋体" w:hAnsi="宋体" w:eastAsia="宋体" w:cs="宋体"/>
          <w:color w:val="auto"/>
          <w:sz w:val="24"/>
          <w:szCs w:val="24"/>
          <w:highlight w:val="none"/>
        </w:rPr>
        <w:t xml:space="preserve">与参加该采购项目的供应商有其他可能影响政府采购活动公平、公正进行的关系。 </w:t>
      </w:r>
    </w:p>
    <w:p w14:paraId="14C5C7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 </w:t>
      </w:r>
      <w:r>
        <w:rPr>
          <w:rFonts w:hint="eastAsia" w:ascii="宋体" w:hAnsi="宋体" w:eastAsia="宋体" w:cs="宋体"/>
          <w:color w:val="auto"/>
          <w:sz w:val="24"/>
          <w:szCs w:val="24"/>
          <w:highlight w:val="none"/>
        </w:rPr>
        <w:t xml:space="preserve">磋商小组负责具体评审事务，并独立履行下列职责： </w:t>
      </w:r>
    </w:p>
    <w:p w14:paraId="62BB32C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25.4.1 </w:t>
      </w:r>
      <w:r>
        <w:rPr>
          <w:rFonts w:hint="eastAsia" w:ascii="宋体" w:hAnsi="宋体" w:eastAsia="宋体" w:cs="宋体"/>
          <w:color w:val="auto"/>
          <w:sz w:val="24"/>
          <w:szCs w:val="24"/>
          <w:highlight w:val="none"/>
        </w:rPr>
        <w:t xml:space="preserve">审查、评审响应文件是否符合磋商文件的商务、技术等实质性要求； </w:t>
      </w:r>
    </w:p>
    <w:p w14:paraId="71BCDD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25.4.2 </w:t>
      </w:r>
      <w:r>
        <w:rPr>
          <w:rFonts w:hint="eastAsia" w:ascii="宋体" w:hAnsi="宋体" w:eastAsia="宋体" w:cs="宋体"/>
          <w:color w:val="auto"/>
          <w:sz w:val="24"/>
          <w:szCs w:val="24"/>
          <w:highlight w:val="none"/>
        </w:rPr>
        <w:t xml:space="preserve">要求供应商对响应文件有关事项作出澄清或者说明； </w:t>
      </w:r>
    </w:p>
    <w:p w14:paraId="0F27558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25.4.3 </w:t>
      </w:r>
      <w:r>
        <w:rPr>
          <w:rFonts w:hint="eastAsia" w:ascii="宋体" w:hAnsi="宋体" w:eastAsia="宋体" w:cs="宋体"/>
          <w:color w:val="auto"/>
          <w:sz w:val="24"/>
          <w:szCs w:val="24"/>
          <w:highlight w:val="none"/>
        </w:rPr>
        <w:t xml:space="preserve">对响应文件进行比较和评价； </w:t>
      </w:r>
    </w:p>
    <w:p w14:paraId="276B5E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25.4.4 </w:t>
      </w:r>
      <w:r>
        <w:rPr>
          <w:rFonts w:hint="eastAsia" w:ascii="宋体" w:hAnsi="宋体" w:eastAsia="宋体" w:cs="宋体"/>
          <w:color w:val="auto"/>
          <w:sz w:val="24"/>
          <w:szCs w:val="24"/>
          <w:highlight w:val="none"/>
        </w:rPr>
        <w:t xml:space="preserve">确定成交候选供应商名单，以及根据采购人委托直接确定成交供应商； </w:t>
      </w:r>
    </w:p>
    <w:p w14:paraId="302A5D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25.4.5 </w:t>
      </w:r>
      <w:r>
        <w:rPr>
          <w:rFonts w:hint="eastAsia" w:ascii="宋体" w:hAnsi="宋体" w:eastAsia="宋体" w:cs="宋体"/>
          <w:color w:val="auto"/>
          <w:sz w:val="24"/>
          <w:szCs w:val="24"/>
          <w:highlight w:val="none"/>
        </w:rPr>
        <w:t>向采购人、</w:t>
      </w:r>
      <w:r>
        <w:rPr>
          <w:rFonts w:hint="eastAsia" w:cs="宋体"/>
          <w:color w:val="auto"/>
          <w:sz w:val="24"/>
          <w:szCs w:val="24"/>
          <w:highlight w:val="none"/>
          <w:lang w:val="en-US" w:eastAsia="zh-CN"/>
        </w:rPr>
        <w:t>当地财政局采购办</w:t>
      </w:r>
      <w:r>
        <w:rPr>
          <w:rFonts w:hint="eastAsia" w:ascii="宋体" w:hAnsi="宋体" w:eastAsia="宋体" w:cs="宋体"/>
          <w:color w:val="auto"/>
          <w:sz w:val="24"/>
          <w:szCs w:val="24"/>
          <w:highlight w:val="none"/>
          <w:lang w:eastAsia="zh-CN"/>
        </w:rPr>
        <w:t>和</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或者有关部门报告磋商中发现的违法行为。 </w:t>
      </w:r>
    </w:p>
    <w:p w14:paraId="6323AE0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25.5 </w:t>
      </w:r>
      <w:r>
        <w:rPr>
          <w:rFonts w:hint="eastAsia" w:ascii="宋体" w:hAnsi="宋体" w:eastAsia="宋体" w:cs="宋体"/>
          <w:color w:val="auto"/>
          <w:sz w:val="24"/>
          <w:szCs w:val="24"/>
          <w:highlight w:val="none"/>
        </w:rPr>
        <w:t xml:space="preserve">磋商小组和有关工作人员不得透露对响应文件的评审和比较以及与磋商有关的其他情况。 </w:t>
      </w:r>
    </w:p>
    <w:p w14:paraId="6DC446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25.6 </w:t>
      </w:r>
      <w:r>
        <w:rPr>
          <w:rFonts w:hint="eastAsia" w:ascii="宋体" w:hAnsi="宋体" w:eastAsia="宋体" w:cs="宋体"/>
          <w:color w:val="auto"/>
          <w:sz w:val="24"/>
          <w:szCs w:val="24"/>
          <w:highlight w:val="none"/>
        </w:rPr>
        <w:t xml:space="preserve">磋商小组将按照磋商文件中确定的评标方法和评标标准进行磋商。 </w:t>
      </w:r>
    </w:p>
    <w:p w14:paraId="302C751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25.7 </w:t>
      </w:r>
      <w:r>
        <w:rPr>
          <w:rFonts w:hint="eastAsia" w:ascii="宋体" w:hAnsi="宋体" w:eastAsia="宋体" w:cs="宋体"/>
          <w:color w:val="auto"/>
          <w:sz w:val="24"/>
          <w:szCs w:val="24"/>
          <w:highlight w:val="none"/>
        </w:rPr>
        <w:t xml:space="preserve">磋商小组对磋商文件中描述有歧意或前后不一致的地方，有权进行评判，但对同一条款的评判应适用于每个磋商供应商。 </w:t>
      </w:r>
    </w:p>
    <w:p w14:paraId="69407E71">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25.8 </w:t>
      </w:r>
      <w:r>
        <w:rPr>
          <w:rFonts w:hint="eastAsia" w:ascii="宋体" w:hAnsi="宋体" w:eastAsia="宋体" w:cs="宋体"/>
          <w:color w:val="auto"/>
          <w:sz w:val="24"/>
          <w:szCs w:val="24"/>
          <w:highlight w:val="none"/>
        </w:rPr>
        <w:t>磋商中因磋商小组成员缺席、回避或者健康等特殊原因导致磋商小组成不符合相关法律法规规定的</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应当依法补足后继续磋商。被更换的磋商小组成员所作出的评审意见无效。 </w:t>
      </w:r>
    </w:p>
    <w:p w14:paraId="539EA12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25.9 </w:t>
      </w:r>
      <w:r>
        <w:rPr>
          <w:rFonts w:hint="eastAsia" w:ascii="宋体" w:hAnsi="宋体" w:eastAsia="宋体" w:cs="宋体"/>
          <w:color w:val="auto"/>
          <w:sz w:val="24"/>
          <w:szCs w:val="24"/>
          <w:highlight w:val="none"/>
        </w:rPr>
        <w:t>无法及时补足磋商小组成员的，采购人或者</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应当停止评标活动，封存所有响应文件和开标、磋商资料，依法重新组建磋商小组进行磋商。 </w:t>
      </w:r>
    </w:p>
    <w:p w14:paraId="571007D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25.10 </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应当将变更、重新组建评磋商小组的情况予以记录，并随采购文件一并存档。 </w:t>
      </w:r>
    </w:p>
    <w:p w14:paraId="24558079">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 </w:t>
      </w:r>
      <w:r>
        <w:rPr>
          <w:rFonts w:hint="eastAsia" w:ascii="宋体" w:hAnsi="宋体" w:eastAsia="宋体" w:cs="宋体"/>
          <w:b/>
          <w:bCs/>
          <w:color w:val="auto"/>
          <w:sz w:val="24"/>
          <w:szCs w:val="24"/>
          <w:highlight w:val="none"/>
        </w:rPr>
        <w:t>磋商过程</w:t>
      </w:r>
      <w:r>
        <w:rPr>
          <w:rFonts w:hint="eastAsia" w:ascii="宋体" w:hAnsi="宋体" w:eastAsia="宋体" w:cs="宋体"/>
          <w:color w:val="auto"/>
          <w:sz w:val="24"/>
          <w:szCs w:val="24"/>
          <w:highlight w:val="none"/>
        </w:rPr>
        <w:t xml:space="preserve"> </w:t>
      </w:r>
    </w:p>
    <w:p w14:paraId="16CAE26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26.1 </w:t>
      </w:r>
      <w:r>
        <w:rPr>
          <w:rFonts w:hint="eastAsia" w:ascii="宋体" w:hAnsi="宋体" w:eastAsia="宋体" w:cs="宋体"/>
          <w:b/>
          <w:bCs/>
          <w:color w:val="auto"/>
          <w:sz w:val="24"/>
          <w:szCs w:val="24"/>
          <w:highlight w:val="none"/>
        </w:rPr>
        <w:t>符合性审查</w:t>
      </w:r>
      <w:r>
        <w:rPr>
          <w:rFonts w:hint="eastAsia" w:ascii="宋体" w:hAnsi="宋体" w:eastAsia="宋体" w:cs="宋体"/>
          <w:color w:val="auto"/>
          <w:sz w:val="24"/>
          <w:szCs w:val="24"/>
          <w:highlight w:val="none"/>
        </w:rPr>
        <w:t xml:space="preserve"> </w:t>
      </w:r>
    </w:p>
    <w:p w14:paraId="5985D3D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color w:val="auto"/>
          <w:highlight w:val="none"/>
        </w:rPr>
      </w:pP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磋商小组在对响应文件的有效性、完整性和响应程序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响应文件应当采用书面形式，并由法定代表人或其授权代表签字或加盖公章，供应商为自然人的，应当由本人签字并附身份证明。 对符合性审查不通过的响应文件磋商小组将按无效响应处理，由磋商小组现场告知该磋商供应商，其响应文件作无效处理，不参与磋商。 </w:t>
      </w:r>
      <w:r>
        <w:rPr>
          <w:rFonts w:hint="eastAsia" w:ascii="宋体" w:hAnsi="宋体" w:eastAsia="宋体" w:cs="宋体"/>
          <w:b/>
          <w:bCs/>
          <w:color w:val="auto"/>
          <w:sz w:val="24"/>
          <w:szCs w:val="24"/>
          <w:highlight w:val="none"/>
        </w:rPr>
        <w:t>审查细则详见</w:t>
      </w:r>
      <w:r>
        <w:rPr>
          <w:rFonts w:hint="eastAsia" w:cs="宋体"/>
          <w:b/>
          <w:bCs/>
          <w:color w:val="auto"/>
          <w:sz w:val="24"/>
          <w:szCs w:val="24"/>
          <w:highlight w:val="none"/>
          <w:lang w:val="en-US" w:eastAsia="zh-CN"/>
        </w:rPr>
        <w:t>磋商须知</w:t>
      </w:r>
      <w:r>
        <w:rPr>
          <w:rFonts w:hint="eastAsia" w:ascii="宋体" w:hAnsi="宋体" w:eastAsia="宋体" w:cs="宋体"/>
          <w:b/>
          <w:bCs/>
          <w:color w:val="auto"/>
          <w:sz w:val="24"/>
          <w:szCs w:val="24"/>
          <w:highlight w:val="none"/>
          <w:lang w:val="en-US" w:eastAsia="zh-CN"/>
        </w:rPr>
        <w:t>第</w:t>
      </w:r>
      <w:r>
        <w:rPr>
          <w:rFonts w:hint="eastAsia"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部分：</w:t>
      </w:r>
      <w:r>
        <w:rPr>
          <w:rFonts w:hint="eastAsia" w:ascii="宋体" w:hAnsi="宋体" w:eastAsia="宋体" w:cs="宋体"/>
          <w:b/>
          <w:bCs/>
          <w:color w:val="auto"/>
          <w:sz w:val="24"/>
          <w:szCs w:val="24"/>
          <w:highlight w:val="none"/>
        </w:rPr>
        <w:t>《符合性审查表》。</w:t>
      </w:r>
    </w:p>
    <w:p w14:paraId="47846F1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26.2 </w:t>
      </w:r>
      <w:r>
        <w:rPr>
          <w:rFonts w:hint="eastAsia" w:ascii="宋体" w:hAnsi="宋体" w:eastAsia="宋体" w:cs="宋体"/>
          <w:b/>
          <w:bCs/>
          <w:color w:val="auto"/>
          <w:sz w:val="24"/>
          <w:szCs w:val="24"/>
          <w:highlight w:val="none"/>
        </w:rPr>
        <w:t>磋商</w:t>
      </w:r>
      <w:r>
        <w:rPr>
          <w:rFonts w:hint="eastAsia" w:ascii="宋体" w:hAnsi="宋体" w:eastAsia="宋体" w:cs="宋体"/>
          <w:color w:val="auto"/>
          <w:sz w:val="24"/>
          <w:szCs w:val="24"/>
          <w:highlight w:val="none"/>
        </w:rPr>
        <w:t xml:space="preserve"> </w:t>
      </w:r>
    </w:p>
    <w:p w14:paraId="19EB900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26.2.1 </w:t>
      </w:r>
      <w:r>
        <w:rPr>
          <w:rFonts w:hint="eastAsia" w:ascii="宋体" w:hAnsi="宋体" w:eastAsia="宋体" w:cs="宋体"/>
          <w:color w:val="auto"/>
          <w:sz w:val="24"/>
          <w:szCs w:val="24"/>
          <w:highlight w:val="none"/>
        </w:rPr>
        <w:t>磋商小组所有成员集中与单一供应商分别进行</w:t>
      </w:r>
      <w:r>
        <w:rPr>
          <w:rFonts w:hint="eastAsia" w:cs="宋体"/>
          <w:color w:val="auto"/>
          <w:sz w:val="24"/>
          <w:szCs w:val="24"/>
          <w:highlight w:val="none"/>
          <w:lang w:val="en-US" w:eastAsia="zh-CN"/>
        </w:rPr>
        <w:t>线上</w:t>
      </w:r>
      <w:r>
        <w:rPr>
          <w:rFonts w:hint="eastAsia" w:ascii="宋体" w:hAnsi="宋体" w:eastAsia="宋体" w:cs="宋体"/>
          <w:color w:val="auto"/>
          <w:sz w:val="24"/>
          <w:szCs w:val="24"/>
          <w:highlight w:val="none"/>
        </w:rPr>
        <w:t xml:space="preserve">磋商，并给予所有参加磋商的供应商平等的磋商机会。 </w:t>
      </w:r>
    </w:p>
    <w:p w14:paraId="0A7F46F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磋商小组对各供应商的最后报价进行审查，认为供应商的最后报价明显低于其他通过资格、符合性审查供应商的报价，有可能影响</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质量或者不能诚信履约的，</w:t>
      </w:r>
      <w:r>
        <w:rPr>
          <w:rFonts w:hint="eastAsia"/>
          <w:color w:val="auto"/>
          <w:sz w:val="24"/>
          <w:szCs w:val="24"/>
          <w:highlight w:val="none"/>
        </w:rPr>
        <w:t>应当要求其在</w:t>
      </w:r>
      <w:r>
        <w:rPr>
          <w:rFonts w:hint="eastAsia"/>
          <w:color w:val="auto"/>
          <w:sz w:val="24"/>
          <w:szCs w:val="24"/>
          <w:highlight w:val="none"/>
          <w:lang w:val="en-US" w:eastAsia="zh-CN"/>
        </w:rPr>
        <w:t>政采云不见面开评标大厅</w:t>
      </w:r>
      <w:r>
        <w:rPr>
          <w:rFonts w:hint="eastAsia"/>
          <w:color w:val="auto"/>
          <w:sz w:val="24"/>
          <w:szCs w:val="24"/>
          <w:highlight w:val="none"/>
        </w:rPr>
        <w:t>提供书面说明，必要时提交相关证明材料；供应商不能证明其报价合理性的，磋商小组应当将其作为无效响应处理。</w:t>
      </w:r>
      <w:r>
        <w:rPr>
          <w:rFonts w:hint="eastAsia"/>
          <w:color w:val="auto"/>
          <w:sz w:val="24"/>
          <w:szCs w:val="24"/>
          <w:highlight w:val="none"/>
          <w:lang w:val="en-US" w:eastAsia="zh-CN"/>
        </w:rPr>
        <w:t xml:space="preserve">  </w:t>
      </w:r>
    </w:p>
    <w:p w14:paraId="417F2AB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供应商的报价出现前后不一致的情况，磋商小组将要求供应商根据磋商文件要求修正报价。修正后的报价经供应商确认后具有约束力，供应商不确认的，其响应无效。 </w:t>
      </w:r>
    </w:p>
    <w:p w14:paraId="02F1F60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报价按照下列规定修正： </w:t>
      </w:r>
    </w:p>
    <w:p w14:paraId="58CF1B8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.1 </w:t>
      </w:r>
      <w:r>
        <w:rPr>
          <w:rFonts w:hint="eastAsia" w:cs="宋体"/>
          <w:color w:val="auto"/>
          <w:sz w:val="24"/>
          <w:szCs w:val="24"/>
          <w:highlight w:val="none"/>
          <w:lang w:val="en-US" w:eastAsia="zh-CN"/>
        </w:rPr>
        <w:t>政府采购网上</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一览表（首次报价表）内容与响应文件中相应内容不一致的，以</w:t>
      </w:r>
      <w:r>
        <w:rPr>
          <w:rFonts w:hint="eastAsia" w:cs="宋体"/>
          <w:color w:val="auto"/>
          <w:sz w:val="24"/>
          <w:szCs w:val="24"/>
          <w:highlight w:val="none"/>
          <w:lang w:val="en-US" w:eastAsia="zh-CN"/>
        </w:rPr>
        <w:t>政府采购网上</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一览表（首次报价表）为准； </w:t>
      </w:r>
    </w:p>
    <w:p w14:paraId="78564C7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 xml:space="preserve">大写金额和小写金额不一致的，以大写金额为准； </w:t>
      </w:r>
    </w:p>
    <w:p w14:paraId="778AEFE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单价金额小数点或者百分比有明显错位的，以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一览表的总价为准，并修改单价； </w:t>
      </w:r>
    </w:p>
    <w:p w14:paraId="4E2EB2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 xml:space="preserve">总价金额与按单价汇总金额不一致的，以单价金额计算结果为准。 </w:t>
      </w:r>
    </w:p>
    <w:p w14:paraId="21D24D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 xml:space="preserve">同时出现两种以上不一致的，按照前款规定的顺序修正。 </w:t>
      </w:r>
    </w:p>
    <w:p w14:paraId="4536757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在磋商过程中，磋商小组可以根据磋商文件和磋商情况实质性变动采购需求中的技术、服务要求以及合同草案条款，但不得变动磋商文件中的其他内容。实质性变动的内容，须经采购人代表确认。 </w:t>
      </w:r>
    </w:p>
    <w:p w14:paraId="706022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对磋商文件作出的实质性变动是磋商文件的有效组成部分，磋商小组应当以书面形式同时通知所有参加磋商的供应商，供应商应当按照磋商文件的变动情况和磋商小组的要求重新提交响应文件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并由其法定代表人或授权代表签字或者加盖公章。供应商为自然人的，应当由本人签字并附身份证明。 </w:t>
      </w:r>
    </w:p>
    <w:p w14:paraId="4722A002">
      <w:pPr>
        <w:spacing w:line="440" w:lineRule="exact"/>
        <w:ind w:firstLine="480" w:firstLineChars="200"/>
        <w:rPr>
          <w:rFonts w:hint="eastAsia"/>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 xml:space="preserve">7 </w:t>
      </w:r>
      <w:r>
        <w:rPr>
          <w:rFonts w:hint="eastAsia"/>
          <w:color w:val="auto"/>
          <w:sz w:val="24"/>
          <w:szCs w:val="24"/>
          <w:highlight w:val="none"/>
        </w:rPr>
        <w:t>磋商文件能够详细说明采购标的的技术、服务要求的，磋商结束后，磋商小组应当要求所有实质性响应的供应商在规定的时间内</w:t>
      </w:r>
      <w:r>
        <w:rPr>
          <w:rFonts w:hint="eastAsia"/>
          <w:color w:val="auto"/>
          <w:sz w:val="24"/>
          <w:szCs w:val="24"/>
          <w:highlight w:val="none"/>
          <w:lang w:val="en-US" w:eastAsia="zh-CN"/>
        </w:rPr>
        <w:t>在政采云不见面开评标大厅</w:t>
      </w:r>
      <w:r>
        <w:rPr>
          <w:rFonts w:hint="eastAsia"/>
          <w:color w:val="auto"/>
          <w:sz w:val="24"/>
          <w:szCs w:val="24"/>
          <w:highlight w:val="none"/>
        </w:rPr>
        <w:t>提交最后报价，提交最后报价的供应商不得少于3家。</w:t>
      </w:r>
      <w:r>
        <w:rPr>
          <w:rFonts w:hint="eastAsia"/>
          <w:b/>
          <w:bCs/>
          <w:color w:val="auto"/>
          <w:sz w:val="24"/>
          <w:szCs w:val="24"/>
          <w:highlight w:val="none"/>
          <w:lang w:val="en-US" w:eastAsia="zh-CN"/>
        </w:rPr>
        <w:t>供应商进入政采云平台“项目采购”-“开标评标”模块，在政采云不见面开评标大厅中，等待磋商小组组长开启二次报价，供应商根据系统提示填写二次报价，并签章确认提交。</w:t>
      </w:r>
      <w:r>
        <w:rPr>
          <w:rFonts w:hint="eastAsia"/>
          <w:b/>
          <w:bCs/>
          <w:color w:val="auto"/>
          <w:sz w:val="24"/>
          <w:szCs w:val="24"/>
          <w:highlight w:val="none"/>
        </w:rPr>
        <w:t xml:space="preserve"> </w:t>
      </w:r>
      <w:r>
        <w:rPr>
          <w:rFonts w:hint="eastAsia"/>
          <w:b/>
          <w:bCs/>
          <w:color w:val="auto"/>
          <w:sz w:val="24"/>
          <w:szCs w:val="24"/>
          <w:highlight w:val="none"/>
          <w:lang w:val="en-US" w:eastAsia="zh-CN"/>
        </w:rPr>
        <w:t xml:space="preserve">           </w:t>
      </w:r>
    </w:p>
    <w:p w14:paraId="0D887545">
      <w:pPr>
        <w:spacing w:line="440" w:lineRule="exact"/>
        <w:ind w:firstLine="480" w:firstLineChars="200"/>
        <w:rPr>
          <w:rFonts w:hint="eastAsia" w:ascii="宋体" w:hAnsi="宋体" w:eastAsia="宋体" w:cs="宋体"/>
          <w:color w:val="auto"/>
          <w:sz w:val="24"/>
          <w:szCs w:val="24"/>
          <w:highlight w:val="none"/>
        </w:rPr>
      </w:pPr>
      <w:r>
        <w:rPr>
          <w:rFonts w:hint="eastAsia"/>
          <w:color w:val="auto"/>
          <w:sz w:val="24"/>
          <w:szCs w:val="24"/>
          <w:highlight w:val="none"/>
        </w:rPr>
        <w:t>如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响应文件的有效组成部分。</w:t>
      </w:r>
    </w:p>
    <w:p w14:paraId="3AC539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 xml:space="preserve">在磋商过程中，供应商提交的澄清文件和最终响应文件，由供应商法定代表人或其授权代表签署后生效，供应商应受其约束。 </w:t>
      </w:r>
    </w:p>
    <w:p w14:paraId="60C7F15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26.3 </w:t>
      </w:r>
      <w:r>
        <w:rPr>
          <w:rFonts w:hint="eastAsia" w:ascii="宋体" w:hAnsi="宋体" w:eastAsia="宋体" w:cs="宋体"/>
          <w:color w:val="auto"/>
          <w:sz w:val="24"/>
          <w:szCs w:val="24"/>
          <w:highlight w:val="none"/>
        </w:rPr>
        <w:t>已提交响应文件的供应商，在提交最后报价之前，可以根据磋商情况退出磋商。</w:t>
      </w:r>
      <w:r>
        <w:rPr>
          <w:rFonts w:hint="eastAsia" w:ascii="宋体" w:hAnsi="宋体" w:eastAsia="宋体" w:cs="宋体"/>
          <w:color w:val="auto"/>
          <w:sz w:val="24"/>
          <w:szCs w:val="24"/>
          <w:highlight w:val="none"/>
          <w:lang w:val="en-US" w:eastAsia="zh-CN"/>
        </w:rPr>
        <w:t>未作最后报价供应商视为自动退出磋商。供应商下轮报价可与上轮报价一致。</w:t>
      </w:r>
    </w:p>
    <w:p w14:paraId="27EEF2A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26.4 </w:t>
      </w:r>
      <w:r>
        <w:rPr>
          <w:rFonts w:hint="eastAsia" w:cs="宋体"/>
          <w:color w:val="auto"/>
          <w:sz w:val="24"/>
          <w:szCs w:val="24"/>
          <w:highlight w:val="none"/>
          <w:lang w:val="en-US" w:eastAsia="zh-CN"/>
        </w:rPr>
        <w:t>招标代理</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对磋商过程和重要磋商内容进行记录。 </w:t>
      </w:r>
    </w:p>
    <w:p w14:paraId="75603F9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27 </w:t>
      </w:r>
      <w:r>
        <w:rPr>
          <w:rFonts w:hint="eastAsia" w:ascii="宋体" w:hAnsi="宋体" w:eastAsia="宋体" w:cs="宋体"/>
          <w:b/>
          <w:bCs/>
          <w:color w:val="auto"/>
          <w:sz w:val="24"/>
          <w:szCs w:val="24"/>
          <w:highlight w:val="none"/>
        </w:rPr>
        <w:t>最后报价</w:t>
      </w:r>
      <w:r>
        <w:rPr>
          <w:rFonts w:hint="eastAsia" w:ascii="宋体" w:hAnsi="宋体" w:eastAsia="宋体" w:cs="宋体"/>
          <w:color w:val="auto"/>
          <w:sz w:val="24"/>
          <w:szCs w:val="24"/>
          <w:highlight w:val="none"/>
        </w:rPr>
        <w:t xml:space="preserve"> </w:t>
      </w:r>
    </w:p>
    <w:p w14:paraId="4DFE1F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b/>
          <w:bCs/>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.1. 磋商结束后，作出实质性响应的供应商应在规定的时间内提交最后报价（最后报价时间视磋商进程由磋商小组决定）。 </w:t>
      </w:r>
      <w:r>
        <w:rPr>
          <w:rFonts w:hint="eastAsia"/>
          <w:b/>
          <w:bCs/>
          <w:color w:val="auto"/>
          <w:sz w:val="24"/>
          <w:szCs w:val="24"/>
          <w:highlight w:val="none"/>
          <w:lang w:val="en-US" w:eastAsia="zh-CN"/>
        </w:rPr>
        <w:t>供应商未在规定时间内填写二次报价视为自动退出磋商，放弃投标。</w:t>
      </w:r>
    </w:p>
    <w:p w14:paraId="56E8F7A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28 </w:t>
      </w:r>
      <w:r>
        <w:rPr>
          <w:rFonts w:hint="eastAsia" w:ascii="宋体" w:hAnsi="宋体" w:eastAsia="宋体" w:cs="宋体"/>
          <w:b/>
          <w:bCs/>
          <w:color w:val="auto"/>
          <w:sz w:val="24"/>
          <w:szCs w:val="24"/>
          <w:highlight w:val="none"/>
        </w:rPr>
        <w:t>评标方法</w:t>
      </w:r>
      <w:r>
        <w:rPr>
          <w:rFonts w:hint="eastAsia" w:ascii="宋体" w:hAnsi="宋体" w:eastAsia="宋体" w:cs="宋体"/>
          <w:color w:val="auto"/>
          <w:sz w:val="24"/>
          <w:szCs w:val="24"/>
          <w:highlight w:val="none"/>
        </w:rPr>
        <w:t xml:space="preserve"> </w:t>
      </w:r>
    </w:p>
    <w:p w14:paraId="709848C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28.1 </w:t>
      </w:r>
      <w:r>
        <w:rPr>
          <w:rFonts w:hint="eastAsia" w:ascii="宋体" w:hAnsi="宋体" w:eastAsia="宋体" w:cs="宋体"/>
          <w:color w:val="auto"/>
          <w:sz w:val="24"/>
          <w:szCs w:val="24"/>
          <w:highlight w:val="none"/>
        </w:rPr>
        <w:t xml:space="preserve">本项目采用综合评分法。磋商小组对符合性审查合格的响应文件进行商务、技术和价格评审， 如有多个包组则按各包组的自然顺序进行评审。磋商小组的评审按照客观、公正、审慎的原则，根据磋商文件规定的评标程序、评审方法和评审标准，就每个供应商的商务状况、技术状况及其对磋商文件要求的响应情况进行评审和比较，独立评出各供应商的商务得分、技术得分。各评委的评分算术平均值即为该供应商的商务得分和技术得分；然后评出磋商报价得分；最后将商务得分、技术得分和磋商报价得分汇总得出综合得分（商务得分、技术得分、磋商报价得分分值按四舍五入原则精确到小数点后两位）。 </w:t>
      </w:r>
    </w:p>
    <w:p w14:paraId="72A6F853">
      <w:pPr>
        <w:pStyle w:val="9"/>
        <w:rPr>
          <w:rFonts w:hint="eastAsia"/>
          <w:color w:val="auto"/>
          <w:highlight w:val="none"/>
        </w:rPr>
      </w:pPr>
    </w:p>
    <w:p w14:paraId="75261B5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综合得分＝商务得分+技术得分+磋商报价得分</w:t>
      </w:r>
    </w:p>
    <w:p w14:paraId="43EF697A">
      <w:pPr>
        <w:pStyle w:val="9"/>
        <w:rPr>
          <w:rFonts w:hint="eastAsia"/>
          <w:color w:val="auto"/>
          <w:highlight w:val="none"/>
        </w:rPr>
      </w:pPr>
    </w:p>
    <w:p w14:paraId="229BA43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28.2 </w:t>
      </w:r>
      <w:r>
        <w:rPr>
          <w:rFonts w:hint="eastAsia" w:ascii="宋体" w:hAnsi="宋体" w:eastAsia="宋体" w:cs="宋体"/>
          <w:color w:val="auto"/>
          <w:sz w:val="24"/>
          <w:szCs w:val="24"/>
          <w:highlight w:val="none"/>
        </w:rPr>
        <w:t xml:space="preserve">商务、技术评分 </w:t>
      </w:r>
    </w:p>
    <w:p w14:paraId="7727C9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 xml:space="preserve">28.2.1 </w:t>
      </w:r>
      <w:r>
        <w:rPr>
          <w:rFonts w:hint="eastAsia" w:ascii="宋体" w:hAnsi="宋体" w:eastAsia="宋体" w:cs="宋体"/>
          <w:color w:val="auto"/>
          <w:sz w:val="24"/>
          <w:szCs w:val="24"/>
          <w:highlight w:val="none"/>
        </w:rPr>
        <w:t>磋商小组对供应商的商务、技术状况及响应程度进行评议和比较，并依据评分标准，评出其商务、技术评分。详细评分标准见</w:t>
      </w:r>
      <w:r>
        <w:rPr>
          <w:rFonts w:hint="eastAsia" w:ascii="宋体" w:hAnsi="宋体" w:eastAsia="宋体" w:cs="宋体"/>
          <w:b w:val="0"/>
          <w:bCs w:val="0"/>
          <w:color w:val="auto"/>
          <w:sz w:val="24"/>
          <w:szCs w:val="24"/>
          <w:highlight w:val="none"/>
          <w:lang w:val="en-US" w:eastAsia="zh-CN"/>
        </w:rPr>
        <w:t>磋商须知第七部分《</w:t>
      </w:r>
      <w:r>
        <w:rPr>
          <w:rFonts w:hint="eastAsia" w:ascii="宋体" w:hAnsi="宋体" w:eastAsia="宋体" w:cs="宋体"/>
          <w:b w:val="0"/>
          <w:bCs w:val="0"/>
          <w:color w:val="auto"/>
          <w:sz w:val="24"/>
          <w:szCs w:val="24"/>
          <w:highlight w:val="none"/>
        </w:rPr>
        <w:t>评分标准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 xml:space="preserve">。 </w:t>
      </w:r>
    </w:p>
    <w:p w14:paraId="77B4A8A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28.3 </w:t>
      </w:r>
      <w:r>
        <w:rPr>
          <w:rFonts w:hint="eastAsia" w:ascii="宋体" w:hAnsi="宋体" w:eastAsia="宋体" w:cs="宋体"/>
          <w:color w:val="auto"/>
          <w:sz w:val="24"/>
          <w:szCs w:val="24"/>
          <w:highlight w:val="none"/>
        </w:rPr>
        <w:t xml:space="preserve">磋商报价评分 </w:t>
      </w:r>
    </w:p>
    <w:p w14:paraId="1B31EF6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28.3.1 </w:t>
      </w:r>
      <w:r>
        <w:rPr>
          <w:rFonts w:hint="eastAsia" w:ascii="宋体" w:hAnsi="宋体" w:eastAsia="宋体" w:cs="宋体"/>
          <w:color w:val="auto"/>
          <w:sz w:val="24"/>
          <w:szCs w:val="24"/>
          <w:highlight w:val="none"/>
        </w:rPr>
        <w:t>磋商报价评分采用低价优先的原则计算，即满足磋商文件要求且最后报价最低的供应商的价格为磋商基准价，该供应商的价格分为满分，落实政府采购政策进行价格调整的，以调整后的价格计算磋商基准价和磋商报价，详细评分标准见</w:t>
      </w:r>
      <w:r>
        <w:rPr>
          <w:rFonts w:hint="eastAsia" w:ascii="宋体" w:hAnsi="宋体" w:eastAsia="宋体" w:cs="宋体"/>
          <w:b w:val="0"/>
          <w:bCs w:val="0"/>
          <w:color w:val="auto"/>
          <w:sz w:val="24"/>
          <w:szCs w:val="24"/>
          <w:highlight w:val="none"/>
          <w:lang w:val="en-US" w:eastAsia="zh-CN"/>
        </w:rPr>
        <w:t>磋商须知第七部分《</w:t>
      </w:r>
      <w:r>
        <w:rPr>
          <w:rFonts w:hint="eastAsia" w:ascii="宋体" w:hAnsi="宋体" w:eastAsia="宋体" w:cs="宋体"/>
          <w:b w:val="0"/>
          <w:bCs w:val="0"/>
          <w:color w:val="auto"/>
          <w:sz w:val="24"/>
          <w:szCs w:val="24"/>
          <w:highlight w:val="none"/>
        </w:rPr>
        <w:t>评分标准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 xml:space="preserve">。其他供应商的价格分统一按照下列公式计算： </w:t>
      </w:r>
    </w:p>
    <w:p w14:paraId="2CE1077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磋商报价得分=(磋商基准价/最后磋商报价)×价格权重×100</w:t>
      </w:r>
      <w:r>
        <w:rPr>
          <w:rFonts w:hint="eastAsia" w:ascii="宋体" w:hAnsi="宋体" w:eastAsia="宋体" w:cs="宋体"/>
          <w:color w:val="auto"/>
          <w:sz w:val="24"/>
          <w:szCs w:val="24"/>
          <w:highlight w:val="none"/>
        </w:rPr>
        <w:t xml:space="preserve"> </w:t>
      </w:r>
    </w:p>
    <w:p w14:paraId="3DBE618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28.4 </w:t>
      </w:r>
      <w:r>
        <w:rPr>
          <w:rFonts w:hint="eastAsia" w:ascii="宋体" w:hAnsi="宋体" w:eastAsia="宋体" w:cs="宋体"/>
          <w:b/>
          <w:bCs/>
          <w:color w:val="auto"/>
          <w:sz w:val="24"/>
          <w:szCs w:val="24"/>
          <w:highlight w:val="none"/>
          <w:lang w:val="zh-CN"/>
        </w:rPr>
        <w:t>小微企业（监狱企业、残疾人福利性单位视同小微企业）价格扣除（仅非预留份额的采购项目或者采购包适用）</w:t>
      </w:r>
      <w:r>
        <w:rPr>
          <w:rFonts w:hint="eastAsia" w:ascii="宋体" w:hAnsi="宋体" w:eastAsia="宋体" w:cs="宋体"/>
          <w:color w:val="auto"/>
          <w:sz w:val="24"/>
          <w:szCs w:val="24"/>
          <w:highlight w:val="none"/>
        </w:rPr>
        <w:t xml:space="preserve"> </w:t>
      </w:r>
    </w:p>
    <w:p w14:paraId="7184DB5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28.4.1 </w:t>
      </w:r>
      <w:r>
        <w:rPr>
          <w:rFonts w:hint="eastAsia" w:ascii="宋体" w:hAnsi="宋体" w:eastAsia="宋体" w:cs="宋体"/>
          <w:color w:val="auto"/>
          <w:sz w:val="24"/>
          <w:szCs w:val="24"/>
          <w:highlight w:val="none"/>
          <w:lang w:val="zh-CN"/>
        </w:rPr>
        <w:t>对于经主管预算单位统筹后未预留份额专门面向中小企业采购的采购项目，以及预留份额项目中的非预留部分采购包，对符合《政府采购促进中小企业发展管理办法》（财库〔2020〕46 号）规定的小微企业报价给予</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的扣除，用扣除后的价格参加评审。</w:t>
      </w:r>
    </w:p>
    <w:p w14:paraId="5F3611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28.4.2</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接受大中型企业与小微企业组成联合体的采购项目，对联合协议约定小微企业的合同份额占到合同总金额30%以上的，对联合体的报价给予</w:t>
      </w:r>
      <w:r>
        <w:rPr>
          <w:rFonts w:hint="eastAsia"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的扣除，用扣除后的价格参加评审。</w:t>
      </w:r>
    </w:p>
    <w:p w14:paraId="5191FD2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28.4.3</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允许大中型企业向一家或者多家小微企业分包的采购项目，对于分包意向协议约定小微企业的合同份额占到合同总金额30%以上的，对大中型企业的报价给予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zh-CN"/>
        </w:rPr>
        <w:t>%的扣除，用扣除后的价格参加评审。</w:t>
      </w:r>
    </w:p>
    <w:p w14:paraId="3A452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参加政府采购活动的中小企业应当提供《中小企业声明函》原件。监狱企业应当提供监狱企业证明复印件。残疾人福利性单位应当提供《残疾人福利性单位声明函》原件。</w:t>
      </w:r>
      <w:r>
        <w:rPr>
          <w:rFonts w:hint="eastAsia" w:cs="宋体"/>
          <w:color w:val="auto"/>
          <w:sz w:val="24"/>
          <w:szCs w:val="24"/>
          <w:highlight w:val="none"/>
          <w:lang w:val="en-US" w:eastAsia="zh-CN"/>
        </w:rPr>
        <w:t>以上</w:t>
      </w:r>
      <w:r>
        <w:rPr>
          <w:rFonts w:hint="eastAsia" w:ascii="宋体" w:hAnsi="宋体" w:eastAsia="宋体" w:cs="宋体"/>
          <w:color w:val="auto"/>
          <w:sz w:val="24"/>
          <w:szCs w:val="24"/>
          <w:highlight w:val="none"/>
          <w:lang w:val="zh-CN"/>
        </w:rPr>
        <w:t>格式详见</w:t>
      </w:r>
      <w:r>
        <w:rPr>
          <w:rFonts w:hint="eastAsia" w:cs="宋体"/>
          <w:color w:val="auto"/>
          <w:sz w:val="24"/>
          <w:szCs w:val="24"/>
          <w:highlight w:val="none"/>
          <w:lang w:val="en-US" w:eastAsia="zh-CN"/>
        </w:rPr>
        <w:t>磋商文件</w:t>
      </w:r>
      <w:r>
        <w:rPr>
          <w:rFonts w:hint="eastAsia" w:ascii="宋体" w:hAnsi="宋体" w:eastAsia="宋体" w:cs="宋体"/>
          <w:color w:val="auto"/>
          <w:sz w:val="24"/>
          <w:szCs w:val="24"/>
          <w:highlight w:val="none"/>
          <w:lang w:val="zh-CN"/>
        </w:rPr>
        <w:t>第五部分响应文件格式</w:t>
      </w:r>
      <w:r>
        <w:rPr>
          <w:rFonts w:hint="eastAsia" w:cs="宋体"/>
          <w:color w:val="auto"/>
          <w:sz w:val="24"/>
          <w:szCs w:val="24"/>
          <w:highlight w:val="none"/>
          <w:lang w:val="zh-CN"/>
        </w:rPr>
        <w:t>，</w:t>
      </w:r>
      <w:r>
        <w:rPr>
          <w:rFonts w:hint="eastAsia" w:ascii="宋体" w:hAnsi="宋体" w:eastAsia="宋体" w:cs="宋体"/>
          <w:color w:val="auto"/>
          <w:sz w:val="24"/>
          <w:szCs w:val="24"/>
          <w:highlight w:val="none"/>
          <w:lang w:val="zh-CN"/>
        </w:rPr>
        <w:t>未提供的视为放弃享受小微企业价格扣除优惠政策。</w:t>
      </w:r>
    </w:p>
    <w:p w14:paraId="4CF7B31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val="zh-CN"/>
        </w:rPr>
        <w:t>组成联合体或者接受分包的小微企业与联合体内其他企业、分包企业之间存在直接控股、管理关系的，不享受价格扣除优惠政策。</w:t>
      </w:r>
    </w:p>
    <w:p w14:paraId="6ADCDA3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val="zh-CN"/>
        </w:rPr>
        <w:t>依据《政府采购促进中小企业发展管理办法》（财库〔2020〕46 号）规定享受扶持政策的小微企业，不得将合同分包给大中型企业。</w:t>
      </w:r>
    </w:p>
    <w:p w14:paraId="18B0F6E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28.5 </w:t>
      </w:r>
      <w:r>
        <w:rPr>
          <w:rFonts w:hint="eastAsia" w:ascii="宋体" w:hAnsi="宋体" w:eastAsia="宋体" w:cs="宋体"/>
          <w:b/>
          <w:bCs/>
          <w:color w:val="auto"/>
          <w:sz w:val="24"/>
          <w:szCs w:val="24"/>
          <w:highlight w:val="none"/>
        </w:rPr>
        <w:t>节能产品、环境标志产品政府采购政策执行</w:t>
      </w:r>
      <w:r>
        <w:rPr>
          <w:rFonts w:hint="eastAsia" w:ascii="宋体" w:hAnsi="宋体" w:eastAsia="宋体" w:cs="宋体"/>
          <w:color w:val="auto"/>
          <w:sz w:val="24"/>
          <w:szCs w:val="24"/>
          <w:highlight w:val="none"/>
        </w:rPr>
        <w:t xml:space="preserve"> </w:t>
      </w:r>
    </w:p>
    <w:p w14:paraId="42C475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cs="宋体"/>
          <w:color w:val="auto"/>
          <w:sz w:val="24"/>
          <w:szCs w:val="24"/>
          <w:highlight w:val="none"/>
          <w:lang w:val="en-US" w:eastAsia="zh-CN"/>
        </w:rPr>
        <w:t xml:space="preserve">28.5.1 </w:t>
      </w:r>
      <w:r>
        <w:rPr>
          <w:rFonts w:hint="eastAsia" w:ascii="宋体" w:hAnsi="宋体" w:eastAsia="宋体" w:cs="宋体"/>
          <w:color w:val="auto"/>
          <w:sz w:val="24"/>
          <w:szCs w:val="24"/>
          <w:highlight w:val="none"/>
          <w:lang w:val="en-US" w:eastAsia="zh-CN"/>
        </w:rPr>
        <w:t>根据《财政部发展改革委生态环境部市场监管总局关于调整优化节能产品、环境标志产品政府采购执行机制的通知》（财库〔2019</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 </w:t>
      </w:r>
    </w:p>
    <w:p w14:paraId="3E2979F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28.5.2 采购标的</w:t>
      </w:r>
      <w:r>
        <w:rPr>
          <w:rFonts w:hint="eastAsia" w:ascii="宋体" w:hAnsi="宋体" w:eastAsia="宋体" w:cs="宋体"/>
          <w:color w:val="auto"/>
          <w:sz w:val="24"/>
          <w:szCs w:val="24"/>
          <w:highlight w:val="none"/>
        </w:rPr>
        <w:t>属于《节能产品政府采购品目清单》、《环境标志产品政府采购品目清单》中优先采购产品类别产品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提供由《参与实施政府采购节能产品认证机构名录》、《参与实施政府采购环境标志产品认证机构名录》中确定的认证机构出具的、处于有效期之内的节能产品认证证书或环境标志产品认证证书（复印件加盖供应商公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将按照“第</w:t>
      </w:r>
      <w:r>
        <w:rPr>
          <w:rFonts w:hint="eastAsia" w:cs="宋体"/>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 xml:space="preserve">部分 </w:t>
      </w:r>
      <w:r>
        <w:rPr>
          <w:rFonts w:hint="eastAsia" w:cs="宋体"/>
          <w:color w:val="auto"/>
          <w:sz w:val="24"/>
          <w:szCs w:val="24"/>
          <w:highlight w:val="none"/>
          <w:lang w:val="en-US" w:eastAsia="zh-CN"/>
        </w:rPr>
        <w:t>评审</w:t>
      </w:r>
      <w:r>
        <w:rPr>
          <w:rFonts w:hint="eastAsia" w:ascii="宋体" w:hAnsi="宋体" w:eastAsia="宋体" w:cs="宋体"/>
          <w:color w:val="auto"/>
          <w:sz w:val="24"/>
          <w:szCs w:val="24"/>
          <w:highlight w:val="none"/>
          <w:lang w:val="en-US" w:eastAsia="zh-CN"/>
        </w:rPr>
        <w:t>标准”给予加分。</w:t>
      </w:r>
    </w:p>
    <w:p w14:paraId="1505BD7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价格项加分：</w:t>
      </w:r>
    </w:p>
    <w:p w14:paraId="423CCA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1、（节能清单部分产品的价格/投标报价）×3%×价格项满分值</w:t>
      </w:r>
    </w:p>
    <w:p w14:paraId="22761C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2、（环境清单部分产品的价格/投标报价）×3%×价格项满分值</w:t>
      </w:r>
    </w:p>
    <w:p w14:paraId="18A9DD1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技术项加分：</w:t>
      </w:r>
    </w:p>
    <w:p w14:paraId="54FF25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1、（节能清单部分产品的价格/投标报价）×3%×技术项满分值</w:t>
      </w:r>
    </w:p>
    <w:p w14:paraId="2F3505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2、（环境清单部分产品的价格/投标报价）×3%×技术项满分值</w:t>
      </w:r>
    </w:p>
    <w:p w14:paraId="4D2EF4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注：1、供应商须提供</w:t>
      </w:r>
      <w:r>
        <w:rPr>
          <w:rFonts w:hint="eastAsia" w:ascii="宋体" w:hAnsi="宋体" w:eastAsia="宋体" w:cs="宋体"/>
          <w:color w:val="auto"/>
          <w:sz w:val="24"/>
          <w:szCs w:val="24"/>
          <w:highlight w:val="none"/>
          <w:lang w:val="en-US" w:eastAsia="zh-CN"/>
        </w:rPr>
        <w:t>最新一</w:t>
      </w:r>
      <w:r>
        <w:rPr>
          <w:rFonts w:hint="eastAsia" w:ascii="宋体" w:hAnsi="宋体" w:eastAsia="宋体" w:cs="宋体"/>
          <w:color w:val="auto"/>
          <w:sz w:val="24"/>
          <w:szCs w:val="24"/>
          <w:highlight w:val="none"/>
        </w:rPr>
        <w:t>期《节能产品政府采购清单》关于投标产品当前页的打印件；</w:t>
      </w:r>
    </w:p>
    <w:p w14:paraId="6AC4D7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2、供应商提供</w:t>
      </w:r>
      <w:r>
        <w:rPr>
          <w:rFonts w:hint="eastAsia" w:ascii="宋体" w:hAnsi="宋体" w:eastAsia="宋体" w:cs="宋体"/>
          <w:color w:val="auto"/>
          <w:sz w:val="24"/>
          <w:szCs w:val="24"/>
          <w:highlight w:val="none"/>
          <w:lang w:val="en-US" w:eastAsia="zh-CN"/>
        </w:rPr>
        <w:t>最新一</w:t>
      </w:r>
      <w:r>
        <w:rPr>
          <w:rFonts w:hint="eastAsia" w:ascii="宋体" w:hAnsi="宋体" w:eastAsia="宋体" w:cs="宋体"/>
          <w:color w:val="auto"/>
          <w:sz w:val="24"/>
          <w:szCs w:val="24"/>
          <w:highlight w:val="none"/>
        </w:rPr>
        <w:t>期《环境标志产品政府采购清单》关于投标产品当前页的打印件；</w:t>
      </w:r>
    </w:p>
    <w:p w14:paraId="6CAF750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29 </w:t>
      </w:r>
      <w:r>
        <w:rPr>
          <w:rFonts w:hint="eastAsia" w:ascii="宋体" w:hAnsi="宋体" w:eastAsia="宋体" w:cs="宋体"/>
          <w:b/>
          <w:bCs/>
          <w:color w:val="auto"/>
          <w:sz w:val="24"/>
          <w:szCs w:val="24"/>
          <w:highlight w:val="none"/>
        </w:rPr>
        <w:t>授标与定标原则</w:t>
      </w:r>
      <w:r>
        <w:rPr>
          <w:rFonts w:hint="eastAsia" w:ascii="宋体" w:hAnsi="宋体" w:eastAsia="宋体" w:cs="宋体"/>
          <w:color w:val="auto"/>
          <w:sz w:val="24"/>
          <w:szCs w:val="24"/>
          <w:highlight w:val="none"/>
        </w:rPr>
        <w:t xml:space="preserve"> </w:t>
      </w:r>
    </w:p>
    <w:p w14:paraId="4D7DE16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29.1 </w:t>
      </w:r>
      <w:r>
        <w:rPr>
          <w:rFonts w:hint="eastAsia" w:ascii="宋体" w:hAnsi="宋体" w:eastAsia="宋体" w:cs="宋体"/>
          <w:color w:val="auto"/>
          <w:sz w:val="24"/>
          <w:szCs w:val="24"/>
          <w:highlight w:val="none"/>
        </w:rPr>
        <w:t xml:space="preserve">磋商小组按照磋商文件确定的评标方法、步骤、标准，对响应文件进行评审，并出具书面评标报告。磋商小组成员对需要共同认定的事项存在争议的，应当按照少数服从多数的原则作出结论。持不同意见的磋商小组成员应当在评标报告上签署不同意见及理由，否则视为同意评标报告。 </w:t>
      </w:r>
    </w:p>
    <w:p w14:paraId="51DE681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29.2 </w:t>
      </w:r>
      <w:r>
        <w:rPr>
          <w:rFonts w:hint="eastAsia" w:ascii="宋体" w:hAnsi="宋体" w:eastAsia="宋体" w:cs="宋体"/>
          <w:color w:val="auto"/>
          <w:sz w:val="24"/>
          <w:szCs w:val="24"/>
          <w:highlight w:val="none"/>
        </w:rPr>
        <w:t xml:space="preserve">磋商小组根据评审结果，按评审后得分由高到低的顺序排列成交候选供应商名次。得分相同的，按磋商报价由低到高顺序排列。综合得分且磋商报价相同的，按技术部分得分由高到低顺序排列。综合得分、价格及技术得分均相同的，由磋商小组通过表决的方式，以少数服从多数原则，决定成交候选供应商排列顺序。 </w:t>
      </w:r>
    </w:p>
    <w:p w14:paraId="4673285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29.3 </w:t>
      </w:r>
      <w:r>
        <w:rPr>
          <w:rFonts w:hint="eastAsia" w:ascii="宋体" w:hAnsi="宋体" w:eastAsia="宋体" w:cs="宋体"/>
          <w:color w:val="auto"/>
          <w:sz w:val="24"/>
          <w:szCs w:val="24"/>
          <w:highlight w:val="none"/>
        </w:rPr>
        <w:t xml:space="preserve">推荐综合得分排名第一的供应商为第一成交候选供应商，排名第二的供应商为第二成交候选供应商， 排名第三的供应商为第三成交候选供应商。 </w:t>
      </w:r>
    </w:p>
    <w:p w14:paraId="374231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29.4 </w:t>
      </w:r>
      <w:r>
        <w:rPr>
          <w:rFonts w:hint="eastAsia" w:ascii="宋体" w:hAnsi="宋体" w:eastAsia="宋体" w:cs="宋体"/>
          <w:color w:val="auto"/>
          <w:sz w:val="24"/>
          <w:szCs w:val="24"/>
          <w:highlight w:val="none"/>
        </w:rPr>
        <w:t>根据磋商小组的磋商结果，采购人在评标报告推荐的成交候选供应商中按顺序依法确定1名成交供应商。</w:t>
      </w:r>
    </w:p>
    <w:p w14:paraId="1B0F345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29.5 </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在评标结束后2个工作日内将评标报告送采购人，采购人在收到评标报告之日起5个工作日内在评标报告确定的成交候选供应商名单中按顺序确定成交供应商。采购人未在5个工作日内按评标报告推荐的成交候选供应商顺序确定成交供应商，又不能说明合法理由的，视同按评标报告推荐的顺序确定排名第一的成交候选供应商为成交供应商。 </w:t>
      </w:r>
    </w:p>
    <w:p w14:paraId="0CCBBF6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30 </w:t>
      </w:r>
      <w:r>
        <w:rPr>
          <w:rFonts w:hint="eastAsia" w:ascii="宋体" w:hAnsi="宋体" w:eastAsia="宋体" w:cs="宋体"/>
          <w:b/>
          <w:bCs/>
          <w:color w:val="auto"/>
          <w:sz w:val="24"/>
          <w:szCs w:val="24"/>
          <w:highlight w:val="none"/>
        </w:rPr>
        <w:t>成交通知书</w:t>
      </w:r>
      <w:r>
        <w:rPr>
          <w:rFonts w:hint="eastAsia" w:ascii="宋体" w:hAnsi="宋体" w:eastAsia="宋体" w:cs="宋体"/>
          <w:color w:val="auto"/>
          <w:sz w:val="24"/>
          <w:szCs w:val="24"/>
          <w:highlight w:val="none"/>
        </w:rPr>
        <w:t xml:space="preserve"> </w:t>
      </w:r>
    </w:p>
    <w:p w14:paraId="57A93F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30.1 </w:t>
      </w:r>
      <w:r>
        <w:rPr>
          <w:rFonts w:hint="eastAsia"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自成交供应商确定之日起2个工作日内，在磋商文件指定的媒体上发布成交公告，成交</w:t>
      </w:r>
      <w:r>
        <w:rPr>
          <w:rFonts w:hint="eastAsia" w:cs="宋体"/>
          <w:color w:val="auto"/>
          <w:sz w:val="24"/>
          <w:szCs w:val="24"/>
          <w:highlight w:val="none"/>
          <w:lang w:val="en-US" w:eastAsia="zh-CN"/>
        </w:rPr>
        <w:t>结果</w:t>
      </w:r>
      <w:r>
        <w:rPr>
          <w:rFonts w:hint="eastAsia" w:ascii="宋体" w:hAnsi="宋体" w:eastAsia="宋体" w:cs="宋体"/>
          <w:color w:val="auto"/>
          <w:sz w:val="24"/>
          <w:szCs w:val="24"/>
          <w:highlight w:val="none"/>
        </w:rPr>
        <w:t>公告期限为</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个工作日。同时向成交供应商发出《成交通知书》。 </w:t>
      </w:r>
    </w:p>
    <w:p w14:paraId="1EFEAB1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30.2 </w:t>
      </w:r>
      <w:r>
        <w:rPr>
          <w:rFonts w:hint="eastAsia" w:ascii="宋体" w:hAnsi="宋体" w:eastAsia="宋体" w:cs="宋体"/>
          <w:color w:val="auto"/>
          <w:sz w:val="24"/>
          <w:szCs w:val="24"/>
          <w:highlight w:val="none"/>
        </w:rPr>
        <w:t xml:space="preserve">《成交通知书》是合同的一个组成部分，《成交通知书》对采购人和成交供应商均具有同等的法律效力；《成交通知书》发出后，采购人改变成交结果，或者成交供应商放弃成交资格，应当承担相应的法律责任。 </w:t>
      </w:r>
    </w:p>
    <w:p w14:paraId="2C8058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30.3 </w:t>
      </w:r>
      <w:r>
        <w:rPr>
          <w:rFonts w:hint="eastAsia" w:ascii="宋体" w:hAnsi="宋体" w:eastAsia="宋体" w:cs="宋体"/>
          <w:color w:val="auto"/>
          <w:sz w:val="24"/>
          <w:szCs w:val="24"/>
          <w:highlight w:val="none"/>
        </w:rPr>
        <w:t xml:space="preserve">《成交通知书》将作为授予合同资格的合法依据，是合同的一个组成部分。 </w:t>
      </w:r>
    </w:p>
    <w:p w14:paraId="1BBB3D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30.4 </w:t>
      </w:r>
      <w:r>
        <w:rPr>
          <w:rFonts w:hint="eastAsia" w:ascii="宋体" w:hAnsi="宋体" w:eastAsia="宋体" w:cs="宋体"/>
          <w:color w:val="auto"/>
          <w:sz w:val="24"/>
          <w:szCs w:val="24"/>
          <w:highlight w:val="none"/>
        </w:rPr>
        <w:t>成交供应商为享受中小企业扶持政策的小微企业及视同小微企业的残疾人福利性单位的，</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随成交结果同时公告其《中小企业声明函》、《残疾人福利性单位声明函》，接受社会监督。 </w:t>
      </w:r>
    </w:p>
    <w:p w14:paraId="6C589A8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31 </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 xml:space="preserve"> </w:t>
      </w:r>
    </w:p>
    <w:p w14:paraId="3D32A9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 </w:t>
      </w:r>
      <w:r>
        <w:rPr>
          <w:rFonts w:hint="eastAsia" w:ascii="宋体" w:hAnsi="宋体" w:eastAsia="宋体" w:cs="宋体"/>
          <w:color w:val="auto"/>
          <w:sz w:val="24"/>
          <w:szCs w:val="24"/>
          <w:highlight w:val="none"/>
        </w:rPr>
        <w:t xml:space="preserve">在采购活动中，出现下列情形之一的，应予废标： </w:t>
      </w:r>
    </w:p>
    <w:p w14:paraId="42BCDF3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31.1.1 </w:t>
      </w:r>
      <w:r>
        <w:rPr>
          <w:rFonts w:hint="eastAsia" w:ascii="宋体" w:hAnsi="宋体" w:eastAsia="宋体" w:cs="宋体"/>
          <w:color w:val="auto"/>
          <w:sz w:val="24"/>
          <w:szCs w:val="24"/>
          <w:highlight w:val="none"/>
        </w:rPr>
        <w:t xml:space="preserve">因情况变化，不再符合规定的竞争性磋商采购方式适用情形的； </w:t>
      </w:r>
    </w:p>
    <w:p w14:paraId="77310B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31.1.2 </w:t>
      </w:r>
      <w:r>
        <w:rPr>
          <w:rFonts w:hint="eastAsia" w:ascii="宋体" w:hAnsi="宋体" w:eastAsia="宋体" w:cs="宋体"/>
          <w:color w:val="auto"/>
          <w:sz w:val="24"/>
          <w:szCs w:val="24"/>
          <w:highlight w:val="none"/>
        </w:rPr>
        <w:t xml:space="preserve">出现影响采购公正的违法、违规行为的； </w:t>
      </w:r>
    </w:p>
    <w:p w14:paraId="1758E38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31.1.3 </w:t>
      </w:r>
      <w:r>
        <w:rPr>
          <w:rFonts w:hint="eastAsia" w:ascii="宋体" w:hAnsi="宋体" w:eastAsia="宋体" w:cs="宋体"/>
          <w:color w:val="auto"/>
          <w:sz w:val="24"/>
          <w:szCs w:val="24"/>
          <w:highlight w:val="none"/>
        </w:rPr>
        <w:t>除本须知2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.2.8规定的情形外，在采购过程中符合要求的供应商或者报价未超过采购预算的供应商不足3家的。 </w:t>
      </w:r>
    </w:p>
    <w:p w14:paraId="4C9784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32 </w:t>
      </w:r>
      <w:r>
        <w:rPr>
          <w:rFonts w:hint="eastAsia" w:ascii="宋体" w:hAnsi="宋体" w:eastAsia="宋体" w:cs="宋体"/>
          <w:b/>
          <w:bCs/>
          <w:color w:val="auto"/>
          <w:sz w:val="24"/>
          <w:szCs w:val="24"/>
          <w:highlight w:val="none"/>
        </w:rPr>
        <w:t>询问、质疑、投诉</w:t>
      </w:r>
      <w:r>
        <w:rPr>
          <w:rFonts w:hint="eastAsia" w:ascii="宋体" w:hAnsi="宋体" w:eastAsia="宋体" w:cs="宋体"/>
          <w:color w:val="auto"/>
          <w:sz w:val="24"/>
          <w:szCs w:val="24"/>
          <w:highlight w:val="none"/>
        </w:rPr>
        <w:t xml:space="preserve"> </w:t>
      </w:r>
    </w:p>
    <w:p w14:paraId="6A1D81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 </w:t>
      </w:r>
      <w:r>
        <w:rPr>
          <w:rFonts w:hint="eastAsia" w:ascii="宋体" w:hAnsi="宋体" w:eastAsia="宋体" w:cs="宋体"/>
          <w:color w:val="auto"/>
          <w:sz w:val="24"/>
          <w:szCs w:val="24"/>
          <w:highlight w:val="none"/>
        </w:rPr>
        <w:t xml:space="preserve">询问 </w:t>
      </w:r>
    </w:p>
    <w:p w14:paraId="2809627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32.1.1 </w:t>
      </w:r>
      <w:r>
        <w:rPr>
          <w:rFonts w:hint="eastAsia" w:ascii="宋体" w:hAnsi="宋体" w:eastAsia="宋体" w:cs="宋体"/>
          <w:color w:val="auto"/>
          <w:sz w:val="24"/>
          <w:szCs w:val="24"/>
          <w:highlight w:val="none"/>
        </w:rPr>
        <w:t>供应商对政府采购活动事项（磋商文件、采购过程、成交或者成交结果）有疑问的，可以向采购人或者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eastAsia="zh-CN"/>
        </w:rPr>
        <w:t>心</w:t>
      </w:r>
      <w:r>
        <w:rPr>
          <w:rFonts w:hint="eastAsia" w:ascii="宋体" w:hAnsi="宋体" w:eastAsia="宋体" w:cs="宋体"/>
          <w:color w:val="auto"/>
          <w:sz w:val="24"/>
          <w:szCs w:val="24"/>
          <w:highlight w:val="none"/>
        </w:rPr>
        <w:t xml:space="preserve">提出询问，询问可以口头方式提出，也可以书面方式提出。 </w:t>
      </w:r>
    </w:p>
    <w:p w14:paraId="378922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32.1.2 </w:t>
      </w:r>
      <w:r>
        <w:rPr>
          <w:rFonts w:hint="eastAsia" w:ascii="宋体" w:hAnsi="宋体" w:eastAsia="宋体" w:cs="宋体"/>
          <w:color w:val="auto"/>
          <w:sz w:val="24"/>
          <w:szCs w:val="24"/>
          <w:highlight w:val="none"/>
        </w:rPr>
        <w:t>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在三个工作日内对供应商依法提出的询问作出答复。 </w:t>
      </w:r>
    </w:p>
    <w:p w14:paraId="333BE0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32.2 </w:t>
      </w:r>
      <w:r>
        <w:rPr>
          <w:rFonts w:hint="eastAsia" w:ascii="宋体" w:hAnsi="宋体" w:eastAsia="宋体" w:cs="宋体"/>
          <w:color w:val="auto"/>
          <w:sz w:val="24"/>
          <w:szCs w:val="24"/>
          <w:highlight w:val="none"/>
        </w:rPr>
        <w:t>质疑</w:t>
      </w:r>
    </w:p>
    <w:p w14:paraId="7F59EC98">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.1 提出质疑的供应商应当是参与所质疑项目采购活动的供应商。潜在供应商依法获取其可质疑的采购文件的，可以对采购文件提出质疑。</w:t>
      </w:r>
    </w:p>
    <w:p w14:paraId="33CF9823">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.2供应商认为采购文件、采购过程和采购结果使自己的权益受到损害的，可以在知道或应知其权益受到损害之日起七个工作日内，以书面形式向</w:t>
      </w:r>
      <w:r>
        <w:rPr>
          <w:rFonts w:hint="eastAsia"/>
          <w:color w:val="auto"/>
          <w:sz w:val="24"/>
          <w:szCs w:val="24"/>
          <w:highlight w:val="none"/>
          <w:lang w:val="en-US" w:eastAsia="zh-CN"/>
        </w:rPr>
        <w:t>招标代理公司</w:t>
      </w:r>
      <w:r>
        <w:rPr>
          <w:rFonts w:hint="eastAsia" w:ascii="宋体" w:hAnsi="宋体"/>
          <w:color w:val="auto"/>
          <w:sz w:val="24"/>
          <w:szCs w:val="24"/>
          <w:highlight w:val="none"/>
        </w:rPr>
        <w:t>及采购人提出质疑。上述应知其权益受到损害之日，是指：</w:t>
      </w:r>
    </w:p>
    <w:p w14:paraId="526CC966">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.2.1</w:t>
      </w:r>
      <w:r>
        <w:rPr>
          <w:rFonts w:hint="eastAsia" w:hAnsi="宋体" w:cs="宋体"/>
          <w:color w:val="auto"/>
          <w:kern w:val="0"/>
          <w:sz w:val="24"/>
          <w:szCs w:val="24"/>
          <w:highlight w:val="none"/>
        </w:rPr>
        <w:t>对可以质疑的采购文件提出质疑的，为收到采购文件之日或者采购文件公告期限届满之日；</w:t>
      </w:r>
    </w:p>
    <w:p w14:paraId="638E22ED">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.2.2</w:t>
      </w:r>
      <w:r>
        <w:rPr>
          <w:rFonts w:hint="eastAsia" w:hAnsi="宋体" w:cs="宋体"/>
          <w:color w:val="auto"/>
          <w:kern w:val="0"/>
          <w:sz w:val="24"/>
          <w:szCs w:val="24"/>
          <w:highlight w:val="none"/>
        </w:rPr>
        <w:t>对采购过程提出质疑的，为各采购程序环节结束之日；</w:t>
      </w:r>
    </w:p>
    <w:p w14:paraId="0A0C9854">
      <w:pPr>
        <w:snapToGrid w:val="0"/>
        <w:spacing w:line="480" w:lineRule="exact"/>
        <w:ind w:firstLine="480" w:firstLineChars="200"/>
        <w:rPr>
          <w:rFonts w:hint="eastAsia" w:hAnsi="宋体" w:cs="宋体"/>
          <w:color w:val="auto"/>
          <w:kern w:val="0"/>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.2.3</w:t>
      </w:r>
      <w:r>
        <w:rPr>
          <w:rFonts w:hint="eastAsia" w:hAnsi="宋体" w:cs="宋体"/>
          <w:color w:val="auto"/>
          <w:kern w:val="0"/>
          <w:sz w:val="24"/>
          <w:szCs w:val="24"/>
          <w:highlight w:val="none"/>
        </w:rPr>
        <w:t>对中标或者成交结果提出质疑的，为中标或者成交结果公告期限届满之日。</w:t>
      </w:r>
    </w:p>
    <w:p w14:paraId="4C659776">
      <w:pPr>
        <w:snapToGrid w:val="0"/>
        <w:spacing w:line="48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供应商应当在法定质疑期内一次性提出针对同一采购程序环节的质疑。供应商如在法定期限内对同一采购程序环节提出多次质疑的，</w:t>
      </w:r>
      <w:r>
        <w:rPr>
          <w:rFonts w:hint="eastAsia" w:cs="宋体"/>
          <w:b/>
          <w:color w:val="auto"/>
          <w:kern w:val="0"/>
          <w:sz w:val="24"/>
          <w:szCs w:val="24"/>
          <w:highlight w:val="none"/>
          <w:lang w:val="en-US" w:eastAsia="zh-CN"/>
        </w:rPr>
        <w:t>招标代理公司</w:t>
      </w:r>
      <w:r>
        <w:rPr>
          <w:rFonts w:hint="eastAsia" w:hAnsi="宋体" w:cs="宋体"/>
          <w:b/>
          <w:color w:val="auto"/>
          <w:kern w:val="0"/>
          <w:sz w:val="24"/>
          <w:szCs w:val="24"/>
          <w:highlight w:val="none"/>
        </w:rPr>
        <w:t>、采购人将只对供应商第一次质疑作出答复。</w:t>
      </w:r>
    </w:p>
    <w:p w14:paraId="2A6EFB04">
      <w:pPr>
        <w:snapToGrid w:val="0"/>
        <w:spacing w:line="480" w:lineRule="exact"/>
        <w:ind w:firstLine="480" w:firstLineChars="200"/>
        <w:rPr>
          <w:rFonts w:ascii="宋体" w:hAnsi="宋体"/>
          <w:color w:val="auto"/>
          <w:sz w:val="24"/>
          <w:szCs w:val="24"/>
          <w:highlight w:val="none"/>
        </w:rPr>
      </w:pPr>
      <w:r>
        <w:rPr>
          <w:rFonts w:hint="eastAsia"/>
          <w:color w:val="auto"/>
          <w:sz w:val="24"/>
          <w:szCs w:val="24"/>
          <w:highlight w:val="none"/>
          <w:lang w:val="en-US" w:eastAsia="zh-CN"/>
        </w:rPr>
        <w:t>32</w:t>
      </w:r>
      <w:r>
        <w:rPr>
          <w:rFonts w:hint="eastAsia" w:ascii="宋体" w:hAnsi="宋体"/>
          <w:color w:val="auto"/>
          <w:sz w:val="24"/>
          <w:szCs w:val="24"/>
          <w:highlight w:val="none"/>
        </w:rPr>
        <w:t>.</w:t>
      </w:r>
      <w:r>
        <w:rPr>
          <w:rFonts w:hint="eastAsia"/>
          <w:color w:val="auto"/>
          <w:sz w:val="24"/>
          <w:szCs w:val="24"/>
          <w:highlight w:val="none"/>
          <w:lang w:val="en-US" w:eastAsia="zh-CN"/>
        </w:rPr>
        <w:t>2.</w:t>
      </w:r>
      <w:r>
        <w:rPr>
          <w:rFonts w:hint="eastAsia" w:ascii="宋体" w:hAnsi="宋体"/>
          <w:color w:val="auto"/>
          <w:sz w:val="24"/>
          <w:szCs w:val="24"/>
          <w:highlight w:val="none"/>
        </w:rPr>
        <w:t>3质疑函必须按照本</w:t>
      </w:r>
      <w:r>
        <w:rPr>
          <w:rFonts w:hint="eastAsia"/>
          <w:color w:val="auto"/>
          <w:sz w:val="24"/>
          <w:szCs w:val="24"/>
          <w:highlight w:val="none"/>
          <w:lang w:eastAsia="zh-CN"/>
        </w:rPr>
        <w:t>磋商文件</w:t>
      </w:r>
      <w:r>
        <w:rPr>
          <w:rFonts w:hint="eastAsia" w:ascii="宋体" w:hAnsi="宋体"/>
          <w:color w:val="auto"/>
          <w:sz w:val="24"/>
          <w:szCs w:val="24"/>
          <w:highlight w:val="none"/>
        </w:rPr>
        <w:t>中《质疑函范本》要求的格式和内容进行填写。供应商如组成联合体参加投标，则《质疑函范本》中要求签字、盖章、加盖公章之处，联合体各方均须按要求签字、盖章、加盖公章。</w:t>
      </w:r>
    </w:p>
    <w:p w14:paraId="5B008063">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w:t>
      </w:r>
      <w:r>
        <w:rPr>
          <w:rFonts w:hint="eastAsia"/>
          <w:color w:val="auto"/>
          <w:sz w:val="24"/>
          <w:szCs w:val="24"/>
          <w:highlight w:val="none"/>
          <w:lang w:val="en-US" w:eastAsia="zh-CN"/>
        </w:rPr>
        <w:t>2.</w:t>
      </w:r>
      <w:r>
        <w:rPr>
          <w:rFonts w:hint="eastAsia" w:ascii="宋体" w:hAnsi="宋体"/>
          <w:color w:val="auto"/>
          <w:sz w:val="24"/>
          <w:szCs w:val="24"/>
          <w:highlight w:val="none"/>
        </w:rPr>
        <w:t>4 采购</w:t>
      </w:r>
      <w:r>
        <w:rPr>
          <w:rFonts w:hint="eastAsia"/>
          <w:color w:val="auto"/>
          <w:sz w:val="24"/>
          <w:szCs w:val="24"/>
          <w:highlight w:val="none"/>
          <w:lang w:val="en-US" w:eastAsia="zh-CN"/>
        </w:rPr>
        <w:t>代理机构</w:t>
      </w:r>
      <w:r>
        <w:rPr>
          <w:rFonts w:hint="eastAsia" w:ascii="宋体" w:hAnsi="宋体"/>
          <w:color w:val="auto"/>
          <w:sz w:val="24"/>
          <w:szCs w:val="24"/>
          <w:highlight w:val="none"/>
        </w:rPr>
        <w:t>只接收以</w:t>
      </w:r>
      <w:r>
        <w:rPr>
          <w:rFonts w:hint="eastAsia"/>
          <w:color w:val="auto"/>
          <w:sz w:val="24"/>
          <w:szCs w:val="24"/>
          <w:highlight w:val="none"/>
          <w:lang w:val="en-US" w:eastAsia="zh-CN"/>
        </w:rPr>
        <w:t>书面</w:t>
      </w:r>
      <w:r>
        <w:rPr>
          <w:rFonts w:hint="eastAsia" w:ascii="宋体" w:hAnsi="宋体"/>
          <w:color w:val="auto"/>
          <w:sz w:val="24"/>
          <w:szCs w:val="24"/>
          <w:highlight w:val="none"/>
        </w:rPr>
        <w:t>形式送达的质疑。</w:t>
      </w:r>
    </w:p>
    <w:p w14:paraId="43EC61A4">
      <w:pPr>
        <w:snapToGrid w:val="0"/>
        <w:spacing w:line="480" w:lineRule="exact"/>
        <w:ind w:firstLine="468" w:firstLineChars="195"/>
        <w:rPr>
          <w:rFonts w:hint="eastAsia"/>
          <w:color w:val="auto"/>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w:t>
      </w:r>
      <w:r>
        <w:rPr>
          <w:rFonts w:hint="eastAsia"/>
          <w:color w:val="auto"/>
          <w:sz w:val="24"/>
          <w:szCs w:val="24"/>
          <w:highlight w:val="none"/>
          <w:lang w:val="en-US" w:eastAsia="zh-CN"/>
        </w:rPr>
        <w:t>2.5</w:t>
      </w:r>
      <w:r>
        <w:rPr>
          <w:rFonts w:hint="eastAsia" w:ascii="宋体" w:hAnsi="宋体"/>
          <w:color w:val="auto"/>
          <w:sz w:val="24"/>
          <w:szCs w:val="24"/>
          <w:highlight w:val="none"/>
        </w:rPr>
        <w:t xml:space="preserve"> </w:t>
      </w:r>
      <w:r>
        <w:rPr>
          <w:rFonts w:hint="eastAsia" w:ascii="宋体" w:hAnsi="宋体"/>
          <w:b/>
          <w:color w:val="auto"/>
          <w:sz w:val="24"/>
          <w:szCs w:val="24"/>
          <w:highlight w:val="none"/>
        </w:rPr>
        <w:t>供应商提出书面质疑必须有理、有据，不得捏造事实、提供虚假材料进行恶意质疑。否则，一经查实，</w:t>
      </w:r>
      <w:r>
        <w:rPr>
          <w:rFonts w:hint="eastAsia"/>
          <w:b/>
          <w:color w:val="auto"/>
          <w:sz w:val="24"/>
          <w:szCs w:val="24"/>
          <w:highlight w:val="none"/>
          <w:lang w:val="en-US" w:eastAsia="zh-CN"/>
        </w:rPr>
        <w:t>招标代理公司</w:t>
      </w:r>
      <w:r>
        <w:rPr>
          <w:rFonts w:hint="eastAsia" w:ascii="宋体" w:hAnsi="宋体"/>
          <w:b/>
          <w:color w:val="auto"/>
          <w:sz w:val="24"/>
          <w:szCs w:val="24"/>
          <w:highlight w:val="none"/>
        </w:rPr>
        <w:t>有权依据政府采购的有关规定，报请政府采购监管部门对该供应商进行相应的行政处罚和记录该供应商的失信信息。</w:t>
      </w:r>
    </w:p>
    <w:p w14:paraId="70A19E1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 </w:t>
      </w:r>
      <w:r>
        <w:rPr>
          <w:rFonts w:hint="eastAsia" w:ascii="宋体" w:hAnsi="宋体" w:eastAsia="宋体" w:cs="宋体"/>
          <w:color w:val="auto"/>
          <w:sz w:val="24"/>
          <w:szCs w:val="24"/>
          <w:highlight w:val="none"/>
        </w:rPr>
        <w:t xml:space="preserve">投诉 </w:t>
      </w:r>
    </w:p>
    <w:p w14:paraId="491358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32.3.1 </w:t>
      </w:r>
      <w:r>
        <w:rPr>
          <w:rFonts w:hint="eastAsia" w:ascii="宋体" w:hAnsi="宋体" w:eastAsia="宋体" w:cs="宋体"/>
          <w:color w:val="auto"/>
          <w:sz w:val="24"/>
          <w:szCs w:val="24"/>
          <w:highlight w:val="none"/>
        </w:rPr>
        <w:t>质疑供应商对</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的答复不满意，或者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未在规定时间内作出答复的，可以在答复期满后十五个工作日内向同级财政部门提起投诉。 入不良行为记录名单，禁止其1至3年内参加政府采购活动： </w:t>
      </w:r>
    </w:p>
    <w:p w14:paraId="792ACE6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32.3.3.1 </w:t>
      </w:r>
      <w:r>
        <w:rPr>
          <w:rFonts w:hint="eastAsia" w:ascii="宋体" w:hAnsi="宋体" w:eastAsia="宋体" w:cs="宋体"/>
          <w:color w:val="auto"/>
          <w:sz w:val="24"/>
          <w:szCs w:val="24"/>
          <w:highlight w:val="none"/>
        </w:rPr>
        <w:t xml:space="preserve">捏造事实； </w:t>
      </w:r>
    </w:p>
    <w:p w14:paraId="5DEFE96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32.3.3.2 </w:t>
      </w:r>
      <w:r>
        <w:rPr>
          <w:rFonts w:hint="eastAsia" w:ascii="宋体" w:hAnsi="宋体" w:eastAsia="宋体" w:cs="宋体"/>
          <w:color w:val="auto"/>
          <w:sz w:val="24"/>
          <w:szCs w:val="24"/>
          <w:highlight w:val="none"/>
        </w:rPr>
        <w:t xml:space="preserve">提供虚假材料； </w:t>
      </w:r>
    </w:p>
    <w:p w14:paraId="1011BB5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32.3.3.3 </w:t>
      </w:r>
      <w:r>
        <w:rPr>
          <w:rFonts w:hint="eastAsia" w:ascii="宋体" w:hAnsi="宋体" w:eastAsia="宋体" w:cs="宋体"/>
          <w:color w:val="auto"/>
          <w:sz w:val="24"/>
          <w:szCs w:val="24"/>
          <w:highlight w:val="none"/>
        </w:rPr>
        <w:t xml:space="preserve">以非法手段取得证明材料。证据来源的合法性存在明显疑问，投诉人无法证明其取得方式合法的，视为以非法手段取得证明材料。 </w:t>
      </w:r>
    </w:p>
    <w:p w14:paraId="3E4D028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33 </w:t>
      </w:r>
      <w:r>
        <w:rPr>
          <w:rFonts w:hint="eastAsia" w:ascii="宋体" w:hAnsi="宋体" w:eastAsia="宋体" w:cs="宋体"/>
          <w:b/>
          <w:bCs/>
          <w:color w:val="auto"/>
          <w:sz w:val="24"/>
          <w:szCs w:val="24"/>
          <w:highlight w:val="none"/>
        </w:rPr>
        <w:t>特别说明</w:t>
      </w:r>
      <w:r>
        <w:rPr>
          <w:rFonts w:hint="eastAsia" w:ascii="宋体" w:hAnsi="宋体" w:eastAsia="宋体" w:cs="宋体"/>
          <w:color w:val="auto"/>
          <w:sz w:val="24"/>
          <w:szCs w:val="24"/>
          <w:highlight w:val="none"/>
        </w:rPr>
        <w:t xml:space="preserve"> </w:t>
      </w:r>
    </w:p>
    <w:p w14:paraId="18EB28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 </w:t>
      </w:r>
      <w:r>
        <w:rPr>
          <w:rFonts w:hint="eastAsia" w:ascii="宋体" w:hAnsi="宋体" w:eastAsia="宋体" w:cs="宋体"/>
          <w:color w:val="auto"/>
          <w:sz w:val="24"/>
          <w:szCs w:val="24"/>
          <w:highlight w:val="none"/>
        </w:rPr>
        <w:t xml:space="preserve">有下列情形之一的，视为供应商串通投标，其响应无效： </w:t>
      </w:r>
    </w:p>
    <w:p w14:paraId="3F961F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33.1.1 </w:t>
      </w:r>
      <w:r>
        <w:rPr>
          <w:rFonts w:hint="eastAsia" w:ascii="宋体" w:hAnsi="宋体" w:eastAsia="宋体" w:cs="宋体"/>
          <w:color w:val="auto"/>
          <w:sz w:val="24"/>
          <w:szCs w:val="24"/>
          <w:highlight w:val="none"/>
        </w:rPr>
        <w:t xml:space="preserve">不同供应商的响应文件由同一单位或者个人编制； </w:t>
      </w:r>
    </w:p>
    <w:p w14:paraId="78C2B1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33.1.2 </w:t>
      </w:r>
      <w:r>
        <w:rPr>
          <w:rFonts w:hint="eastAsia" w:ascii="宋体" w:hAnsi="宋体" w:eastAsia="宋体" w:cs="宋体"/>
          <w:color w:val="auto"/>
          <w:sz w:val="24"/>
          <w:szCs w:val="24"/>
          <w:highlight w:val="none"/>
        </w:rPr>
        <w:t xml:space="preserve">不同供应商委托同一单位或者个人办理投标事宜； </w:t>
      </w:r>
    </w:p>
    <w:p w14:paraId="28F3E7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33.1.3 </w:t>
      </w:r>
      <w:r>
        <w:rPr>
          <w:rFonts w:hint="eastAsia" w:ascii="宋体" w:hAnsi="宋体" w:eastAsia="宋体" w:cs="宋体"/>
          <w:color w:val="auto"/>
          <w:sz w:val="24"/>
          <w:szCs w:val="24"/>
          <w:highlight w:val="none"/>
        </w:rPr>
        <w:t xml:space="preserve">不同供应商的响应文件载明的项目管理成员或者联系人员为同一人； </w:t>
      </w:r>
    </w:p>
    <w:p w14:paraId="4555E8E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33.1.4 </w:t>
      </w:r>
      <w:r>
        <w:rPr>
          <w:rFonts w:hint="eastAsia" w:ascii="宋体" w:hAnsi="宋体" w:eastAsia="宋体" w:cs="宋体"/>
          <w:color w:val="auto"/>
          <w:sz w:val="24"/>
          <w:szCs w:val="24"/>
          <w:highlight w:val="none"/>
        </w:rPr>
        <w:t xml:space="preserve">不同供应商的响应文件异常一致或者磋商报价呈规律性差异； </w:t>
      </w:r>
    </w:p>
    <w:p w14:paraId="6543387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33.1.5 </w:t>
      </w:r>
      <w:r>
        <w:rPr>
          <w:rFonts w:hint="eastAsia" w:ascii="宋体" w:hAnsi="宋体" w:eastAsia="宋体" w:cs="宋体"/>
          <w:color w:val="auto"/>
          <w:sz w:val="24"/>
          <w:szCs w:val="24"/>
          <w:highlight w:val="none"/>
        </w:rPr>
        <w:t xml:space="preserve">不同供应商的响应文件相互混装； </w:t>
      </w:r>
    </w:p>
    <w:p w14:paraId="4EB4092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33.1.6 </w:t>
      </w:r>
      <w:r>
        <w:rPr>
          <w:rFonts w:hint="eastAsia" w:ascii="宋体" w:hAnsi="宋体" w:eastAsia="宋体" w:cs="宋体"/>
          <w:color w:val="auto"/>
          <w:sz w:val="24"/>
          <w:szCs w:val="24"/>
          <w:highlight w:val="none"/>
        </w:rPr>
        <w:t xml:space="preserve">不同供应商的磋商保证金从同一单位或者个人的账户转出。 </w:t>
      </w:r>
    </w:p>
    <w:p w14:paraId="3655409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 </w:t>
      </w:r>
      <w:r>
        <w:rPr>
          <w:rFonts w:hint="eastAsia" w:ascii="宋体" w:hAnsi="宋体" w:eastAsia="宋体" w:cs="宋体"/>
          <w:color w:val="auto"/>
          <w:sz w:val="24"/>
          <w:szCs w:val="24"/>
          <w:highlight w:val="none"/>
        </w:rPr>
        <w:t xml:space="preserve">供应商存在下列情况之一的，其响应无效: </w:t>
      </w:r>
    </w:p>
    <w:p w14:paraId="30A821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33.2.1 </w:t>
      </w:r>
      <w:r>
        <w:rPr>
          <w:rFonts w:hint="eastAsia" w:ascii="宋体" w:hAnsi="宋体" w:eastAsia="宋体" w:cs="宋体"/>
          <w:color w:val="auto"/>
          <w:sz w:val="24"/>
          <w:szCs w:val="24"/>
          <w:highlight w:val="none"/>
        </w:rPr>
        <w:t xml:space="preserve">未按照磋商文件的规定提交磋商保证金的； </w:t>
      </w:r>
    </w:p>
    <w:p w14:paraId="494C371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33.2.2 </w:t>
      </w:r>
      <w:r>
        <w:rPr>
          <w:rFonts w:hint="eastAsia" w:ascii="宋体" w:hAnsi="宋体" w:eastAsia="宋体" w:cs="宋体"/>
          <w:color w:val="auto"/>
          <w:sz w:val="24"/>
          <w:szCs w:val="24"/>
          <w:highlight w:val="none"/>
        </w:rPr>
        <w:t xml:space="preserve">响应文件未按磋商文件要求签署、盖章及响应文件的份数、编制不符合磋商文件要求的； </w:t>
      </w:r>
    </w:p>
    <w:p w14:paraId="083339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33.2.3 </w:t>
      </w:r>
      <w:r>
        <w:rPr>
          <w:rFonts w:hint="eastAsia" w:ascii="宋体" w:hAnsi="宋体" w:eastAsia="宋体" w:cs="宋体"/>
          <w:color w:val="auto"/>
          <w:sz w:val="24"/>
          <w:szCs w:val="24"/>
          <w:highlight w:val="none"/>
        </w:rPr>
        <w:t xml:space="preserve">不具备磋商文件中规定的资格要求的； </w:t>
      </w:r>
    </w:p>
    <w:p w14:paraId="711408A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33.2.4 </w:t>
      </w:r>
      <w:r>
        <w:rPr>
          <w:rFonts w:hint="eastAsia" w:ascii="宋体" w:hAnsi="宋体" w:eastAsia="宋体" w:cs="宋体"/>
          <w:color w:val="auto"/>
          <w:sz w:val="24"/>
          <w:szCs w:val="24"/>
          <w:highlight w:val="none"/>
        </w:rPr>
        <w:t xml:space="preserve">报价超过磋商文件中规定的预算金额或者最高限价的； </w:t>
      </w:r>
    </w:p>
    <w:p w14:paraId="0138EF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33.2.5 </w:t>
      </w:r>
      <w:r>
        <w:rPr>
          <w:rFonts w:hint="eastAsia" w:ascii="宋体" w:hAnsi="宋体" w:eastAsia="宋体" w:cs="宋体"/>
          <w:color w:val="auto"/>
          <w:sz w:val="24"/>
          <w:szCs w:val="24"/>
          <w:highlight w:val="none"/>
        </w:rPr>
        <w:t xml:space="preserve">响应文件含有采购人不能接受的附加条件的； </w:t>
      </w:r>
    </w:p>
    <w:p w14:paraId="7BFDC18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33.2.6 </w:t>
      </w:r>
      <w:r>
        <w:rPr>
          <w:rFonts w:hint="eastAsia" w:ascii="宋体" w:hAnsi="宋体" w:eastAsia="宋体" w:cs="宋体"/>
          <w:color w:val="auto"/>
          <w:sz w:val="24"/>
          <w:szCs w:val="24"/>
          <w:highlight w:val="none"/>
        </w:rPr>
        <w:t>法律、法规和磋商文件规定的其他无效情形。</w:t>
      </w:r>
    </w:p>
    <w:p w14:paraId="18F69E50">
      <w:pPr>
        <w:pStyle w:val="9"/>
        <w:rPr>
          <w:rFonts w:hint="eastAsia" w:ascii="宋体" w:hAnsi="宋体" w:eastAsia="宋体" w:cs="宋体"/>
          <w:color w:val="auto"/>
          <w:sz w:val="24"/>
          <w:szCs w:val="24"/>
          <w:highlight w:val="none"/>
        </w:rPr>
      </w:pPr>
    </w:p>
    <w:p w14:paraId="535C6643">
      <w:pPr>
        <w:rPr>
          <w:rFonts w:hint="eastAsia" w:ascii="宋体" w:hAnsi="宋体" w:eastAsia="宋体" w:cs="宋体"/>
          <w:color w:val="auto"/>
          <w:sz w:val="24"/>
          <w:szCs w:val="24"/>
          <w:highlight w:val="none"/>
        </w:rPr>
      </w:pPr>
    </w:p>
    <w:p w14:paraId="10F52E4C">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授予合同</w:t>
      </w:r>
      <w:r>
        <w:rPr>
          <w:rFonts w:hint="eastAsia" w:ascii="宋体" w:hAnsi="宋体" w:eastAsia="宋体" w:cs="宋体"/>
          <w:color w:val="auto"/>
          <w:sz w:val="24"/>
          <w:szCs w:val="24"/>
          <w:highlight w:val="none"/>
        </w:rPr>
        <w:t xml:space="preserve"> </w:t>
      </w:r>
    </w:p>
    <w:p w14:paraId="23B81AA9">
      <w:pPr>
        <w:pStyle w:val="9"/>
        <w:numPr>
          <w:ilvl w:val="0"/>
          <w:numId w:val="0"/>
        </w:numPr>
        <w:ind w:left="3080" w:leftChars="0" w:right="0" w:rightChars="0"/>
        <w:rPr>
          <w:rFonts w:hint="eastAsia"/>
          <w:color w:val="auto"/>
          <w:highlight w:val="none"/>
        </w:rPr>
      </w:pPr>
    </w:p>
    <w:p w14:paraId="28937D40">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34 </w:t>
      </w:r>
      <w:r>
        <w:rPr>
          <w:rFonts w:hint="eastAsia" w:ascii="宋体" w:hAnsi="宋体" w:eastAsia="宋体" w:cs="宋体"/>
          <w:b/>
          <w:bCs/>
          <w:color w:val="auto"/>
          <w:sz w:val="24"/>
          <w:szCs w:val="24"/>
          <w:highlight w:val="none"/>
        </w:rPr>
        <w:t>合同的订立</w:t>
      </w:r>
      <w:r>
        <w:rPr>
          <w:rFonts w:hint="eastAsia" w:ascii="宋体" w:hAnsi="宋体" w:eastAsia="宋体" w:cs="宋体"/>
          <w:color w:val="auto"/>
          <w:sz w:val="24"/>
          <w:szCs w:val="24"/>
          <w:highlight w:val="none"/>
        </w:rPr>
        <w:t xml:space="preserve"> </w:t>
      </w:r>
    </w:p>
    <w:p w14:paraId="1405571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34.1 </w:t>
      </w:r>
      <w:r>
        <w:rPr>
          <w:rFonts w:hint="eastAsia" w:ascii="宋体" w:hAnsi="宋体" w:eastAsia="宋体" w:cs="宋体"/>
          <w:color w:val="auto"/>
          <w:sz w:val="24"/>
          <w:szCs w:val="24"/>
          <w:highlight w:val="none"/>
        </w:rPr>
        <w:t xml:space="preserve">采购人应当自成交通知书发出之日起三十日内，按照磋商文件和成交供应商响应文件的约定，与成交供应商签订书面合同。所签订的合同不得对磋商文件和成交供应商响应文件作实质性修改。 </w:t>
      </w:r>
    </w:p>
    <w:p w14:paraId="410B49A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34.2 </w:t>
      </w:r>
      <w:r>
        <w:rPr>
          <w:rFonts w:hint="eastAsia" w:ascii="宋体" w:hAnsi="宋体" w:eastAsia="宋体" w:cs="宋体"/>
          <w:color w:val="auto"/>
          <w:sz w:val="24"/>
          <w:szCs w:val="24"/>
          <w:highlight w:val="none"/>
        </w:rPr>
        <w:t xml:space="preserve">采购人不得向成交供应商提出任何不合理的要求，作为签订合同的条件，不得与成交供应商私下订立背离合同实质性内容的协议。 </w:t>
      </w:r>
    </w:p>
    <w:p w14:paraId="469A152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34.3 </w:t>
      </w:r>
      <w:r>
        <w:rPr>
          <w:rFonts w:hint="eastAsia" w:ascii="宋体" w:hAnsi="宋体" w:eastAsia="宋体" w:cs="宋体"/>
          <w:color w:val="auto"/>
          <w:sz w:val="24"/>
          <w:szCs w:val="24"/>
          <w:highlight w:val="none"/>
        </w:rPr>
        <w:t xml:space="preserve">自政府采购合同签订之日起两个工作日内，采购人应将政府采购合同在省级以上人民政府财政部门指定的媒体上公告，但政府采购合同中涉及国家秘密、商业秘密的内容除外。 </w:t>
      </w:r>
    </w:p>
    <w:p w14:paraId="1B55E74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34.4 </w:t>
      </w:r>
      <w:r>
        <w:rPr>
          <w:rFonts w:hint="eastAsia" w:ascii="宋体" w:hAnsi="宋体" w:eastAsia="宋体" w:cs="宋体"/>
          <w:color w:val="auto"/>
          <w:sz w:val="24"/>
          <w:szCs w:val="24"/>
          <w:highlight w:val="none"/>
        </w:rPr>
        <w:t xml:space="preserve">政府采购合同签订之日起七个工作日内，采购人应将政府采购合同副本报同级监管部门备案和有关部门备案。 </w:t>
      </w:r>
    </w:p>
    <w:p w14:paraId="7A210B3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35 </w:t>
      </w:r>
      <w:r>
        <w:rPr>
          <w:rFonts w:hint="eastAsia" w:ascii="宋体" w:hAnsi="宋体" w:eastAsia="宋体" w:cs="宋体"/>
          <w:b/>
          <w:bCs/>
          <w:color w:val="auto"/>
          <w:sz w:val="24"/>
          <w:szCs w:val="24"/>
          <w:highlight w:val="none"/>
        </w:rPr>
        <w:t>合同的履行</w:t>
      </w:r>
      <w:r>
        <w:rPr>
          <w:rFonts w:hint="eastAsia" w:ascii="宋体" w:hAnsi="宋体" w:eastAsia="宋体" w:cs="宋体"/>
          <w:color w:val="auto"/>
          <w:sz w:val="24"/>
          <w:szCs w:val="24"/>
          <w:highlight w:val="none"/>
        </w:rPr>
        <w:t xml:space="preserve"> </w:t>
      </w:r>
    </w:p>
    <w:p w14:paraId="6BE357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35.1 </w:t>
      </w:r>
      <w:r>
        <w:rPr>
          <w:rFonts w:hint="eastAsia" w:ascii="宋体" w:hAnsi="宋体" w:eastAsia="宋体" w:cs="宋体"/>
          <w:color w:val="auto"/>
          <w:sz w:val="24"/>
          <w:szCs w:val="24"/>
          <w:highlight w:val="none"/>
        </w:rPr>
        <w:t>政府采购合同订立后，合同各方不得擅自变更、中止或者终止合同。政府采购合同需要变更的，采购人应将有关合同变更内容，以书面形式报同级监管部门备案；因特殊情况需要中止或终止合同的， 采购人应将中止或终止合同的理由以及相应措施，以书面形式报同级监管部门备案。</w:t>
      </w:r>
    </w:p>
    <w:p w14:paraId="2E59F6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35.2 </w:t>
      </w:r>
      <w:r>
        <w:rPr>
          <w:rFonts w:hint="eastAsia" w:ascii="宋体" w:hAnsi="宋体" w:eastAsia="宋体" w:cs="宋体"/>
          <w:color w:val="auto"/>
          <w:sz w:val="24"/>
          <w:szCs w:val="24"/>
          <w:highlight w:val="none"/>
        </w:rPr>
        <w:t xml:space="preserve">政府采购合同履行中，采购人需追加与合同标的相同的货物、工程或者服务的，在不改变合同其他条款的前提下，可以与供应商签订补充合同，但所有补充合同的采购金额不得超过原合同采购金额的百分之十。签订补充合同的必须按规定备案。 </w:t>
      </w:r>
    </w:p>
    <w:p w14:paraId="1E5077D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35.3 </w:t>
      </w:r>
      <w:r>
        <w:rPr>
          <w:rFonts w:hint="eastAsia" w:ascii="宋体" w:hAnsi="宋体" w:eastAsia="宋体" w:cs="宋体"/>
          <w:color w:val="auto"/>
          <w:sz w:val="24"/>
          <w:szCs w:val="24"/>
          <w:highlight w:val="none"/>
        </w:rPr>
        <w:t xml:space="preserve">成交供应商如为依据《政府采购促进中小企业发展管理办法》规定享受扶持政策获得政府采购合同的，小微企业不得将合同分包给大中型企业，中型企业不得将合同分包给大型企业。 </w:t>
      </w:r>
    </w:p>
    <w:p w14:paraId="07769716">
      <w:pPr>
        <w:pStyle w:val="9"/>
        <w:rPr>
          <w:rFonts w:hint="eastAsia"/>
          <w:color w:val="auto"/>
          <w:highlight w:val="none"/>
        </w:rPr>
      </w:pPr>
    </w:p>
    <w:p w14:paraId="1D9BA49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36 </w:t>
      </w:r>
      <w:r>
        <w:rPr>
          <w:rFonts w:hint="eastAsia" w:ascii="宋体" w:hAnsi="宋体" w:eastAsia="宋体" w:cs="宋体"/>
          <w:b/>
          <w:bCs/>
          <w:color w:val="auto"/>
          <w:sz w:val="24"/>
          <w:szCs w:val="24"/>
          <w:highlight w:val="none"/>
        </w:rPr>
        <w:t>验收</w:t>
      </w:r>
      <w:r>
        <w:rPr>
          <w:rFonts w:hint="eastAsia" w:ascii="宋体" w:hAnsi="宋体" w:eastAsia="宋体" w:cs="宋体"/>
          <w:color w:val="auto"/>
          <w:sz w:val="24"/>
          <w:szCs w:val="24"/>
          <w:highlight w:val="none"/>
        </w:rPr>
        <w:t xml:space="preserve"> </w:t>
      </w:r>
    </w:p>
    <w:p w14:paraId="31F83D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36.1 </w:t>
      </w:r>
      <w:r>
        <w:rPr>
          <w:rFonts w:hint="eastAsia" w:ascii="宋体" w:hAnsi="宋体" w:eastAsia="宋体" w:cs="宋体"/>
          <w:color w:val="auto"/>
          <w:sz w:val="24"/>
          <w:szCs w:val="24"/>
          <w:highlight w:val="none"/>
        </w:rPr>
        <w:t xml:space="preserve">采购人应当及时对采购项目进行验收。采购人可以邀请参加本项目的其他供应商或者第三方机构参与验收。参与验收的供应商或者第三方机构的意见作为验收书的参考资料一并存档。 </w:t>
      </w:r>
    </w:p>
    <w:p w14:paraId="450373C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36.2 </w:t>
      </w:r>
      <w:r>
        <w:rPr>
          <w:rFonts w:hint="eastAsia" w:ascii="宋体" w:hAnsi="宋体" w:eastAsia="宋体" w:cs="宋体"/>
          <w:color w:val="auto"/>
          <w:sz w:val="24"/>
          <w:szCs w:val="24"/>
          <w:highlight w:val="none"/>
        </w:rPr>
        <w:t>在验收时，供应商应向采购人提供</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的相关资料，按采购人提出的方式验收。 </w:t>
      </w:r>
    </w:p>
    <w:p w14:paraId="7B120B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36.3 </w:t>
      </w:r>
      <w:r>
        <w:rPr>
          <w:rFonts w:hint="eastAsia" w:ascii="宋体" w:hAnsi="宋体" w:eastAsia="宋体" w:cs="宋体"/>
          <w:color w:val="auto"/>
          <w:sz w:val="24"/>
          <w:szCs w:val="24"/>
          <w:highlight w:val="none"/>
        </w:rPr>
        <w:t>由采购人对</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的质量、规格和数量及其他进行检验。如发现质量、规格和数量等任何一项与磋商文件要求规定不符，采购人有权拒绝接受。 </w:t>
      </w:r>
    </w:p>
    <w:p w14:paraId="426562F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36.4 </w:t>
      </w:r>
      <w:r>
        <w:rPr>
          <w:rFonts w:hint="eastAsia" w:ascii="宋体" w:hAnsi="宋体" w:eastAsia="宋体" w:cs="宋体"/>
          <w:color w:val="auto"/>
          <w:sz w:val="24"/>
          <w:szCs w:val="24"/>
          <w:highlight w:val="none"/>
        </w:rPr>
        <w:t>采购人应当加强对成交供应商的履约管理，并按照采购合同约定，及时向成交供应商支付采购资金。对于成交供应商违反采购合同约定的行为，采购人应当及时处理，依法追究其违约责任。</w:t>
      </w:r>
    </w:p>
    <w:p w14:paraId="708FED09">
      <w:pPr>
        <w:rPr>
          <w:rFonts w:hint="eastAsia"/>
          <w:color w:val="auto"/>
          <w:highlight w:val="none"/>
          <w:lang w:val="zh-CN" w:eastAsia="zh-CN"/>
        </w:rPr>
      </w:pPr>
    </w:p>
    <w:p w14:paraId="6BCEA5A5">
      <w:pPr>
        <w:rPr>
          <w:rFonts w:hint="eastAsia"/>
          <w:color w:val="auto"/>
          <w:highlight w:val="none"/>
          <w:lang w:val="zh-CN" w:eastAsia="zh-CN"/>
        </w:rPr>
      </w:pPr>
    </w:p>
    <w:p w14:paraId="5BFF31A5">
      <w:pPr>
        <w:pStyle w:val="9"/>
        <w:ind w:firstLine="1405" w:firstLineChars="500"/>
        <w:rPr>
          <w:rFonts w:hint="eastAsia"/>
          <w:color w:val="auto"/>
          <w:highlight w:val="none"/>
          <w:lang w:val="zh-CN" w:eastAsia="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评</w:t>
      </w:r>
      <w:r>
        <w:rPr>
          <w:rFonts w:hint="eastAsia" w:ascii="宋体" w:hAnsi="宋体" w:eastAsia="宋体" w:cs="宋体"/>
          <w:b/>
          <w:bCs/>
          <w:color w:val="auto"/>
          <w:sz w:val="28"/>
          <w:szCs w:val="28"/>
          <w:highlight w:val="none"/>
          <w:lang w:val="en-US" w:eastAsia="zh-CN"/>
        </w:rPr>
        <w:t>审</w:t>
      </w:r>
      <w:r>
        <w:rPr>
          <w:rFonts w:hint="eastAsia" w:ascii="宋体" w:hAnsi="宋体" w:eastAsia="宋体" w:cs="宋体"/>
          <w:b/>
          <w:bCs/>
          <w:color w:val="auto"/>
          <w:sz w:val="28"/>
          <w:szCs w:val="28"/>
          <w:highlight w:val="none"/>
        </w:rPr>
        <w:t>标准</w:t>
      </w:r>
    </w:p>
    <w:p w14:paraId="4AF39D38">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lef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bidi="zh-CN"/>
        </w:rPr>
        <w:t>3</w:t>
      </w:r>
      <w:r>
        <w:rPr>
          <w:rFonts w:hint="eastAsia" w:cs="宋体"/>
          <w:b/>
          <w:bCs/>
          <w:color w:val="auto"/>
          <w:sz w:val="30"/>
          <w:szCs w:val="30"/>
          <w:highlight w:val="none"/>
          <w:lang w:val="en-US" w:eastAsia="zh-CN" w:bidi="zh-CN"/>
        </w:rPr>
        <w:t>7</w:t>
      </w:r>
      <w:r>
        <w:rPr>
          <w:rFonts w:hint="eastAsia" w:ascii="宋体" w:hAnsi="宋体" w:eastAsia="宋体" w:cs="宋体"/>
          <w:b/>
          <w:bCs/>
          <w:color w:val="auto"/>
          <w:sz w:val="30"/>
          <w:szCs w:val="30"/>
          <w:highlight w:val="none"/>
          <w:lang w:val="en-US" w:eastAsia="zh-CN" w:bidi="zh-CN"/>
        </w:rPr>
        <w:t xml:space="preserve"> </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资格</w:t>
      </w:r>
      <w:r>
        <w:rPr>
          <w:rFonts w:hint="eastAsia" w:cs="宋体"/>
          <w:b/>
          <w:bCs/>
          <w:color w:val="auto"/>
          <w:sz w:val="30"/>
          <w:szCs w:val="30"/>
          <w:highlight w:val="none"/>
          <w:lang w:val="en-US" w:eastAsia="zh-CN"/>
        </w:rPr>
        <w:t>性</w:t>
      </w:r>
      <w:r>
        <w:rPr>
          <w:rFonts w:hint="eastAsia" w:ascii="宋体" w:hAnsi="宋体" w:eastAsia="宋体" w:cs="宋体"/>
          <w:b/>
          <w:bCs/>
          <w:color w:val="auto"/>
          <w:sz w:val="30"/>
          <w:szCs w:val="30"/>
          <w:highlight w:val="none"/>
        </w:rPr>
        <w:t xml:space="preserve">审查表 </w:t>
      </w:r>
    </w:p>
    <w:tbl>
      <w:tblPr>
        <w:tblStyle w:val="20"/>
        <w:tblpPr w:leftFromText="180" w:rightFromText="180" w:vertAnchor="text" w:horzAnchor="page" w:tblpXSpec="center" w:tblpY="286"/>
        <w:tblOverlap w:val="never"/>
        <w:tblW w:w="54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041"/>
        <w:gridCol w:w="4507"/>
        <w:gridCol w:w="4123"/>
        <w:gridCol w:w="673"/>
        <w:gridCol w:w="666"/>
      </w:tblGrid>
      <w:tr w14:paraId="59FA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restart"/>
            <w:shd w:val="clear" w:color="auto" w:fill="FFFFFF"/>
            <w:noWrap w:val="0"/>
            <w:vAlign w:val="center"/>
          </w:tcPr>
          <w:p w14:paraId="2D3420D5">
            <w:pPr>
              <w:pStyle w:val="59"/>
              <w:keepNext w:val="0"/>
              <w:keepLines w:val="0"/>
              <w:pageBreakBefore w:val="0"/>
              <w:kinsoku/>
              <w:wordWrap/>
              <w:overflowPunct/>
              <w:topLinePunct w:val="0"/>
              <w:autoSpaceDE/>
              <w:autoSpaceDN/>
              <w:bidi w:val="0"/>
              <w:snapToGrid/>
              <w:spacing w:line="48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类型</w:t>
            </w:r>
          </w:p>
        </w:tc>
        <w:tc>
          <w:tcPr>
            <w:tcW w:w="2046" w:type="pct"/>
            <w:vMerge w:val="restart"/>
            <w:shd w:val="clear" w:color="auto" w:fill="FFFFFF"/>
            <w:noWrap w:val="0"/>
            <w:vAlign w:val="center"/>
          </w:tcPr>
          <w:p w14:paraId="6A69E7E7">
            <w:pPr>
              <w:pStyle w:val="59"/>
              <w:keepNext w:val="0"/>
              <w:keepLines w:val="0"/>
              <w:pageBreakBefore w:val="0"/>
              <w:kinsoku/>
              <w:wordWrap/>
              <w:overflowPunct/>
              <w:topLinePunct w:val="0"/>
              <w:autoSpaceDE/>
              <w:autoSpaceDN/>
              <w:bidi w:val="0"/>
              <w:snapToGrid/>
              <w:spacing w:line="48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审查要求</w:t>
            </w:r>
          </w:p>
        </w:tc>
        <w:tc>
          <w:tcPr>
            <w:tcW w:w="1872" w:type="pct"/>
            <w:vMerge w:val="restart"/>
            <w:shd w:val="clear" w:color="auto" w:fill="FFFFFF"/>
            <w:noWrap w:val="0"/>
            <w:vAlign w:val="center"/>
          </w:tcPr>
          <w:p w14:paraId="1E0C1146">
            <w:pPr>
              <w:pStyle w:val="59"/>
              <w:keepNext w:val="0"/>
              <w:keepLines w:val="0"/>
              <w:pageBreakBefore w:val="0"/>
              <w:kinsoku/>
              <w:wordWrap/>
              <w:overflowPunct/>
              <w:topLinePunct w:val="0"/>
              <w:autoSpaceDE/>
              <w:autoSpaceDN/>
              <w:bidi w:val="0"/>
              <w:snapToGrid/>
              <w:spacing w:line="48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要求说明</w:t>
            </w:r>
          </w:p>
        </w:tc>
        <w:tc>
          <w:tcPr>
            <w:tcW w:w="608" w:type="pct"/>
            <w:gridSpan w:val="2"/>
            <w:shd w:val="clear" w:color="auto" w:fill="FFFFFF"/>
            <w:noWrap w:val="0"/>
            <w:vAlign w:val="center"/>
          </w:tcPr>
          <w:p w14:paraId="70E5AE95">
            <w:pPr>
              <w:pStyle w:val="59"/>
              <w:keepNext w:val="0"/>
              <w:keepLines w:val="0"/>
              <w:pageBreakBefore w:val="0"/>
              <w:kinsoku/>
              <w:wordWrap/>
              <w:overflowPunct/>
              <w:topLinePunct w:val="0"/>
              <w:autoSpaceDE/>
              <w:autoSpaceDN/>
              <w:bidi w:val="0"/>
              <w:snapToGrid/>
              <w:spacing w:line="48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评审意见</w:t>
            </w:r>
          </w:p>
        </w:tc>
      </w:tr>
      <w:tr w14:paraId="51F2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25" w:hRule="atLeast"/>
        </w:trPr>
        <w:tc>
          <w:tcPr>
            <w:tcW w:w="472" w:type="pct"/>
            <w:vMerge w:val="continue"/>
            <w:shd w:val="clear" w:color="auto" w:fill="FFFDFA"/>
            <w:noWrap w:val="0"/>
            <w:vAlign w:val="center"/>
          </w:tcPr>
          <w:p w14:paraId="1D825071">
            <w:pPr>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2046" w:type="pct"/>
            <w:vMerge w:val="continue"/>
            <w:shd w:val="clear" w:color="auto" w:fill="FFFDFA"/>
            <w:noWrap w:val="0"/>
            <w:vAlign w:val="center"/>
          </w:tcPr>
          <w:p w14:paraId="34662A58">
            <w:pPr>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1872" w:type="pct"/>
            <w:vMerge w:val="continue"/>
            <w:shd w:val="clear" w:color="auto" w:fill="FFFDFA"/>
            <w:noWrap w:val="0"/>
            <w:vAlign w:val="center"/>
          </w:tcPr>
          <w:p w14:paraId="3498941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lang w:val="en-US" w:eastAsia="zh-CN" w:bidi="ar-SA"/>
              </w:rPr>
            </w:pPr>
          </w:p>
        </w:tc>
        <w:tc>
          <w:tcPr>
            <w:tcW w:w="305" w:type="pct"/>
            <w:shd w:val="clear" w:color="auto" w:fill="FFFDFA"/>
            <w:noWrap w:val="0"/>
            <w:vAlign w:val="center"/>
          </w:tcPr>
          <w:p w14:paraId="0375E83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符合</w:t>
            </w:r>
          </w:p>
        </w:tc>
        <w:tc>
          <w:tcPr>
            <w:tcW w:w="302" w:type="pct"/>
            <w:shd w:val="clear" w:color="auto" w:fill="FFFDFA"/>
            <w:noWrap w:val="0"/>
            <w:vAlign w:val="center"/>
          </w:tcPr>
          <w:p w14:paraId="456103D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不符合</w:t>
            </w:r>
          </w:p>
        </w:tc>
      </w:tr>
      <w:tr w14:paraId="2FE1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restart"/>
            <w:shd w:val="clear" w:color="auto" w:fill="FFFFFF"/>
            <w:noWrap w:val="0"/>
            <w:vAlign w:val="center"/>
          </w:tcPr>
          <w:p w14:paraId="505CCBDC">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基本资质</w:t>
            </w:r>
          </w:p>
        </w:tc>
        <w:tc>
          <w:tcPr>
            <w:tcW w:w="2046" w:type="pct"/>
            <w:vMerge w:val="restart"/>
            <w:shd w:val="clear" w:color="auto" w:fill="FFFFFF"/>
            <w:noWrap w:val="0"/>
            <w:vAlign w:val="center"/>
          </w:tcPr>
          <w:p w14:paraId="35651D4D">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highlight w:val="yellow"/>
                <w:lang w:val="en-US" w:eastAsia="zh-CN" w:bidi="ar-SA"/>
              </w:rPr>
            </w:pPr>
            <w:r>
              <w:rPr>
                <w:rFonts w:hint="eastAsia" w:ascii="宋体" w:hAnsi="宋体" w:eastAsia="宋体" w:cs="宋体"/>
                <w:spacing w:val="-2"/>
                <w:sz w:val="21"/>
                <w:szCs w:val="21"/>
                <w:lang w:val="en-US" w:eastAsia="zh-CN" w:bidi="ar-SA"/>
              </w:rPr>
              <w:t>符合中华人民共和国政府采购法第二十二条规定</w:t>
            </w:r>
          </w:p>
        </w:tc>
        <w:tc>
          <w:tcPr>
            <w:tcW w:w="1872" w:type="pct"/>
            <w:shd w:val="clear" w:color="auto" w:fill="FFFFFF"/>
            <w:noWrap w:val="0"/>
            <w:vAlign w:val="center"/>
          </w:tcPr>
          <w:p w14:paraId="033DAC31">
            <w:pPr>
              <w:keepNext w:val="0"/>
              <w:keepLines w:val="0"/>
              <w:pageBreakBefore w:val="0"/>
              <w:widowControl/>
              <w:kinsoku/>
              <w:wordWrap/>
              <w:overflowPunct/>
              <w:topLinePunct w:val="0"/>
              <w:bidi w:val="0"/>
              <w:adjustRightInd/>
              <w:snapToGrid/>
              <w:spacing w:line="300" w:lineRule="exact"/>
              <w:ind w:left="0" w:leftChars="0" w:right="0" w:rightChars="0"/>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具有独立承担民事责任的能力，须提供相关证明材料，详见响应文件格式。</w:t>
            </w:r>
          </w:p>
        </w:tc>
        <w:tc>
          <w:tcPr>
            <w:tcW w:w="305" w:type="pct"/>
            <w:shd w:val="clear" w:color="auto" w:fill="FFFFFF"/>
            <w:noWrap w:val="0"/>
            <w:vAlign w:val="center"/>
          </w:tcPr>
          <w:p w14:paraId="417C0247">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034D136F">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3D3A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continue"/>
            <w:shd w:val="clear" w:color="auto" w:fill="FFFFFF"/>
            <w:noWrap w:val="0"/>
            <w:vAlign w:val="center"/>
          </w:tcPr>
          <w:p w14:paraId="04F9D98B">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p>
        </w:tc>
        <w:tc>
          <w:tcPr>
            <w:tcW w:w="2046" w:type="pct"/>
            <w:vMerge w:val="continue"/>
            <w:shd w:val="clear" w:color="auto" w:fill="FFFFFF"/>
            <w:noWrap w:val="0"/>
            <w:vAlign w:val="center"/>
          </w:tcPr>
          <w:p w14:paraId="7F0BCF26">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4"/>
                <w:szCs w:val="24"/>
                <w:lang w:val="en-US" w:eastAsia="zh-CN" w:bidi="ar-SA"/>
              </w:rPr>
            </w:pPr>
          </w:p>
        </w:tc>
        <w:tc>
          <w:tcPr>
            <w:tcW w:w="1872" w:type="pct"/>
            <w:shd w:val="clear" w:color="auto" w:fill="FFFFFF"/>
            <w:noWrap w:val="0"/>
            <w:vAlign w:val="center"/>
          </w:tcPr>
          <w:p w14:paraId="15A21375">
            <w:pPr>
              <w:keepNext w:val="0"/>
              <w:keepLines w:val="0"/>
              <w:pageBreakBefore w:val="0"/>
              <w:widowControl/>
              <w:kinsoku/>
              <w:wordWrap/>
              <w:overflowPunct/>
              <w:topLinePunct w:val="0"/>
              <w:bidi w:val="0"/>
              <w:adjustRightInd/>
              <w:snapToGrid/>
              <w:spacing w:line="300" w:lineRule="exact"/>
              <w:ind w:left="0" w:leftChars="0" w:right="0" w:rightChars="0"/>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具有良好的商业信誉和健全的财务会计制度，须提供相关证明材料，详见响应文件格式。</w:t>
            </w:r>
          </w:p>
        </w:tc>
        <w:tc>
          <w:tcPr>
            <w:tcW w:w="305" w:type="pct"/>
            <w:shd w:val="clear" w:color="auto" w:fill="FFFFFF"/>
            <w:noWrap w:val="0"/>
            <w:vAlign w:val="center"/>
          </w:tcPr>
          <w:p w14:paraId="638123B0">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75E0C61E">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62C5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continue"/>
            <w:shd w:val="clear" w:color="auto" w:fill="FFFFFF"/>
            <w:noWrap w:val="0"/>
            <w:vAlign w:val="center"/>
          </w:tcPr>
          <w:p w14:paraId="4AD3EDD3">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p>
        </w:tc>
        <w:tc>
          <w:tcPr>
            <w:tcW w:w="2046" w:type="pct"/>
            <w:vMerge w:val="continue"/>
            <w:shd w:val="clear" w:color="auto" w:fill="FFFFFF"/>
            <w:noWrap w:val="0"/>
            <w:vAlign w:val="center"/>
          </w:tcPr>
          <w:p w14:paraId="793738E9">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4"/>
                <w:szCs w:val="24"/>
                <w:lang w:val="en-US" w:eastAsia="zh-CN" w:bidi="ar-SA"/>
              </w:rPr>
            </w:pPr>
          </w:p>
        </w:tc>
        <w:tc>
          <w:tcPr>
            <w:tcW w:w="1872" w:type="pct"/>
            <w:shd w:val="clear" w:color="auto" w:fill="FFFFFF"/>
            <w:noWrap w:val="0"/>
            <w:vAlign w:val="center"/>
          </w:tcPr>
          <w:p w14:paraId="054342DC">
            <w:pPr>
              <w:keepNext w:val="0"/>
              <w:keepLines w:val="0"/>
              <w:pageBreakBefore w:val="0"/>
              <w:widowControl/>
              <w:kinsoku/>
              <w:wordWrap/>
              <w:overflowPunct/>
              <w:topLinePunct w:val="0"/>
              <w:bidi w:val="0"/>
              <w:adjustRightInd/>
              <w:snapToGrid/>
              <w:spacing w:line="300" w:lineRule="exact"/>
              <w:ind w:left="0" w:leftChars="0" w:right="0" w:rightChars="0"/>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zh-CN" w:eastAsia="zh-CN" w:bidi="ar-SA"/>
              </w:rPr>
              <w:t>具有履行合同所必须的设备和专业技术能力，</w:t>
            </w:r>
            <w:r>
              <w:rPr>
                <w:rFonts w:hint="eastAsia" w:ascii="宋体" w:hAnsi="宋体" w:eastAsia="宋体" w:cs="宋体"/>
                <w:spacing w:val="-2"/>
                <w:sz w:val="21"/>
                <w:szCs w:val="21"/>
                <w:lang w:val="en-US" w:eastAsia="zh-CN" w:bidi="ar-SA"/>
              </w:rPr>
              <w:t>须提供相关证明材料，详见响应文件格式。</w:t>
            </w:r>
          </w:p>
        </w:tc>
        <w:tc>
          <w:tcPr>
            <w:tcW w:w="305" w:type="pct"/>
            <w:shd w:val="clear" w:color="auto" w:fill="FFFFFF"/>
            <w:noWrap w:val="0"/>
            <w:vAlign w:val="center"/>
          </w:tcPr>
          <w:p w14:paraId="199D8FDD">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7F941350">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1449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continue"/>
            <w:shd w:val="clear" w:color="auto" w:fill="FFFFFF"/>
            <w:noWrap w:val="0"/>
            <w:vAlign w:val="center"/>
          </w:tcPr>
          <w:p w14:paraId="32E681A7">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p>
        </w:tc>
        <w:tc>
          <w:tcPr>
            <w:tcW w:w="2046" w:type="pct"/>
            <w:vMerge w:val="continue"/>
            <w:shd w:val="clear" w:color="auto" w:fill="FFFFFF"/>
            <w:noWrap w:val="0"/>
            <w:vAlign w:val="center"/>
          </w:tcPr>
          <w:p w14:paraId="53293740">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4"/>
                <w:szCs w:val="24"/>
                <w:lang w:val="en-US" w:eastAsia="zh-CN" w:bidi="ar-SA"/>
              </w:rPr>
            </w:pPr>
          </w:p>
        </w:tc>
        <w:tc>
          <w:tcPr>
            <w:tcW w:w="1872" w:type="pct"/>
            <w:shd w:val="clear" w:color="auto" w:fill="FFFFFF"/>
            <w:noWrap w:val="0"/>
            <w:vAlign w:val="center"/>
          </w:tcPr>
          <w:p w14:paraId="76C27FE4">
            <w:pPr>
              <w:keepNext w:val="0"/>
              <w:keepLines w:val="0"/>
              <w:pageBreakBefore w:val="0"/>
              <w:widowControl/>
              <w:kinsoku/>
              <w:wordWrap/>
              <w:overflowPunct/>
              <w:topLinePunct w:val="0"/>
              <w:bidi w:val="0"/>
              <w:adjustRightInd/>
              <w:snapToGrid/>
              <w:spacing w:line="300" w:lineRule="exact"/>
              <w:ind w:left="0" w:leftChars="0" w:right="0" w:rightChars="0"/>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zh-CN" w:eastAsia="zh-CN" w:bidi="ar-SA"/>
              </w:rPr>
              <w:t>有依法缴纳税收和社会保障金的良好记录，</w:t>
            </w:r>
            <w:r>
              <w:rPr>
                <w:rFonts w:hint="eastAsia" w:ascii="宋体" w:hAnsi="宋体" w:eastAsia="宋体" w:cs="宋体"/>
                <w:spacing w:val="-2"/>
                <w:sz w:val="21"/>
                <w:szCs w:val="21"/>
                <w:lang w:val="en-US" w:eastAsia="zh-CN" w:bidi="ar-SA"/>
              </w:rPr>
              <w:t>须提供相关证明材料，详见响应文件格式。</w:t>
            </w:r>
          </w:p>
        </w:tc>
        <w:tc>
          <w:tcPr>
            <w:tcW w:w="305" w:type="pct"/>
            <w:shd w:val="clear" w:color="auto" w:fill="FFFFFF"/>
            <w:noWrap w:val="0"/>
            <w:vAlign w:val="center"/>
          </w:tcPr>
          <w:p w14:paraId="4AA2523A">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7201C0E8">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6A93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continue"/>
            <w:shd w:val="clear" w:color="auto" w:fill="FFFFFF"/>
            <w:noWrap w:val="0"/>
            <w:vAlign w:val="center"/>
          </w:tcPr>
          <w:p w14:paraId="55E8E69A">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p>
        </w:tc>
        <w:tc>
          <w:tcPr>
            <w:tcW w:w="2046" w:type="pct"/>
            <w:vMerge w:val="continue"/>
            <w:shd w:val="clear" w:color="auto" w:fill="FFFFFF"/>
            <w:noWrap w:val="0"/>
            <w:vAlign w:val="center"/>
          </w:tcPr>
          <w:p w14:paraId="69DAEF44">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highlight w:val="yellow"/>
                <w:lang w:val="en-US" w:eastAsia="zh-CN" w:bidi="ar-SA"/>
              </w:rPr>
            </w:pPr>
          </w:p>
        </w:tc>
        <w:tc>
          <w:tcPr>
            <w:tcW w:w="1872" w:type="pct"/>
            <w:shd w:val="clear" w:color="auto" w:fill="FFFFFF"/>
            <w:noWrap w:val="0"/>
            <w:vAlign w:val="center"/>
          </w:tcPr>
          <w:p w14:paraId="3FB2E686">
            <w:pPr>
              <w:keepNext w:val="0"/>
              <w:keepLines w:val="0"/>
              <w:pageBreakBefore w:val="0"/>
              <w:widowControl/>
              <w:kinsoku/>
              <w:wordWrap/>
              <w:overflowPunct/>
              <w:topLinePunct w:val="0"/>
              <w:bidi w:val="0"/>
              <w:adjustRightInd/>
              <w:snapToGrid/>
              <w:spacing w:line="300" w:lineRule="exact"/>
              <w:ind w:left="0" w:leftChars="0" w:right="0" w:rightChars="0"/>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zh-CN" w:eastAsia="zh-CN" w:bidi="ar-SA"/>
              </w:rPr>
              <w:t>参加政府采购活动近3年内，在经营活动中没有重大违法记录，</w:t>
            </w:r>
            <w:r>
              <w:rPr>
                <w:rFonts w:hint="eastAsia" w:ascii="宋体" w:hAnsi="宋体" w:eastAsia="宋体" w:cs="宋体"/>
                <w:spacing w:val="-2"/>
                <w:sz w:val="21"/>
                <w:szCs w:val="21"/>
                <w:lang w:val="en-US" w:eastAsia="zh-CN" w:bidi="ar-SA"/>
              </w:rPr>
              <w:t>须提供相关证明材料，详见响应文件格式。</w:t>
            </w:r>
          </w:p>
        </w:tc>
        <w:tc>
          <w:tcPr>
            <w:tcW w:w="305" w:type="pct"/>
            <w:shd w:val="clear" w:color="auto" w:fill="FFFFFF"/>
            <w:noWrap w:val="0"/>
            <w:vAlign w:val="center"/>
          </w:tcPr>
          <w:p w14:paraId="4061F53D">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3036A227">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3CC9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75" w:hRule="atLeast"/>
        </w:trPr>
        <w:tc>
          <w:tcPr>
            <w:tcW w:w="472" w:type="pct"/>
            <w:shd w:val="clear" w:color="auto" w:fill="FFFDFA"/>
            <w:noWrap w:val="0"/>
            <w:vAlign w:val="center"/>
          </w:tcPr>
          <w:p w14:paraId="6A699847">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采购政策</w:t>
            </w:r>
          </w:p>
        </w:tc>
        <w:tc>
          <w:tcPr>
            <w:tcW w:w="2046" w:type="pct"/>
            <w:shd w:val="clear" w:color="auto" w:fill="FFFDFA"/>
            <w:noWrap w:val="0"/>
            <w:vAlign w:val="center"/>
          </w:tcPr>
          <w:p w14:paraId="367DCE93">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本项目专门面向为中小企业</w:t>
            </w:r>
          </w:p>
        </w:tc>
        <w:tc>
          <w:tcPr>
            <w:tcW w:w="1872" w:type="pct"/>
            <w:shd w:val="clear" w:color="auto" w:fill="FFFDFA"/>
            <w:noWrap w:val="0"/>
            <w:vAlign w:val="center"/>
          </w:tcPr>
          <w:p w14:paraId="6D30C055">
            <w:pPr>
              <w:pStyle w:val="59"/>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请根据要求单独上传《中小企业声明函》。格式以采购文件要求为准。否则按不符合处理。</w:t>
            </w:r>
          </w:p>
        </w:tc>
        <w:tc>
          <w:tcPr>
            <w:tcW w:w="305" w:type="pct"/>
            <w:shd w:val="clear" w:color="auto" w:fill="FFFDFA"/>
            <w:noWrap w:val="0"/>
            <w:vAlign w:val="center"/>
          </w:tcPr>
          <w:p w14:paraId="6E8818C7">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DFA"/>
            <w:noWrap w:val="0"/>
            <w:vAlign w:val="center"/>
          </w:tcPr>
          <w:p w14:paraId="5E0223C4">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4E93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06" w:hRule="atLeast"/>
        </w:trPr>
        <w:tc>
          <w:tcPr>
            <w:tcW w:w="472" w:type="pct"/>
            <w:shd w:val="clear" w:color="auto" w:fill="FFFDFA"/>
            <w:noWrap w:val="0"/>
            <w:vAlign w:val="center"/>
          </w:tcPr>
          <w:p w14:paraId="6B7B58E8">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特定资质</w:t>
            </w:r>
          </w:p>
        </w:tc>
        <w:tc>
          <w:tcPr>
            <w:tcW w:w="2046" w:type="pct"/>
            <w:shd w:val="clear" w:color="auto" w:fill="FFFDFA"/>
            <w:noWrap w:val="0"/>
            <w:vAlign w:val="center"/>
          </w:tcPr>
          <w:p w14:paraId="026FB946">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(1)须具有有效的建筑工程施工总承包三级及以上资质、具有有效的安全生产许可证，并在人员、设备、资金等方面具有相应的施工能力；（2）项目负责人要求：应具备合格有效期内的建筑工程专业贰级以上（含）注册建造师执业资格、有效的安全生产考核合格证（B类），且未担任其他在施建设工程项目的项目负责人。</w:t>
            </w:r>
          </w:p>
        </w:tc>
        <w:tc>
          <w:tcPr>
            <w:tcW w:w="1872" w:type="pct"/>
            <w:shd w:val="clear" w:color="auto" w:fill="FFFDFA"/>
            <w:noWrap w:val="0"/>
            <w:vAlign w:val="center"/>
          </w:tcPr>
          <w:p w14:paraId="6E6748A3">
            <w:pPr>
              <w:pStyle w:val="59"/>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(1)须具有有效的建筑工程施工总承包三级及以上资质、具有有效的安全生产许可证，并在人员、设备、资金等方面具有相应的施工能力；（2）项目负责人要求：应具备合格有效期内的建筑工程专业贰级以上（含）注册建造师执业资格、有效的安全生产考核合格证（B类），且未担任其他在施建设工程项目的项目负责人。加盖企业公章</w:t>
            </w:r>
          </w:p>
        </w:tc>
        <w:tc>
          <w:tcPr>
            <w:tcW w:w="305" w:type="pct"/>
            <w:shd w:val="clear" w:color="auto" w:fill="FFFDFA"/>
            <w:noWrap w:val="0"/>
            <w:vAlign w:val="center"/>
          </w:tcPr>
          <w:p w14:paraId="2BE43237">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DFA"/>
            <w:noWrap w:val="0"/>
            <w:vAlign w:val="center"/>
          </w:tcPr>
          <w:p w14:paraId="1C31EC15">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4358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67" w:hRule="atLeast"/>
        </w:trPr>
        <w:tc>
          <w:tcPr>
            <w:tcW w:w="472" w:type="pct"/>
            <w:shd w:val="clear" w:color="auto" w:fill="FFFDFA"/>
            <w:noWrap w:val="0"/>
            <w:vAlign w:val="center"/>
          </w:tcPr>
          <w:p w14:paraId="661D10E1">
            <w:pPr>
              <w:pStyle w:val="33"/>
              <w:keepNext w:val="0"/>
              <w:keepLines w:val="0"/>
              <w:pageBreakBefore w:val="0"/>
              <w:widowControl/>
              <w:kinsoku/>
              <w:wordWrap/>
              <w:overflowPunct/>
              <w:topLinePunct w:val="0"/>
              <w:autoSpaceDE/>
              <w:autoSpaceDN/>
              <w:bidi w:val="0"/>
              <w:snapToGrid/>
              <w:spacing w:line="480" w:lineRule="exact"/>
              <w:jc w:val="left"/>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其他</w:t>
            </w:r>
          </w:p>
        </w:tc>
        <w:tc>
          <w:tcPr>
            <w:tcW w:w="2046" w:type="pct"/>
            <w:shd w:val="clear" w:color="auto" w:fill="FFFDFA"/>
            <w:noWrap w:val="0"/>
            <w:vAlign w:val="center"/>
          </w:tcPr>
          <w:p w14:paraId="31F842C3">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法定代表人投标的，提供法定代表人身份证明；授权人投标的，提供法定代表人身份证明及授权书、被授权人身份证；(法定代表人投标需提供法定代表人身份证及法定代表人资格证明书)。</w:t>
            </w:r>
          </w:p>
        </w:tc>
        <w:tc>
          <w:tcPr>
            <w:tcW w:w="1872" w:type="pct"/>
            <w:shd w:val="clear" w:color="auto" w:fill="FFFDFA"/>
            <w:noWrap w:val="0"/>
            <w:vAlign w:val="center"/>
          </w:tcPr>
          <w:p w14:paraId="3C8DF226">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法定代表人投标的，提供法定代表人身份证明；授权人投标的，提供法定代表人身份证明及授权书、被授权人身份证；(法定代表人投标需提供法定代表人身份证及法定代表人资格证明书)。</w:t>
            </w:r>
          </w:p>
        </w:tc>
        <w:tc>
          <w:tcPr>
            <w:tcW w:w="305" w:type="pct"/>
            <w:shd w:val="clear" w:color="auto" w:fill="FFFDFA"/>
            <w:noWrap w:val="0"/>
            <w:vAlign w:val="center"/>
          </w:tcPr>
          <w:p w14:paraId="1C7A88D1">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DFA"/>
            <w:noWrap w:val="0"/>
            <w:vAlign w:val="center"/>
          </w:tcPr>
          <w:p w14:paraId="3CFC7507">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6D82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25" w:hRule="atLeast"/>
        </w:trPr>
        <w:tc>
          <w:tcPr>
            <w:tcW w:w="472" w:type="pct"/>
            <w:shd w:val="clear" w:color="auto" w:fill="FFFFFF"/>
            <w:noWrap w:val="0"/>
            <w:vAlign w:val="center"/>
          </w:tcPr>
          <w:p w14:paraId="43D6CB5B">
            <w:pPr>
              <w:pStyle w:val="33"/>
              <w:keepNext w:val="0"/>
              <w:keepLines w:val="0"/>
              <w:pageBreakBefore w:val="0"/>
              <w:widowControl/>
              <w:kinsoku/>
              <w:wordWrap/>
              <w:overflowPunct/>
              <w:topLinePunct w:val="0"/>
              <w:autoSpaceDE/>
              <w:autoSpaceDN/>
              <w:bidi w:val="0"/>
              <w:snapToGrid/>
              <w:spacing w:line="480" w:lineRule="exact"/>
              <w:jc w:val="left"/>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其他</w:t>
            </w:r>
          </w:p>
        </w:tc>
        <w:tc>
          <w:tcPr>
            <w:tcW w:w="2046" w:type="pct"/>
            <w:shd w:val="clear" w:color="auto" w:fill="FFFFFF"/>
            <w:noWrap w:val="0"/>
            <w:vAlign w:val="center"/>
          </w:tcPr>
          <w:p w14:paraId="0C44D786">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投标保证金：按规定提交投标保证金或保函</w:t>
            </w:r>
          </w:p>
        </w:tc>
        <w:tc>
          <w:tcPr>
            <w:tcW w:w="1872" w:type="pct"/>
            <w:shd w:val="clear" w:color="auto" w:fill="FFFFFF"/>
            <w:noWrap w:val="0"/>
            <w:vAlign w:val="center"/>
          </w:tcPr>
          <w:p w14:paraId="3107A782">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提供保证金汇款凭证或保函。加盖企业公章。</w:t>
            </w:r>
          </w:p>
        </w:tc>
        <w:tc>
          <w:tcPr>
            <w:tcW w:w="305" w:type="pct"/>
            <w:shd w:val="clear" w:color="auto" w:fill="FFFFFF"/>
            <w:noWrap w:val="0"/>
            <w:vAlign w:val="center"/>
          </w:tcPr>
          <w:p w14:paraId="75D2504C">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028833F1">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bl>
    <w:p w14:paraId="3390BE4E">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p>
    <w:p w14:paraId="137D358A">
      <w:pPr>
        <w:pStyle w:val="9"/>
        <w:ind w:firstLine="904" w:firstLineChars="300"/>
        <w:rPr>
          <w:rFonts w:hint="eastAsia" w:cs="宋体"/>
          <w:b/>
          <w:bCs/>
          <w:color w:val="auto"/>
          <w:sz w:val="30"/>
          <w:szCs w:val="30"/>
          <w:highlight w:val="none"/>
          <w:lang w:val="en-US" w:eastAsia="zh-CN"/>
        </w:rPr>
      </w:pPr>
    </w:p>
    <w:p w14:paraId="2F32F462">
      <w:pPr>
        <w:pStyle w:val="9"/>
        <w:ind w:left="560" w:leftChars="0" w:firstLine="0" w:firstLineChars="0"/>
        <w:rPr>
          <w:rFonts w:hint="eastAsia" w:ascii="宋体" w:hAnsi="宋体" w:eastAsia="宋体" w:cs="宋体"/>
          <w:b/>
          <w:bCs/>
          <w:color w:val="auto"/>
          <w:sz w:val="30"/>
          <w:szCs w:val="30"/>
          <w:highlight w:val="none"/>
        </w:rPr>
      </w:pPr>
      <w:r>
        <w:rPr>
          <w:rFonts w:hint="eastAsia" w:cs="宋体"/>
          <w:b/>
          <w:bCs/>
          <w:color w:val="auto"/>
          <w:sz w:val="30"/>
          <w:szCs w:val="30"/>
          <w:highlight w:val="none"/>
          <w:lang w:val="en-US" w:eastAsia="zh-CN"/>
        </w:rPr>
        <w:t xml:space="preserve">38 </w:t>
      </w:r>
      <w:r>
        <w:rPr>
          <w:rFonts w:hint="eastAsia" w:ascii="宋体" w:hAnsi="宋体" w:eastAsia="宋体" w:cs="宋体"/>
          <w:b/>
          <w:bCs/>
          <w:color w:val="auto"/>
          <w:sz w:val="30"/>
          <w:szCs w:val="30"/>
          <w:highlight w:val="none"/>
        </w:rPr>
        <w:t>符合性审查表</w:t>
      </w:r>
    </w:p>
    <w:p w14:paraId="19E76A88">
      <w:pPr>
        <w:pStyle w:val="9"/>
        <w:ind w:firstLine="904" w:firstLineChars="300"/>
        <w:rPr>
          <w:rFonts w:hint="eastAsia" w:cs="宋体"/>
          <w:b/>
          <w:bCs/>
          <w:color w:val="auto"/>
          <w:sz w:val="30"/>
          <w:szCs w:val="30"/>
          <w:highlight w:val="none"/>
          <w:lang w:val="en-US" w:eastAsia="zh-CN"/>
        </w:rPr>
      </w:pPr>
    </w:p>
    <w:p w14:paraId="193FB983">
      <w:pPr>
        <w:rPr>
          <w:rFonts w:hint="eastAsia"/>
          <w:lang w:val="en-US" w:eastAsia="zh-CN"/>
        </w:rPr>
      </w:pPr>
    </w:p>
    <w:tbl>
      <w:tblPr>
        <w:tblStyle w:val="20"/>
        <w:tblpPr w:leftFromText="180" w:rightFromText="180" w:vertAnchor="page" w:horzAnchor="page" w:tblpX="1332" w:tblpY="2525"/>
        <w:tblOverlap w:val="never"/>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6806"/>
        <w:gridCol w:w="1962"/>
      </w:tblGrid>
      <w:tr w14:paraId="2C39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1105A462">
            <w:pPr>
              <w:pStyle w:val="34"/>
              <w:spacing w:before="94" w:line="600" w:lineRule="auto"/>
              <w:ind w:left="181" w:right="68"/>
              <w:jc w:val="center"/>
              <w:rPr>
                <w:b/>
                <w:bCs/>
                <w:color w:val="auto"/>
                <w:sz w:val="21"/>
                <w:highlight w:val="none"/>
              </w:rPr>
            </w:pPr>
            <w:r>
              <w:rPr>
                <w:b/>
                <w:bCs/>
                <w:color w:val="auto"/>
                <w:sz w:val="21"/>
                <w:highlight w:val="none"/>
              </w:rPr>
              <w:t xml:space="preserve">序号 </w:t>
            </w:r>
          </w:p>
        </w:tc>
        <w:tc>
          <w:tcPr>
            <w:tcW w:w="6806" w:type="dxa"/>
            <w:noWrap w:val="0"/>
            <w:vAlign w:val="top"/>
          </w:tcPr>
          <w:p w14:paraId="201A66DF">
            <w:pPr>
              <w:pStyle w:val="34"/>
              <w:spacing w:before="94" w:line="600" w:lineRule="auto"/>
              <w:ind w:right="4062"/>
              <w:jc w:val="both"/>
              <w:rPr>
                <w:rFonts w:ascii="宋体" w:hAnsi="宋体" w:eastAsia="宋体" w:cs="宋体"/>
                <w:spacing w:val="-2"/>
                <w:sz w:val="21"/>
                <w:szCs w:val="21"/>
                <w:lang w:val="en-US" w:eastAsia="en-US" w:bidi="ar-SA"/>
              </w:rPr>
            </w:pPr>
            <w:r>
              <w:rPr>
                <w:rFonts w:hint="eastAsia" w:ascii="宋体" w:hAnsi="宋体" w:eastAsia="宋体" w:cs="宋体"/>
                <w:spacing w:val="-2"/>
                <w:sz w:val="21"/>
                <w:szCs w:val="21"/>
                <w:lang w:val="en-US" w:eastAsia="zh-CN" w:bidi="ar-SA"/>
              </w:rPr>
              <w:t>评审</w:t>
            </w:r>
            <w:r>
              <w:rPr>
                <w:rFonts w:ascii="宋体" w:hAnsi="宋体" w:eastAsia="宋体" w:cs="宋体"/>
                <w:spacing w:val="-2"/>
                <w:sz w:val="21"/>
                <w:szCs w:val="21"/>
                <w:lang w:val="en-US" w:eastAsia="en-US" w:bidi="ar-SA"/>
              </w:rPr>
              <w:t>内容</w:t>
            </w:r>
          </w:p>
        </w:tc>
        <w:tc>
          <w:tcPr>
            <w:tcW w:w="1962" w:type="dxa"/>
            <w:noWrap w:val="0"/>
            <w:vAlign w:val="top"/>
          </w:tcPr>
          <w:p w14:paraId="2962E15A">
            <w:pPr>
              <w:pStyle w:val="34"/>
              <w:keepNext w:val="0"/>
              <w:keepLines w:val="0"/>
              <w:pageBreakBefore w:val="0"/>
              <w:widowControl w:val="0"/>
              <w:kinsoku/>
              <w:wordWrap/>
              <w:overflowPunct/>
              <w:topLinePunct w:val="0"/>
              <w:autoSpaceDE w:val="0"/>
              <w:autoSpaceDN w:val="0"/>
              <w:bidi w:val="0"/>
              <w:adjustRightInd/>
              <w:snapToGrid/>
              <w:spacing w:before="0" w:line="600" w:lineRule="auto"/>
              <w:ind w:right="0"/>
              <w:jc w:val="both"/>
              <w:textAlignment w:val="auto"/>
              <w:rPr>
                <w:rFonts w:hint="default"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要求说明</w:t>
            </w:r>
          </w:p>
        </w:tc>
      </w:tr>
      <w:tr w14:paraId="6692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822" w:type="dxa"/>
            <w:noWrap w:val="0"/>
            <w:vAlign w:val="top"/>
          </w:tcPr>
          <w:p w14:paraId="0BEB5F6F">
            <w:pPr>
              <w:pStyle w:val="34"/>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1</w:t>
            </w:r>
          </w:p>
        </w:tc>
        <w:tc>
          <w:tcPr>
            <w:tcW w:w="6806" w:type="dxa"/>
            <w:noWrap w:val="0"/>
            <w:vAlign w:val="top"/>
          </w:tcPr>
          <w:p w14:paraId="31A05BA0">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响应文件的编制、签</w:t>
            </w:r>
            <w:r>
              <w:rPr>
                <w:rFonts w:hint="eastAsia" w:ascii="宋体" w:hAnsi="宋体" w:eastAsia="宋体" w:cs="宋体"/>
                <w:spacing w:val="-2"/>
                <w:sz w:val="21"/>
                <w:szCs w:val="21"/>
                <w:lang w:val="en-US" w:eastAsia="zh-CN"/>
              </w:rPr>
              <w:t>字</w:t>
            </w:r>
            <w:r>
              <w:rPr>
                <w:rFonts w:ascii="宋体" w:hAnsi="宋体" w:eastAsia="宋体" w:cs="宋体"/>
                <w:spacing w:val="-2"/>
                <w:sz w:val="21"/>
                <w:szCs w:val="21"/>
              </w:rPr>
              <w:t>及盖章是否符合磋商文件的要求。</w:t>
            </w:r>
          </w:p>
        </w:tc>
        <w:tc>
          <w:tcPr>
            <w:tcW w:w="1962" w:type="dxa"/>
            <w:noWrap w:val="0"/>
            <w:vAlign w:val="center"/>
          </w:tcPr>
          <w:p w14:paraId="701DAD8B">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32B5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1B5E239E">
            <w:pPr>
              <w:pStyle w:val="34"/>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2</w:t>
            </w:r>
          </w:p>
        </w:tc>
        <w:tc>
          <w:tcPr>
            <w:tcW w:w="6806" w:type="dxa"/>
            <w:noWrap w:val="0"/>
            <w:vAlign w:val="top"/>
          </w:tcPr>
          <w:p w14:paraId="474354B2">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磋商报价（首次报价或最后报价）是否</w:t>
            </w:r>
            <w:r>
              <w:rPr>
                <w:rFonts w:hint="eastAsia" w:ascii="宋体" w:hAnsi="宋体" w:eastAsia="宋体" w:cs="宋体"/>
                <w:spacing w:val="-2"/>
                <w:sz w:val="21"/>
                <w:szCs w:val="21"/>
                <w:lang w:val="en-US" w:eastAsia="zh-CN"/>
              </w:rPr>
              <w:t>未</w:t>
            </w:r>
            <w:r>
              <w:rPr>
                <w:rFonts w:ascii="宋体" w:hAnsi="宋体" w:eastAsia="宋体" w:cs="宋体"/>
                <w:spacing w:val="-2"/>
                <w:sz w:val="21"/>
                <w:szCs w:val="21"/>
              </w:rPr>
              <w:t>超过磋商文件中规定的控制价的。</w:t>
            </w:r>
          </w:p>
        </w:tc>
        <w:tc>
          <w:tcPr>
            <w:tcW w:w="1962" w:type="dxa"/>
            <w:noWrap w:val="0"/>
            <w:vAlign w:val="center"/>
          </w:tcPr>
          <w:p w14:paraId="28455960">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62E8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566B86EE">
            <w:pPr>
              <w:pStyle w:val="34"/>
              <w:spacing w:before="106" w:line="600" w:lineRule="auto"/>
              <w:ind w:left="10" w:leftChars="0" w:right="0" w:rightChars="0"/>
              <w:jc w:val="center"/>
              <w:rPr>
                <w:rFonts w:hint="eastAsia" w:ascii="Times New Roman" w:hAnsi="宋体" w:eastAsia="宋体" w:cs="宋体"/>
                <w:color w:val="auto"/>
                <w:sz w:val="21"/>
                <w:szCs w:val="22"/>
                <w:highlight w:val="none"/>
                <w:lang w:val="en-US" w:eastAsia="zh-CN" w:bidi="zh-CN"/>
              </w:rPr>
            </w:pPr>
            <w:r>
              <w:rPr>
                <w:rFonts w:hint="eastAsia" w:ascii="Times New Roman"/>
                <w:color w:val="auto"/>
                <w:w w:val="100"/>
                <w:sz w:val="21"/>
                <w:highlight w:val="none"/>
                <w:lang w:val="en-US" w:eastAsia="zh-CN"/>
              </w:rPr>
              <w:t>3</w:t>
            </w:r>
          </w:p>
        </w:tc>
        <w:tc>
          <w:tcPr>
            <w:tcW w:w="6806" w:type="dxa"/>
            <w:noWrap w:val="0"/>
            <w:vAlign w:val="top"/>
          </w:tcPr>
          <w:p w14:paraId="78686C4C">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响应文件</w:t>
            </w:r>
            <w:r>
              <w:rPr>
                <w:rFonts w:hint="eastAsia" w:ascii="宋体" w:hAnsi="宋体" w:eastAsia="宋体" w:cs="宋体"/>
                <w:spacing w:val="-2"/>
                <w:sz w:val="21"/>
                <w:szCs w:val="21"/>
                <w:lang w:val="en-US" w:eastAsia="zh-CN"/>
              </w:rPr>
              <w:t>的完整性响应</w:t>
            </w:r>
            <w:r>
              <w:rPr>
                <w:rFonts w:hint="eastAsia" w:cs="宋体"/>
                <w:spacing w:val="-2"/>
                <w:sz w:val="21"/>
                <w:szCs w:val="21"/>
                <w:lang w:val="en-US" w:eastAsia="zh-CN"/>
              </w:rPr>
              <w:t>磋商</w:t>
            </w:r>
            <w:r>
              <w:rPr>
                <w:rFonts w:hint="eastAsia" w:ascii="宋体" w:hAnsi="宋体" w:eastAsia="宋体" w:cs="宋体"/>
                <w:spacing w:val="-2"/>
                <w:sz w:val="21"/>
                <w:szCs w:val="21"/>
                <w:lang w:val="en-US" w:eastAsia="zh-CN"/>
              </w:rPr>
              <w:t>文件要求，对</w:t>
            </w:r>
            <w:r>
              <w:rPr>
                <w:rFonts w:hint="eastAsia" w:cs="宋体"/>
                <w:spacing w:val="-2"/>
                <w:sz w:val="21"/>
                <w:szCs w:val="21"/>
                <w:lang w:val="en-US" w:eastAsia="zh-CN"/>
              </w:rPr>
              <w:t>磋商文件</w:t>
            </w:r>
            <w:r>
              <w:rPr>
                <w:rFonts w:hint="eastAsia" w:ascii="宋体" w:hAnsi="宋体" w:eastAsia="宋体" w:cs="宋体"/>
                <w:spacing w:val="-2"/>
                <w:sz w:val="21"/>
                <w:szCs w:val="21"/>
                <w:lang w:val="en-US" w:eastAsia="zh-CN"/>
              </w:rPr>
              <w:t>的实质性要求作出响应；</w:t>
            </w:r>
          </w:p>
        </w:tc>
        <w:tc>
          <w:tcPr>
            <w:tcW w:w="1962" w:type="dxa"/>
            <w:noWrap w:val="0"/>
            <w:vAlign w:val="center"/>
          </w:tcPr>
          <w:p w14:paraId="70E25EE8">
            <w:pPr>
              <w:pStyle w:val="55"/>
              <w:spacing w:before="122" w:line="219" w:lineRule="auto"/>
              <w:ind w:left="124" w:leftChars="0" w:right="0" w:rightChars="0"/>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不满足将不通过符合性审查</w:t>
            </w:r>
          </w:p>
        </w:tc>
      </w:tr>
      <w:tr w14:paraId="6E3C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34A6E64F">
            <w:pPr>
              <w:pStyle w:val="34"/>
              <w:spacing w:before="106" w:line="600" w:lineRule="auto"/>
              <w:ind w:left="10" w:leftChars="0" w:right="0" w:rightChars="0"/>
              <w:jc w:val="center"/>
              <w:rPr>
                <w:rFonts w:hint="eastAsia" w:ascii="Times New Roman" w:hAnsi="宋体" w:eastAsia="宋体" w:cs="宋体"/>
                <w:color w:val="auto"/>
                <w:sz w:val="21"/>
                <w:szCs w:val="22"/>
                <w:highlight w:val="none"/>
                <w:lang w:val="zh-CN" w:eastAsia="zh-CN" w:bidi="zh-CN"/>
              </w:rPr>
            </w:pPr>
            <w:r>
              <w:rPr>
                <w:rFonts w:hint="eastAsia" w:ascii="Times New Roman"/>
                <w:color w:val="auto"/>
                <w:w w:val="100"/>
                <w:sz w:val="21"/>
                <w:highlight w:val="none"/>
                <w:lang w:val="en-US" w:eastAsia="zh-CN"/>
              </w:rPr>
              <w:t>4</w:t>
            </w:r>
          </w:p>
        </w:tc>
        <w:tc>
          <w:tcPr>
            <w:tcW w:w="6806" w:type="dxa"/>
            <w:noWrap w:val="0"/>
            <w:vAlign w:val="top"/>
          </w:tcPr>
          <w:p w14:paraId="6F90065C">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响应文件是否</w:t>
            </w:r>
            <w:r>
              <w:rPr>
                <w:rFonts w:hint="eastAsia" w:ascii="宋体" w:hAnsi="宋体" w:eastAsia="宋体" w:cs="宋体"/>
                <w:spacing w:val="-2"/>
                <w:sz w:val="21"/>
                <w:szCs w:val="21"/>
                <w:lang w:val="en-US" w:eastAsia="zh-CN"/>
              </w:rPr>
              <w:t>未</w:t>
            </w:r>
            <w:r>
              <w:rPr>
                <w:rFonts w:ascii="宋体" w:hAnsi="宋体" w:eastAsia="宋体" w:cs="宋体"/>
                <w:spacing w:val="-2"/>
                <w:sz w:val="21"/>
                <w:szCs w:val="21"/>
              </w:rPr>
              <w:t>含有采购人不能接受的附加条件的。</w:t>
            </w:r>
          </w:p>
        </w:tc>
        <w:tc>
          <w:tcPr>
            <w:tcW w:w="1962" w:type="dxa"/>
            <w:noWrap w:val="0"/>
            <w:vAlign w:val="center"/>
          </w:tcPr>
          <w:p w14:paraId="74BADBD1">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081E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3BB8B580">
            <w:pPr>
              <w:pStyle w:val="34"/>
              <w:spacing w:before="106" w:line="600" w:lineRule="auto"/>
              <w:ind w:left="10" w:leftChars="0" w:right="0" w:rightChars="0"/>
              <w:jc w:val="center"/>
              <w:rPr>
                <w:rFonts w:hint="eastAsia" w:ascii="Times New Roman" w:hAnsi="宋体" w:eastAsia="宋体" w:cs="宋体"/>
                <w:color w:val="auto"/>
                <w:w w:val="100"/>
                <w:sz w:val="21"/>
                <w:szCs w:val="22"/>
                <w:highlight w:val="none"/>
                <w:lang w:val="en-US" w:eastAsia="zh-CN" w:bidi="zh-CN"/>
              </w:rPr>
            </w:pPr>
            <w:r>
              <w:rPr>
                <w:rFonts w:hint="eastAsia" w:ascii="Times New Roman"/>
                <w:color w:val="auto"/>
                <w:w w:val="100"/>
                <w:sz w:val="21"/>
                <w:highlight w:val="none"/>
                <w:lang w:val="en-US" w:eastAsia="zh-CN"/>
              </w:rPr>
              <w:t>5</w:t>
            </w:r>
          </w:p>
        </w:tc>
        <w:tc>
          <w:tcPr>
            <w:tcW w:w="6806" w:type="dxa"/>
            <w:noWrap w:val="0"/>
            <w:vAlign w:val="top"/>
          </w:tcPr>
          <w:p w14:paraId="5F11BE46">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磋商响应有效期是否满足磋商文件要求。</w:t>
            </w:r>
          </w:p>
        </w:tc>
        <w:tc>
          <w:tcPr>
            <w:tcW w:w="1962" w:type="dxa"/>
            <w:noWrap w:val="0"/>
            <w:vAlign w:val="center"/>
          </w:tcPr>
          <w:p w14:paraId="0CDB8D20">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44F4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02FCAF5C">
            <w:pPr>
              <w:pStyle w:val="34"/>
              <w:spacing w:before="106" w:line="600" w:lineRule="auto"/>
              <w:ind w:left="10" w:leftChars="0" w:right="0" w:rightChars="0"/>
              <w:jc w:val="center"/>
              <w:rPr>
                <w:rFonts w:hint="eastAsia" w:ascii="Times New Roman" w:hAnsi="宋体" w:eastAsia="宋体" w:cs="宋体"/>
                <w:color w:val="auto"/>
                <w:sz w:val="21"/>
                <w:szCs w:val="22"/>
                <w:highlight w:val="none"/>
                <w:lang w:val="en-US" w:eastAsia="zh-CN" w:bidi="zh-CN"/>
              </w:rPr>
            </w:pPr>
            <w:r>
              <w:rPr>
                <w:rFonts w:hint="eastAsia" w:ascii="Times New Roman"/>
                <w:color w:val="auto"/>
                <w:w w:val="100"/>
                <w:sz w:val="21"/>
                <w:highlight w:val="none"/>
                <w:lang w:val="en-US" w:eastAsia="zh-CN"/>
              </w:rPr>
              <w:t>6</w:t>
            </w:r>
          </w:p>
        </w:tc>
        <w:tc>
          <w:tcPr>
            <w:tcW w:w="6806" w:type="dxa"/>
            <w:noWrap w:val="0"/>
            <w:vAlign w:val="top"/>
          </w:tcPr>
          <w:p w14:paraId="362F14A8">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报价合理，或投标人的报价明显低于其他通过符合性审查投标人的报价，有可能影响产品质量或者不能诚信履约的，能够应评标委员会要求在规定时间内证明其报价合理性的。</w:t>
            </w:r>
          </w:p>
        </w:tc>
        <w:tc>
          <w:tcPr>
            <w:tcW w:w="1962" w:type="dxa"/>
            <w:noWrap w:val="0"/>
            <w:vAlign w:val="center"/>
          </w:tcPr>
          <w:p w14:paraId="4BC3C6E2">
            <w:pPr>
              <w:pStyle w:val="55"/>
              <w:spacing w:before="122" w:line="219" w:lineRule="auto"/>
              <w:ind w:left="124" w:leftChars="0" w:right="0" w:rightChars="0"/>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不满足将不通过符合性审查</w:t>
            </w:r>
          </w:p>
        </w:tc>
      </w:tr>
      <w:tr w14:paraId="1EDE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7EAF4163">
            <w:pPr>
              <w:pStyle w:val="34"/>
              <w:spacing w:before="113" w:line="600" w:lineRule="auto"/>
              <w:ind w:left="10" w:leftChars="0" w:right="0" w:rightChars="0"/>
              <w:jc w:val="center"/>
              <w:rPr>
                <w:rFonts w:hint="eastAsia" w:ascii="Times New Roman" w:hAnsi="宋体" w:eastAsia="宋体" w:cs="宋体"/>
                <w:color w:val="auto"/>
                <w:sz w:val="21"/>
                <w:szCs w:val="22"/>
                <w:highlight w:val="none"/>
                <w:lang w:val="en-US" w:eastAsia="zh-CN" w:bidi="zh-CN"/>
              </w:rPr>
            </w:pPr>
            <w:r>
              <w:rPr>
                <w:rFonts w:hint="eastAsia" w:ascii="Times New Roman"/>
                <w:color w:val="auto"/>
                <w:w w:val="100"/>
                <w:sz w:val="21"/>
                <w:highlight w:val="none"/>
                <w:lang w:val="en-US" w:eastAsia="zh-CN"/>
              </w:rPr>
              <w:t>7</w:t>
            </w:r>
          </w:p>
        </w:tc>
        <w:tc>
          <w:tcPr>
            <w:tcW w:w="6806" w:type="dxa"/>
            <w:noWrap w:val="0"/>
            <w:vAlign w:val="top"/>
          </w:tcPr>
          <w:p w14:paraId="55907E7E">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施工招标项目工程量清单封面</w:t>
            </w:r>
            <w:r>
              <w:rPr>
                <w:rFonts w:hint="eastAsia" w:ascii="宋体" w:hAnsi="宋体" w:eastAsia="宋体" w:cs="宋体"/>
                <w:spacing w:val="-2"/>
                <w:sz w:val="21"/>
                <w:szCs w:val="21"/>
                <w:lang w:val="en-US" w:eastAsia="zh-CN"/>
              </w:rPr>
              <w:t>是否</w:t>
            </w:r>
            <w:r>
              <w:rPr>
                <w:rFonts w:ascii="宋体" w:hAnsi="宋体" w:eastAsia="宋体" w:cs="宋体"/>
                <w:spacing w:val="-2"/>
                <w:sz w:val="21"/>
                <w:szCs w:val="21"/>
              </w:rPr>
              <w:t>有</w:t>
            </w:r>
            <w:r>
              <w:rPr>
                <w:rFonts w:hint="eastAsia" w:ascii="宋体" w:hAnsi="宋体" w:eastAsia="宋体" w:cs="宋体"/>
                <w:spacing w:val="-2"/>
                <w:sz w:val="21"/>
                <w:szCs w:val="21"/>
                <w:lang w:val="en-US" w:eastAsia="zh-CN"/>
              </w:rPr>
              <w:t>注册造价师</w:t>
            </w:r>
            <w:r>
              <w:rPr>
                <w:rFonts w:ascii="宋体" w:hAnsi="宋体" w:eastAsia="宋体" w:cs="宋体"/>
                <w:spacing w:val="-2"/>
                <w:sz w:val="21"/>
                <w:szCs w:val="21"/>
              </w:rPr>
              <w:t>签字和印章</w:t>
            </w:r>
          </w:p>
          <w:p w14:paraId="1140C3AD">
            <w:pPr>
              <w:pStyle w:val="55"/>
              <w:spacing w:before="122" w:line="219" w:lineRule="auto"/>
              <w:ind w:left="124" w:leftChars="0" w:right="0" w:rightChars="0"/>
              <w:rPr>
                <w:rFonts w:hint="default" w:ascii="宋体" w:hAnsi="宋体" w:eastAsia="宋体" w:cs="宋体"/>
                <w:spacing w:val="-2"/>
                <w:sz w:val="21"/>
                <w:szCs w:val="21"/>
                <w:lang w:val="en-US" w:eastAsia="zh-CN"/>
              </w:rPr>
            </w:pPr>
            <w:r>
              <w:rPr>
                <w:rFonts w:ascii="宋体" w:hAnsi="宋体" w:eastAsia="宋体" w:cs="宋体"/>
                <w:spacing w:val="-2"/>
                <w:sz w:val="21"/>
                <w:szCs w:val="21"/>
              </w:rPr>
              <w:t>（由</w:t>
            </w:r>
            <w:r>
              <w:rPr>
                <w:rFonts w:hint="eastAsia" w:ascii="宋体" w:hAnsi="宋体" w:eastAsia="宋体" w:cs="宋体"/>
                <w:spacing w:val="-2"/>
                <w:sz w:val="21"/>
                <w:szCs w:val="21"/>
                <w:lang w:val="en-US" w:eastAsia="zh-CN"/>
              </w:rPr>
              <w:t>注册造价工程师</w:t>
            </w:r>
            <w:r>
              <w:rPr>
                <w:rFonts w:ascii="宋体" w:hAnsi="宋体" w:eastAsia="宋体" w:cs="宋体"/>
                <w:spacing w:val="-2"/>
                <w:sz w:val="21"/>
                <w:szCs w:val="21"/>
              </w:rPr>
              <w:t>在工程量清单封面签字并加盖执业印章）。</w:t>
            </w:r>
          </w:p>
        </w:tc>
        <w:tc>
          <w:tcPr>
            <w:tcW w:w="1962" w:type="dxa"/>
            <w:noWrap w:val="0"/>
            <w:vAlign w:val="center"/>
          </w:tcPr>
          <w:p w14:paraId="7916105F">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1CFD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223E7AA4">
            <w:pPr>
              <w:pStyle w:val="34"/>
              <w:spacing w:before="113" w:line="600" w:lineRule="auto"/>
              <w:ind w:left="10" w:leftChars="0" w:right="0" w:rightChars="0"/>
              <w:jc w:val="center"/>
              <w:rPr>
                <w:rFonts w:hint="eastAsia" w:ascii="Times New Roman" w:hAnsi="宋体" w:eastAsia="宋体" w:cs="宋体"/>
                <w:color w:val="auto"/>
                <w:sz w:val="21"/>
                <w:szCs w:val="22"/>
                <w:highlight w:val="none"/>
                <w:lang w:val="zh-CN" w:eastAsia="zh-CN" w:bidi="zh-CN"/>
              </w:rPr>
            </w:pPr>
            <w:r>
              <w:rPr>
                <w:rFonts w:hint="eastAsia" w:ascii="Times New Roman"/>
                <w:color w:val="auto"/>
                <w:sz w:val="21"/>
                <w:highlight w:val="none"/>
                <w:lang w:val="en-US" w:eastAsia="zh-CN"/>
              </w:rPr>
              <w:t>8</w:t>
            </w:r>
          </w:p>
        </w:tc>
        <w:tc>
          <w:tcPr>
            <w:tcW w:w="6806" w:type="dxa"/>
            <w:noWrap w:val="0"/>
            <w:vAlign w:val="top"/>
          </w:tcPr>
          <w:p w14:paraId="0637BF3D">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响应文件是否完全满足磋商文件的实质性条款</w:t>
            </w:r>
            <w:r>
              <w:rPr>
                <w:rFonts w:ascii="宋体" w:hAnsi="宋体" w:eastAsia="宋体" w:cs="宋体"/>
                <w:spacing w:val="-2"/>
                <w:sz w:val="21"/>
                <w:szCs w:val="21"/>
                <w:highlight w:val="none"/>
              </w:rPr>
              <w:t>（即标注★部分条款）</w:t>
            </w:r>
            <w:r>
              <w:rPr>
                <w:rFonts w:ascii="宋体" w:hAnsi="宋体" w:eastAsia="宋体" w:cs="宋体"/>
                <w:spacing w:val="-2"/>
                <w:sz w:val="21"/>
                <w:szCs w:val="21"/>
              </w:rPr>
              <w:t>且无负偏离的。（包括计划工期符合</w:t>
            </w:r>
            <w:r>
              <w:rPr>
                <w:rFonts w:hint="eastAsia" w:cs="宋体"/>
                <w:spacing w:val="-2"/>
                <w:sz w:val="21"/>
                <w:szCs w:val="21"/>
                <w:lang w:eastAsia="zh-CN"/>
              </w:rPr>
              <w:t>磋商文件</w:t>
            </w:r>
            <w:r>
              <w:rPr>
                <w:rFonts w:ascii="宋体" w:hAnsi="宋体" w:eastAsia="宋体" w:cs="宋体"/>
                <w:spacing w:val="-2"/>
                <w:sz w:val="21"/>
                <w:szCs w:val="21"/>
              </w:rPr>
              <w:t>规定、投标范围及内容符合</w:t>
            </w:r>
            <w:r>
              <w:rPr>
                <w:rFonts w:hint="eastAsia" w:cs="宋体"/>
                <w:spacing w:val="-2"/>
                <w:sz w:val="21"/>
                <w:szCs w:val="21"/>
                <w:lang w:val="en-US" w:eastAsia="zh-CN"/>
              </w:rPr>
              <w:t>磋商文件</w:t>
            </w:r>
            <w:r>
              <w:rPr>
                <w:rFonts w:ascii="宋体" w:hAnsi="宋体" w:eastAsia="宋体" w:cs="宋体"/>
                <w:spacing w:val="-2"/>
                <w:sz w:val="21"/>
                <w:szCs w:val="21"/>
              </w:rPr>
              <w:t>规定）</w:t>
            </w:r>
          </w:p>
        </w:tc>
        <w:tc>
          <w:tcPr>
            <w:tcW w:w="1962" w:type="dxa"/>
            <w:noWrap w:val="0"/>
            <w:vAlign w:val="center"/>
          </w:tcPr>
          <w:p w14:paraId="2E9F4333">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480B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3C7DACC4">
            <w:pPr>
              <w:pStyle w:val="34"/>
              <w:spacing w:before="113" w:line="600" w:lineRule="auto"/>
              <w:ind w:left="10"/>
              <w:jc w:val="center"/>
              <w:rPr>
                <w:rFonts w:hint="default" w:ascii="Times New Roman" w:eastAsia="宋体"/>
                <w:color w:val="auto"/>
                <w:sz w:val="21"/>
                <w:highlight w:val="none"/>
                <w:lang w:val="en-US" w:eastAsia="zh-CN"/>
              </w:rPr>
            </w:pPr>
            <w:r>
              <w:rPr>
                <w:rFonts w:hint="eastAsia" w:ascii="Times New Roman"/>
                <w:color w:val="auto"/>
                <w:sz w:val="21"/>
                <w:highlight w:val="none"/>
                <w:lang w:val="en-US" w:eastAsia="zh-CN"/>
              </w:rPr>
              <w:t>9</w:t>
            </w:r>
          </w:p>
        </w:tc>
        <w:tc>
          <w:tcPr>
            <w:tcW w:w="6806" w:type="dxa"/>
            <w:noWrap w:val="0"/>
            <w:vAlign w:val="top"/>
          </w:tcPr>
          <w:p w14:paraId="71A49810">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响应文件是否</w:t>
            </w:r>
            <w:r>
              <w:rPr>
                <w:rFonts w:hint="eastAsia" w:ascii="宋体" w:hAnsi="宋体" w:eastAsia="宋体" w:cs="宋体"/>
                <w:spacing w:val="-2"/>
                <w:sz w:val="21"/>
                <w:szCs w:val="21"/>
                <w:lang w:val="en-US" w:eastAsia="zh-CN"/>
              </w:rPr>
              <w:t>不</w:t>
            </w:r>
            <w:r>
              <w:rPr>
                <w:rFonts w:ascii="宋体" w:hAnsi="宋体" w:eastAsia="宋体" w:cs="宋体"/>
                <w:spacing w:val="-2"/>
                <w:sz w:val="21"/>
                <w:szCs w:val="21"/>
              </w:rPr>
              <w:t>存在法律、法规和磋商文件规定的其他无效情形。</w:t>
            </w:r>
          </w:p>
        </w:tc>
        <w:tc>
          <w:tcPr>
            <w:tcW w:w="1962" w:type="dxa"/>
            <w:noWrap w:val="0"/>
            <w:vAlign w:val="center"/>
          </w:tcPr>
          <w:p w14:paraId="19BA0942">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78C6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590" w:type="dxa"/>
            <w:gridSpan w:val="3"/>
            <w:noWrap w:val="0"/>
            <w:vAlign w:val="top"/>
          </w:tcPr>
          <w:p w14:paraId="15F1E1D3">
            <w:pPr>
              <w:pStyle w:val="34"/>
              <w:spacing w:before="94" w:line="600" w:lineRule="auto"/>
              <w:ind w:left="107"/>
              <w:rPr>
                <w:color w:val="auto"/>
                <w:sz w:val="21"/>
                <w:highlight w:val="none"/>
              </w:rPr>
            </w:pPr>
            <w:r>
              <w:rPr>
                <w:b/>
                <w:bCs/>
                <w:color w:val="auto"/>
                <w:sz w:val="21"/>
                <w:highlight w:val="none"/>
              </w:rPr>
              <w:t xml:space="preserve">说明：供应商必须满足符合性审查表内所有条款，否则被认定为无效响应。 </w:t>
            </w:r>
          </w:p>
        </w:tc>
      </w:tr>
    </w:tbl>
    <w:p w14:paraId="61E9A0AD">
      <w:pPr>
        <w:pStyle w:val="9"/>
        <w:ind w:firstLine="904" w:firstLineChars="300"/>
        <w:rPr>
          <w:rFonts w:hint="eastAsia" w:ascii="宋体" w:hAnsi="宋体" w:eastAsia="宋体" w:cs="宋体"/>
          <w:b/>
          <w:bCs/>
          <w:color w:val="auto"/>
          <w:sz w:val="30"/>
          <w:szCs w:val="30"/>
          <w:highlight w:val="none"/>
        </w:rPr>
      </w:pPr>
    </w:p>
    <w:p w14:paraId="4C356E19">
      <w:pPr>
        <w:rPr>
          <w:rFonts w:hint="eastAsia"/>
        </w:rPr>
      </w:pPr>
    </w:p>
    <w:p w14:paraId="7F169D3E">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39</w:t>
      </w:r>
      <w:r>
        <w:rPr>
          <w:rFonts w:hint="eastAsia" w:ascii="宋体" w:hAnsi="宋体" w:eastAsia="宋体" w:cs="宋体"/>
          <w:b/>
          <w:bCs/>
          <w:color w:val="auto"/>
          <w:sz w:val="30"/>
          <w:szCs w:val="30"/>
          <w:highlight w:val="none"/>
          <w:lang w:val="en-US" w:eastAsia="zh-CN"/>
        </w:rPr>
        <w:t xml:space="preserve"> 评分标准</w:t>
      </w:r>
    </w:p>
    <w:p w14:paraId="75E6B86C">
      <w:pPr>
        <w:pStyle w:val="51"/>
        <w:shd w:val="clear" w:color="auto" w:fill="FFFFFF"/>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满足招磋商文件要求且最后投标价格最低的投标报价为磋商基准价，磋商报价得分=（磋商基准价／最后磋商报价）×价格权值×100，计算分数时四舍五入取小数点后两位</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7288C31A">
      <w:pPr>
        <w:pStyle w:val="51"/>
        <w:shd w:val="clear" w:color="auto" w:fill="FFFFFF"/>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14:textFill>
            <w14:solidFill>
              <w14:schemeClr w14:val="tx1"/>
            </w14:solidFill>
          </w14:textFill>
        </w:rPr>
        <w:t>说明：</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商务</w:t>
      </w:r>
      <w:r>
        <w:rPr>
          <w:rFonts w:hint="eastAsia" w:asciiTheme="minorEastAsia" w:hAnsiTheme="minorEastAsia" w:eastAsiaTheme="minorEastAsia" w:cstheme="minorEastAsia"/>
          <w:b/>
          <w:color w:val="000000" w:themeColor="text1"/>
          <w:sz w:val="24"/>
          <w:szCs w:val="24"/>
          <w14:textFill>
            <w14:solidFill>
              <w14:schemeClr w14:val="tx1"/>
            </w14:solidFill>
          </w14:textFill>
        </w:rPr>
        <w:t>技术标部分满分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70</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分，经济标部分满分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14:textFill>
            <w14:solidFill>
              <w14:schemeClr w14:val="tx1"/>
            </w14:solidFill>
          </w14:textFill>
        </w:rPr>
        <w:t>0分</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bl>
      <w:tblPr>
        <w:tblStyle w:val="56"/>
        <w:tblW w:w="9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64"/>
        <w:gridCol w:w="792"/>
      </w:tblGrid>
      <w:tr w14:paraId="08E05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996" w:type="dxa"/>
            <w:vAlign w:val="top"/>
          </w:tcPr>
          <w:p w14:paraId="2EC5165F">
            <w:pPr>
              <w:pStyle w:val="55"/>
              <w:spacing w:before="291" w:line="222" w:lineRule="auto"/>
              <w:ind w:left="3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评分项目</w:t>
            </w:r>
          </w:p>
        </w:tc>
        <w:tc>
          <w:tcPr>
            <w:tcW w:w="7964" w:type="dxa"/>
            <w:vAlign w:val="top"/>
          </w:tcPr>
          <w:p w14:paraId="2888F3CD">
            <w:pPr>
              <w:pStyle w:val="55"/>
              <w:spacing w:before="243" w:line="222" w:lineRule="auto"/>
              <w:ind w:left="291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评审内容</w:t>
            </w:r>
          </w:p>
        </w:tc>
        <w:tc>
          <w:tcPr>
            <w:tcW w:w="792" w:type="dxa"/>
            <w:vAlign w:val="top"/>
          </w:tcPr>
          <w:p w14:paraId="15D3912C">
            <w:pPr>
              <w:pStyle w:val="55"/>
              <w:spacing w:before="243" w:line="223" w:lineRule="auto"/>
              <w:ind w:left="20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rPr>
              <w:t>分值</w:t>
            </w:r>
          </w:p>
        </w:tc>
      </w:tr>
      <w:tr w14:paraId="20D97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tcBorders>
              <w:bottom w:val="single" w:color="auto" w:sz="4" w:space="0"/>
            </w:tcBorders>
            <w:vAlign w:val="top"/>
          </w:tcPr>
          <w:p w14:paraId="6E1FCD74">
            <w:pPr>
              <w:spacing w:line="259" w:lineRule="auto"/>
              <w:rPr>
                <w:rFonts w:hint="eastAsia" w:asciiTheme="minorEastAsia" w:hAnsiTheme="minorEastAsia" w:eastAsiaTheme="minorEastAsia" w:cstheme="minorEastAsia"/>
                <w:sz w:val="21"/>
              </w:rPr>
            </w:pPr>
          </w:p>
          <w:p w14:paraId="4B1F0550">
            <w:pPr>
              <w:spacing w:line="260" w:lineRule="auto"/>
              <w:rPr>
                <w:rFonts w:hint="eastAsia" w:asciiTheme="minorEastAsia" w:hAnsiTheme="minorEastAsia" w:eastAsiaTheme="minorEastAsia" w:cstheme="minorEastAsia"/>
                <w:sz w:val="21"/>
              </w:rPr>
            </w:pPr>
          </w:p>
          <w:p w14:paraId="3F86F3E8">
            <w:pPr>
              <w:spacing w:line="260" w:lineRule="auto"/>
              <w:rPr>
                <w:rFonts w:hint="eastAsia" w:asciiTheme="minorEastAsia" w:hAnsiTheme="minorEastAsia" w:eastAsiaTheme="minorEastAsia" w:cstheme="minorEastAsia"/>
                <w:sz w:val="21"/>
              </w:rPr>
            </w:pPr>
          </w:p>
          <w:p w14:paraId="6145164F">
            <w:pPr>
              <w:pStyle w:val="55"/>
              <w:spacing w:before="78" w:line="232" w:lineRule="auto"/>
              <w:ind w:left="36" w:right="15" w:hanging="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价格部分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5"/>
              </w:rPr>
              <w:t>（30分）</w:t>
            </w:r>
          </w:p>
        </w:tc>
        <w:tc>
          <w:tcPr>
            <w:tcW w:w="7964" w:type="dxa"/>
            <w:tcBorders>
              <w:bottom w:val="single" w:color="auto" w:sz="4" w:space="0"/>
            </w:tcBorders>
            <w:vAlign w:val="top"/>
          </w:tcPr>
          <w:p w14:paraId="3D698D0D">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综合评分法中的价格分统一采用低价优先法计算，即满足磋商文件要求（通过资格、符合性审查）且最后报价最低的供应商的价格（指价格核准后的价格，下同）为磋商基准价，其价格得分为</w:t>
            </w:r>
            <w:r>
              <w:rPr>
                <w:rFonts w:hint="eastAsia" w:asciiTheme="minorEastAsia" w:hAnsiTheme="minorEastAsia" w:eastAsiaTheme="minorEastAsia" w:cstheme="minorEastAsia"/>
                <w:spacing w:val="-1"/>
              </w:rPr>
              <w:t>满分。其他供应商的价格得分统一按照下列公式计算：</w:t>
            </w:r>
          </w:p>
          <w:p w14:paraId="799C88AA">
            <w:pPr>
              <w:pStyle w:val="55"/>
              <w:spacing w:before="24" w:line="231" w:lineRule="auto"/>
              <w:ind w:left="18" w:right="154" w:hanging="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磋商基准价=满足磋商文件要求（通过资格、符合性审查）且最后报价最低的供应商的价格（指价格核准后的价格，下同）</w:t>
            </w:r>
          </w:p>
          <w:p w14:paraId="06974576">
            <w:pPr>
              <w:pStyle w:val="55"/>
              <w:spacing w:before="20" w:line="222" w:lineRule="auto"/>
              <w:ind w:left="1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磋商报价得分=(磋商基准价/最后磋商报价)×价格权重×</w:t>
            </w:r>
            <w:r>
              <w:rPr>
                <w:rFonts w:hint="eastAsia" w:asciiTheme="minorEastAsia" w:hAnsiTheme="minorEastAsia" w:eastAsiaTheme="minorEastAsia" w:cstheme="minorEastAsia"/>
                <w:spacing w:val="-77"/>
              </w:rPr>
              <w:t xml:space="preserve"> </w:t>
            </w:r>
            <w:r>
              <w:rPr>
                <w:rFonts w:hint="eastAsia" w:asciiTheme="minorEastAsia" w:hAnsiTheme="minorEastAsia" w:eastAsiaTheme="minorEastAsia" w:cstheme="minorEastAsia"/>
                <w:spacing w:val="-2"/>
              </w:rPr>
              <w:t>100</w:t>
            </w:r>
          </w:p>
        </w:tc>
        <w:tc>
          <w:tcPr>
            <w:tcW w:w="792" w:type="dxa"/>
            <w:tcBorders>
              <w:bottom w:val="single" w:color="auto" w:sz="4" w:space="0"/>
            </w:tcBorders>
            <w:vAlign w:val="top"/>
          </w:tcPr>
          <w:p w14:paraId="0E6B5259">
            <w:pPr>
              <w:spacing w:line="282" w:lineRule="auto"/>
              <w:jc w:val="both"/>
              <w:rPr>
                <w:rFonts w:hint="eastAsia" w:asciiTheme="minorEastAsia" w:hAnsiTheme="minorEastAsia" w:eastAsiaTheme="minorEastAsia" w:cstheme="minorEastAsia"/>
                <w:sz w:val="21"/>
              </w:rPr>
            </w:pPr>
          </w:p>
          <w:p w14:paraId="60E0DA6E">
            <w:pPr>
              <w:spacing w:line="283" w:lineRule="auto"/>
              <w:jc w:val="both"/>
              <w:rPr>
                <w:rFonts w:hint="eastAsia" w:asciiTheme="minorEastAsia" w:hAnsiTheme="minorEastAsia" w:eastAsiaTheme="minorEastAsia" w:cstheme="minorEastAsia"/>
                <w:sz w:val="21"/>
              </w:rPr>
            </w:pPr>
          </w:p>
          <w:p w14:paraId="299B5CBB">
            <w:pPr>
              <w:spacing w:line="283" w:lineRule="auto"/>
              <w:jc w:val="both"/>
              <w:rPr>
                <w:rFonts w:hint="eastAsia" w:asciiTheme="minorEastAsia" w:hAnsiTheme="minorEastAsia" w:eastAsiaTheme="minorEastAsia" w:cstheme="minorEastAsia"/>
                <w:sz w:val="21"/>
              </w:rPr>
            </w:pPr>
          </w:p>
          <w:p w14:paraId="65BE8715">
            <w:pPr>
              <w:spacing w:line="283" w:lineRule="auto"/>
              <w:jc w:val="both"/>
              <w:rPr>
                <w:rFonts w:hint="eastAsia" w:asciiTheme="minorEastAsia" w:hAnsiTheme="minorEastAsia" w:eastAsiaTheme="minorEastAsia" w:cstheme="minorEastAsia"/>
                <w:sz w:val="21"/>
              </w:rPr>
            </w:pPr>
          </w:p>
          <w:p w14:paraId="30A56FE8">
            <w:pPr>
              <w:pStyle w:val="55"/>
              <w:spacing w:before="78" w:line="180" w:lineRule="auto"/>
              <w:ind w:left="319"/>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30</w:t>
            </w:r>
          </w:p>
        </w:tc>
      </w:tr>
      <w:tr w14:paraId="73BE5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96" w:type="dxa"/>
            <w:vMerge w:val="restart"/>
            <w:tcBorders>
              <w:top w:val="single" w:color="auto" w:sz="4" w:space="0"/>
              <w:left w:val="single" w:color="auto" w:sz="4" w:space="0"/>
              <w:right w:val="single" w:color="auto" w:sz="4" w:space="0"/>
            </w:tcBorders>
            <w:vAlign w:val="top"/>
          </w:tcPr>
          <w:p w14:paraId="61F792A8">
            <w:pPr>
              <w:spacing w:line="257" w:lineRule="auto"/>
              <w:rPr>
                <w:rFonts w:hint="eastAsia" w:asciiTheme="minorEastAsia" w:hAnsiTheme="minorEastAsia" w:eastAsiaTheme="minorEastAsia" w:cstheme="minorEastAsia"/>
                <w:sz w:val="21"/>
              </w:rPr>
            </w:pPr>
          </w:p>
          <w:p w14:paraId="065B149F">
            <w:pPr>
              <w:spacing w:line="257" w:lineRule="auto"/>
              <w:rPr>
                <w:rFonts w:hint="eastAsia" w:asciiTheme="minorEastAsia" w:hAnsiTheme="minorEastAsia" w:eastAsiaTheme="minorEastAsia" w:cstheme="minorEastAsia"/>
                <w:sz w:val="21"/>
              </w:rPr>
            </w:pPr>
          </w:p>
          <w:p w14:paraId="697E3A39">
            <w:pPr>
              <w:spacing w:line="257" w:lineRule="auto"/>
              <w:rPr>
                <w:rFonts w:hint="eastAsia" w:asciiTheme="minorEastAsia" w:hAnsiTheme="minorEastAsia" w:eastAsiaTheme="minorEastAsia" w:cstheme="minorEastAsia"/>
                <w:sz w:val="21"/>
              </w:rPr>
            </w:pPr>
          </w:p>
          <w:p w14:paraId="0321BED2">
            <w:pPr>
              <w:spacing w:line="257" w:lineRule="auto"/>
              <w:rPr>
                <w:rFonts w:hint="eastAsia" w:asciiTheme="minorEastAsia" w:hAnsiTheme="minorEastAsia" w:eastAsiaTheme="minorEastAsia" w:cstheme="minorEastAsia"/>
                <w:sz w:val="21"/>
              </w:rPr>
            </w:pPr>
          </w:p>
          <w:p w14:paraId="445AB9BF">
            <w:pPr>
              <w:spacing w:line="257" w:lineRule="auto"/>
              <w:rPr>
                <w:rFonts w:hint="eastAsia" w:asciiTheme="minorEastAsia" w:hAnsiTheme="minorEastAsia" w:eastAsiaTheme="minorEastAsia" w:cstheme="minorEastAsia"/>
                <w:sz w:val="21"/>
              </w:rPr>
            </w:pPr>
          </w:p>
          <w:p w14:paraId="1ED40825">
            <w:pPr>
              <w:spacing w:line="257" w:lineRule="auto"/>
              <w:rPr>
                <w:rFonts w:hint="eastAsia" w:asciiTheme="minorEastAsia" w:hAnsiTheme="minorEastAsia" w:eastAsiaTheme="minorEastAsia" w:cstheme="minorEastAsia"/>
                <w:sz w:val="21"/>
              </w:rPr>
            </w:pPr>
          </w:p>
          <w:p w14:paraId="75B3AA57">
            <w:pPr>
              <w:pStyle w:val="55"/>
              <w:spacing w:before="78" w:line="231" w:lineRule="auto"/>
              <w:ind w:right="15"/>
              <w:rPr>
                <w:rFonts w:hint="eastAsia" w:asciiTheme="minorEastAsia" w:hAnsiTheme="minorEastAsia" w:eastAsiaTheme="minorEastAsia" w:cstheme="minorEastAsia"/>
                <w:spacing w:val="-7"/>
              </w:rPr>
            </w:pPr>
            <w:r>
              <w:rPr>
                <w:rFonts w:hint="eastAsia" w:asciiTheme="minorEastAsia" w:hAnsiTheme="minorEastAsia" w:eastAsiaTheme="minorEastAsia" w:cstheme="minorEastAsia"/>
                <w:spacing w:val="-7"/>
              </w:rPr>
              <w:t>商务</w:t>
            </w:r>
            <w:r>
              <w:rPr>
                <w:rFonts w:hint="eastAsia" w:asciiTheme="minorEastAsia" w:hAnsiTheme="minorEastAsia" w:eastAsiaTheme="minorEastAsia" w:cstheme="minorEastAsia"/>
              </w:rPr>
              <w:t>技术</w:t>
            </w:r>
            <w:r>
              <w:rPr>
                <w:rFonts w:hint="eastAsia" w:asciiTheme="minorEastAsia" w:hAnsiTheme="minorEastAsia" w:eastAsiaTheme="minorEastAsia" w:cstheme="minorEastAsia"/>
                <w:spacing w:val="-7"/>
              </w:rPr>
              <w:t>部分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5"/>
              </w:rPr>
              <w:t>（</w:t>
            </w:r>
            <w:r>
              <w:rPr>
                <w:rFonts w:hint="eastAsia" w:asciiTheme="minorEastAsia" w:hAnsiTheme="minorEastAsia" w:eastAsiaTheme="minorEastAsia" w:cstheme="minorEastAsia"/>
                <w:spacing w:val="-5"/>
                <w:lang w:val="en-US" w:eastAsia="zh-CN"/>
              </w:rPr>
              <w:t>70</w:t>
            </w:r>
            <w:r>
              <w:rPr>
                <w:rFonts w:hint="eastAsia" w:asciiTheme="minorEastAsia" w:hAnsiTheme="minorEastAsia" w:eastAsiaTheme="minorEastAsia" w:cstheme="minorEastAsia"/>
                <w:spacing w:val="-5"/>
              </w:rPr>
              <w:t>分）</w:t>
            </w:r>
          </w:p>
          <w:p w14:paraId="6BDF1854">
            <w:pPr>
              <w:pStyle w:val="55"/>
              <w:spacing w:before="34" w:line="235" w:lineRule="auto"/>
              <w:ind w:left="16" w:firstLine="3"/>
              <w:jc w:val="both"/>
              <w:rPr>
                <w:rFonts w:hint="eastAsia" w:asciiTheme="minorEastAsia" w:hAnsiTheme="minorEastAsia" w:eastAsiaTheme="minorEastAsia" w:cstheme="minorEastAsia"/>
              </w:rPr>
            </w:pPr>
          </w:p>
          <w:p w14:paraId="20A378A3">
            <w:pPr>
              <w:pStyle w:val="55"/>
              <w:spacing w:before="34" w:line="235" w:lineRule="auto"/>
              <w:jc w:val="both"/>
              <w:rPr>
                <w:rFonts w:hint="eastAsia" w:asciiTheme="minorEastAsia" w:hAnsiTheme="minorEastAsia" w:eastAsiaTheme="minorEastAsia" w:cstheme="minorEastAsia"/>
              </w:rPr>
            </w:pPr>
          </w:p>
        </w:tc>
        <w:tc>
          <w:tcPr>
            <w:tcW w:w="7964" w:type="dxa"/>
            <w:tcBorders>
              <w:top w:val="single" w:color="auto" w:sz="4" w:space="0"/>
              <w:left w:val="single" w:color="auto" w:sz="4" w:space="0"/>
              <w:bottom w:val="single" w:color="auto" w:sz="4" w:space="0"/>
              <w:right w:val="single" w:color="auto" w:sz="4" w:space="0"/>
            </w:tcBorders>
            <w:vAlign w:val="top"/>
          </w:tcPr>
          <w:p w14:paraId="39B1BC78">
            <w:pPr>
              <w:pStyle w:val="55"/>
              <w:spacing w:before="34" w:line="235" w:lineRule="auto"/>
              <w:jc w:val="both"/>
              <w:rPr>
                <w:rFonts w:hint="eastAsia" w:asciiTheme="minorEastAsia" w:hAnsiTheme="minorEastAsia" w:eastAsiaTheme="minorEastAsia" w:cstheme="minorEastAsia"/>
                <w:sz w:val="22"/>
                <w:szCs w:val="22"/>
                <w:highlight w:val="none"/>
                <w:lang w:val="en-US" w:eastAsia="en-US" w:bidi="ar-SA"/>
              </w:rPr>
            </w:pPr>
            <w:r>
              <w:rPr>
                <w:rFonts w:hint="eastAsia" w:asciiTheme="minorEastAsia" w:hAnsiTheme="minorEastAsia" w:eastAsiaTheme="minorEastAsia" w:cstheme="minorEastAsia"/>
                <w:spacing w:val="-4"/>
                <w:highlight w:val="none"/>
                <w:lang w:val="en-US" w:eastAsia="zh-CN"/>
              </w:rPr>
              <w:t>企业业绩：投标企业</w:t>
            </w:r>
            <w:r>
              <w:rPr>
                <w:rFonts w:hint="eastAsia" w:asciiTheme="minorEastAsia" w:hAnsiTheme="minorEastAsia" w:eastAsiaTheme="minorEastAsia" w:cstheme="minorEastAsia"/>
                <w:spacing w:val="-4"/>
                <w:highlight w:val="none"/>
                <w:lang w:val="zh-CN" w:eastAsia="en-US"/>
              </w:rPr>
              <w:t>具有近三年（20</w:t>
            </w:r>
            <w:r>
              <w:rPr>
                <w:rFonts w:hint="eastAsia" w:asciiTheme="minorEastAsia" w:hAnsiTheme="minorEastAsia" w:eastAsiaTheme="minorEastAsia" w:cstheme="minorEastAsia"/>
                <w:spacing w:val="-4"/>
                <w:highlight w:val="none"/>
                <w:lang w:val="en-US" w:eastAsia="zh-CN"/>
              </w:rPr>
              <w:t>23</w:t>
            </w:r>
            <w:r>
              <w:rPr>
                <w:rFonts w:hint="eastAsia" w:asciiTheme="minorEastAsia" w:hAnsiTheme="minorEastAsia" w:eastAsiaTheme="minorEastAsia" w:cstheme="minorEastAsia"/>
                <w:spacing w:val="-4"/>
                <w:highlight w:val="none"/>
                <w:lang w:val="zh-CN" w:eastAsia="en-US"/>
              </w:rPr>
              <w:t>年</w:t>
            </w:r>
            <w:r>
              <w:rPr>
                <w:rFonts w:hint="eastAsia" w:asciiTheme="minorEastAsia" w:hAnsiTheme="minorEastAsia" w:eastAsiaTheme="minorEastAsia" w:cstheme="minorEastAsia"/>
                <w:spacing w:val="-4"/>
                <w:highlight w:val="none"/>
                <w:lang w:val="en-US" w:eastAsia="zh-CN"/>
              </w:rPr>
              <w:t>1</w:t>
            </w:r>
            <w:r>
              <w:rPr>
                <w:rFonts w:hint="eastAsia" w:asciiTheme="minorEastAsia" w:hAnsiTheme="minorEastAsia" w:eastAsiaTheme="minorEastAsia" w:cstheme="minorEastAsia"/>
                <w:spacing w:val="-4"/>
                <w:highlight w:val="none"/>
                <w:lang w:val="zh-CN" w:eastAsia="en-US"/>
              </w:rPr>
              <w:t>月1日至今）类似项目业绩，提供一个得</w:t>
            </w:r>
            <w:r>
              <w:rPr>
                <w:rFonts w:hint="eastAsia" w:asciiTheme="minorEastAsia" w:hAnsiTheme="minorEastAsia" w:eastAsiaTheme="minorEastAsia" w:cstheme="minorEastAsia"/>
                <w:spacing w:val="-4"/>
                <w:highlight w:val="none"/>
                <w:lang w:val="en-US" w:eastAsia="zh-CN"/>
              </w:rPr>
              <w:t>1</w:t>
            </w:r>
            <w:r>
              <w:rPr>
                <w:rFonts w:hint="eastAsia" w:asciiTheme="minorEastAsia" w:hAnsiTheme="minorEastAsia" w:eastAsiaTheme="minorEastAsia" w:cstheme="minorEastAsia"/>
                <w:spacing w:val="-4"/>
                <w:highlight w:val="none"/>
                <w:lang w:val="zh-CN" w:eastAsia="en-US"/>
              </w:rPr>
              <w:t>分，</w:t>
            </w:r>
            <w:r>
              <w:rPr>
                <w:rFonts w:hint="eastAsia" w:asciiTheme="minorEastAsia" w:hAnsiTheme="minorEastAsia" w:eastAsiaTheme="minorEastAsia" w:cstheme="minorEastAsia"/>
                <w:spacing w:val="-4"/>
                <w:highlight w:val="none"/>
                <w:lang w:val="en-US" w:eastAsia="zh-CN"/>
              </w:rPr>
              <w:t>满分2分</w:t>
            </w:r>
            <w:r>
              <w:rPr>
                <w:rFonts w:hint="eastAsia" w:asciiTheme="minorEastAsia" w:hAnsiTheme="minorEastAsia" w:eastAsiaTheme="minorEastAsia" w:cstheme="minorEastAsia"/>
                <w:spacing w:val="-4"/>
                <w:highlight w:val="none"/>
                <w:lang w:val="zh-CN" w:eastAsia="en-US"/>
              </w:rPr>
              <w:t>。（提供中标通知书</w:t>
            </w:r>
            <w:r>
              <w:rPr>
                <w:rFonts w:hint="eastAsia" w:asciiTheme="minorEastAsia" w:hAnsiTheme="minorEastAsia" w:eastAsiaTheme="minorEastAsia" w:cstheme="minorEastAsia"/>
                <w:spacing w:val="-4"/>
                <w:highlight w:val="none"/>
                <w:lang w:val="en-US" w:eastAsia="zh-CN"/>
              </w:rPr>
              <w:t>及</w:t>
            </w:r>
            <w:r>
              <w:rPr>
                <w:rFonts w:hint="eastAsia" w:asciiTheme="minorEastAsia" w:hAnsiTheme="minorEastAsia" w:eastAsiaTheme="minorEastAsia" w:cstheme="minorEastAsia"/>
                <w:spacing w:val="-4"/>
                <w:highlight w:val="none"/>
                <w:lang w:val="zh-CN" w:eastAsia="en-US"/>
              </w:rPr>
              <w:t>施工合同</w:t>
            </w:r>
            <w:r>
              <w:rPr>
                <w:rFonts w:hint="eastAsia" w:asciiTheme="minorEastAsia" w:hAnsiTheme="minorEastAsia" w:eastAsiaTheme="minorEastAsia" w:cstheme="minorEastAsia"/>
                <w:spacing w:val="-4"/>
                <w:highlight w:val="none"/>
                <w:lang w:val="en-US" w:eastAsia="zh-CN"/>
              </w:rPr>
              <w:t>复印件加盖公章</w:t>
            </w:r>
            <w:r>
              <w:rPr>
                <w:rFonts w:hint="eastAsia" w:asciiTheme="minorEastAsia" w:hAnsiTheme="minorEastAsia" w:eastAsiaTheme="minorEastAsia" w:cstheme="minorEastAsia"/>
                <w:spacing w:val="-4"/>
                <w:highlight w:val="none"/>
                <w:lang w:val="zh-CN" w:eastAsia="en-US"/>
              </w:rPr>
              <w:t>）</w:t>
            </w:r>
          </w:p>
        </w:tc>
        <w:tc>
          <w:tcPr>
            <w:tcW w:w="792" w:type="dxa"/>
            <w:tcBorders>
              <w:top w:val="single" w:color="auto" w:sz="4" w:space="0"/>
              <w:left w:val="single" w:color="auto" w:sz="4" w:space="0"/>
              <w:bottom w:val="single" w:color="auto" w:sz="4" w:space="0"/>
              <w:right w:val="single" w:color="auto" w:sz="4" w:space="0"/>
            </w:tcBorders>
            <w:vAlign w:val="top"/>
          </w:tcPr>
          <w:p w14:paraId="1243AB1F">
            <w:pPr>
              <w:spacing w:line="310" w:lineRule="auto"/>
              <w:jc w:val="both"/>
              <w:rPr>
                <w:rFonts w:hint="eastAsia" w:asciiTheme="minorEastAsia" w:hAnsiTheme="minorEastAsia" w:eastAsiaTheme="minorEastAsia" w:cstheme="minorEastAsia"/>
                <w:sz w:val="21"/>
              </w:rPr>
            </w:pPr>
          </w:p>
          <w:p w14:paraId="1B9F1DD6">
            <w:pPr>
              <w:pStyle w:val="55"/>
              <w:spacing w:before="78" w:line="180" w:lineRule="auto"/>
              <w:ind w:left="377"/>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w:t>
            </w:r>
          </w:p>
        </w:tc>
      </w:tr>
      <w:tr w14:paraId="6D407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996" w:type="dxa"/>
            <w:vMerge w:val="continue"/>
            <w:tcBorders>
              <w:left w:val="single" w:color="auto" w:sz="4" w:space="0"/>
              <w:right w:val="single" w:color="auto" w:sz="4" w:space="0"/>
            </w:tcBorders>
            <w:vAlign w:val="top"/>
          </w:tcPr>
          <w:p w14:paraId="2F7A96E9">
            <w:pPr>
              <w:rPr>
                <w:rFonts w:hint="eastAsia" w:asciiTheme="minorEastAsia" w:hAnsiTheme="minorEastAsia" w:eastAsiaTheme="minorEastAsia" w:cstheme="minorEastAsia"/>
                <w:sz w:val="21"/>
              </w:rPr>
            </w:pPr>
          </w:p>
        </w:tc>
        <w:tc>
          <w:tcPr>
            <w:tcW w:w="7964" w:type="dxa"/>
            <w:tcBorders>
              <w:top w:val="single" w:color="auto" w:sz="4" w:space="0"/>
              <w:left w:val="single" w:color="auto" w:sz="4" w:space="0"/>
              <w:bottom w:val="single" w:color="auto" w:sz="4" w:space="0"/>
              <w:right w:val="single" w:color="auto" w:sz="4" w:space="0"/>
            </w:tcBorders>
            <w:vAlign w:val="top"/>
          </w:tcPr>
          <w:p w14:paraId="4CE123A8">
            <w:pPr>
              <w:pStyle w:val="55"/>
              <w:spacing w:before="34" w:line="235" w:lineRule="auto"/>
              <w:ind w:left="16" w:firstLine="3"/>
              <w:jc w:val="both"/>
              <w:rPr>
                <w:rFonts w:hint="eastAsia" w:asciiTheme="minorEastAsia" w:hAnsiTheme="minorEastAsia" w:eastAsiaTheme="minorEastAsia" w:cstheme="minorEastAsia"/>
                <w:spacing w:val="-7"/>
                <w:highlight w:val="none"/>
                <w:lang w:eastAsia="zh-CN"/>
              </w:rPr>
            </w:pPr>
            <w:r>
              <w:rPr>
                <w:rFonts w:hint="eastAsia" w:asciiTheme="minorEastAsia" w:hAnsiTheme="minorEastAsia" w:eastAsiaTheme="minorEastAsia" w:cstheme="minorEastAsia"/>
                <w:spacing w:val="-4"/>
                <w:highlight w:val="none"/>
              </w:rPr>
              <w:t>其他主要人</w:t>
            </w:r>
            <w:r>
              <w:rPr>
                <w:rFonts w:hint="eastAsia" w:asciiTheme="minorEastAsia" w:hAnsiTheme="minorEastAsia" w:eastAsiaTheme="minorEastAsia" w:cstheme="minorEastAsia"/>
                <w:spacing w:val="-7"/>
                <w:highlight w:val="none"/>
              </w:rPr>
              <w:t>员配置情况</w:t>
            </w:r>
            <w:r>
              <w:rPr>
                <w:rFonts w:hint="eastAsia" w:asciiTheme="minorEastAsia" w:hAnsiTheme="minorEastAsia" w:eastAsiaTheme="minorEastAsia" w:cstheme="minorEastAsia"/>
                <w:spacing w:val="-7"/>
                <w:highlight w:val="none"/>
                <w:lang w:eastAsia="zh-CN"/>
              </w:rPr>
              <w:t>：</w:t>
            </w:r>
            <w:r>
              <w:rPr>
                <w:rFonts w:hint="eastAsia" w:asciiTheme="minorEastAsia" w:hAnsiTheme="minorEastAsia" w:eastAsiaTheme="minorEastAsia" w:cstheme="minorEastAsia"/>
                <w:spacing w:val="-7"/>
                <w:highlight w:val="none"/>
                <w:lang w:val="en-US" w:eastAsia="zh-CN"/>
              </w:rPr>
              <w:t xml:space="preserve">技术负责人1人、施工员1人、质量员1人、安全员1人、材料员1人以上人员配备齐全得5分，每少1人扣1分；以上成员需提供人员身份证正反面、相关注册证、岗位证，在本单位近三个月任意一个月的社保缴纳凭证及技术负责人、施工员、质量员、安全员无在建项目承诺函。 </w:t>
            </w:r>
          </w:p>
          <w:p w14:paraId="2B6B9046">
            <w:pPr>
              <w:pStyle w:val="55"/>
              <w:spacing w:before="34" w:line="235" w:lineRule="auto"/>
              <w:ind w:left="16" w:firstLine="3"/>
              <w:jc w:val="both"/>
              <w:rPr>
                <w:rFonts w:hint="eastAsia" w:asciiTheme="minorEastAsia" w:hAnsiTheme="minorEastAsia" w:eastAsiaTheme="minorEastAsia" w:cstheme="minorEastAsia"/>
                <w:sz w:val="22"/>
                <w:szCs w:val="22"/>
                <w:highlight w:val="none"/>
                <w:lang w:val="en-US" w:eastAsia="en-US" w:bidi="ar-SA"/>
              </w:rPr>
            </w:pPr>
            <w:r>
              <w:rPr>
                <w:rFonts w:hint="eastAsia" w:asciiTheme="minorEastAsia" w:hAnsiTheme="minorEastAsia" w:eastAsiaTheme="minorEastAsia" w:cstheme="minorEastAsia"/>
                <w:spacing w:val="-7"/>
                <w:highlight w:val="none"/>
                <w:lang w:val="en-US" w:eastAsia="zh-CN"/>
              </w:rPr>
              <w:t>未提供或提供资料不齐全的不得分。</w:t>
            </w:r>
          </w:p>
        </w:tc>
        <w:tc>
          <w:tcPr>
            <w:tcW w:w="792" w:type="dxa"/>
            <w:tcBorders>
              <w:top w:val="single" w:color="auto" w:sz="4" w:space="0"/>
              <w:left w:val="single" w:color="auto" w:sz="4" w:space="0"/>
              <w:bottom w:val="single" w:color="auto" w:sz="4" w:space="0"/>
              <w:right w:val="single" w:color="auto" w:sz="4" w:space="0"/>
            </w:tcBorders>
            <w:vAlign w:val="top"/>
          </w:tcPr>
          <w:p w14:paraId="57A25B36">
            <w:pPr>
              <w:pStyle w:val="55"/>
              <w:spacing w:before="310" w:line="180" w:lineRule="auto"/>
              <w:ind w:left="375"/>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5</w:t>
            </w:r>
          </w:p>
        </w:tc>
      </w:tr>
      <w:tr w14:paraId="5D8FB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996" w:type="dxa"/>
            <w:vMerge w:val="continue"/>
            <w:tcBorders>
              <w:left w:val="single" w:color="auto" w:sz="4" w:space="0"/>
              <w:right w:val="single" w:color="auto" w:sz="4" w:space="0"/>
            </w:tcBorders>
            <w:vAlign w:val="top"/>
          </w:tcPr>
          <w:p w14:paraId="148E1EDC">
            <w:pPr>
              <w:rPr>
                <w:rFonts w:hint="eastAsia" w:asciiTheme="minorEastAsia" w:hAnsiTheme="minorEastAsia" w:eastAsiaTheme="minorEastAsia" w:cstheme="minorEastAsia"/>
                <w:sz w:val="21"/>
              </w:rPr>
            </w:pPr>
          </w:p>
        </w:tc>
        <w:tc>
          <w:tcPr>
            <w:tcW w:w="7964" w:type="dxa"/>
            <w:tcBorders>
              <w:top w:val="single" w:color="auto" w:sz="4" w:space="0"/>
              <w:left w:val="single" w:color="auto" w:sz="4" w:space="0"/>
              <w:bottom w:val="single" w:color="auto" w:sz="4" w:space="0"/>
              <w:right w:val="single" w:color="auto" w:sz="4" w:space="0"/>
            </w:tcBorders>
            <w:vAlign w:val="top"/>
          </w:tcPr>
          <w:p w14:paraId="7CAF685F">
            <w:pPr>
              <w:pStyle w:val="55"/>
              <w:spacing w:before="78" w:line="230" w:lineRule="auto"/>
              <w:ind w:left="19" w:hanging="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不随意更换</w:t>
            </w:r>
            <w:r>
              <w:rPr>
                <w:rFonts w:hint="eastAsia" w:asciiTheme="minorEastAsia" w:hAnsiTheme="minorEastAsia" w:eastAsiaTheme="minorEastAsia" w:cstheme="minorEastAsia"/>
                <w:spacing w:val="-4"/>
              </w:rPr>
              <w:t>项目经理、技术负责人</w:t>
            </w:r>
            <w:r>
              <w:rPr>
                <w:rFonts w:hint="eastAsia" w:asciiTheme="minorEastAsia" w:hAnsiTheme="minorEastAsia" w:eastAsiaTheme="minorEastAsia" w:cstheme="minorEastAsia"/>
                <w:spacing w:val="25"/>
              </w:rPr>
              <w:t>及“五大</w:t>
            </w:r>
            <w:r>
              <w:rPr>
                <w:rFonts w:hint="eastAsia" w:asciiTheme="minorEastAsia" w:hAnsiTheme="minorEastAsia" w:eastAsiaTheme="minorEastAsia" w:cstheme="minorEastAsia"/>
                <w:spacing w:val="-10"/>
              </w:rPr>
              <w:t>员</w:t>
            </w:r>
            <w:r>
              <w:rPr>
                <w:rFonts w:hint="eastAsia" w:asciiTheme="minorEastAsia" w:hAnsiTheme="minorEastAsia" w:eastAsiaTheme="minorEastAsia" w:cstheme="minorEastAsia"/>
                <w:spacing w:val="-88"/>
              </w:rPr>
              <w:t xml:space="preserve"> </w:t>
            </w:r>
            <w:r>
              <w:rPr>
                <w:rFonts w:hint="eastAsia" w:asciiTheme="minorEastAsia" w:hAnsiTheme="minorEastAsia" w:eastAsiaTheme="minorEastAsia" w:cstheme="minorEastAsia"/>
                <w:spacing w:val="-10"/>
              </w:rPr>
              <w:t>”的承诺</w:t>
            </w:r>
            <w:r>
              <w:rPr>
                <w:rFonts w:hint="eastAsia" w:asciiTheme="minorEastAsia" w:hAnsiTheme="minorEastAsia" w:eastAsiaTheme="minorEastAsia" w:cstheme="minorEastAsia"/>
                <w:spacing w:val="-10"/>
                <w:lang w:eastAsia="zh-CN"/>
              </w:rPr>
              <w:t>：</w:t>
            </w:r>
            <w:r>
              <w:rPr>
                <w:rFonts w:hint="eastAsia" w:asciiTheme="minorEastAsia" w:hAnsiTheme="minorEastAsia" w:eastAsiaTheme="minorEastAsia" w:cstheme="minorEastAsia"/>
                <w:spacing w:val="-1"/>
              </w:rPr>
              <w:t>有不随意更换项目经理、技术负责人及“五大员</w:t>
            </w:r>
            <w:r>
              <w:rPr>
                <w:rFonts w:hint="eastAsia" w:asciiTheme="minorEastAsia" w:hAnsiTheme="minorEastAsia" w:eastAsiaTheme="minorEastAsia" w:cstheme="minorEastAsia"/>
                <w:spacing w:val="-73"/>
              </w:rPr>
              <w:t xml:space="preserve"> </w:t>
            </w:r>
            <w:r>
              <w:rPr>
                <w:rFonts w:hint="eastAsia" w:asciiTheme="minorEastAsia" w:hAnsiTheme="minorEastAsia" w:eastAsiaTheme="minorEastAsia" w:cstheme="minorEastAsia"/>
                <w:spacing w:val="-1"/>
              </w:rPr>
              <w:t>”的承诺，</w:t>
            </w:r>
            <w:r>
              <w:rPr>
                <w:rFonts w:hint="eastAsia" w:asciiTheme="minorEastAsia" w:hAnsiTheme="minorEastAsia" w:eastAsiaTheme="minorEastAsia" w:cstheme="minorEastAsia"/>
                <w:spacing w:val="-1"/>
                <w:lang w:val="en-US" w:eastAsia="zh-CN"/>
              </w:rPr>
              <w:t>一个人员得1分，五人得5分，</w:t>
            </w:r>
            <w:r>
              <w:rPr>
                <w:rFonts w:hint="eastAsia" w:asciiTheme="minorEastAsia" w:hAnsiTheme="minorEastAsia" w:eastAsiaTheme="minorEastAsia" w:cstheme="minorEastAsia"/>
                <w:spacing w:val="-1"/>
              </w:rPr>
              <w:t>有相应经济处罚措施的，得</w:t>
            </w:r>
            <w:r>
              <w:rPr>
                <w:rFonts w:hint="eastAsia" w:asciiTheme="minorEastAsia" w:hAnsiTheme="minorEastAsia" w:eastAsiaTheme="minorEastAsia" w:cstheme="minorEastAsia"/>
                <w:spacing w:val="-1"/>
                <w:lang w:val="en-US" w:eastAsia="zh-CN"/>
              </w:rPr>
              <w:t>1</w:t>
            </w:r>
            <w:r>
              <w:rPr>
                <w:rFonts w:hint="eastAsia" w:asciiTheme="minorEastAsia" w:hAnsiTheme="minorEastAsia" w:eastAsiaTheme="minorEastAsia" w:cstheme="minorEastAsia"/>
                <w:spacing w:val="-1"/>
              </w:rPr>
              <w:t>分，</w:t>
            </w:r>
            <w:r>
              <w:rPr>
                <w:rFonts w:hint="eastAsia"/>
                <w:spacing w:val="-1"/>
                <w:lang w:val="en-US" w:eastAsia="zh-CN"/>
              </w:rPr>
              <w:t>未提供的</w:t>
            </w:r>
            <w:r>
              <w:rPr>
                <w:spacing w:val="-1"/>
              </w:rPr>
              <w:t>得</w:t>
            </w:r>
            <w:r>
              <w:rPr>
                <w:rFonts w:hint="eastAsia" w:asciiTheme="minorEastAsia" w:hAnsiTheme="minorEastAsia" w:eastAsiaTheme="minorEastAsia" w:cstheme="minorEastAsia"/>
                <w:spacing w:val="-1"/>
              </w:rPr>
              <w:t>0分。</w:t>
            </w:r>
          </w:p>
        </w:tc>
        <w:tc>
          <w:tcPr>
            <w:tcW w:w="792" w:type="dxa"/>
            <w:tcBorders>
              <w:top w:val="single" w:color="auto" w:sz="4" w:space="0"/>
              <w:left w:val="single" w:color="auto" w:sz="4" w:space="0"/>
              <w:bottom w:val="single" w:color="auto" w:sz="4" w:space="0"/>
              <w:right w:val="single" w:color="auto" w:sz="4" w:space="0"/>
            </w:tcBorders>
            <w:vAlign w:val="top"/>
          </w:tcPr>
          <w:p w14:paraId="31A790D5">
            <w:pPr>
              <w:spacing w:line="252" w:lineRule="auto"/>
              <w:jc w:val="center"/>
              <w:rPr>
                <w:rFonts w:hint="eastAsia" w:asciiTheme="minorEastAsia" w:hAnsiTheme="minorEastAsia" w:eastAsiaTheme="minorEastAsia" w:cstheme="minorEastAsia"/>
                <w:sz w:val="21"/>
              </w:rPr>
            </w:pPr>
          </w:p>
          <w:p w14:paraId="689FD644">
            <w:pPr>
              <w:pStyle w:val="55"/>
              <w:spacing w:before="78" w:line="179" w:lineRule="auto"/>
              <w:ind w:left="379"/>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p>
        </w:tc>
      </w:tr>
      <w:tr w14:paraId="7B96E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996" w:type="dxa"/>
            <w:vMerge w:val="continue"/>
            <w:tcBorders>
              <w:left w:val="single" w:color="auto" w:sz="4" w:space="0"/>
              <w:right w:val="single" w:color="auto" w:sz="4" w:space="0"/>
            </w:tcBorders>
            <w:vAlign w:val="top"/>
          </w:tcPr>
          <w:p w14:paraId="4AB40434">
            <w:pPr>
              <w:pStyle w:val="55"/>
              <w:spacing w:before="34" w:line="235" w:lineRule="auto"/>
              <w:ind w:left="16" w:firstLine="3"/>
              <w:jc w:val="both"/>
              <w:rPr>
                <w:rFonts w:hint="eastAsia" w:asciiTheme="minorEastAsia" w:hAnsiTheme="minorEastAsia" w:eastAsiaTheme="minorEastAsia" w:cstheme="minorEastAsia"/>
              </w:rPr>
            </w:pPr>
          </w:p>
        </w:tc>
        <w:tc>
          <w:tcPr>
            <w:tcW w:w="7964" w:type="dxa"/>
            <w:tcBorders>
              <w:top w:val="single" w:color="auto" w:sz="4" w:space="0"/>
              <w:left w:val="single" w:color="auto" w:sz="4" w:space="0"/>
              <w:bottom w:val="single" w:color="auto" w:sz="4" w:space="0"/>
              <w:right w:val="single" w:color="auto" w:sz="4" w:space="0"/>
            </w:tcBorders>
            <w:vAlign w:val="top"/>
          </w:tcPr>
          <w:p w14:paraId="42916FCC">
            <w:pPr>
              <w:pStyle w:val="55"/>
              <w:spacing w:before="34" w:line="235" w:lineRule="auto"/>
              <w:ind w:left="16" w:firstLine="3"/>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根据各投标人提供的项目整体实施方案进行评审： </w:t>
            </w:r>
          </w:p>
          <w:p w14:paraId="613BCA67">
            <w:pPr>
              <w:pStyle w:val="55"/>
              <w:spacing w:before="34" w:line="235" w:lineRule="auto"/>
              <w:ind w:left="16" w:firstLine="3"/>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①施工准备；②施工计划及施工方案； ③质量服务计划表；④人员配备方案；⑤材料配备及使用方案；⑥机械设备使用方案；⑦资金使用计划； </w:t>
            </w:r>
          </w:p>
          <w:p w14:paraId="14F666DC">
            <w:pPr>
              <w:keepNext w:val="0"/>
              <w:keepLines w:val="0"/>
              <w:pageBreakBefore w:val="0"/>
              <w:widowControl w:val="0"/>
              <w:tabs>
                <w:tab w:val="left" w:pos="2869"/>
                <w:tab w:val="left" w:pos="3010"/>
              </w:tabs>
              <w:kinsoku/>
              <w:wordWrap/>
              <w:overflowPunct/>
              <w:topLinePunct w:val="0"/>
              <w:autoSpaceDE/>
              <w:autoSpaceDN/>
              <w:bidi w:val="0"/>
              <w:adjustRightInd/>
              <w:snapToGrid/>
              <w:spacing w:line="300" w:lineRule="exact"/>
              <w:ind w:firstLine="0"/>
              <w:textAlignment w:val="auto"/>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sz w:val="22"/>
                <w:szCs w:val="22"/>
                <w:lang w:val="en-US" w:eastAsia="en-US" w:bidi="ar-SA"/>
              </w:rPr>
              <w:t>每缺少一项内容的扣</w:t>
            </w:r>
            <w:r>
              <w:rPr>
                <w:rFonts w:hint="eastAsia" w:asciiTheme="minorEastAsia" w:hAnsiTheme="minorEastAsia" w:eastAsiaTheme="minorEastAsia" w:cstheme="minorEastAsia"/>
                <w:sz w:val="22"/>
                <w:szCs w:val="22"/>
                <w:lang w:val="en-US" w:eastAsia="zh-CN" w:bidi="ar-SA"/>
              </w:rPr>
              <w:t>3</w:t>
            </w:r>
            <w:r>
              <w:rPr>
                <w:rFonts w:hint="eastAsia" w:asciiTheme="minorEastAsia" w:hAnsiTheme="minorEastAsia" w:eastAsiaTheme="minorEastAsia" w:cstheme="minorEastAsia"/>
                <w:sz w:val="22"/>
                <w:szCs w:val="22"/>
                <w:lang w:val="en-US" w:eastAsia="en-US" w:bidi="ar-SA"/>
              </w:rPr>
              <w:t>分</w:t>
            </w:r>
            <w:r>
              <w:rPr>
                <w:rFonts w:hint="eastAsia" w:asciiTheme="minorEastAsia" w:hAnsiTheme="minorEastAsia" w:eastAsiaTheme="minorEastAsia" w:cstheme="minorEastAsia"/>
                <w:sz w:val="22"/>
                <w:szCs w:val="22"/>
                <w:lang w:val="en-US" w:eastAsia="zh-CN" w:bidi="ar-SA"/>
              </w:rPr>
              <w:t>，</w:t>
            </w:r>
            <w:r>
              <w:rPr>
                <w:rFonts w:hint="eastAsia" w:asciiTheme="minorEastAsia" w:hAnsiTheme="minorEastAsia" w:eastAsiaTheme="minorEastAsia" w:cstheme="minorEastAsia"/>
                <w:sz w:val="22"/>
                <w:szCs w:val="22"/>
                <w:lang w:val="en-US" w:eastAsia="en-US" w:bidi="ar-SA"/>
              </w:rPr>
              <w:t>每有一处存在</w:t>
            </w:r>
            <w:r>
              <w:rPr>
                <w:rFonts w:hint="eastAsia" w:asciiTheme="minorEastAsia" w:hAnsiTheme="minorEastAsia" w:eastAsiaTheme="minorEastAsia" w:cstheme="minorEastAsia"/>
                <w:sz w:val="22"/>
                <w:szCs w:val="22"/>
                <w:lang w:val="en-US" w:eastAsia="zh-CN" w:bidi="ar-SA"/>
              </w:rPr>
              <w:t>内容缺陷</w:t>
            </w:r>
            <w:r>
              <w:rPr>
                <w:rFonts w:hint="eastAsia" w:asciiTheme="minorEastAsia" w:hAnsiTheme="minorEastAsia" w:eastAsiaTheme="minorEastAsia" w:cstheme="minorEastAsia"/>
                <w:sz w:val="22"/>
                <w:szCs w:val="22"/>
                <w:lang w:val="en-US" w:eastAsia="en-US" w:bidi="ar-SA"/>
              </w:rPr>
              <w:t>扣</w:t>
            </w:r>
            <w:r>
              <w:rPr>
                <w:rFonts w:hint="eastAsia" w:asciiTheme="minorEastAsia" w:hAnsiTheme="minorEastAsia" w:eastAsiaTheme="minorEastAsia" w:cstheme="minorEastAsia"/>
                <w:sz w:val="22"/>
                <w:szCs w:val="22"/>
                <w:lang w:val="en-US" w:eastAsia="zh-CN" w:bidi="ar-SA"/>
              </w:rPr>
              <w:t>1.5</w:t>
            </w:r>
            <w:r>
              <w:rPr>
                <w:rFonts w:hint="eastAsia" w:asciiTheme="minorEastAsia" w:hAnsiTheme="minorEastAsia" w:eastAsiaTheme="minorEastAsia" w:cstheme="minorEastAsia"/>
                <w:sz w:val="22"/>
                <w:szCs w:val="22"/>
                <w:lang w:val="en-US" w:eastAsia="en-US" w:bidi="ar-SA"/>
              </w:rPr>
              <w:t>分，扣完为止。</w:t>
            </w:r>
          </w:p>
          <w:p w14:paraId="5B8184D3">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szCs w:val="22"/>
                <w:lang w:val="en-US" w:eastAsia="zh-CN" w:bidi="ar-SA"/>
              </w:rPr>
              <w:t>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c>
          <w:tcPr>
            <w:tcW w:w="792" w:type="dxa"/>
            <w:tcBorders>
              <w:top w:val="single" w:color="auto" w:sz="4" w:space="0"/>
              <w:left w:val="single" w:color="auto" w:sz="4" w:space="0"/>
              <w:bottom w:val="single" w:color="auto" w:sz="4" w:space="0"/>
              <w:right w:val="single" w:color="auto" w:sz="4" w:space="0"/>
            </w:tcBorders>
            <w:vAlign w:val="top"/>
          </w:tcPr>
          <w:p w14:paraId="67FA049C">
            <w:pPr>
              <w:pStyle w:val="55"/>
              <w:spacing w:before="34" w:line="235" w:lineRule="auto"/>
              <w:ind w:left="16" w:firstLine="3"/>
              <w:jc w:val="center"/>
              <w:rPr>
                <w:rFonts w:hint="eastAsia" w:asciiTheme="minorEastAsia" w:hAnsiTheme="minorEastAsia" w:eastAsiaTheme="minorEastAsia" w:cstheme="minorEastAsia"/>
              </w:rPr>
            </w:pPr>
          </w:p>
          <w:p w14:paraId="690313D7">
            <w:pPr>
              <w:pStyle w:val="55"/>
              <w:spacing w:before="34" w:line="235" w:lineRule="auto"/>
              <w:ind w:left="16" w:firstLine="3"/>
              <w:jc w:val="center"/>
              <w:rPr>
                <w:rFonts w:hint="eastAsia" w:asciiTheme="minorEastAsia" w:hAnsiTheme="minorEastAsia" w:eastAsiaTheme="minorEastAsia" w:cstheme="minorEastAsia"/>
              </w:rPr>
            </w:pPr>
          </w:p>
          <w:p w14:paraId="05819D91">
            <w:pPr>
              <w:pStyle w:val="55"/>
              <w:spacing w:before="34" w:line="235" w:lineRule="auto"/>
              <w:ind w:left="16" w:firstLine="3"/>
              <w:jc w:val="center"/>
              <w:rPr>
                <w:rFonts w:hint="eastAsia" w:asciiTheme="minorEastAsia" w:hAnsiTheme="minorEastAsia" w:eastAsiaTheme="minorEastAsia" w:cstheme="minorEastAsia"/>
              </w:rPr>
            </w:pPr>
          </w:p>
          <w:p w14:paraId="06FF062F">
            <w:pPr>
              <w:pStyle w:val="55"/>
              <w:spacing w:before="34" w:line="235" w:lineRule="auto"/>
              <w:ind w:left="16" w:firstLine="3"/>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21</w:t>
            </w:r>
          </w:p>
        </w:tc>
      </w:tr>
      <w:tr w14:paraId="0E481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tcBorders>
              <w:left w:val="single" w:color="auto" w:sz="4" w:space="0"/>
              <w:right w:val="single" w:color="auto" w:sz="4" w:space="0"/>
            </w:tcBorders>
            <w:vAlign w:val="top"/>
          </w:tcPr>
          <w:p w14:paraId="5368316C">
            <w:pPr>
              <w:pStyle w:val="55"/>
              <w:spacing w:before="34" w:line="235" w:lineRule="auto"/>
              <w:ind w:left="16" w:firstLine="3"/>
              <w:jc w:val="both"/>
              <w:rPr>
                <w:rFonts w:hint="eastAsia" w:asciiTheme="minorEastAsia" w:hAnsiTheme="minorEastAsia" w:eastAsiaTheme="minorEastAsia" w:cstheme="minorEastAsia"/>
              </w:rPr>
            </w:pPr>
          </w:p>
        </w:tc>
        <w:tc>
          <w:tcPr>
            <w:tcW w:w="7964" w:type="dxa"/>
            <w:tcBorders>
              <w:top w:val="single" w:color="auto" w:sz="4" w:space="0"/>
              <w:bottom w:val="single" w:color="auto" w:sz="4" w:space="0"/>
            </w:tcBorders>
            <w:vAlign w:val="top"/>
          </w:tcPr>
          <w:p w14:paraId="37F0FD8A">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施工工期保证措施：针对工程施工进度控制和工期保证措施方案进行评审：①施工整体进度计划；②进度控制；③工期保证措施；④明确可行的节点目标；⑤制定相应的进度横道图；⑥劳动力投入计划满足施工进度要求； </w:t>
            </w:r>
          </w:p>
          <w:p w14:paraId="1530A266">
            <w:pPr>
              <w:keepNext w:val="0"/>
              <w:keepLines w:val="0"/>
              <w:pageBreakBefore w:val="0"/>
              <w:widowControl w:val="0"/>
              <w:tabs>
                <w:tab w:val="left" w:pos="2869"/>
                <w:tab w:val="left" w:pos="3010"/>
              </w:tabs>
              <w:kinsoku/>
              <w:wordWrap/>
              <w:overflowPunct/>
              <w:topLinePunct w:val="0"/>
              <w:autoSpaceDE/>
              <w:autoSpaceDN/>
              <w:bidi w:val="0"/>
              <w:adjustRightInd/>
              <w:snapToGrid/>
              <w:spacing w:line="300" w:lineRule="exact"/>
              <w:ind w:firstLine="0"/>
              <w:textAlignment w:val="auto"/>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sz w:val="22"/>
                <w:szCs w:val="22"/>
                <w:lang w:val="en-US" w:eastAsia="en-US" w:bidi="ar-SA"/>
              </w:rPr>
              <w:t>每缺少一项内容的扣</w:t>
            </w:r>
            <w:r>
              <w:rPr>
                <w:rFonts w:hint="eastAsia" w:asciiTheme="minorEastAsia" w:hAnsiTheme="minorEastAsia" w:eastAsiaTheme="minorEastAsia" w:cstheme="minorEastAsia"/>
                <w:sz w:val="22"/>
                <w:szCs w:val="22"/>
                <w:lang w:val="en-US" w:eastAsia="zh-CN" w:bidi="ar-SA"/>
              </w:rPr>
              <w:t>2</w:t>
            </w:r>
            <w:r>
              <w:rPr>
                <w:rFonts w:hint="eastAsia" w:asciiTheme="minorEastAsia" w:hAnsiTheme="minorEastAsia" w:eastAsiaTheme="minorEastAsia" w:cstheme="minorEastAsia"/>
                <w:sz w:val="22"/>
                <w:szCs w:val="22"/>
                <w:lang w:val="en-US" w:eastAsia="en-US" w:bidi="ar-SA"/>
              </w:rPr>
              <w:t>分</w:t>
            </w:r>
            <w:r>
              <w:rPr>
                <w:rFonts w:hint="eastAsia" w:asciiTheme="minorEastAsia" w:hAnsiTheme="minorEastAsia" w:eastAsiaTheme="minorEastAsia" w:cstheme="minorEastAsia"/>
                <w:sz w:val="22"/>
                <w:szCs w:val="22"/>
                <w:lang w:val="en-US" w:eastAsia="zh-CN" w:bidi="ar-SA"/>
              </w:rPr>
              <w:t>，</w:t>
            </w:r>
            <w:r>
              <w:rPr>
                <w:rFonts w:hint="eastAsia" w:asciiTheme="minorEastAsia" w:hAnsiTheme="minorEastAsia" w:eastAsiaTheme="minorEastAsia" w:cstheme="minorEastAsia"/>
                <w:sz w:val="22"/>
                <w:szCs w:val="22"/>
                <w:lang w:val="en-US" w:eastAsia="en-US" w:bidi="ar-SA"/>
              </w:rPr>
              <w:t>每有一处存在</w:t>
            </w:r>
            <w:r>
              <w:rPr>
                <w:rFonts w:hint="eastAsia" w:asciiTheme="minorEastAsia" w:hAnsiTheme="minorEastAsia" w:eastAsiaTheme="minorEastAsia" w:cstheme="minorEastAsia"/>
                <w:sz w:val="22"/>
                <w:szCs w:val="22"/>
                <w:lang w:val="en-US" w:eastAsia="zh-CN" w:bidi="ar-SA"/>
              </w:rPr>
              <w:t>内容缺陷</w:t>
            </w:r>
            <w:r>
              <w:rPr>
                <w:rFonts w:hint="eastAsia" w:asciiTheme="minorEastAsia" w:hAnsiTheme="minorEastAsia" w:eastAsiaTheme="minorEastAsia" w:cstheme="minorEastAsia"/>
                <w:sz w:val="22"/>
                <w:szCs w:val="22"/>
                <w:lang w:val="en-US" w:eastAsia="en-US" w:bidi="ar-SA"/>
              </w:rPr>
              <w:t>扣</w:t>
            </w:r>
            <w:r>
              <w:rPr>
                <w:rFonts w:hint="eastAsia" w:asciiTheme="minorEastAsia" w:hAnsiTheme="minorEastAsia" w:eastAsiaTheme="minorEastAsia" w:cstheme="minorEastAsia"/>
                <w:sz w:val="22"/>
                <w:szCs w:val="22"/>
                <w:lang w:val="en-US" w:eastAsia="zh-CN" w:bidi="ar-SA"/>
              </w:rPr>
              <w:t>1</w:t>
            </w:r>
            <w:r>
              <w:rPr>
                <w:rFonts w:hint="eastAsia" w:asciiTheme="minorEastAsia" w:hAnsiTheme="minorEastAsia" w:eastAsiaTheme="minorEastAsia" w:cstheme="minorEastAsia"/>
                <w:sz w:val="22"/>
                <w:szCs w:val="22"/>
                <w:lang w:val="en-US" w:eastAsia="en-US" w:bidi="ar-SA"/>
              </w:rPr>
              <w:t>分，扣完为止。</w:t>
            </w:r>
          </w:p>
          <w:p w14:paraId="2E135A8A">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szCs w:val="22"/>
                <w:lang w:val="en-US" w:eastAsia="zh-CN" w:bidi="ar-SA"/>
              </w:rPr>
              <w:t>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c>
          <w:tcPr>
            <w:tcW w:w="792" w:type="dxa"/>
            <w:tcBorders>
              <w:top w:val="single" w:color="auto" w:sz="4" w:space="0"/>
            </w:tcBorders>
            <w:vAlign w:val="top"/>
          </w:tcPr>
          <w:p w14:paraId="75AD99C7">
            <w:pPr>
              <w:pStyle w:val="55"/>
              <w:spacing w:before="34" w:line="235" w:lineRule="auto"/>
              <w:ind w:left="16" w:firstLine="3"/>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w:t>
            </w:r>
          </w:p>
        </w:tc>
      </w:tr>
      <w:tr w14:paraId="2AF37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996" w:type="dxa"/>
            <w:vMerge w:val="continue"/>
            <w:tcBorders>
              <w:left w:val="single" w:color="auto" w:sz="4" w:space="0"/>
              <w:right w:val="single" w:color="auto" w:sz="4" w:space="0"/>
            </w:tcBorders>
            <w:vAlign w:val="top"/>
          </w:tcPr>
          <w:p w14:paraId="10CD046D">
            <w:pPr>
              <w:pStyle w:val="55"/>
              <w:spacing w:before="34" w:line="235" w:lineRule="auto"/>
              <w:ind w:left="16" w:firstLine="3"/>
              <w:jc w:val="both"/>
              <w:rPr>
                <w:rFonts w:hint="eastAsia" w:asciiTheme="minorEastAsia" w:hAnsiTheme="minorEastAsia" w:eastAsiaTheme="minorEastAsia" w:cstheme="minorEastAsia"/>
              </w:rPr>
            </w:pPr>
          </w:p>
        </w:tc>
        <w:tc>
          <w:tcPr>
            <w:tcW w:w="7964" w:type="dxa"/>
            <w:tcBorders>
              <w:top w:val="single" w:color="auto" w:sz="4" w:space="0"/>
              <w:right w:val="single" w:color="auto" w:sz="4" w:space="0"/>
            </w:tcBorders>
            <w:vAlign w:val="top"/>
          </w:tcPr>
          <w:p w14:paraId="65A53C45">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质量管理及质量保证措施：</w:t>
            </w:r>
          </w:p>
          <w:p w14:paraId="5AE4FCA0">
            <w:pPr>
              <w:pStyle w:val="55"/>
              <w:spacing w:before="34" w:line="235" w:lineRule="auto"/>
              <w:ind w:left="16" w:firstLine="3"/>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针对工程的质量管理及质量保证措施方面的评审：施工质量管理及保证方案含：①保证质量的施工要素控制措施方案；②质量控制的管理制度；③质量管理的组织措施，④对主要工序、施工工艺、材料验收等的质量控制方案。 </w:t>
            </w:r>
          </w:p>
          <w:p w14:paraId="2E641959">
            <w:pPr>
              <w:keepNext w:val="0"/>
              <w:keepLines w:val="0"/>
              <w:pageBreakBefore w:val="0"/>
              <w:widowControl w:val="0"/>
              <w:tabs>
                <w:tab w:val="left" w:pos="2869"/>
                <w:tab w:val="left" w:pos="3010"/>
              </w:tabs>
              <w:kinsoku/>
              <w:wordWrap/>
              <w:overflowPunct/>
              <w:topLinePunct w:val="0"/>
              <w:autoSpaceDE/>
              <w:autoSpaceDN/>
              <w:bidi w:val="0"/>
              <w:adjustRightInd/>
              <w:snapToGrid/>
              <w:spacing w:line="300" w:lineRule="exact"/>
              <w:ind w:firstLine="0"/>
              <w:textAlignment w:val="auto"/>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sz w:val="22"/>
                <w:szCs w:val="22"/>
                <w:lang w:val="en-US" w:eastAsia="en-US" w:bidi="ar-SA"/>
              </w:rPr>
              <w:t>每缺少一项内容的扣</w:t>
            </w:r>
            <w:r>
              <w:rPr>
                <w:rFonts w:hint="eastAsia" w:asciiTheme="minorEastAsia" w:hAnsiTheme="minorEastAsia" w:eastAsiaTheme="minorEastAsia" w:cstheme="minorEastAsia"/>
                <w:sz w:val="22"/>
                <w:szCs w:val="22"/>
                <w:lang w:val="en-US" w:eastAsia="zh-CN" w:bidi="ar-SA"/>
              </w:rPr>
              <w:t>2</w:t>
            </w:r>
            <w:r>
              <w:rPr>
                <w:rFonts w:hint="eastAsia" w:asciiTheme="minorEastAsia" w:hAnsiTheme="minorEastAsia" w:eastAsiaTheme="minorEastAsia" w:cstheme="minorEastAsia"/>
                <w:sz w:val="22"/>
                <w:szCs w:val="22"/>
                <w:lang w:val="en-US" w:eastAsia="en-US" w:bidi="ar-SA"/>
              </w:rPr>
              <w:t>分</w:t>
            </w:r>
            <w:r>
              <w:rPr>
                <w:rFonts w:hint="eastAsia" w:asciiTheme="minorEastAsia" w:hAnsiTheme="minorEastAsia" w:eastAsiaTheme="minorEastAsia" w:cstheme="minorEastAsia"/>
                <w:sz w:val="22"/>
                <w:szCs w:val="22"/>
                <w:lang w:val="en-US" w:eastAsia="zh-CN" w:bidi="ar-SA"/>
              </w:rPr>
              <w:t>，</w:t>
            </w:r>
            <w:r>
              <w:rPr>
                <w:rFonts w:hint="eastAsia" w:asciiTheme="minorEastAsia" w:hAnsiTheme="minorEastAsia" w:eastAsiaTheme="minorEastAsia" w:cstheme="minorEastAsia"/>
                <w:sz w:val="22"/>
                <w:szCs w:val="22"/>
                <w:lang w:val="en-US" w:eastAsia="en-US" w:bidi="ar-SA"/>
              </w:rPr>
              <w:t>每有一处存在</w:t>
            </w:r>
            <w:r>
              <w:rPr>
                <w:rFonts w:hint="eastAsia" w:asciiTheme="minorEastAsia" w:hAnsiTheme="minorEastAsia" w:eastAsiaTheme="minorEastAsia" w:cstheme="minorEastAsia"/>
                <w:sz w:val="22"/>
                <w:szCs w:val="22"/>
                <w:lang w:val="en-US" w:eastAsia="zh-CN" w:bidi="ar-SA"/>
              </w:rPr>
              <w:t>内容缺陷</w:t>
            </w:r>
            <w:r>
              <w:rPr>
                <w:rFonts w:hint="eastAsia" w:asciiTheme="minorEastAsia" w:hAnsiTheme="minorEastAsia" w:eastAsiaTheme="minorEastAsia" w:cstheme="minorEastAsia"/>
                <w:sz w:val="22"/>
                <w:szCs w:val="22"/>
                <w:lang w:val="en-US" w:eastAsia="en-US" w:bidi="ar-SA"/>
              </w:rPr>
              <w:t>扣</w:t>
            </w:r>
            <w:r>
              <w:rPr>
                <w:rFonts w:hint="eastAsia" w:asciiTheme="minorEastAsia" w:hAnsiTheme="minorEastAsia" w:eastAsiaTheme="minorEastAsia" w:cstheme="minorEastAsia"/>
                <w:sz w:val="22"/>
                <w:szCs w:val="22"/>
                <w:lang w:val="en-US" w:eastAsia="zh-CN" w:bidi="ar-SA"/>
              </w:rPr>
              <w:t>1</w:t>
            </w:r>
            <w:r>
              <w:rPr>
                <w:rFonts w:hint="eastAsia" w:asciiTheme="minorEastAsia" w:hAnsiTheme="minorEastAsia" w:eastAsiaTheme="minorEastAsia" w:cstheme="minorEastAsia"/>
                <w:sz w:val="22"/>
                <w:szCs w:val="22"/>
                <w:lang w:val="en-US" w:eastAsia="en-US" w:bidi="ar-SA"/>
              </w:rPr>
              <w:t>分，扣完为止。</w:t>
            </w:r>
          </w:p>
          <w:p w14:paraId="17F94D27">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szCs w:val="22"/>
                <w:lang w:val="en-US" w:eastAsia="zh-CN" w:bidi="ar-SA"/>
              </w:rPr>
              <w:t>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c>
          <w:tcPr>
            <w:tcW w:w="792" w:type="dxa"/>
            <w:tcBorders>
              <w:left w:val="single" w:color="auto" w:sz="4" w:space="0"/>
            </w:tcBorders>
            <w:vAlign w:val="top"/>
          </w:tcPr>
          <w:p w14:paraId="760E7731">
            <w:pPr>
              <w:pStyle w:val="55"/>
              <w:spacing w:before="34" w:line="235" w:lineRule="auto"/>
              <w:ind w:left="16" w:firstLine="3"/>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r>
      <w:tr w14:paraId="3C22A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996" w:type="dxa"/>
            <w:vMerge w:val="continue"/>
            <w:tcBorders>
              <w:left w:val="single" w:color="auto" w:sz="4" w:space="0"/>
              <w:right w:val="single" w:color="auto" w:sz="4" w:space="0"/>
            </w:tcBorders>
            <w:vAlign w:val="top"/>
          </w:tcPr>
          <w:p w14:paraId="55964D3B">
            <w:pPr>
              <w:pStyle w:val="55"/>
              <w:spacing w:before="34" w:line="235" w:lineRule="auto"/>
              <w:ind w:left="16" w:firstLine="3"/>
              <w:jc w:val="both"/>
              <w:rPr>
                <w:rFonts w:hint="eastAsia" w:asciiTheme="minorEastAsia" w:hAnsiTheme="minorEastAsia" w:eastAsiaTheme="minorEastAsia" w:cstheme="minorEastAsia"/>
              </w:rPr>
            </w:pPr>
          </w:p>
        </w:tc>
        <w:tc>
          <w:tcPr>
            <w:tcW w:w="7964" w:type="dxa"/>
            <w:tcBorders>
              <w:right w:val="single" w:color="auto" w:sz="4" w:space="0"/>
            </w:tcBorders>
            <w:vAlign w:val="top"/>
          </w:tcPr>
          <w:p w14:paraId="26B73714">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施工安全及文明施工措施：针对工程施工安全及文明施工措施的评审： </w:t>
            </w:r>
          </w:p>
          <w:p w14:paraId="694D12B4">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（1）施工安全方面：①安全保障组织管理机构；②安全生产管理措施；③安全检查及安全防护措施；④安全生产责任制健全、职责明确。 </w:t>
            </w:r>
          </w:p>
          <w:p w14:paraId="56DE1913">
            <w:pPr>
              <w:keepNext w:val="0"/>
              <w:keepLines w:val="0"/>
              <w:pageBreakBefore w:val="0"/>
              <w:widowControl w:val="0"/>
              <w:tabs>
                <w:tab w:val="left" w:pos="2869"/>
                <w:tab w:val="left" w:pos="3010"/>
              </w:tabs>
              <w:kinsoku/>
              <w:wordWrap/>
              <w:overflowPunct/>
              <w:topLinePunct w:val="0"/>
              <w:autoSpaceDE/>
              <w:autoSpaceDN/>
              <w:bidi w:val="0"/>
              <w:adjustRightInd/>
              <w:snapToGrid/>
              <w:spacing w:line="300" w:lineRule="exact"/>
              <w:ind w:firstLine="0"/>
              <w:textAlignment w:val="auto"/>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lang w:val="en-US" w:eastAsia="zh-CN"/>
              </w:rPr>
              <w:t>（2）文明施工方面：①文明施工组织管理措施；②文明施工现场管理；</w:t>
            </w:r>
            <w:r>
              <w:rPr>
                <w:rFonts w:hint="eastAsia" w:asciiTheme="minorEastAsia" w:hAnsiTheme="minorEastAsia" w:eastAsiaTheme="minorEastAsia" w:cstheme="minorEastAsia"/>
                <w:sz w:val="22"/>
                <w:szCs w:val="22"/>
                <w:lang w:val="en-US" w:eastAsia="en-US" w:bidi="ar-SA"/>
              </w:rPr>
              <w:t>每缺少一项内容的扣</w:t>
            </w:r>
            <w:r>
              <w:rPr>
                <w:rFonts w:hint="eastAsia" w:asciiTheme="minorEastAsia" w:hAnsiTheme="minorEastAsia" w:eastAsiaTheme="minorEastAsia" w:cstheme="minorEastAsia"/>
                <w:sz w:val="22"/>
                <w:szCs w:val="22"/>
                <w:lang w:val="en-US" w:eastAsia="zh-CN" w:bidi="ar-SA"/>
              </w:rPr>
              <w:t>8</w:t>
            </w:r>
            <w:r>
              <w:rPr>
                <w:rFonts w:hint="eastAsia" w:asciiTheme="minorEastAsia" w:hAnsiTheme="minorEastAsia" w:eastAsiaTheme="minorEastAsia" w:cstheme="minorEastAsia"/>
                <w:sz w:val="22"/>
                <w:szCs w:val="22"/>
                <w:lang w:val="en-US" w:eastAsia="en-US" w:bidi="ar-SA"/>
              </w:rPr>
              <w:t>分</w:t>
            </w:r>
            <w:r>
              <w:rPr>
                <w:rFonts w:hint="eastAsia" w:asciiTheme="minorEastAsia" w:hAnsiTheme="minorEastAsia" w:eastAsiaTheme="minorEastAsia" w:cstheme="minorEastAsia"/>
                <w:sz w:val="22"/>
                <w:szCs w:val="22"/>
                <w:lang w:val="en-US" w:eastAsia="zh-CN" w:bidi="ar-SA"/>
              </w:rPr>
              <w:t>，</w:t>
            </w:r>
            <w:r>
              <w:rPr>
                <w:rFonts w:hint="eastAsia" w:asciiTheme="minorEastAsia" w:hAnsiTheme="minorEastAsia" w:eastAsiaTheme="minorEastAsia" w:cstheme="minorEastAsia"/>
                <w:sz w:val="22"/>
                <w:szCs w:val="22"/>
                <w:lang w:val="en-US" w:eastAsia="en-US" w:bidi="ar-SA"/>
              </w:rPr>
              <w:t>每有一处存在</w:t>
            </w:r>
            <w:r>
              <w:rPr>
                <w:rFonts w:hint="eastAsia" w:asciiTheme="minorEastAsia" w:hAnsiTheme="minorEastAsia" w:eastAsiaTheme="minorEastAsia" w:cstheme="minorEastAsia"/>
                <w:sz w:val="22"/>
                <w:szCs w:val="22"/>
                <w:lang w:val="en-US" w:eastAsia="zh-CN" w:bidi="ar-SA"/>
              </w:rPr>
              <w:t>内容缺陷</w:t>
            </w:r>
            <w:r>
              <w:rPr>
                <w:rFonts w:hint="eastAsia" w:asciiTheme="minorEastAsia" w:hAnsiTheme="minorEastAsia" w:eastAsiaTheme="minorEastAsia" w:cstheme="minorEastAsia"/>
                <w:sz w:val="22"/>
                <w:szCs w:val="22"/>
                <w:lang w:val="en-US" w:eastAsia="en-US" w:bidi="ar-SA"/>
              </w:rPr>
              <w:t>扣</w:t>
            </w:r>
            <w:r>
              <w:rPr>
                <w:rFonts w:hint="eastAsia" w:asciiTheme="minorEastAsia" w:hAnsiTheme="minorEastAsia" w:eastAsiaTheme="minorEastAsia" w:cstheme="minorEastAsia"/>
                <w:sz w:val="22"/>
                <w:szCs w:val="22"/>
                <w:lang w:val="en-US" w:eastAsia="zh-CN" w:bidi="ar-SA"/>
              </w:rPr>
              <w:t>1</w:t>
            </w:r>
            <w:r>
              <w:rPr>
                <w:rFonts w:hint="eastAsia" w:asciiTheme="minorEastAsia" w:hAnsiTheme="minorEastAsia" w:eastAsiaTheme="minorEastAsia" w:cstheme="minorEastAsia"/>
                <w:sz w:val="22"/>
                <w:szCs w:val="22"/>
                <w:lang w:val="en-US" w:eastAsia="en-US" w:bidi="ar-SA"/>
              </w:rPr>
              <w:t>分，扣完为止。</w:t>
            </w:r>
          </w:p>
          <w:p w14:paraId="1EFF954F">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szCs w:val="22"/>
                <w:lang w:val="en-US" w:eastAsia="zh-CN" w:bidi="ar-SA"/>
              </w:rPr>
              <w:t>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c>
          <w:tcPr>
            <w:tcW w:w="792" w:type="dxa"/>
            <w:tcBorders>
              <w:left w:val="single" w:color="auto" w:sz="4" w:space="0"/>
            </w:tcBorders>
            <w:vAlign w:val="top"/>
          </w:tcPr>
          <w:p w14:paraId="56C09AEF">
            <w:pPr>
              <w:pStyle w:val="55"/>
              <w:spacing w:before="34" w:line="235" w:lineRule="auto"/>
              <w:ind w:left="16" w:firstLine="3"/>
              <w:jc w:val="center"/>
              <w:rPr>
                <w:rFonts w:hint="eastAsia" w:asciiTheme="minorEastAsia" w:hAnsiTheme="minorEastAsia" w:eastAsiaTheme="minorEastAsia" w:cstheme="minorEastAsia"/>
              </w:rPr>
            </w:pPr>
          </w:p>
          <w:p w14:paraId="443A58B7">
            <w:pPr>
              <w:pStyle w:val="55"/>
              <w:spacing w:before="34" w:line="235" w:lineRule="auto"/>
              <w:ind w:left="16" w:firstLine="3"/>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8</w:t>
            </w:r>
          </w:p>
        </w:tc>
      </w:tr>
      <w:tr w14:paraId="656F3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6" w:type="dxa"/>
            <w:vMerge w:val="continue"/>
            <w:tcBorders>
              <w:left w:val="single" w:color="auto" w:sz="4" w:space="0"/>
              <w:right w:val="single" w:color="auto" w:sz="4" w:space="0"/>
            </w:tcBorders>
            <w:vAlign w:val="top"/>
          </w:tcPr>
          <w:p w14:paraId="75641B40">
            <w:pPr>
              <w:pStyle w:val="55"/>
              <w:spacing w:before="34" w:line="235" w:lineRule="auto"/>
              <w:ind w:left="16" w:firstLine="3"/>
              <w:jc w:val="both"/>
              <w:rPr>
                <w:rFonts w:hint="eastAsia" w:asciiTheme="minorEastAsia" w:hAnsiTheme="minorEastAsia" w:eastAsiaTheme="minorEastAsia" w:cstheme="minorEastAsia"/>
              </w:rPr>
            </w:pPr>
          </w:p>
        </w:tc>
        <w:tc>
          <w:tcPr>
            <w:tcW w:w="7964" w:type="dxa"/>
            <w:tcBorders>
              <w:right w:val="single" w:color="auto" w:sz="4" w:space="0"/>
            </w:tcBorders>
            <w:vAlign w:val="top"/>
          </w:tcPr>
          <w:p w14:paraId="228D237E">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材料需用量计划：根据材料需求计划的可操作性进行评审：①材料投入计划与施工部署、②材料投入量与施工方法及进度计划能够相互呼应并较好满足施工需要。 </w:t>
            </w:r>
          </w:p>
          <w:p w14:paraId="62B7BABD">
            <w:pPr>
              <w:keepNext w:val="0"/>
              <w:keepLines w:val="0"/>
              <w:pageBreakBefore w:val="0"/>
              <w:widowControl w:val="0"/>
              <w:tabs>
                <w:tab w:val="left" w:pos="2869"/>
                <w:tab w:val="left" w:pos="3010"/>
              </w:tabs>
              <w:kinsoku/>
              <w:wordWrap/>
              <w:overflowPunct/>
              <w:topLinePunct w:val="0"/>
              <w:autoSpaceDE/>
              <w:autoSpaceDN/>
              <w:bidi w:val="0"/>
              <w:adjustRightInd/>
              <w:snapToGrid/>
              <w:spacing w:line="300" w:lineRule="exact"/>
              <w:ind w:firstLine="0"/>
              <w:textAlignment w:val="auto"/>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sz w:val="22"/>
                <w:szCs w:val="22"/>
                <w:lang w:val="en-US" w:eastAsia="en-US" w:bidi="ar-SA"/>
              </w:rPr>
              <w:t>每缺少一项内容的扣</w:t>
            </w:r>
            <w:r>
              <w:rPr>
                <w:rFonts w:hint="eastAsia" w:asciiTheme="minorEastAsia" w:hAnsiTheme="minorEastAsia" w:eastAsiaTheme="minorEastAsia" w:cstheme="minorEastAsia"/>
                <w:sz w:val="22"/>
                <w:szCs w:val="22"/>
                <w:lang w:val="en-US" w:eastAsia="zh-CN" w:bidi="ar-SA"/>
              </w:rPr>
              <w:t>4</w:t>
            </w:r>
            <w:r>
              <w:rPr>
                <w:rFonts w:hint="eastAsia" w:asciiTheme="minorEastAsia" w:hAnsiTheme="minorEastAsia" w:eastAsiaTheme="minorEastAsia" w:cstheme="minorEastAsia"/>
                <w:sz w:val="22"/>
                <w:szCs w:val="22"/>
                <w:lang w:val="en-US" w:eastAsia="en-US" w:bidi="ar-SA"/>
              </w:rPr>
              <w:t>分</w:t>
            </w:r>
            <w:r>
              <w:rPr>
                <w:rFonts w:hint="eastAsia" w:asciiTheme="minorEastAsia" w:hAnsiTheme="minorEastAsia" w:eastAsiaTheme="minorEastAsia" w:cstheme="minorEastAsia"/>
                <w:sz w:val="22"/>
                <w:szCs w:val="22"/>
                <w:lang w:val="en-US" w:eastAsia="zh-CN" w:bidi="ar-SA"/>
              </w:rPr>
              <w:t>，</w:t>
            </w:r>
            <w:r>
              <w:rPr>
                <w:rFonts w:hint="eastAsia" w:asciiTheme="minorEastAsia" w:hAnsiTheme="minorEastAsia" w:eastAsiaTheme="minorEastAsia" w:cstheme="minorEastAsia"/>
                <w:sz w:val="22"/>
                <w:szCs w:val="22"/>
                <w:lang w:val="en-US" w:eastAsia="en-US" w:bidi="ar-SA"/>
              </w:rPr>
              <w:t>每有一处存在</w:t>
            </w:r>
            <w:r>
              <w:rPr>
                <w:rFonts w:hint="eastAsia" w:asciiTheme="minorEastAsia" w:hAnsiTheme="minorEastAsia" w:eastAsiaTheme="minorEastAsia" w:cstheme="minorEastAsia"/>
                <w:sz w:val="22"/>
                <w:szCs w:val="22"/>
                <w:lang w:val="en-US" w:eastAsia="zh-CN" w:bidi="ar-SA"/>
              </w:rPr>
              <w:t>内容缺陷</w:t>
            </w:r>
            <w:r>
              <w:rPr>
                <w:rFonts w:hint="eastAsia" w:asciiTheme="minorEastAsia" w:hAnsiTheme="minorEastAsia" w:eastAsiaTheme="minorEastAsia" w:cstheme="minorEastAsia"/>
                <w:sz w:val="22"/>
                <w:szCs w:val="22"/>
                <w:lang w:val="en-US" w:eastAsia="en-US" w:bidi="ar-SA"/>
              </w:rPr>
              <w:t>扣</w:t>
            </w:r>
            <w:r>
              <w:rPr>
                <w:rFonts w:hint="eastAsia" w:asciiTheme="minorEastAsia" w:hAnsiTheme="minorEastAsia" w:eastAsiaTheme="minorEastAsia" w:cstheme="minorEastAsia"/>
                <w:sz w:val="22"/>
                <w:szCs w:val="22"/>
                <w:lang w:val="en-US" w:eastAsia="zh-CN" w:bidi="ar-SA"/>
              </w:rPr>
              <w:t>2</w:t>
            </w:r>
            <w:r>
              <w:rPr>
                <w:rFonts w:hint="eastAsia" w:asciiTheme="minorEastAsia" w:hAnsiTheme="minorEastAsia" w:eastAsiaTheme="minorEastAsia" w:cstheme="minorEastAsia"/>
                <w:sz w:val="22"/>
                <w:szCs w:val="22"/>
                <w:lang w:val="en-US" w:eastAsia="en-US" w:bidi="ar-SA"/>
              </w:rPr>
              <w:t>分，扣完为止。</w:t>
            </w:r>
          </w:p>
          <w:p w14:paraId="2B048433">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szCs w:val="22"/>
                <w:lang w:val="en-US" w:eastAsia="zh-CN" w:bidi="ar-SA"/>
              </w:rPr>
              <w:t>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c>
          <w:tcPr>
            <w:tcW w:w="792" w:type="dxa"/>
            <w:tcBorders>
              <w:left w:val="single" w:color="auto" w:sz="4" w:space="0"/>
            </w:tcBorders>
            <w:vAlign w:val="top"/>
          </w:tcPr>
          <w:p w14:paraId="0B1FFD9C">
            <w:pPr>
              <w:pStyle w:val="55"/>
              <w:spacing w:before="34" w:line="235" w:lineRule="auto"/>
              <w:ind w:left="16" w:firstLine="3"/>
              <w:jc w:val="center"/>
              <w:rPr>
                <w:rFonts w:hint="eastAsia" w:asciiTheme="minorEastAsia" w:hAnsiTheme="minorEastAsia" w:eastAsiaTheme="minorEastAsia" w:cstheme="minorEastAsia"/>
              </w:rPr>
            </w:pPr>
          </w:p>
          <w:p w14:paraId="03AAC346">
            <w:pPr>
              <w:pStyle w:val="55"/>
              <w:spacing w:before="34" w:line="235" w:lineRule="auto"/>
              <w:ind w:left="16" w:firstLine="3"/>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8</w:t>
            </w:r>
          </w:p>
        </w:tc>
      </w:tr>
    </w:tbl>
    <w:p w14:paraId="40C815D3">
      <w:pPr>
        <w:pStyle w:val="51"/>
        <w:shd w:val="clear" w:color="auto" w:fill="FFFFFF"/>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A21A6C5">
      <w:pPr>
        <w:spacing w:line="53" w:lineRule="auto"/>
        <w:rPr>
          <w:rFonts w:hint="eastAsia" w:asciiTheme="minorEastAsia" w:hAnsiTheme="minorEastAsia" w:eastAsiaTheme="minorEastAsia" w:cstheme="minorEastAsia"/>
          <w:sz w:val="2"/>
        </w:rPr>
      </w:pPr>
    </w:p>
    <w:p w14:paraId="76E4AB94">
      <w:pPr>
        <w:pStyle w:val="55"/>
        <w:spacing w:before="34" w:line="235" w:lineRule="auto"/>
        <w:ind w:left="16" w:firstLine="3"/>
        <w:jc w:val="both"/>
        <w:rPr>
          <w:rFonts w:hint="eastAsia" w:asciiTheme="minorEastAsia" w:hAnsiTheme="minorEastAsia" w:eastAsiaTheme="minorEastAsia" w:cstheme="minorEastAsia"/>
        </w:rPr>
        <w:sectPr>
          <w:footerReference r:id="rId13" w:type="default"/>
          <w:pgSz w:w="11910" w:h="16840"/>
          <w:pgMar w:top="1134" w:right="1016" w:bottom="1134" w:left="958" w:header="0" w:footer="1041" w:gutter="0"/>
          <w:pgNumType w:fmt="decimal"/>
          <w:cols w:space="0" w:num="1"/>
          <w:rtlGutter w:val="0"/>
          <w:docGrid w:linePitch="0" w:charSpace="0"/>
        </w:sectPr>
      </w:pPr>
    </w:p>
    <w:p w14:paraId="383304FC">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bookmarkStart w:id="7" w:name="_Toc26743_WPSOffice_Level1"/>
      <w:r>
        <w:rPr>
          <w:rFonts w:hint="eastAsia" w:ascii="微软雅黑" w:hAnsi="微软雅黑" w:eastAsia="微软雅黑" w:cs="微软雅黑"/>
          <w:b/>
          <w:bCs/>
          <w:color w:val="auto"/>
          <w:sz w:val="32"/>
          <w:szCs w:val="32"/>
          <w:highlight w:val="none"/>
        </w:rPr>
        <w:t>第三部分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lang w:val="en-US" w:eastAsia="zh-CN"/>
        </w:rPr>
        <w:t>采购项目需求</w:t>
      </w:r>
      <w:bookmarkEnd w:id="7"/>
    </w:p>
    <w:p w14:paraId="7248BC7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采购项目需求</w:t>
      </w:r>
      <w:r>
        <w:rPr>
          <w:rFonts w:hint="eastAsia" w:ascii="宋体" w:hAnsi="宋体" w:eastAsia="宋体" w:cs="宋体"/>
          <w:b/>
          <w:bCs/>
          <w:color w:val="auto"/>
          <w:sz w:val="24"/>
          <w:szCs w:val="24"/>
          <w:highlight w:val="none"/>
        </w:rPr>
        <w:t>中标注“★部分”条款为实质性条款，供应商如在任何一条负偏离则导致响应无效。</w:t>
      </w:r>
      <w:r>
        <w:rPr>
          <w:rFonts w:hint="eastAsia" w:ascii="宋体" w:hAnsi="宋体" w:eastAsia="宋体" w:cs="宋体"/>
          <w:color w:val="auto"/>
          <w:sz w:val="24"/>
          <w:szCs w:val="24"/>
          <w:highlight w:val="none"/>
        </w:rPr>
        <w:t xml:space="preserve"> </w:t>
      </w:r>
    </w:p>
    <w:p w14:paraId="65F9148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p>
    <w:p w14:paraId="644C297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I 商务要求</w:t>
      </w:r>
    </w:p>
    <w:p w14:paraId="269B178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20"/>
        <w:tblW w:w="9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1471"/>
        <w:gridCol w:w="7549"/>
      </w:tblGrid>
      <w:tr w14:paraId="5107A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3E9CA0C0">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序号 </w:t>
            </w:r>
          </w:p>
        </w:tc>
        <w:tc>
          <w:tcPr>
            <w:tcW w:w="1471" w:type="dxa"/>
            <w:noWrap w:val="0"/>
            <w:vAlign w:val="top"/>
          </w:tcPr>
          <w:p w14:paraId="4A495FEB">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条款名称 </w:t>
            </w:r>
          </w:p>
        </w:tc>
        <w:tc>
          <w:tcPr>
            <w:tcW w:w="7549" w:type="dxa"/>
            <w:noWrap w:val="0"/>
            <w:vAlign w:val="top"/>
          </w:tcPr>
          <w:p w14:paraId="5E60575B">
            <w:pPr>
              <w:keepNext w:val="0"/>
              <w:keepLines w:val="0"/>
              <w:pageBreakBefore w:val="0"/>
              <w:widowControl w:val="0"/>
              <w:kinsoku/>
              <w:wordWrap/>
              <w:overflowPunct/>
              <w:topLinePunct w:val="0"/>
              <w:autoSpaceDE w:val="0"/>
              <w:autoSpaceDN w:val="0"/>
              <w:bidi w:val="0"/>
              <w:adjustRightInd/>
              <w:snapToGrid/>
              <w:spacing w:line="440" w:lineRule="exact"/>
              <w:ind w:firstLine="2891" w:firstLineChars="1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说   明 </w:t>
            </w:r>
          </w:p>
        </w:tc>
      </w:tr>
      <w:tr w14:paraId="0978B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36" w:type="dxa"/>
            <w:noWrap w:val="0"/>
            <w:vAlign w:val="top"/>
          </w:tcPr>
          <w:p w14:paraId="50A0EC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  </w:t>
            </w:r>
          </w:p>
        </w:tc>
        <w:tc>
          <w:tcPr>
            <w:tcW w:w="1471" w:type="dxa"/>
            <w:noWrap w:val="0"/>
            <w:vAlign w:val="top"/>
          </w:tcPr>
          <w:p w14:paraId="4E97D10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资格要求</w:t>
            </w:r>
          </w:p>
        </w:tc>
        <w:tc>
          <w:tcPr>
            <w:tcW w:w="7549" w:type="dxa"/>
            <w:noWrap w:val="0"/>
            <w:vAlign w:val="top"/>
          </w:tcPr>
          <w:p w14:paraId="1074461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详见本项目</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第一部分</w:t>
            </w:r>
            <w:r>
              <w:rPr>
                <w:rFonts w:hint="eastAsia" w:cs="宋体"/>
                <w:color w:val="000000" w:themeColor="text1"/>
                <w:sz w:val="24"/>
                <w:szCs w:val="24"/>
                <w:highlight w:val="none"/>
                <w:lang w:val="en-US" w:eastAsia="zh-CN"/>
                <w14:textFill>
                  <w14:solidFill>
                    <w14:schemeClr w14:val="tx1"/>
                  </w14:solidFill>
                </w14:textFill>
              </w:rPr>
              <w:t>招标公告</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 xml:space="preserve">资格要求”。 </w:t>
            </w:r>
          </w:p>
        </w:tc>
      </w:tr>
      <w:tr w14:paraId="5DC95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4D6F21E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  </w:t>
            </w:r>
          </w:p>
        </w:tc>
        <w:tc>
          <w:tcPr>
            <w:tcW w:w="1471" w:type="dxa"/>
            <w:noWrap w:val="0"/>
            <w:vAlign w:val="top"/>
          </w:tcPr>
          <w:p w14:paraId="457341C7">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履约期限</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7549" w:type="dxa"/>
            <w:noWrap w:val="0"/>
            <w:vAlign w:val="top"/>
          </w:tcPr>
          <w:p w14:paraId="0C4CD0C6">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60日历天</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6580E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206C2EA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  </w:t>
            </w:r>
          </w:p>
        </w:tc>
        <w:tc>
          <w:tcPr>
            <w:tcW w:w="1471" w:type="dxa"/>
            <w:noWrap w:val="0"/>
            <w:vAlign w:val="top"/>
          </w:tcPr>
          <w:p w14:paraId="15D48332">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★质保期 </w:t>
            </w:r>
          </w:p>
        </w:tc>
        <w:tc>
          <w:tcPr>
            <w:tcW w:w="7549" w:type="dxa"/>
            <w:noWrap w:val="0"/>
            <w:vAlign w:val="top"/>
          </w:tcPr>
          <w:p w14:paraId="48846A2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eastAsia="宋体"/>
                <w:color w:val="000000" w:themeColor="text1"/>
                <w:sz w:val="24"/>
                <w:highlight w:val="none"/>
                <w:lang w:val="en-US" w:eastAsia="zh-CN"/>
                <w14:textFill>
                  <w14:solidFill>
                    <w14:schemeClr w14:val="tx1"/>
                  </w14:solidFill>
                </w14:textFill>
              </w:rPr>
              <w:t>符合国家规定</w:t>
            </w:r>
          </w:p>
        </w:tc>
      </w:tr>
      <w:tr w14:paraId="5601B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36" w:type="dxa"/>
            <w:noWrap w:val="0"/>
            <w:vAlign w:val="top"/>
          </w:tcPr>
          <w:p w14:paraId="44FDAD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  </w:t>
            </w:r>
          </w:p>
        </w:tc>
        <w:tc>
          <w:tcPr>
            <w:tcW w:w="1471" w:type="dxa"/>
            <w:noWrap w:val="0"/>
            <w:vAlign w:val="top"/>
          </w:tcPr>
          <w:p w14:paraId="64F9687C">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施工地点 </w:t>
            </w:r>
          </w:p>
        </w:tc>
        <w:tc>
          <w:tcPr>
            <w:tcW w:w="7549" w:type="dxa"/>
            <w:noWrap w:val="0"/>
            <w:vAlign w:val="top"/>
          </w:tcPr>
          <w:p w14:paraId="0545D581">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吐峪沟乡洋海夏村、吐峪沟乡苏贝希夏村</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6E5D9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347786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46C066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65FC22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005B17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A19B50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6909A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E4DD7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w:t>
            </w:r>
          </w:p>
        </w:tc>
        <w:tc>
          <w:tcPr>
            <w:tcW w:w="1471" w:type="dxa"/>
            <w:noWrap w:val="0"/>
            <w:vAlign w:val="top"/>
          </w:tcPr>
          <w:p w14:paraId="582142B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943A9D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AC922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5DF684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1B74E6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9E67A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D5DCE4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报价要求 </w:t>
            </w:r>
          </w:p>
        </w:tc>
        <w:tc>
          <w:tcPr>
            <w:tcW w:w="7549" w:type="dxa"/>
            <w:noWrap w:val="0"/>
            <w:vAlign w:val="top"/>
          </w:tcPr>
          <w:p w14:paraId="7CD461F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1、本项目的报价和结算支付均以人民币为货币单位。 </w:t>
            </w:r>
          </w:p>
          <w:p w14:paraId="66E4381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2、供应商报价应包括设计、采购、运输、安装、相关部门验收及保修期内的维护保养等所有含税费用，以及供应商认为必要的其他货物、材料、工程、服务。</w:t>
            </w:r>
          </w:p>
          <w:p w14:paraId="46BA5AB9">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3、如出现任何遗漏内容需产生额外费用，均由成交供应商自行承担，采购人将不再另支付任何费用。 </w:t>
            </w:r>
          </w:p>
          <w:p w14:paraId="18AD7D4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4、供应商的报价文件应包括单价和总价，总价是对采购的所有内容所计算的总价，为合同总价；其填报的明细单价则应是供应商对本采购项目所包含的具体的服务进行详细列示的计算单价。 </w:t>
            </w:r>
          </w:p>
          <w:p w14:paraId="6697E7E0">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5、供应商应被认为在填报报价之前，已经仔细阅读了本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文件的所有有关章节以及审查了所有相关资料，已确保本次</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的所有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范围内的各种价格风险均已包含在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 xml:space="preserve">的报价内。 </w:t>
            </w:r>
          </w:p>
        </w:tc>
      </w:tr>
      <w:tr w14:paraId="36814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jc w:val="center"/>
        </w:trPr>
        <w:tc>
          <w:tcPr>
            <w:tcW w:w="836" w:type="dxa"/>
            <w:noWrap w:val="0"/>
            <w:vAlign w:val="top"/>
          </w:tcPr>
          <w:p w14:paraId="3487F25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2ED936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640AA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823E1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426B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AF2D8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  </w:t>
            </w:r>
          </w:p>
        </w:tc>
        <w:tc>
          <w:tcPr>
            <w:tcW w:w="1471" w:type="dxa"/>
            <w:noWrap w:val="0"/>
            <w:vAlign w:val="top"/>
          </w:tcPr>
          <w:p w14:paraId="7189BB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CF0B7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44ED3FC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2EC8CE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4958ECF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质量要求和质量保修期 </w:t>
            </w:r>
          </w:p>
        </w:tc>
        <w:tc>
          <w:tcPr>
            <w:tcW w:w="7549" w:type="dxa"/>
            <w:noWrap w:val="0"/>
            <w:vAlign w:val="top"/>
          </w:tcPr>
          <w:p w14:paraId="6D93B0A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1、质量：符合国家有关施工质量验收标准的合格工程或合同约定。工程规范以现行的或承担具体施工任务期间国家和行业新颁布施行的规范、规程为准。</w:t>
            </w:r>
          </w:p>
          <w:p w14:paraId="176D159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2、材料、设备、施工须达到现行中华人民共和国以及省、自治区、直辖市或行业的工程建设标准、规范的要求及验收标准及有关规范为质量评定验收标准。 </w:t>
            </w:r>
          </w:p>
          <w:p w14:paraId="368F92B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3、质量保修期：</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国务院《建设工程质量管理条例》第四十</w:t>
            </w:r>
            <w:r>
              <w:rPr>
                <w:rFonts w:hint="eastAsia" w:ascii="宋体" w:hAnsi="宋体" w:eastAsia="宋体" w:cs="宋体"/>
                <w:color w:val="auto"/>
                <w:sz w:val="24"/>
                <w:szCs w:val="24"/>
                <w:highlight w:val="none"/>
                <w:lang w:val="en-US" w:eastAsia="zh-CN"/>
              </w:rPr>
              <w:t>条相关</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val="en-US" w:eastAsia="zh-CN"/>
              </w:rPr>
              <w:t>执行。</w:t>
            </w:r>
          </w:p>
          <w:p w14:paraId="2CCC521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4、质量保修响应时间：属于保修范围的项目，应在接到采购人通知后的 24 小时内内派人保修。如未能在规定时间内派人保修的，采购人可自行或委托第三方保修，费用由成交供应商支付。发生紧急抢修事故的，成交供应商在接到通知后，应立即到达事故现场抢修。</w:t>
            </w:r>
          </w:p>
        </w:tc>
      </w:tr>
      <w:tr w14:paraId="4D990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jc w:val="center"/>
        </w:trPr>
        <w:tc>
          <w:tcPr>
            <w:tcW w:w="836" w:type="dxa"/>
            <w:noWrap w:val="0"/>
            <w:vAlign w:val="top"/>
          </w:tcPr>
          <w:p w14:paraId="6D3909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A8DF6E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D1AB4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  </w:t>
            </w:r>
          </w:p>
        </w:tc>
        <w:tc>
          <w:tcPr>
            <w:tcW w:w="1471" w:type="dxa"/>
            <w:noWrap w:val="0"/>
            <w:vAlign w:val="top"/>
          </w:tcPr>
          <w:p w14:paraId="7F8951B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12526A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4CA4E9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验收 </w:t>
            </w:r>
          </w:p>
        </w:tc>
        <w:tc>
          <w:tcPr>
            <w:tcW w:w="7549" w:type="dxa"/>
            <w:noWrap w:val="0"/>
            <w:vAlign w:val="top"/>
          </w:tcPr>
          <w:p w14:paraId="5D73F038">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1、采购人在收到成交供应商提交的竣工报告后组织验收，并在验收后 14 天内予以认可或提出修改意见。验收不合格，成交供应商应按要求修改后再次提请采购人验收，并承担因自身原因造成修改的费用。 </w:t>
            </w:r>
          </w:p>
          <w:p w14:paraId="6FC06388">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2、采购人在收到成交供应商提交的竣工报告后不组织验收，或验收后不提出修改意见，视为竣工报告已被认可。 </w:t>
            </w:r>
          </w:p>
          <w:p w14:paraId="22342E49">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验收时如发现所交付的设备有短装、次品、损坏或其它不符合竞价文件规定之情形者，采购人应做出详尽的现场记录，或由用户和成交供应商双方签署备忘录。此现场记录或备忘录可用作补充、缺失和更换损坏部件的有效证据。由此产生的有关费用由成交供应商承担。 </w:t>
            </w:r>
          </w:p>
          <w:p w14:paraId="607B9113">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4、竣工报告被认可，则表明已完成合同工程，并视为通过竣工验收，采购人应向成交供应商颁发工程竣工验收证书。 </w:t>
            </w:r>
          </w:p>
        </w:tc>
      </w:tr>
      <w:tr w14:paraId="74DD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351A054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8</w:t>
            </w:r>
          </w:p>
        </w:tc>
        <w:tc>
          <w:tcPr>
            <w:tcW w:w="1471" w:type="dxa"/>
            <w:noWrap w:val="0"/>
            <w:vAlign w:val="top"/>
          </w:tcPr>
          <w:p w14:paraId="55F36840">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付款方式 </w:t>
            </w:r>
          </w:p>
        </w:tc>
        <w:tc>
          <w:tcPr>
            <w:tcW w:w="7549" w:type="dxa"/>
            <w:noWrap w:val="0"/>
            <w:vAlign w:val="top"/>
          </w:tcPr>
          <w:p w14:paraId="0057D07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详见施工合同</w:t>
            </w:r>
          </w:p>
        </w:tc>
      </w:tr>
      <w:tr w14:paraId="79E0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836" w:type="dxa"/>
            <w:noWrap w:val="0"/>
            <w:vAlign w:val="top"/>
          </w:tcPr>
          <w:p w14:paraId="235B64F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F6290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CE32A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DDE76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C9E7F3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9  </w:t>
            </w:r>
          </w:p>
        </w:tc>
        <w:tc>
          <w:tcPr>
            <w:tcW w:w="1471" w:type="dxa"/>
            <w:noWrap w:val="0"/>
            <w:vAlign w:val="top"/>
          </w:tcPr>
          <w:p w14:paraId="335B312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DA0C0C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7838BB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52C437D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7F80428">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项目要求 </w:t>
            </w:r>
          </w:p>
        </w:tc>
        <w:tc>
          <w:tcPr>
            <w:tcW w:w="7549" w:type="dxa"/>
            <w:noWrap w:val="0"/>
            <w:vAlign w:val="top"/>
          </w:tcPr>
          <w:p w14:paraId="762CDA8E">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1、成交人必须遵照采购人的管理及安排，按采购人的内容、质量、时间要求制作,所有的服务必须达到采购人的要求。 </w:t>
            </w:r>
          </w:p>
          <w:p w14:paraId="23B5784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2、项目建设工作完成后应按要求及时清理现场工作。 </w:t>
            </w:r>
          </w:p>
          <w:p w14:paraId="70A07424">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3、★成交供应商必须在施工过程中注意自身及周边安全，负责施工过程中的所有事故处理和费用。 </w:t>
            </w:r>
          </w:p>
          <w:p w14:paraId="1B2ED42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4、为便于与采购人就活动细节等方面进行适时沟通联系、及时处理和反馈,并使项目按质、按量、按时、有序实施，成交人应保证有固定专人负责联络工作。本项目必须有一个完善且固定的策划和组织管理团队，供应商须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 xml:space="preserve">中详细列出参与本项目的人员名单。 </w:t>
            </w:r>
          </w:p>
        </w:tc>
      </w:tr>
      <w:tr w14:paraId="1C32D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2" w:hRule="atLeast"/>
          <w:jc w:val="center"/>
        </w:trPr>
        <w:tc>
          <w:tcPr>
            <w:tcW w:w="836" w:type="dxa"/>
            <w:noWrap w:val="0"/>
            <w:vAlign w:val="top"/>
          </w:tcPr>
          <w:p w14:paraId="09A5DA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17E2D7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CF0E66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10.  </w:t>
            </w:r>
          </w:p>
        </w:tc>
        <w:tc>
          <w:tcPr>
            <w:tcW w:w="1471" w:type="dxa"/>
            <w:noWrap w:val="0"/>
            <w:vAlign w:val="top"/>
          </w:tcPr>
          <w:p w14:paraId="550304C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541FFF4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64BD97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其它要求 </w:t>
            </w:r>
          </w:p>
        </w:tc>
        <w:tc>
          <w:tcPr>
            <w:tcW w:w="7549" w:type="dxa"/>
            <w:noWrap w:val="0"/>
            <w:vAlign w:val="top"/>
          </w:tcPr>
          <w:p w14:paraId="21E4A9B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1、成交供应商施工前后，需负责原有地面拆旧，杂物清理及外运； </w:t>
            </w:r>
          </w:p>
          <w:p w14:paraId="3D01BA83">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2、成交供应商需严格按照采购人需求及设计效果图保质保量施工，不得偷工减料； </w:t>
            </w:r>
          </w:p>
          <w:p w14:paraId="32C0C8E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3、施工中使用的原材料必须为原厂全新材料，不得翻旧利旧，保证设计效果质量。 </w:t>
            </w:r>
          </w:p>
        </w:tc>
      </w:tr>
    </w:tbl>
    <w:p w14:paraId="4E179783">
      <w:pPr>
        <w:tabs>
          <w:tab w:val="left" w:pos="562"/>
        </w:tabs>
        <w:bidi w:val="0"/>
        <w:jc w:val="left"/>
        <w:rPr>
          <w:rFonts w:hint="eastAsia"/>
          <w:color w:val="auto"/>
          <w:highlight w:val="none"/>
          <w:lang w:val="zh-CN" w:eastAsia="zh-CN"/>
        </w:rPr>
        <w:sectPr>
          <w:footerReference r:id="rId14" w:type="default"/>
          <w:pgSz w:w="11910" w:h="16840"/>
          <w:pgMar w:top="1134" w:right="1531" w:bottom="1134" w:left="1531" w:header="670" w:footer="1041" w:gutter="0"/>
          <w:pgNumType w:fmt="decimal"/>
          <w:cols w:space="0" w:num="1"/>
          <w:rtlGutter w:val="0"/>
          <w:docGrid w:linePitch="1" w:charSpace="0"/>
        </w:sectPr>
      </w:pPr>
    </w:p>
    <w:p w14:paraId="42BE51B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II  技术要求 </w:t>
      </w:r>
    </w:p>
    <w:p w14:paraId="31853F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1095FD8">
      <w:pPr>
        <w:keepNext w:val="0"/>
        <w:keepLines w:val="0"/>
        <w:pageBreakBefore w:val="0"/>
        <w:widowControl w:val="0"/>
        <w:numPr>
          <w:ilvl w:val="0"/>
          <w:numId w:val="6"/>
        </w:numPr>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工程量清单 </w:t>
      </w:r>
    </w:p>
    <w:p w14:paraId="0AA44945">
      <w:pPr>
        <w:pStyle w:val="16"/>
        <w:numPr>
          <w:ilvl w:val="0"/>
          <w:numId w:val="0"/>
        </w:numPr>
        <w:ind w:right="0" w:rightChars="0"/>
        <w:rPr>
          <w:rFonts w:hint="eastAsia"/>
          <w:color w:val="auto"/>
          <w:highlight w:val="none"/>
        </w:rPr>
      </w:pPr>
    </w:p>
    <w:p w14:paraId="03930D38">
      <w:pPr>
        <w:pStyle w:val="4"/>
        <w:spacing w:line="360" w:lineRule="exact"/>
        <w:ind w:left="0" w:leftChars="0" w:firstLine="0" w:firstLineChars="0"/>
        <w:rPr>
          <w:rFonts w:hint="eastAsia"/>
          <w:color w:val="auto"/>
          <w:sz w:val="24"/>
          <w:szCs w:val="24"/>
          <w:highlight w:val="none"/>
        </w:rPr>
      </w:pPr>
      <w:bookmarkStart w:id="8" w:name="_Toc495501809"/>
      <w:bookmarkStart w:id="9" w:name="_Toc246996341"/>
      <w:bookmarkStart w:id="10" w:name="_Toc418164814"/>
      <w:bookmarkStart w:id="11" w:name="_Toc246997084"/>
      <w:bookmarkStart w:id="12" w:name="_Toc247085856"/>
      <w:bookmarkStart w:id="13" w:name="_Toc179632790"/>
      <w:bookmarkStart w:id="14" w:name="_Toc152042555"/>
      <w:bookmarkStart w:id="15" w:name="_Toc152045773"/>
      <w:bookmarkStart w:id="16" w:name="_Toc144974835"/>
      <w:r>
        <w:rPr>
          <w:rFonts w:hint="eastAsia"/>
          <w:color w:val="auto"/>
          <w:sz w:val="24"/>
          <w:szCs w:val="24"/>
          <w:highlight w:val="none"/>
        </w:rPr>
        <w:t>1. 工程量清单说明</w:t>
      </w:r>
      <w:bookmarkEnd w:id="8"/>
      <w:bookmarkEnd w:id="9"/>
      <w:bookmarkEnd w:id="10"/>
      <w:bookmarkEnd w:id="11"/>
      <w:bookmarkEnd w:id="12"/>
      <w:bookmarkEnd w:id="13"/>
      <w:bookmarkEnd w:id="14"/>
      <w:bookmarkEnd w:id="15"/>
      <w:bookmarkEnd w:id="16"/>
    </w:p>
    <w:p w14:paraId="473A9996">
      <w:pPr>
        <w:spacing w:line="360" w:lineRule="exact"/>
        <w:rPr>
          <w:rFonts w:hint="eastAsia"/>
          <w:color w:val="auto"/>
          <w:highlight w:val="none"/>
        </w:rPr>
      </w:pPr>
      <w:r>
        <w:rPr>
          <w:rFonts w:hint="eastAsia"/>
          <w:color w:val="auto"/>
          <w:highlight w:val="none"/>
        </w:rPr>
        <w:t>1.1 本工程量清单是根据</w:t>
      </w:r>
      <w:r>
        <w:rPr>
          <w:rFonts w:hint="eastAsia"/>
          <w:color w:val="auto"/>
          <w:highlight w:val="none"/>
          <w:lang w:eastAsia="zh-CN"/>
        </w:rPr>
        <w:t>谈判文件</w:t>
      </w:r>
      <w:r>
        <w:rPr>
          <w:rFonts w:hint="eastAsia"/>
          <w:color w:val="auto"/>
          <w:highlight w:val="none"/>
        </w:rPr>
        <w:t>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7677849">
      <w:pPr>
        <w:spacing w:line="360" w:lineRule="exact"/>
        <w:rPr>
          <w:rFonts w:hint="eastAsia"/>
          <w:color w:val="auto"/>
          <w:highlight w:val="none"/>
        </w:rPr>
      </w:pPr>
      <w:r>
        <w:rPr>
          <w:rFonts w:hint="eastAsia"/>
          <w:color w:val="auto"/>
          <w:highlight w:val="none"/>
        </w:rPr>
        <w:t>1.2 本工程量清单应与</w:t>
      </w:r>
      <w:r>
        <w:rPr>
          <w:rFonts w:hint="eastAsia"/>
          <w:color w:val="auto"/>
          <w:highlight w:val="none"/>
          <w:lang w:eastAsia="zh-CN"/>
        </w:rPr>
        <w:t>谈判文件</w:t>
      </w:r>
      <w:r>
        <w:rPr>
          <w:rFonts w:hint="eastAsia"/>
          <w:color w:val="auto"/>
          <w:highlight w:val="none"/>
        </w:rPr>
        <w:t>中的</w:t>
      </w:r>
      <w:r>
        <w:rPr>
          <w:rFonts w:hint="eastAsia"/>
          <w:color w:val="auto"/>
          <w:highlight w:val="none"/>
          <w:lang w:eastAsia="zh-CN"/>
        </w:rPr>
        <w:t>供应商</w:t>
      </w:r>
      <w:r>
        <w:rPr>
          <w:rFonts w:hint="eastAsia"/>
          <w:color w:val="auto"/>
          <w:highlight w:val="none"/>
        </w:rPr>
        <w:t>须知、通用合同条款、专用合同条款、技术标准和要求及图纸等一起阅读和理解。</w:t>
      </w:r>
    </w:p>
    <w:p w14:paraId="7191C17A">
      <w:pPr>
        <w:spacing w:line="360" w:lineRule="exact"/>
        <w:rPr>
          <w:rFonts w:hint="eastAsia"/>
          <w:color w:val="auto"/>
          <w:highlight w:val="none"/>
        </w:rPr>
      </w:pPr>
      <w:r>
        <w:rPr>
          <w:rFonts w:hint="eastAsia"/>
          <w:color w:val="auto"/>
          <w:highlight w:val="none"/>
        </w:rPr>
        <w:t>1.3 本工程量清单仅是投标报价的共同基础，实际工程计量和工程价款的支付应遵循合同条款的约定和第七章“技术标准和要求”的有关规定。</w:t>
      </w:r>
    </w:p>
    <w:p w14:paraId="7DC272F1">
      <w:pPr>
        <w:spacing w:line="360" w:lineRule="exact"/>
        <w:rPr>
          <w:rFonts w:hint="eastAsia"/>
          <w:color w:val="auto"/>
          <w:highlight w:val="none"/>
        </w:rPr>
      </w:pPr>
      <w:r>
        <w:rPr>
          <w:rFonts w:hint="eastAsia"/>
          <w:color w:val="auto"/>
          <w:highlight w:val="none"/>
        </w:rPr>
        <w:t>1.4 补充子目工程量计算规则及子目工作内容说明：</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73217800">
      <w:pPr>
        <w:pStyle w:val="4"/>
        <w:spacing w:line="360" w:lineRule="exact"/>
        <w:ind w:left="0" w:leftChars="0" w:firstLine="0" w:firstLineChars="0"/>
        <w:rPr>
          <w:rFonts w:hint="eastAsia"/>
          <w:color w:val="auto"/>
          <w:sz w:val="24"/>
          <w:szCs w:val="24"/>
          <w:highlight w:val="none"/>
        </w:rPr>
      </w:pPr>
      <w:bookmarkStart w:id="17" w:name="_Toc152042556"/>
      <w:bookmarkStart w:id="18" w:name="_Toc144974836"/>
      <w:bookmarkStart w:id="19" w:name="_Toc495501810"/>
      <w:bookmarkStart w:id="20" w:name="_Toc246996342"/>
      <w:bookmarkStart w:id="21" w:name="_Toc418164815"/>
      <w:bookmarkStart w:id="22" w:name="_Toc246997085"/>
      <w:bookmarkStart w:id="23" w:name="_Toc247085857"/>
      <w:bookmarkStart w:id="24" w:name="_Toc179632791"/>
      <w:bookmarkStart w:id="25" w:name="_Toc152045774"/>
      <w:r>
        <w:rPr>
          <w:rFonts w:hint="eastAsia"/>
          <w:color w:val="auto"/>
          <w:sz w:val="24"/>
          <w:szCs w:val="24"/>
          <w:highlight w:val="none"/>
        </w:rPr>
        <w:t>2. 投标报价说明</w:t>
      </w:r>
      <w:bookmarkEnd w:id="17"/>
      <w:bookmarkEnd w:id="18"/>
      <w:bookmarkEnd w:id="19"/>
      <w:bookmarkEnd w:id="20"/>
      <w:bookmarkEnd w:id="21"/>
      <w:bookmarkEnd w:id="22"/>
      <w:bookmarkEnd w:id="23"/>
      <w:bookmarkEnd w:id="24"/>
      <w:bookmarkEnd w:id="25"/>
    </w:p>
    <w:p w14:paraId="4731003C">
      <w:pPr>
        <w:spacing w:line="360" w:lineRule="exact"/>
        <w:rPr>
          <w:rFonts w:hint="eastAsia"/>
          <w:color w:val="auto"/>
          <w:highlight w:val="none"/>
        </w:rPr>
      </w:pPr>
      <w:bookmarkStart w:id="26" w:name="_Toc247085859"/>
      <w:bookmarkStart w:id="27" w:name="_Toc144974837"/>
      <w:bookmarkStart w:id="28" w:name="_Toc179632793"/>
      <w:bookmarkStart w:id="29" w:name="_Toc152042557"/>
      <w:bookmarkStart w:id="30" w:name="_Toc246997087"/>
      <w:bookmarkStart w:id="31" w:name="_Toc152042558"/>
      <w:bookmarkStart w:id="32" w:name="_Toc152045776"/>
      <w:bookmarkStart w:id="33" w:name="_Toc152045775"/>
      <w:bookmarkStart w:id="34" w:name="_Toc144974838"/>
      <w:bookmarkStart w:id="35" w:name="_Toc246996344"/>
      <w:r>
        <w:rPr>
          <w:rFonts w:hint="eastAsia"/>
          <w:color w:val="auto"/>
          <w:highlight w:val="none"/>
        </w:rPr>
        <w:t>2.1</w:t>
      </w:r>
      <w:r>
        <w:rPr>
          <w:rFonts w:hint="eastAsia"/>
          <w:color w:val="auto"/>
          <w:highlight w:val="none"/>
          <w:lang w:val="en-US" w:eastAsia="zh-CN"/>
        </w:rPr>
        <w:t xml:space="preserve"> </w:t>
      </w:r>
      <w:r>
        <w:rPr>
          <w:rFonts w:hint="eastAsia"/>
          <w:color w:val="auto"/>
          <w:highlight w:val="none"/>
        </w:rPr>
        <w:t>投标报价应根据</w:t>
      </w:r>
      <w:r>
        <w:rPr>
          <w:rFonts w:hint="eastAsia"/>
          <w:color w:val="auto"/>
          <w:highlight w:val="none"/>
          <w:lang w:eastAsia="zh-CN"/>
        </w:rPr>
        <w:t>谈判文件</w:t>
      </w:r>
      <w:r>
        <w:rPr>
          <w:rFonts w:hint="eastAsia"/>
          <w:color w:val="auto"/>
          <w:highlight w:val="none"/>
        </w:rPr>
        <w:t>中的有关计价要求，并按照下列依据自主报价（另附）</w:t>
      </w:r>
    </w:p>
    <w:p w14:paraId="0699BB24">
      <w:pPr>
        <w:spacing w:line="360" w:lineRule="exact"/>
        <w:rPr>
          <w:rFonts w:hint="eastAsia"/>
          <w:color w:val="auto"/>
          <w:highlight w:val="none"/>
        </w:rPr>
      </w:pPr>
      <w:r>
        <w:rPr>
          <w:rFonts w:hint="eastAsia"/>
          <w:color w:val="auto"/>
          <w:highlight w:val="none"/>
        </w:rPr>
        <w:t>2.2 工程量清单中的每一子目须填入单价或价格，且只允许有一个报价。工程量清单中</w:t>
      </w:r>
      <w:r>
        <w:rPr>
          <w:rFonts w:hint="eastAsia"/>
          <w:color w:val="auto"/>
          <w:highlight w:val="none"/>
          <w:lang w:eastAsia="zh-CN"/>
        </w:rPr>
        <w:t>供应商</w:t>
      </w:r>
      <w:r>
        <w:rPr>
          <w:rFonts w:hint="eastAsia"/>
          <w:color w:val="auto"/>
          <w:highlight w:val="none"/>
        </w:rPr>
        <w:t>没有填入单价或价格的子目，其费用视为已分摊在工程量清单中其他相关子目的单价或价格之中。</w:t>
      </w:r>
    </w:p>
    <w:p w14:paraId="5557403F">
      <w:pPr>
        <w:spacing w:line="360" w:lineRule="exact"/>
        <w:rPr>
          <w:rFonts w:hint="eastAsia"/>
          <w:color w:val="auto"/>
          <w:highlight w:val="none"/>
        </w:rPr>
      </w:pPr>
      <w:r>
        <w:rPr>
          <w:rFonts w:hint="eastAsia"/>
          <w:color w:val="auto"/>
          <w:highlight w:val="none"/>
        </w:rPr>
        <w:t>2.3 工程量清单中标价的单价或金额，应包括所需的人工费、材料和施工机具使用费和企业管理费、利润以及一定范围内的风险费用等。</w:t>
      </w:r>
    </w:p>
    <w:p w14:paraId="132A8982">
      <w:pPr>
        <w:spacing w:line="360" w:lineRule="exact"/>
        <w:rPr>
          <w:rFonts w:hint="eastAsia"/>
          <w:color w:val="auto"/>
          <w:highlight w:val="none"/>
        </w:rPr>
      </w:pPr>
      <w:r>
        <w:rPr>
          <w:rFonts w:hint="eastAsia"/>
          <w:color w:val="auto"/>
          <w:highlight w:val="none"/>
        </w:rPr>
        <w:t>2.4</w:t>
      </w:r>
      <w:r>
        <w:rPr>
          <w:rFonts w:hint="eastAsia"/>
          <w:color w:val="auto"/>
          <w:highlight w:val="none"/>
          <w:lang w:val="en-US" w:eastAsia="zh-CN"/>
        </w:rPr>
        <w:t xml:space="preserve"> </w:t>
      </w:r>
      <w:r>
        <w:rPr>
          <w:rFonts w:hint="eastAsia"/>
          <w:color w:val="auto"/>
          <w:highlight w:val="none"/>
        </w:rPr>
        <w:t>投标总报价为</w:t>
      </w:r>
      <w:r>
        <w:rPr>
          <w:rFonts w:hint="eastAsia"/>
          <w:color w:val="auto"/>
          <w:highlight w:val="none"/>
          <w:lang w:eastAsia="zh-CN"/>
        </w:rPr>
        <w:t>供应商</w:t>
      </w:r>
      <w:r>
        <w:rPr>
          <w:rFonts w:hint="eastAsia"/>
          <w:color w:val="auto"/>
          <w:highlight w:val="none"/>
        </w:rPr>
        <w:t>完成招标范围所述的全部工程内容的体现和完成该工程项目的成本、管理费、技术措施费、利润、风险费及政策性文件规定的不可竞争费用、规费和税金等所有费用，以及所有根据合同或其它原因由</w:t>
      </w:r>
      <w:r>
        <w:rPr>
          <w:rFonts w:hint="eastAsia"/>
          <w:color w:val="auto"/>
          <w:highlight w:val="none"/>
          <w:lang w:eastAsia="zh-CN"/>
        </w:rPr>
        <w:t>供应商</w:t>
      </w:r>
      <w:r>
        <w:rPr>
          <w:rFonts w:hint="eastAsia"/>
          <w:color w:val="auto"/>
          <w:highlight w:val="none"/>
        </w:rPr>
        <w:t>支付的税金和其它应缴纳的费用。</w:t>
      </w:r>
    </w:p>
    <w:p w14:paraId="0448E806">
      <w:pPr>
        <w:spacing w:line="360" w:lineRule="exact"/>
        <w:rPr>
          <w:rFonts w:hint="eastAsia"/>
          <w:color w:val="auto"/>
          <w:highlight w:val="none"/>
        </w:rPr>
      </w:pPr>
      <w:r>
        <w:rPr>
          <w:rFonts w:hint="eastAsia"/>
          <w:color w:val="auto"/>
          <w:highlight w:val="none"/>
        </w:rPr>
        <w:t xml:space="preserve">2.5 </w:t>
      </w:r>
      <w:r>
        <w:rPr>
          <w:rFonts w:hint="eastAsia"/>
          <w:color w:val="auto"/>
          <w:highlight w:val="none"/>
          <w:lang w:val="en-US" w:eastAsia="zh-CN"/>
        </w:rPr>
        <w:t xml:space="preserve"> </w:t>
      </w:r>
      <w:r>
        <w:rPr>
          <w:rFonts w:hint="eastAsia"/>
          <w:color w:val="auto"/>
          <w:highlight w:val="none"/>
        </w:rPr>
        <w:t>暂列金额的数量及拟用子目的说明：（另附）</w:t>
      </w:r>
    </w:p>
    <w:p w14:paraId="066F273E">
      <w:pPr>
        <w:pStyle w:val="4"/>
        <w:spacing w:line="360" w:lineRule="exact"/>
        <w:ind w:left="0" w:leftChars="0" w:firstLine="0" w:firstLineChars="0"/>
        <w:rPr>
          <w:rFonts w:hint="eastAsia"/>
          <w:color w:val="auto"/>
          <w:sz w:val="24"/>
          <w:szCs w:val="24"/>
          <w:highlight w:val="none"/>
        </w:rPr>
      </w:pPr>
      <w:bookmarkStart w:id="36" w:name="_Toc246997086"/>
      <w:bookmarkStart w:id="37" w:name="_Toc247085858"/>
      <w:bookmarkStart w:id="38" w:name="_Toc179632792"/>
      <w:bookmarkStart w:id="39" w:name="_Toc418164816"/>
      <w:bookmarkStart w:id="40" w:name="_Toc246996343"/>
      <w:bookmarkStart w:id="41" w:name="_Toc411795051"/>
      <w:bookmarkStart w:id="42" w:name="_Toc495501811"/>
      <w:r>
        <w:rPr>
          <w:rFonts w:hint="eastAsia"/>
          <w:color w:val="auto"/>
          <w:sz w:val="24"/>
          <w:szCs w:val="24"/>
          <w:highlight w:val="none"/>
        </w:rPr>
        <w:t>3. 其他说明</w:t>
      </w:r>
      <w:bookmarkEnd w:id="36"/>
      <w:bookmarkEnd w:id="37"/>
      <w:bookmarkEnd w:id="38"/>
      <w:bookmarkEnd w:id="39"/>
      <w:bookmarkEnd w:id="40"/>
      <w:bookmarkEnd w:id="41"/>
      <w:bookmarkEnd w:id="42"/>
    </w:p>
    <w:p w14:paraId="29BFFACB">
      <w:pPr>
        <w:pStyle w:val="4"/>
        <w:spacing w:line="360" w:lineRule="exact"/>
        <w:ind w:left="0" w:leftChars="0" w:firstLine="0" w:firstLineChars="0"/>
        <w:rPr>
          <w:rFonts w:hint="eastAsia"/>
          <w:color w:val="auto"/>
          <w:sz w:val="24"/>
          <w:szCs w:val="24"/>
          <w:highlight w:val="none"/>
        </w:rPr>
      </w:pPr>
    </w:p>
    <w:p w14:paraId="5E1FF02E">
      <w:pPr>
        <w:pStyle w:val="4"/>
        <w:spacing w:line="360" w:lineRule="exact"/>
        <w:ind w:left="0" w:leftChars="0" w:firstLine="0" w:firstLineChars="0"/>
        <w:rPr>
          <w:rFonts w:hint="eastAsia"/>
          <w:color w:val="auto"/>
          <w:sz w:val="24"/>
          <w:szCs w:val="24"/>
          <w:highlight w:val="none"/>
        </w:rPr>
      </w:pPr>
      <w:bookmarkStart w:id="43" w:name="_Toc418164817"/>
      <w:bookmarkStart w:id="44" w:name="_Toc495501812"/>
      <w:r>
        <w:rPr>
          <w:rFonts w:hint="eastAsia"/>
          <w:color w:val="auto"/>
          <w:sz w:val="24"/>
          <w:szCs w:val="24"/>
          <w:highlight w:val="none"/>
        </w:rPr>
        <w:t>4. 工程量清单</w:t>
      </w:r>
      <w:bookmarkEnd w:id="26"/>
      <w:bookmarkEnd w:id="27"/>
      <w:bookmarkEnd w:id="28"/>
      <w:bookmarkEnd w:id="29"/>
      <w:bookmarkEnd w:id="30"/>
      <w:bookmarkEnd w:id="31"/>
      <w:bookmarkEnd w:id="32"/>
      <w:bookmarkEnd w:id="33"/>
      <w:bookmarkEnd w:id="34"/>
      <w:bookmarkEnd w:id="35"/>
      <w:bookmarkEnd w:id="43"/>
      <w:r>
        <w:rPr>
          <w:rFonts w:hint="eastAsia"/>
          <w:color w:val="auto"/>
          <w:sz w:val="24"/>
          <w:szCs w:val="24"/>
          <w:highlight w:val="none"/>
        </w:rPr>
        <w:t xml:space="preserve"> （另附）</w:t>
      </w:r>
      <w:bookmarkEnd w:id="44"/>
    </w:p>
    <w:p w14:paraId="17BD272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24209B1">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二、图纸（</w:t>
      </w:r>
      <w:r>
        <w:rPr>
          <w:rFonts w:hint="eastAsia" w:cs="宋体"/>
          <w:b/>
          <w:bCs/>
          <w:color w:val="auto"/>
          <w:sz w:val="24"/>
          <w:szCs w:val="24"/>
          <w:highlight w:val="none"/>
          <w:lang w:val="en-US" w:eastAsia="zh-CN"/>
        </w:rPr>
        <w:t>如有，</w:t>
      </w:r>
      <w:r>
        <w:rPr>
          <w:rFonts w:hint="eastAsia" w:ascii="宋体" w:hAnsi="宋体" w:eastAsia="宋体" w:cs="宋体"/>
          <w:b/>
          <w:bCs/>
          <w:color w:val="auto"/>
          <w:sz w:val="24"/>
          <w:szCs w:val="24"/>
          <w:highlight w:val="none"/>
        </w:rPr>
        <w:t>另附）</w:t>
      </w:r>
    </w:p>
    <w:p w14:paraId="01E49F2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15" w:type="default"/>
          <w:pgSz w:w="11910" w:h="16840"/>
          <w:pgMar w:top="1134" w:right="1531" w:bottom="1134" w:left="1531" w:header="670" w:footer="1041" w:gutter="0"/>
          <w:pgNumType w:fmt="decimal"/>
          <w:cols w:space="0" w:num="1"/>
          <w:rtlGutter w:val="0"/>
          <w:docGrid w:linePitch="1" w:charSpace="0"/>
        </w:sectPr>
      </w:pPr>
    </w:p>
    <w:p w14:paraId="08DE5039">
      <w:pPr>
        <w:keepNext w:val="0"/>
        <w:keepLines w:val="0"/>
        <w:pageBreakBefore w:val="0"/>
        <w:widowControl w:val="0"/>
        <w:numPr>
          <w:ilvl w:val="0"/>
          <w:numId w:val="7"/>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bookmarkStart w:id="45" w:name="_Toc2627_WPSOffice_Level1"/>
      <w:r>
        <w:rPr>
          <w:rFonts w:hint="eastAsia" w:ascii="微软雅黑" w:hAnsi="微软雅黑" w:eastAsia="微软雅黑" w:cs="微软雅黑"/>
          <w:b/>
          <w:bCs/>
          <w:color w:val="auto"/>
          <w:sz w:val="32"/>
          <w:szCs w:val="32"/>
          <w:highlight w:val="none"/>
        </w:rPr>
        <w:t>合同格式</w:t>
      </w:r>
      <w:bookmarkEnd w:id="45"/>
      <w:r>
        <w:rPr>
          <w:rFonts w:hint="eastAsia" w:ascii="微软雅黑" w:hAnsi="微软雅黑" w:eastAsia="微软雅黑" w:cs="微软雅黑"/>
          <w:b/>
          <w:bCs/>
          <w:color w:val="auto"/>
          <w:sz w:val="32"/>
          <w:szCs w:val="32"/>
          <w:highlight w:val="none"/>
        </w:rPr>
        <w:t xml:space="preserve"> </w:t>
      </w:r>
    </w:p>
    <w:p w14:paraId="2BAFEE61">
      <w:pPr>
        <w:pStyle w:val="16"/>
        <w:rPr>
          <w:rFonts w:hint="eastAsia"/>
          <w:color w:val="auto"/>
          <w:highlight w:val="none"/>
        </w:rPr>
      </w:pPr>
    </w:p>
    <w:p w14:paraId="6467CE77">
      <w:pPr>
        <w:pStyle w:val="9"/>
        <w:numPr>
          <w:ilvl w:val="0"/>
          <w:numId w:val="0"/>
        </w:numPr>
        <w:ind w:right="0" w:rightChars="0"/>
        <w:rPr>
          <w:rFonts w:hint="eastAsia"/>
          <w:color w:val="auto"/>
          <w:highlight w:val="none"/>
        </w:rPr>
      </w:pPr>
    </w:p>
    <w:p w14:paraId="642AB3D4">
      <w:pPr>
        <w:pStyle w:val="4"/>
        <w:numPr>
          <w:ilvl w:val="0"/>
          <w:numId w:val="0"/>
        </w:numPr>
        <w:spacing w:line="360" w:lineRule="exact"/>
        <w:ind w:right="0" w:rightChars="0" w:firstLine="3012" w:firstLineChars="1000"/>
        <w:jc w:val="both"/>
        <w:rPr>
          <w:rFonts w:hint="eastAsia" w:ascii="宋体" w:hAnsi="宋体" w:eastAsia="宋体" w:cs="宋体"/>
          <w:color w:val="auto"/>
          <w:sz w:val="30"/>
          <w:szCs w:val="30"/>
          <w:highlight w:val="none"/>
        </w:rPr>
      </w:pPr>
      <w:bookmarkStart w:id="46" w:name="_Toc495501805"/>
      <w:bookmarkStart w:id="47" w:name="_Toc418164810"/>
      <w:r>
        <w:rPr>
          <w:rFonts w:hint="eastAsia" w:ascii="宋体" w:hAnsi="宋体" w:eastAsia="宋体" w:cs="宋体"/>
          <w:color w:val="auto"/>
          <w:sz w:val="30"/>
          <w:szCs w:val="30"/>
          <w:highlight w:val="none"/>
          <w:lang w:val="en-US" w:eastAsia="zh-CN"/>
        </w:rPr>
        <w:t xml:space="preserve">第一节 </w:t>
      </w:r>
      <w:r>
        <w:rPr>
          <w:rFonts w:hint="eastAsia" w:ascii="宋体" w:hAnsi="宋体" w:eastAsia="宋体" w:cs="宋体"/>
          <w:color w:val="auto"/>
          <w:sz w:val="30"/>
          <w:szCs w:val="30"/>
          <w:highlight w:val="none"/>
        </w:rPr>
        <w:t xml:space="preserve"> 合同条款</w:t>
      </w:r>
      <w:bookmarkEnd w:id="46"/>
      <w:bookmarkEnd w:id="47"/>
    </w:p>
    <w:p w14:paraId="387945FF">
      <w:pPr>
        <w:numPr>
          <w:ilvl w:val="0"/>
          <w:numId w:val="0"/>
        </w:numPr>
        <w:ind w:right="0" w:rightChars="0"/>
        <w:rPr>
          <w:rFonts w:hint="eastAsia" w:ascii="宋体" w:hAnsi="宋体" w:eastAsia="宋体" w:cs="宋体"/>
          <w:color w:val="auto"/>
          <w:sz w:val="24"/>
          <w:szCs w:val="24"/>
          <w:highlight w:val="none"/>
        </w:rPr>
      </w:pPr>
    </w:p>
    <w:p w14:paraId="42D8F42D">
      <w:pPr>
        <w:spacing w:line="460" w:lineRule="exact"/>
        <w:ind w:firstLine="480" w:firstLineChars="200"/>
        <w:rPr>
          <w:rFonts w:hint="eastAsia" w:ascii="宋体" w:hAnsi="宋体" w:eastAsia="宋体" w:cs="宋体"/>
          <w:color w:val="auto"/>
          <w:sz w:val="24"/>
          <w:szCs w:val="24"/>
          <w:highlight w:val="none"/>
        </w:rPr>
      </w:pPr>
      <w:bookmarkStart w:id="48" w:name="_Toc144974826"/>
      <w:bookmarkStart w:id="49" w:name="_Toc152042546"/>
      <w:bookmarkStart w:id="50" w:name="_Toc179632785"/>
      <w:bookmarkStart w:id="51" w:name="_Toc152045767"/>
      <w:r>
        <w:rPr>
          <w:rFonts w:hint="eastAsia" w:ascii="宋体" w:hAnsi="宋体" w:eastAsia="宋体" w:cs="宋体"/>
          <w:color w:val="auto"/>
          <w:sz w:val="24"/>
          <w:szCs w:val="24"/>
          <w:highlight w:val="none"/>
        </w:rPr>
        <w:t>通用合同条款直接引用住房城乡建设部、国家工商行政管理总局</w:t>
      </w:r>
      <w:r>
        <w:rPr>
          <w:rFonts w:hint="eastAsia" w:cs="宋体"/>
          <w:color w:val="auto"/>
          <w:sz w:val="24"/>
          <w:szCs w:val="24"/>
          <w:highlight w:val="none"/>
          <w:lang w:val="en-US" w:eastAsia="zh-CN"/>
        </w:rPr>
        <w:t>修订的</w:t>
      </w:r>
      <w:r>
        <w:rPr>
          <w:rFonts w:hint="eastAsia" w:ascii="宋体" w:hAnsi="宋体" w:eastAsia="宋体" w:cs="宋体"/>
          <w:color w:val="auto"/>
          <w:sz w:val="24"/>
          <w:szCs w:val="24"/>
          <w:highlight w:val="none"/>
        </w:rPr>
        <w:t>《建设工程施工合同（示范文本）》（GF-201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-0201）第二部分“通用合同条款”。</w:t>
      </w:r>
    </w:p>
    <w:p w14:paraId="0BD634DC">
      <w:pPr>
        <w:pStyle w:val="35"/>
        <w:jc w:val="center"/>
        <w:rPr>
          <w:rFonts w:hint="eastAsia" w:ascii="宋体" w:hAnsi="宋体" w:eastAsia="宋体" w:cs="宋体"/>
          <w:color w:val="auto"/>
          <w:sz w:val="24"/>
          <w:szCs w:val="24"/>
          <w:highlight w:val="none"/>
        </w:rPr>
      </w:pPr>
    </w:p>
    <w:p w14:paraId="282F63C4">
      <w:pPr>
        <w:pStyle w:val="35"/>
        <w:jc w:val="center"/>
        <w:rPr>
          <w:rFonts w:hint="eastAsia" w:ascii="宋体" w:hAnsi="宋体" w:eastAsia="宋体" w:cs="宋体"/>
          <w:color w:val="auto"/>
          <w:sz w:val="24"/>
          <w:szCs w:val="24"/>
          <w:highlight w:val="none"/>
        </w:rPr>
      </w:pPr>
    </w:p>
    <w:p w14:paraId="2F54BACE">
      <w:pPr>
        <w:pStyle w:val="4"/>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bookmarkStart w:id="52" w:name="_Toc418164811"/>
      <w:bookmarkStart w:id="53" w:name="_Toc495501806"/>
      <w:r>
        <w:rPr>
          <w:rFonts w:hint="eastAsia" w:ascii="宋体" w:hAnsi="宋体" w:eastAsia="宋体" w:cs="宋体"/>
          <w:color w:val="auto"/>
          <w:sz w:val="30"/>
          <w:szCs w:val="30"/>
          <w:highlight w:val="none"/>
          <w:lang w:val="en-US" w:eastAsia="zh-CN"/>
        </w:rPr>
        <w:t>第二节  专用合同条款</w:t>
      </w:r>
      <w:bookmarkEnd w:id="52"/>
      <w:bookmarkEnd w:id="53"/>
    </w:p>
    <w:p w14:paraId="6B6DCE46">
      <w:pPr>
        <w:keepNext w:val="0"/>
        <w:keepLines w:val="0"/>
        <w:pageBreakBefore w:val="0"/>
        <w:widowControl w:val="0"/>
        <w:kinsoku/>
        <w:wordWrap/>
        <w:overflowPunct/>
        <w:topLinePunct w:val="0"/>
        <w:autoSpaceDE w:val="0"/>
        <w:autoSpaceDN w:val="0"/>
        <w:bidi w:val="0"/>
        <w:snapToGrid/>
        <w:spacing w:line="340" w:lineRule="exact"/>
        <w:jc w:val="center"/>
        <w:textAlignment w:val="auto"/>
        <w:rPr>
          <w:rFonts w:hint="eastAsia" w:ascii="宋体" w:hAnsi="宋体" w:eastAsia="宋体" w:cs="宋体"/>
          <w:color w:val="auto"/>
          <w:sz w:val="24"/>
          <w:szCs w:val="24"/>
          <w:highlight w:val="none"/>
        </w:rPr>
      </w:pPr>
    </w:p>
    <w:p w14:paraId="52DA8B07">
      <w:pPr>
        <w:keepNext w:val="0"/>
        <w:keepLines w:val="0"/>
        <w:pageBreakBefore w:val="0"/>
        <w:widowControl w:val="0"/>
        <w:kinsoku/>
        <w:wordWrap/>
        <w:overflowPunct/>
        <w:topLinePunct w:val="0"/>
        <w:autoSpaceDE w:val="0"/>
        <w:autoSpaceDN w:val="0"/>
        <w:bidi w:val="0"/>
        <w:snapToGrid/>
        <w:spacing w:line="340" w:lineRule="exact"/>
        <w:jc w:val="center"/>
        <w:textAlignment w:val="auto"/>
        <w:rPr>
          <w:rFonts w:hint="eastAsia" w:ascii="宋体" w:hAnsi="宋体" w:eastAsia="宋体" w:cs="宋体"/>
          <w:color w:val="auto"/>
          <w:sz w:val="24"/>
          <w:szCs w:val="24"/>
          <w:highlight w:val="none"/>
        </w:rPr>
      </w:pPr>
    </w:p>
    <w:p w14:paraId="7768E69F">
      <w:pPr>
        <w:pStyle w:val="6"/>
        <w:keepNext w:val="0"/>
        <w:keepLines w:val="0"/>
        <w:pageBreakBefore w:val="0"/>
        <w:widowControl w:val="0"/>
        <w:kinsoku/>
        <w:wordWrap/>
        <w:overflowPunct/>
        <w:topLinePunct w:val="0"/>
        <w:autoSpaceDE w:val="0"/>
        <w:autoSpaceDN w:val="0"/>
        <w:bidi w:val="0"/>
        <w:snapToGrid/>
        <w:spacing w:before="120" w:after="120" w:line="34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 一般约定</w:t>
      </w:r>
    </w:p>
    <w:p w14:paraId="6878029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词语定义</w:t>
      </w:r>
    </w:p>
    <w:p w14:paraId="200B1BD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1.1.1合同</w:t>
      </w:r>
    </w:p>
    <w:p w14:paraId="3FEC0F93">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1.1.1.10其他合同文件包括：</w:t>
      </w:r>
      <w:r>
        <w:rPr>
          <w:rFonts w:hint="eastAsia" w:ascii="宋体" w:hAnsi="宋体" w:eastAsia="宋体" w:cs="宋体"/>
          <w:color w:val="auto"/>
          <w:sz w:val="24"/>
          <w:szCs w:val="24"/>
          <w:highlight w:val="none"/>
          <w:u w:val="single"/>
        </w:rPr>
        <w:t>履行合同过程中双方总经理以上管理者（或双方工地代表人）书面确认的对合同内容有实质性影响的会议纪要、签证、设计变更等资料</w:t>
      </w:r>
      <w:r>
        <w:rPr>
          <w:rFonts w:hint="eastAsia" w:ascii="宋体" w:hAnsi="宋体" w:eastAsia="宋体" w:cs="宋体"/>
          <w:color w:val="auto"/>
          <w:sz w:val="24"/>
          <w:szCs w:val="24"/>
          <w:highlight w:val="none"/>
        </w:rPr>
        <w:t>。</w:t>
      </w:r>
    </w:p>
    <w:p w14:paraId="166F2DD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14:paraId="36FA687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1.1.2.4监理人：</w:t>
      </w:r>
    </w:p>
    <w:p w14:paraId="66490A7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581E4C9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9C9345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1960CB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14DB91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5E8674C">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 设计人：</w:t>
      </w:r>
    </w:p>
    <w:p w14:paraId="57B1E638">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8D3D0D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26CD34D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31223E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E9D3C52">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309E8CF2">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 xml:space="preserve"> 通用条款规定的发包方提供的施工场地 </w:t>
      </w:r>
      <w:r>
        <w:rPr>
          <w:rFonts w:hint="eastAsia" w:ascii="宋体" w:hAnsi="宋体" w:eastAsia="宋体" w:cs="宋体"/>
          <w:color w:val="auto"/>
          <w:sz w:val="24"/>
          <w:szCs w:val="24"/>
          <w:highlight w:val="none"/>
        </w:rPr>
        <w:t>。</w:t>
      </w:r>
    </w:p>
    <w:p w14:paraId="437C8EC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1.1.3.9 永久占地包括：</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kern w:val="0"/>
          <w:sz w:val="24"/>
          <w:szCs w:val="24"/>
          <w:highlight w:val="none"/>
        </w:rPr>
        <w:t>。</w:t>
      </w:r>
    </w:p>
    <w:p w14:paraId="2C82518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1.1.3.10 临时占地包括：</w:t>
      </w:r>
      <w:r>
        <w:rPr>
          <w:rFonts w:hint="eastAsia" w:ascii="宋体" w:hAnsi="宋体" w:eastAsia="宋体" w:cs="宋体"/>
          <w:color w:val="auto"/>
          <w:sz w:val="24"/>
          <w:szCs w:val="24"/>
          <w:highlight w:val="none"/>
          <w:u w:val="single"/>
        </w:rPr>
        <w:t xml:space="preserve">        双方在合同履行过程中确定              </w:t>
      </w:r>
      <w:r>
        <w:rPr>
          <w:rFonts w:hint="eastAsia" w:ascii="宋体" w:hAnsi="宋体" w:eastAsia="宋体" w:cs="宋体"/>
          <w:color w:val="auto"/>
          <w:kern w:val="0"/>
          <w:sz w:val="24"/>
          <w:szCs w:val="24"/>
          <w:highlight w:val="none"/>
        </w:rPr>
        <w:t>。</w:t>
      </w:r>
    </w:p>
    <w:p w14:paraId="09E28E0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1.3法律 </w:t>
      </w:r>
    </w:p>
    <w:p w14:paraId="2216C94A">
      <w:pPr>
        <w:keepNext w:val="0"/>
        <w:keepLines w:val="0"/>
        <w:pageBreakBefore w:val="0"/>
        <w:widowControl w:val="0"/>
        <w:kinsoku/>
        <w:wordWrap/>
        <w:overflowPunct/>
        <w:topLinePunct w:val="0"/>
        <w:autoSpaceDE w:val="0"/>
        <w:autoSpaceDN w:val="0"/>
        <w:bidi w:val="0"/>
        <w:adjustRightInd w:val="0"/>
        <w:snapToGrid/>
        <w:spacing w:line="340" w:lineRule="exact"/>
        <w:ind w:left="625" w:leftChars="284"/>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需要明示的法律、行政法规：《中华人民共和国合同法》、《中华人民共和国建筑法》、《中华人民共和国招标投标法》、《中华人民共和国安全生产法》、《建设工程质量管理条例》，以及其他有关法律、法规 </w:t>
      </w:r>
      <w:r>
        <w:rPr>
          <w:rFonts w:hint="eastAsia" w:ascii="宋体" w:hAnsi="宋体" w:eastAsia="宋体" w:cs="宋体"/>
          <w:color w:val="auto"/>
          <w:sz w:val="24"/>
          <w:szCs w:val="24"/>
          <w:highlight w:val="none"/>
        </w:rPr>
        <w:t>。</w:t>
      </w:r>
    </w:p>
    <w:p w14:paraId="43EABFE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标准和规范</w:t>
      </w:r>
    </w:p>
    <w:p w14:paraId="194F122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color w:val="auto"/>
          <w:sz w:val="24"/>
          <w:szCs w:val="24"/>
          <w:highlight w:val="none"/>
          <w:u w:val="single"/>
        </w:rPr>
        <w:t>国家和地方现行的有关标准、规范、详细施工图</w:t>
      </w:r>
      <w:r>
        <w:rPr>
          <w:rFonts w:hint="eastAsia" w:ascii="宋体" w:hAnsi="宋体" w:eastAsia="宋体" w:cs="宋体"/>
          <w:color w:val="auto"/>
          <w:sz w:val="24"/>
          <w:szCs w:val="24"/>
          <w:highlight w:val="none"/>
        </w:rPr>
        <w:t xml:space="preserve"> 。</w:t>
      </w:r>
    </w:p>
    <w:p w14:paraId="7B2375FE">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1.4.2 发包人提供国外标准、规范的名称：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12B63C3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发包人提供国外标准、规范的份数：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18B5D75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发包人提供国外标准、规范的名称：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3530C72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1.4.3发包人对工程的技术标准和功能要求的特殊要求：</w:t>
      </w:r>
      <w:r>
        <w:rPr>
          <w:rFonts w:hint="eastAsia" w:ascii="宋体" w:hAnsi="宋体" w:eastAsia="宋体" w:cs="宋体"/>
          <w:color w:val="auto"/>
          <w:sz w:val="24"/>
          <w:szCs w:val="24"/>
          <w:highlight w:val="none"/>
          <w:u w:val="single"/>
        </w:rPr>
        <w:t xml:space="preserve">  详见图纸</w:t>
      </w:r>
      <w:r>
        <w:rPr>
          <w:rFonts w:hint="eastAsia" w:ascii="宋体" w:hAnsi="宋体" w:eastAsia="宋体" w:cs="宋体"/>
          <w:color w:val="auto"/>
          <w:sz w:val="24"/>
          <w:szCs w:val="24"/>
          <w:highlight w:val="none"/>
        </w:rPr>
        <w:t>。</w:t>
      </w:r>
    </w:p>
    <w:p w14:paraId="6D5F8B8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合同文件的优先顺序</w:t>
      </w:r>
    </w:p>
    <w:p w14:paraId="2A8980A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执行通用条款             </w:t>
      </w:r>
      <w:r>
        <w:rPr>
          <w:rFonts w:hint="eastAsia" w:ascii="宋体" w:hAnsi="宋体" w:eastAsia="宋体" w:cs="宋体"/>
          <w:color w:val="auto"/>
          <w:sz w:val="24"/>
          <w:szCs w:val="24"/>
          <w:highlight w:val="none"/>
        </w:rPr>
        <w:t>。</w:t>
      </w:r>
    </w:p>
    <w:p w14:paraId="3E7F708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图纸和承包人文件</w:t>
      </w:r>
      <w:r>
        <w:rPr>
          <w:rFonts w:hint="eastAsia" w:ascii="宋体" w:hAnsi="宋体" w:eastAsia="宋体" w:cs="宋体"/>
          <w:color w:val="auto"/>
          <w:sz w:val="24"/>
          <w:szCs w:val="24"/>
          <w:highlight w:val="none"/>
        </w:rPr>
        <w:tab/>
      </w:r>
    </w:p>
    <w:p w14:paraId="05A16723">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w:t>
      </w:r>
    </w:p>
    <w:p w14:paraId="35FE5BEB">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FE001A1">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BF64FA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0C98B8DD">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承包人文件</w:t>
      </w:r>
    </w:p>
    <w:p w14:paraId="1285FBE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实施性施工组织设计及方案   </w:t>
      </w:r>
      <w:r>
        <w:rPr>
          <w:rFonts w:hint="eastAsia" w:ascii="宋体" w:hAnsi="宋体" w:eastAsia="宋体" w:cs="宋体"/>
          <w:color w:val="auto"/>
          <w:sz w:val="24"/>
          <w:szCs w:val="24"/>
          <w:highlight w:val="none"/>
        </w:rPr>
        <w:t>；</w:t>
      </w:r>
    </w:p>
    <w:p w14:paraId="6345174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   开工前     </w:t>
      </w:r>
      <w:r>
        <w:rPr>
          <w:rFonts w:hint="eastAsia" w:ascii="宋体" w:hAnsi="宋体" w:eastAsia="宋体" w:cs="宋体"/>
          <w:color w:val="auto"/>
          <w:sz w:val="24"/>
          <w:szCs w:val="24"/>
          <w:highlight w:val="none"/>
        </w:rPr>
        <w:t>；</w:t>
      </w:r>
    </w:p>
    <w:p w14:paraId="2161F80F">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肆份              </w:t>
      </w:r>
      <w:r>
        <w:rPr>
          <w:rFonts w:hint="eastAsia" w:ascii="宋体" w:hAnsi="宋体" w:eastAsia="宋体" w:cs="宋体"/>
          <w:color w:val="auto"/>
          <w:sz w:val="24"/>
          <w:szCs w:val="24"/>
          <w:highlight w:val="none"/>
        </w:rPr>
        <w:t>；</w:t>
      </w:r>
    </w:p>
    <w:p w14:paraId="66E64E4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 书面             </w:t>
      </w:r>
      <w:r>
        <w:rPr>
          <w:rFonts w:hint="eastAsia" w:ascii="宋体" w:hAnsi="宋体" w:eastAsia="宋体" w:cs="宋体"/>
          <w:color w:val="auto"/>
          <w:sz w:val="24"/>
          <w:szCs w:val="24"/>
          <w:highlight w:val="none"/>
        </w:rPr>
        <w:t>；</w:t>
      </w:r>
    </w:p>
    <w:p w14:paraId="49C1E98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收到文件后7天内审查完毕    </w:t>
      </w:r>
      <w:r>
        <w:rPr>
          <w:rFonts w:hint="eastAsia" w:ascii="宋体" w:hAnsi="宋体" w:eastAsia="宋体" w:cs="宋体"/>
          <w:color w:val="auto"/>
          <w:sz w:val="24"/>
          <w:szCs w:val="24"/>
          <w:highlight w:val="none"/>
        </w:rPr>
        <w:t>。</w:t>
      </w:r>
    </w:p>
    <w:p w14:paraId="69B47D1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现场图纸准备</w:t>
      </w:r>
    </w:p>
    <w:p w14:paraId="7A7DA09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2C7A5F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联络</w:t>
      </w:r>
    </w:p>
    <w:p w14:paraId="7267D49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1.7.1发包人和承包人应当在</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1EA039A6">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发包人接收文件的地点：</w:t>
      </w:r>
      <w:r>
        <w:rPr>
          <w:rFonts w:hint="eastAsia" w:ascii="宋体" w:hAnsi="宋体" w:eastAsia="宋体" w:cs="宋体"/>
          <w:color w:val="auto"/>
          <w:sz w:val="24"/>
          <w:szCs w:val="24"/>
          <w:highlight w:val="none"/>
          <w:u w:val="single"/>
        </w:rPr>
        <w:t>项目所在地发包人办公室              </w:t>
      </w:r>
      <w:r>
        <w:rPr>
          <w:rFonts w:hint="eastAsia" w:ascii="宋体" w:hAnsi="宋体" w:eastAsia="宋体" w:cs="宋体"/>
          <w:color w:val="auto"/>
          <w:kern w:val="0"/>
          <w:sz w:val="24"/>
          <w:szCs w:val="24"/>
          <w:highlight w:val="none"/>
        </w:rPr>
        <w:t>；</w:t>
      </w:r>
    </w:p>
    <w:p w14:paraId="4D0A95A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kern w:val="0"/>
          <w:sz w:val="24"/>
          <w:szCs w:val="24"/>
          <w:highlight w:val="none"/>
        </w:rPr>
        <w:t>。</w:t>
      </w:r>
    </w:p>
    <w:p w14:paraId="575719F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承包人接收文件的地点：</w:t>
      </w:r>
      <w:r>
        <w:rPr>
          <w:rFonts w:hint="eastAsia" w:ascii="宋体" w:hAnsi="宋体" w:eastAsia="宋体" w:cs="宋体"/>
          <w:color w:val="auto"/>
          <w:sz w:val="24"/>
          <w:szCs w:val="24"/>
          <w:highlight w:val="none"/>
          <w:u w:val="single"/>
        </w:rPr>
        <w:t>项目所在地承包人项目部                   </w:t>
      </w:r>
      <w:r>
        <w:rPr>
          <w:rFonts w:hint="eastAsia" w:ascii="宋体" w:hAnsi="宋体" w:eastAsia="宋体" w:cs="宋体"/>
          <w:color w:val="auto"/>
          <w:kern w:val="0"/>
          <w:sz w:val="24"/>
          <w:szCs w:val="24"/>
          <w:highlight w:val="none"/>
        </w:rPr>
        <w:t>；</w:t>
      </w:r>
    </w:p>
    <w:p w14:paraId="3AFB2A5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承包人指定的接收人为：</w:t>
      </w:r>
      <w:r>
        <w:rPr>
          <w:rFonts w:hint="eastAsia" w:ascii="宋体" w:hAnsi="宋体" w:eastAsia="宋体" w:cs="宋体"/>
          <w:color w:val="auto"/>
          <w:sz w:val="24"/>
          <w:szCs w:val="24"/>
          <w:highlight w:val="none"/>
          <w:u w:val="single"/>
        </w:rPr>
        <w:t>承包方项目经理                    </w:t>
      </w:r>
      <w:r>
        <w:rPr>
          <w:rFonts w:hint="eastAsia" w:ascii="宋体" w:hAnsi="宋体" w:eastAsia="宋体" w:cs="宋体"/>
          <w:color w:val="auto"/>
          <w:kern w:val="0"/>
          <w:sz w:val="24"/>
          <w:szCs w:val="24"/>
          <w:highlight w:val="none"/>
        </w:rPr>
        <w:t>。</w:t>
      </w:r>
    </w:p>
    <w:p w14:paraId="5DAF3EC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监理人接收文件的地点：</w:t>
      </w:r>
      <w:r>
        <w:rPr>
          <w:rFonts w:hint="eastAsia" w:ascii="宋体" w:hAnsi="宋体" w:eastAsia="宋体" w:cs="宋体"/>
          <w:color w:val="auto"/>
          <w:sz w:val="24"/>
          <w:szCs w:val="24"/>
          <w:highlight w:val="none"/>
          <w:u w:val="single"/>
        </w:rPr>
        <w:t>\                   </w:t>
      </w:r>
      <w:r>
        <w:rPr>
          <w:rFonts w:hint="eastAsia" w:ascii="宋体" w:hAnsi="宋体" w:eastAsia="宋体" w:cs="宋体"/>
          <w:color w:val="auto"/>
          <w:kern w:val="0"/>
          <w:sz w:val="24"/>
          <w:szCs w:val="24"/>
          <w:highlight w:val="none"/>
        </w:rPr>
        <w:t>；</w:t>
      </w:r>
    </w:p>
    <w:p w14:paraId="040779A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监理人指定的接收人为：</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kern w:val="0"/>
          <w:sz w:val="24"/>
          <w:szCs w:val="24"/>
          <w:highlight w:val="none"/>
        </w:rPr>
        <w:t>。</w:t>
      </w:r>
    </w:p>
    <w:p w14:paraId="0E8F48D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交通运输</w:t>
      </w:r>
    </w:p>
    <w:p w14:paraId="532CC83A">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出入现场的权利</w:t>
      </w:r>
    </w:p>
    <w:p w14:paraId="219EAB7E">
      <w:pPr>
        <w:keepNext w:val="0"/>
        <w:keepLines w:val="0"/>
        <w:pageBreakBefore w:val="0"/>
        <w:widowControl w:val="0"/>
        <w:kinsoku/>
        <w:wordWrap/>
        <w:overflowPunct/>
        <w:topLinePunct w:val="0"/>
        <w:autoSpaceDE w:val="0"/>
        <w:autoSpaceDN w:val="0"/>
        <w:bidi w:val="0"/>
        <w:snapToGrid/>
        <w:spacing w:line="340" w:lineRule="exact"/>
        <w:ind w:left="625" w:leftChars="28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 xml:space="preserve">由承包人按发包人要求取得出入现场所需的批准手续 </w:t>
      </w:r>
      <w:r>
        <w:rPr>
          <w:rFonts w:hint="eastAsia" w:ascii="宋体" w:hAnsi="宋体" w:eastAsia="宋体" w:cs="宋体"/>
          <w:color w:val="auto"/>
          <w:sz w:val="24"/>
          <w:szCs w:val="24"/>
          <w:highlight w:val="none"/>
        </w:rPr>
        <w:t>。</w:t>
      </w:r>
    </w:p>
    <w:p w14:paraId="6729618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 场内交通</w:t>
      </w:r>
    </w:p>
    <w:p w14:paraId="739A0B9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关于场外交通和场内交通的边界的约定：</w:t>
      </w:r>
      <w:r>
        <w:rPr>
          <w:rFonts w:hint="eastAsia" w:ascii="宋体" w:hAnsi="宋体" w:eastAsia="宋体" w:cs="宋体"/>
          <w:color w:val="auto"/>
          <w:sz w:val="24"/>
          <w:szCs w:val="24"/>
          <w:highlight w:val="none"/>
          <w:u w:val="single"/>
        </w:rPr>
        <w:t>本项目施工现场    </w:t>
      </w:r>
      <w:r>
        <w:rPr>
          <w:rFonts w:hint="eastAsia" w:ascii="宋体" w:hAnsi="宋体" w:eastAsia="宋体" w:cs="宋体"/>
          <w:color w:val="auto"/>
          <w:sz w:val="24"/>
          <w:szCs w:val="24"/>
          <w:highlight w:val="none"/>
        </w:rPr>
        <w:t>。</w:t>
      </w:r>
    </w:p>
    <w:p w14:paraId="0745713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 xml:space="preserve">以现场实际施工条件为准   </w:t>
      </w:r>
      <w:r>
        <w:rPr>
          <w:rFonts w:hint="eastAsia" w:ascii="宋体" w:hAnsi="宋体" w:eastAsia="宋体" w:cs="宋体"/>
          <w:color w:val="auto"/>
          <w:sz w:val="24"/>
          <w:szCs w:val="24"/>
          <w:highlight w:val="none"/>
        </w:rPr>
        <w:t xml:space="preserve">。  </w:t>
      </w:r>
    </w:p>
    <w:p w14:paraId="7094782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1.10.4超大件和超重件的运输</w:t>
      </w:r>
    </w:p>
    <w:p w14:paraId="0B0A7D9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 xml:space="preserve">承包人  </w:t>
      </w:r>
      <w:r>
        <w:rPr>
          <w:rFonts w:hint="eastAsia" w:ascii="宋体" w:hAnsi="宋体" w:eastAsia="宋体" w:cs="宋体"/>
          <w:color w:val="auto"/>
          <w:sz w:val="24"/>
          <w:szCs w:val="24"/>
          <w:highlight w:val="none"/>
        </w:rPr>
        <w:t>承担。</w:t>
      </w:r>
    </w:p>
    <w:p w14:paraId="433C482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知识产权</w:t>
      </w:r>
    </w:p>
    <w:p w14:paraId="1F889BCC">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4AA43F8B">
      <w:pPr>
        <w:keepNext w:val="0"/>
        <w:keepLines w:val="0"/>
        <w:pageBreakBefore w:val="0"/>
        <w:widowControl w:val="0"/>
        <w:kinsoku/>
        <w:wordWrap/>
        <w:overflowPunct/>
        <w:topLinePunct w:val="0"/>
        <w:autoSpaceDE w:val="0"/>
        <w:autoSpaceDN w:val="0"/>
        <w:bidi w:val="0"/>
        <w:snapToGrid/>
        <w:spacing w:line="340" w:lineRule="exact"/>
        <w:ind w:left="625"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 xml:space="preserve">    执行通用条款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9AC050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关于承包人为实施工程所编制文件的著作权的归属：</w:t>
      </w:r>
      <w:r>
        <w:rPr>
          <w:rFonts w:hint="eastAsia" w:ascii="宋体" w:hAnsi="宋体" w:eastAsia="宋体" w:cs="宋体"/>
          <w:color w:val="auto"/>
          <w:sz w:val="24"/>
          <w:szCs w:val="24"/>
          <w:highlight w:val="none"/>
          <w:u w:val="single"/>
        </w:rPr>
        <w:t xml:space="preserve"> 执行通用条款</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F97724B">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1BC87E9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kern w:val="0"/>
          <w:sz w:val="24"/>
          <w:szCs w:val="24"/>
          <w:highlight w:val="none"/>
        </w:rPr>
        <w:t>。</w:t>
      </w:r>
    </w:p>
    <w:p w14:paraId="3934FA0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1.13工程量清单错误的修正</w:t>
      </w:r>
    </w:p>
    <w:p w14:paraId="4862706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kern w:val="0"/>
          <w:sz w:val="24"/>
          <w:szCs w:val="24"/>
          <w:highlight w:val="none"/>
        </w:rPr>
        <w:t>。</w:t>
      </w:r>
    </w:p>
    <w:p w14:paraId="1B49618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允许调整合同价格的工程量偏差范围：</w:t>
      </w:r>
      <w:r>
        <w:rPr>
          <w:rFonts w:hint="eastAsia" w:ascii="宋体" w:hAnsi="宋体" w:eastAsia="宋体" w:cs="宋体"/>
          <w:color w:val="auto"/>
          <w:sz w:val="24"/>
          <w:szCs w:val="24"/>
          <w:highlight w:val="none"/>
          <w:u w:val="single"/>
        </w:rPr>
        <w:t xml:space="preserve">      超过±3%          </w:t>
      </w:r>
      <w:r>
        <w:rPr>
          <w:rFonts w:hint="eastAsia" w:ascii="宋体" w:hAnsi="宋体" w:eastAsia="宋体" w:cs="宋体"/>
          <w:color w:val="auto"/>
          <w:kern w:val="0"/>
          <w:sz w:val="24"/>
          <w:szCs w:val="24"/>
          <w:highlight w:val="none"/>
        </w:rPr>
        <w:t>。</w:t>
      </w:r>
    </w:p>
    <w:p w14:paraId="7AF25757">
      <w:pPr>
        <w:pStyle w:val="6"/>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 发包人</w:t>
      </w:r>
    </w:p>
    <w:p w14:paraId="38093D6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发包人代表</w:t>
      </w:r>
    </w:p>
    <w:p w14:paraId="3FE1407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3CA7800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0EBC276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2D7CA1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75F92B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89BB524">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6F77ED3F">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E22EE38">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宋体" w:hAnsi="宋体" w:eastAsia="宋体" w:cs="宋体"/>
          <w:color w:val="auto"/>
          <w:sz w:val="24"/>
          <w:szCs w:val="24"/>
          <w:highlight w:val="none"/>
        </w:rPr>
        <w:t>。</w:t>
      </w:r>
    </w:p>
    <w:p w14:paraId="5895430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施工现场、施工条件和基础资料的提供</w:t>
      </w:r>
    </w:p>
    <w:p w14:paraId="0AEBBB4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14:paraId="2184788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rPr>
        <w:t>开工前    </w:t>
      </w:r>
      <w:r>
        <w:rPr>
          <w:rFonts w:hint="eastAsia" w:ascii="宋体" w:hAnsi="宋体" w:eastAsia="宋体" w:cs="宋体"/>
          <w:color w:val="auto"/>
          <w:sz w:val="24"/>
          <w:szCs w:val="24"/>
          <w:highlight w:val="none"/>
        </w:rPr>
        <w:t>。</w:t>
      </w:r>
    </w:p>
    <w:p w14:paraId="2D19991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14:paraId="39F6977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rPr>
        <w:t xml:space="preserve"> 执行通用条款          </w:t>
      </w:r>
      <w:r>
        <w:rPr>
          <w:rFonts w:hint="eastAsia" w:ascii="宋体" w:hAnsi="宋体" w:eastAsia="宋体" w:cs="宋体"/>
          <w:color w:val="auto"/>
          <w:sz w:val="24"/>
          <w:szCs w:val="24"/>
          <w:highlight w:val="none"/>
        </w:rPr>
        <w:t>。</w:t>
      </w:r>
    </w:p>
    <w:p w14:paraId="034DEC9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资金来源证明及支付担保</w:t>
      </w:r>
    </w:p>
    <w:p w14:paraId="05A31E14">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FA946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7CC67E0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B9ECB64">
      <w:pPr>
        <w:pStyle w:val="6"/>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 承包人</w:t>
      </w:r>
    </w:p>
    <w:p w14:paraId="04FE589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承包人的一般义务</w:t>
      </w:r>
    </w:p>
    <w:p w14:paraId="7FF06CE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承包人提交的竣工资料的内容：</w:t>
      </w:r>
      <w:r>
        <w:rPr>
          <w:rFonts w:hint="eastAsia" w:ascii="宋体" w:hAnsi="宋体" w:eastAsia="宋体" w:cs="宋体"/>
          <w:color w:val="auto"/>
          <w:sz w:val="24"/>
          <w:szCs w:val="24"/>
          <w:highlight w:val="none"/>
          <w:u w:val="single"/>
        </w:rPr>
        <w:t xml:space="preserve">    竣工图及资料                 </w:t>
      </w:r>
      <w:r>
        <w:rPr>
          <w:rFonts w:hint="eastAsia" w:ascii="宋体" w:hAnsi="宋体" w:eastAsia="宋体" w:cs="宋体"/>
          <w:color w:val="auto"/>
          <w:sz w:val="24"/>
          <w:szCs w:val="24"/>
          <w:highlight w:val="none"/>
        </w:rPr>
        <w:t xml:space="preserve"> 。</w:t>
      </w:r>
    </w:p>
    <w:p w14:paraId="13094B29">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rPr>
        <w:t xml:space="preserve">        两套                       </w:t>
      </w:r>
      <w:r>
        <w:rPr>
          <w:rFonts w:hint="eastAsia" w:ascii="宋体" w:hAnsi="宋体" w:eastAsia="宋体" w:cs="宋体"/>
          <w:color w:val="auto"/>
          <w:sz w:val="24"/>
          <w:szCs w:val="24"/>
          <w:highlight w:val="none"/>
        </w:rPr>
        <w:t>。</w:t>
      </w:r>
    </w:p>
    <w:p w14:paraId="3A1B048F">
      <w:pPr>
        <w:keepNext w:val="0"/>
        <w:keepLines w:val="0"/>
        <w:pageBreakBefore w:val="0"/>
        <w:widowControl w:val="0"/>
        <w:kinsoku/>
        <w:wordWrap/>
        <w:overflowPunct/>
        <w:topLinePunct w:val="0"/>
        <w:autoSpaceDE w:val="0"/>
        <w:autoSpaceDN w:val="0"/>
        <w:bidi w:val="0"/>
        <w:snapToGrid/>
        <w:spacing w:line="340" w:lineRule="exact"/>
        <w:ind w:left="669" w:leftChars="3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p>
    <w:p w14:paraId="1B7E9D88">
      <w:pPr>
        <w:keepNext w:val="0"/>
        <w:keepLines w:val="0"/>
        <w:pageBreakBefore w:val="0"/>
        <w:widowControl w:val="0"/>
        <w:kinsoku/>
        <w:wordWrap/>
        <w:overflowPunct/>
        <w:topLinePunct w:val="0"/>
        <w:autoSpaceDE w:val="0"/>
        <w:autoSpaceDN w:val="0"/>
        <w:bidi w:val="0"/>
        <w:snapToGrid/>
        <w:spacing w:line="340" w:lineRule="exact"/>
        <w:ind w:left="669" w:leftChars="3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 xml:space="preserve">   工程竣工后壹个月                </w:t>
      </w:r>
      <w:r>
        <w:rPr>
          <w:rFonts w:hint="eastAsia" w:ascii="宋体" w:hAnsi="宋体" w:eastAsia="宋体" w:cs="宋体"/>
          <w:color w:val="auto"/>
          <w:sz w:val="24"/>
          <w:szCs w:val="24"/>
          <w:highlight w:val="none"/>
        </w:rPr>
        <w:t>。</w:t>
      </w:r>
    </w:p>
    <w:p w14:paraId="2AADB1D6">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 xml:space="preserve">    书面                            </w:t>
      </w:r>
      <w:r>
        <w:rPr>
          <w:rFonts w:hint="eastAsia" w:ascii="宋体" w:hAnsi="宋体" w:eastAsia="宋体" w:cs="宋体"/>
          <w:color w:val="auto"/>
          <w:sz w:val="24"/>
          <w:szCs w:val="24"/>
          <w:highlight w:val="none"/>
        </w:rPr>
        <w:t>。</w:t>
      </w:r>
    </w:p>
    <w:p w14:paraId="6DC138A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（6）承包人应履行的其他义务：</w:t>
      </w:r>
      <w:r>
        <w:rPr>
          <w:rFonts w:hint="eastAsia" w:ascii="宋体" w:hAnsi="宋体" w:eastAsia="宋体" w:cs="宋体"/>
          <w:color w:val="auto"/>
          <w:sz w:val="24"/>
          <w:szCs w:val="24"/>
          <w:highlight w:val="none"/>
          <w:u w:val="single"/>
        </w:rPr>
        <w:t xml:space="preserve"> 双方协商确定                       </w:t>
      </w:r>
      <w:r>
        <w:rPr>
          <w:rFonts w:hint="eastAsia" w:ascii="宋体" w:hAnsi="宋体" w:eastAsia="宋体" w:cs="宋体"/>
          <w:color w:val="auto"/>
          <w:sz w:val="24"/>
          <w:szCs w:val="24"/>
          <w:highlight w:val="none"/>
        </w:rPr>
        <w:t>。</w:t>
      </w:r>
    </w:p>
    <w:p w14:paraId="4EC06E2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项目负责人</w:t>
      </w:r>
    </w:p>
    <w:p w14:paraId="506C8AB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3.2.1 </w:t>
      </w:r>
      <w:r>
        <w:rPr>
          <w:rFonts w:hint="eastAsia" w:ascii="宋体" w:hAnsi="宋体" w:eastAsia="宋体" w:cs="宋体"/>
          <w:color w:val="auto"/>
          <w:sz w:val="24"/>
          <w:szCs w:val="24"/>
          <w:highlight w:val="none"/>
        </w:rPr>
        <w:t>项目负责人：</w:t>
      </w:r>
    </w:p>
    <w:p w14:paraId="659AF631">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A0F268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FDDC88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C2846F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F41C67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3DE170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414C32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86DCFB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D395D9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F424AA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承包人对项目负责人的授权范围如下：</w:t>
      </w:r>
      <w:r>
        <w:rPr>
          <w:rFonts w:hint="eastAsia" w:ascii="宋体" w:hAnsi="宋体" w:eastAsia="宋体" w:cs="宋体"/>
          <w:color w:val="auto"/>
          <w:sz w:val="24"/>
          <w:szCs w:val="24"/>
          <w:highlight w:val="none"/>
          <w:u w:val="single"/>
        </w:rPr>
        <w:t>全面负责项目施工过程中质量、安全、进度管理工作</w:t>
      </w:r>
      <w:r>
        <w:rPr>
          <w:rFonts w:hint="eastAsia" w:ascii="宋体" w:hAnsi="宋体" w:eastAsia="宋体" w:cs="宋体"/>
          <w:color w:val="auto"/>
          <w:sz w:val="24"/>
          <w:szCs w:val="24"/>
          <w:highlight w:val="none"/>
        </w:rPr>
        <w:t>。</w:t>
      </w:r>
    </w:p>
    <w:p w14:paraId="504602E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关于项目负责人每月在施工现场的时间要求：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8DF6BE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承包人未提交劳动合同，以及没有为项目负责人缴纳社会保险证明的违约责任：</w:t>
      </w:r>
      <w:r>
        <w:rPr>
          <w:rFonts w:hint="eastAsia" w:ascii="宋体" w:hAnsi="宋体" w:eastAsia="宋体" w:cs="宋体"/>
          <w:color w:val="auto"/>
          <w:sz w:val="24"/>
          <w:szCs w:val="24"/>
          <w:highlight w:val="none"/>
          <w:u w:val="single"/>
        </w:rPr>
        <w:t>承包人承担上述违约责任给发包人造成的损失</w:t>
      </w:r>
      <w:r>
        <w:rPr>
          <w:rFonts w:hint="eastAsia" w:ascii="宋体" w:hAnsi="宋体" w:eastAsia="宋体" w:cs="宋体"/>
          <w:color w:val="auto"/>
          <w:sz w:val="24"/>
          <w:szCs w:val="24"/>
          <w:highlight w:val="none"/>
        </w:rPr>
        <w:t>。</w:t>
      </w:r>
    </w:p>
    <w:p w14:paraId="400F65E3">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项目负责人未经批准，擅自离开施工现场的违约责任：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27E2FCC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承包人擅自更换项目负责人的违约责任：</w:t>
      </w:r>
      <w:r>
        <w:rPr>
          <w:rFonts w:hint="eastAsia" w:ascii="宋体" w:hAnsi="宋体" w:eastAsia="宋体" w:cs="宋体"/>
          <w:color w:val="auto"/>
          <w:sz w:val="24"/>
          <w:szCs w:val="24"/>
          <w:highlight w:val="none"/>
          <w:u w:val="single"/>
        </w:rPr>
        <w:t>承包人承担上述违约责任给发包人造成的损失</w:t>
      </w:r>
      <w:r>
        <w:rPr>
          <w:rFonts w:hint="eastAsia" w:ascii="宋体" w:hAnsi="宋体" w:eastAsia="宋体" w:cs="宋体"/>
          <w:color w:val="auto"/>
          <w:sz w:val="24"/>
          <w:szCs w:val="24"/>
          <w:highlight w:val="none"/>
        </w:rPr>
        <w:t>。</w:t>
      </w:r>
    </w:p>
    <w:p w14:paraId="6A379F7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承包人无正当理由拒绝更换项目负责人的违约责任：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30C9B87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承包人人员</w:t>
      </w:r>
    </w:p>
    <w:p w14:paraId="59E81B5E">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承包人提交项目管理机构及施工现场管理人员安排报告的期限：</w:t>
      </w:r>
      <w:r>
        <w:rPr>
          <w:rFonts w:hint="eastAsia" w:ascii="宋体" w:hAnsi="宋体" w:eastAsia="宋体" w:cs="宋体"/>
          <w:color w:val="auto"/>
          <w:sz w:val="24"/>
          <w:szCs w:val="24"/>
          <w:highlight w:val="none"/>
          <w:u w:val="single"/>
        </w:rPr>
        <w:t xml:space="preserve">工程开工前2天  </w:t>
      </w:r>
      <w:r>
        <w:rPr>
          <w:rFonts w:hint="eastAsia" w:ascii="宋体" w:hAnsi="宋体" w:eastAsia="宋体" w:cs="宋体"/>
          <w:color w:val="auto"/>
          <w:sz w:val="24"/>
          <w:szCs w:val="24"/>
          <w:highlight w:val="none"/>
        </w:rPr>
        <w:t>。</w:t>
      </w:r>
    </w:p>
    <w:p w14:paraId="43AB9A5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承包人无正当理由拒绝撤换主要施工管理人员的违约责任：</w:t>
      </w:r>
      <w:r>
        <w:rPr>
          <w:rFonts w:hint="eastAsia" w:ascii="宋体" w:hAnsi="宋体" w:eastAsia="宋体" w:cs="宋体"/>
          <w:color w:val="auto"/>
          <w:sz w:val="24"/>
          <w:szCs w:val="24"/>
          <w:highlight w:val="none"/>
          <w:u w:val="single"/>
        </w:rPr>
        <w:t xml:space="preserve"> 承包人承担上述违约责任给发包人造成的损失      </w:t>
      </w:r>
      <w:r>
        <w:rPr>
          <w:rFonts w:hint="eastAsia" w:ascii="宋体" w:hAnsi="宋体" w:eastAsia="宋体" w:cs="宋体"/>
          <w:color w:val="auto"/>
          <w:sz w:val="24"/>
          <w:szCs w:val="24"/>
          <w:highlight w:val="none"/>
        </w:rPr>
        <w:t>。</w:t>
      </w:r>
    </w:p>
    <w:p w14:paraId="5F7C2FF8">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3.3.4 承包人主要施工管理人员离开施工现场的批准要求： </w:t>
      </w:r>
      <w:r>
        <w:rPr>
          <w:rFonts w:hint="eastAsia" w:ascii="宋体" w:hAnsi="宋体" w:eastAsia="宋体" w:cs="宋体"/>
          <w:color w:val="auto"/>
          <w:sz w:val="24"/>
          <w:szCs w:val="24"/>
          <w:highlight w:val="none"/>
          <w:u w:val="single"/>
        </w:rPr>
        <w:t xml:space="preserve">由发包人师批准后方可离开      </w:t>
      </w:r>
      <w:r>
        <w:rPr>
          <w:rFonts w:hint="eastAsia" w:ascii="宋体" w:hAnsi="宋体" w:eastAsia="宋体" w:cs="宋体"/>
          <w:color w:val="auto"/>
          <w:sz w:val="24"/>
          <w:szCs w:val="24"/>
          <w:highlight w:val="none"/>
        </w:rPr>
        <w:t>。</w:t>
      </w:r>
    </w:p>
    <w:p w14:paraId="61B34FF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3.3.5承包人擅自更换主要施工管理人员的违约责任：</w:t>
      </w:r>
      <w:r>
        <w:rPr>
          <w:rFonts w:hint="eastAsia" w:ascii="宋体" w:hAnsi="宋体" w:eastAsia="宋体" w:cs="宋体"/>
          <w:color w:val="auto"/>
          <w:sz w:val="24"/>
          <w:szCs w:val="24"/>
          <w:highlight w:val="none"/>
          <w:u w:val="single"/>
        </w:rPr>
        <w:t xml:space="preserve">承包人承担上述违约责任给发包人造成的损失    </w:t>
      </w:r>
      <w:r>
        <w:rPr>
          <w:rFonts w:hint="eastAsia" w:ascii="宋体" w:hAnsi="宋体" w:eastAsia="宋体" w:cs="宋体"/>
          <w:color w:val="auto"/>
          <w:sz w:val="24"/>
          <w:szCs w:val="24"/>
          <w:highlight w:val="none"/>
        </w:rPr>
        <w:t>。</w:t>
      </w:r>
    </w:p>
    <w:p w14:paraId="62285C9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承包人主要施工管理人员擅自离开施工现场的违约责任：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46B1341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54" w:name="_Toc296890987"/>
      <w:bookmarkStart w:id="55" w:name="_Toc292559364"/>
      <w:bookmarkStart w:id="56" w:name="_Toc296347158"/>
      <w:bookmarkStart w:id="57" w:name="_Toc297216151"/>
      <w:bookmarkStart w:id="58" w:name="_Toc300934945"/>
      <w:bookmarkStart w:id="59" w:name="_Toc297048345"/>
      <w:bookmarkStart w:id="60" w:name="_Toc304295523"/>
      <w:bookmarkStart w:id="61" w:name="_Toc297120459"/>
      <w:bookmarkStart w:id="62" w:name="_Toc296891199"/>
      <w:bookmarkStart w:id="63" w:name="_Toc296944498"/>
      <w:bookmarkStart w:id="64" w:name="_Toc296503159"/>
      <w:bookmarkStart w:id="65" w:name="_Toc296346660"/>
      <w:bookmarkStart w:id="66" w:name="_Toc312677988"/>
      <w:bookmarkStart w:id="67" w:name="_Toc303539102"/>
      <w:bookmarkStart w:id="68" w:name="_Toc292559869"/>
      <w:bookmarkStart w:id="69" w:name="_Toc297123492"/>
      <w:r>
        <w:rPr>
          <w:rFonts w:hint="eastAsia" w:ascii="宋体" w:hAnsi="宋体" w:eastAsia="宋体" w:cs="宋体"/>
          <w:color w:val="auto"/>
          <w:sz w:val="24"/>
          <w:szCs w:val="24"/>
          <w:highlight w:val="none"/>
        </w:rPr>
        <w:t>.5 分包</w:t>
      </w:r>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14:paraId="7329C07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70" w:name="_Toc296503160"/>
      <w:bookmarkStart w:id="71" w:name="_Toc296891200"/>
      <w:bookmarkStart w:id="72" w:name="_Toc303539103"/>
      <w:bookmarkStart w:id="73" w:name="_Toc300934946"/>
      <w:bookmarkStart w:id="74" w:name="_Toc297123493"/>
      <w:bookmarkStart w:id="75" w:name="_Toc296347159"/>
      <w:bookmarkStart w:id="76" w:name="_Toc297048346"/>
      <w:bookmarkStart w:id="77" w:name="_Toc296944499"/>
      <w:bookmarkStart w:id="78" w:name="_Toc297120460"/>
      <w:bookmarkStart w:id="79" w:name="_Toc292559870"/>
      <w:bookmarkStart w:id="80" w:name="_Toc292559365"/>
      <w:bookmarkStart w:id="81" w:name="_Toc304295524"/>
      <w:bookmarkStart w:id="82" w:name="_Toc296346661"/>
      <w:bookmarkStart w:id="83" w:name="_Toc297216152"/>
      <w:bookmarkStart w:id="84" w:name="_Toc296890988"/>
      <w:bookmarkStart w:id="85" w:name="_Toc318581158"/>
      <w:bookmarkStart w:id="86" w:name="_Toc312677989"/>
      <w:r>
        <w:rPr>
          <w:rFonts w:hint="eastAsia" w:ascii="宋体" w:hAnsi="宋体" w:eastAsia="宋体" w:cs="宋体"/>
          <w:color w:val="auto"/>
          <w:sz w:val="24"/>
          <w:szCs w:val="24"/>
          <w:highlight w:val="none"/>
        </w:rPr>
        <w:t>.5.1 分包的一般约定</w:t>
      </w:r>
    </w:p>
    <w:p w14:paraId="1BE2332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73B5895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主体结构、关键性工作的范围：</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Start w:id="87" w:name="_Toc296890989"/>
      <w:bookmarkStart w:id="88" w:name="_Toc297120461"/>
      <w:bookmarkStart w:id="89" w:name="_Toc296944500"/>
      <w:bookmarkStart w:id="90" w:name="_Toc300934947"/>
      <w:bookmarkStart w:id="91" w:name="_Toc297216153"/>
      <w:bookmarkStart w:id="92" w:name="_Toc296503161"/>
      <w:bookmarkStart w:id="93" w:name="_Toc297048347"/>
      <w:bookmarkStart w:id="94" w:name="_Toc296346662"/>
      <w:bookmarkStart w:id="95" w:name="_Toc297123494"/>
      <w:bookmarkStart w:id="96" w:name="_Toc303539104"/>
      <w:bookmarkStart w:id="97" w:name="_Toc304295525"/>
      <w:bookmarkStart w:id="98" w:name="_Toc296891201"/>
      <w:bookmarkStart w:id="99" w:name="_Toc296347160"/>
    </w:p>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14:paraId="22761518">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100" w:name="_Toc318581159"/>
      <w:bookmarkStart w:id="101" w:name="_Toc312677990"/>
      <w:r>
        <w:rPr>
          <w:rFonts w:hint="eastAsia" w:ascii="宋体" w:hAnsi="宋体" w:eastAsia="宋体" w:cs="宋体"/>
          <w:color w:val="auto"/>
          <w:sz w:val="24"/>
          <w:szCs w:val="24"/>
          <w:highlight w:val="none"/>
        </w:rPr>
        <w:t>.5.2分包的确定</w:t>
      </w:r>
    </w:p>
    <w:p w14:paraId="1531284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7840833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其他关于分包的约定：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80FEB9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 分包合同价款</w:t>
      </w:r>
    </w:p>
    <w:p w14:paraId="41E2ADF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关于分包合同价款支付的约定：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bookmarkEnd w:id="100"/>
    <w:bookmarkEnd w:id="101"/>
    <w:p w14:paraId="5DEA0CD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工程照管与成品、半成品保护</w:t>
      </w:r>
    </w:p>
    <w:p w14:paraId="6B3DCD37">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承包人负责照管工程及工程相关的材料、工程设备的起始时间：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材料、设备进场至验交付使用前由承包人负责保修，交付使用后由发包人做成品保护</w:t>
      </w:r>
      <w:r>
        <w:rPr>
          <w:rFonts w:hint="eastAsia"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3569863">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履约担保</w:t>
      </w:r>
    </w:p>
    <w:p w14:paraId="1922791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承包人是否提供履约担保：</w:t>
      </w:r>
      <w:r>
        <w:rPr>
          <w:rFonts w:hint="eastAsia" w:ascii="宋体" w:hAnsi="宋体" w:eastAsia="宋体" w:cs="宋体"/>
          <w:color w:val="auto"/>
          <w:sz w:val="24"/>
          <w:szCs w:val="24"/>
          <w:highlight w:val="none"/>
          <w:u w:val="single"/>
        </w:rPr>
        <w:t xml:space="preserve">   发包人与承包人协商确定  </w:t>
      </w:r>
      <w:r>
        <w:rPr>
          <w:rFonts w:hint="eastAsia" w:ascii="宋体" w:hAnsi="宋体" w:eastAsia="宋体" w:cs="宋体"/>
          <w:color w:val="auto"/>
          <w:sz w:val="24"/>
          <w:szCs w:val="24"/>
          <w:highlight w:val="none"/>
        </w:rPr>
        <w:t>。</w:t>
      </w:r>
    </w:p>
    <w:p w14:paraId="166FF0A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承包人提供履约担保的形式、金额及期限的：</w:t>
      </w:r>
      <w:r>
        <w:rPr>
          <w:rFonts w:hint="eastAsia" w:ascii="宋体" w:hAnsi="宋体" w:eastAsia="宋体" w:cs="宋体"/>
          <w:color w:val="auto"/>
          <w:sz w:val="24"/>
          <w:szCs w:val="24"/>
          <w:highlight w:val="none"/>
          <w:u w:val="single"/>
        </w:rPr>
        <w:t xml:space="preserve"> 发包人与承包人协商确定  </w:t>
      </w:r>
      <w:r>
        <w:rPr>
          <w:rFonts w:hint="eastAsia" w:ascii="宋体" w:hAnsi="宋体" w:eastAsia="宋体" w:cs="宋体"/>
          <w:color w:val="auto"/>
          <w:sz w:val="24"/>
          <w:szCs w:val="24"/>
          <w:highlight w:val="none"/>
        </w:rPr>
        <w:t>。</w:t>
      </w:r>
    </w:p>
    <w:p w14:paraId="34510E06">
      <w:pPr>
        <w:pStyle w:val="6"/>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 监理人</w:t>
      </w:r>
    </w:p>
    <w:p w14:paraId="3A183C7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4.1监理人的一般规定</w:t>
      </w:r>
    </w:p>
    <w:p w14:paraId="3D0E0CE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7BC44A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D37B72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4B89DE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监理人员</w:t>
      </w:r>
    </w:p>
    <w:p w14:paraId="7FA0753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21BBE7A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1DDF46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03EAC8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C307E7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FAEF08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A67343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F23B20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56434A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商定或确定</w:t>
      </w:r>
    </w:p>
    <w:p w14:paraId="17BC2CB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在发包人和承包人不能通过协商达成一致意见时，发包人授权监理人对以下事项进行确定：</w:t>
      </w:r>
    </w:p>
    <w:p w14:paraId="42229847">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B594688">
      <w:pPr>
        <w:pStyle w:val="6"/>
        <w:keepNext w:val="0"/>
        <w:keepLines w:val="0"/>
        <w:pageBreakBefore w:val="0"/>
        <w:widowControl w:val="0"/>
        <w:kinsoku/>
        <w:wordWrap/>
        <w:overflowPunct/>
        <w:topLinePunct w:val="0"/>
        <w:autoSpaceDE w:val="0"/>
        <w:autoSpaceDN w:val="0"/>
        <w:bidi w:val="0"/>
        <w:snapToGrid/>
        <w:spacing w:before="120" w:after="120" w:line="34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 工程质量</w:t>
      </w:r>
    </w:p>
    <w:p w14:paraId="2B20F52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质量要求</w:t>
      </w:r>
    </w:p>
    <w:p w14:paraId="6A67BAD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 特殊质量标准和要求：</w:t>
      </w:r>
      <w:r>
        <w:rPr>
          <w:rFonts w:hint="eastAsia" w:ascii="宋体" w:hAnsi="宋体" w:eastAsia="宋体" w:cs="宋体"/>
          <w:color w:val="auto"/>
          <w:sz w:val="24"/>
          <w:szCs w:val="24"/>
          <w:highlight w:val="none"/>
          <w:u w:val="single"/>
        </w:rPr>
        <w:t xml:space="preserve">     合格     </w:t>
      </w:r>
      <w:r>
        <w:rPr>
          <w:rFonts w:hint="eastAsia" w:ascii="宋体" w:hAnsi="宋体" w:eastAsia="宋体" w:cs="宋体"/>
          <w:color w:val="auto"/>
          <w:sz w:val="24"/>
          <w:szCs w:val="24"/>
          <w:highlight w:val="none"/>
        </w:rPr>
        <w:t>。</w:t>
      </w:r>
    </w:p>
    <w:p w14:paraId="5896D35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D95CBD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隐蔽工程检查</w:t>
      </w:r>
    </w:p>
    <w:p w14:paraId="4364C3D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5.3.2承包人提前通知监理人隐蔽工程检查的期限的约定：</w:t>
      </w:r>
      <w:r>
        <w:rPr>
          <w:rFonts w:hint="eastAsia" w:ascii="宋体" w:hAnsi="宋体" w:eastAsia="宋体" w:cs="宋体"/>
          <w:color w:val="auto"/>
          <w:sz w:val="24"/>
          <w:szCs w:val="24"/>
          <w:highlight w:val="none"/>
          <w:u w:val="single"/>
        </w:rPr>
        <w:t>共同检查前48小时书面通知监理人</w:t>
      </w:r>
      <w:r>
        <w:rPr>
          <w:rFonts w:hint="eastAsia" w:ascii="宋体" w:hAnsi="宋体" w:eastAsia="宋体" w:cs="宋体"/>
          <w:color w:val="auto"/>
          <w:sz w:val="24"/>
          <w:szCs w:val="24"/>
          <w:highlight w:val="none"/>
        </w:rPr>
        <w:t>。</w:t>
      </w:r>
    </w:p>
    <w:p w14:paraId="31DCA9D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监理人不能按时进行检查时，应提前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0F72B02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750B6A6C">
      <w:pPr>
        <w:pStyle w:val="6"/>
        <w:keepNext w:val="0"/>
        <w:keepLines w:val="0"/>
        <w:pageBreakBefore w:val="0"/>
        <w:widowControl w:val="0"/>
        <w:kinsoku/>
        <w:wordWrap/>
        <w:overflowPunct/>
        <w:topLinePunct w:val="0"/>
        <w:autoSpaceDE w:val="0"/>
        <w:autoSpaceDN w:val="0"/>
        <w:bidi w:val="0"/>
        <w:snapToGrid/>
        <w:spacing w:before="120" w:after="120" w:line="34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 安全文明施工与环境保护</w:t>
      </w:r>
    </w:p>
    <w:p w14:paraId="49CED91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6.1安全文明施工</w:t>
      </w:r>
    </w:p>
    <w:p w14:paraId="682F4D6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项目安全生产的达标目标及相应事项的约定：</w:t>
      </w:r>
      <w:r>
        <w:rPr>
          <w:rFonts w:hint="eastAsia" w:ascii="宋体" w:hAnsi="宋体" w:eastAsia="宋体" w:cs="宋体"/>
          <w:color w:val="auto"/>
          <w:sz w:val="24"/>
          <w:szCs w:val="24"/>
          <w:highlight w:val="none"/>
          <w:u w:val="single"/>
        </w:rPr>
        <w:t>达到《建筑工程安全检查标准》（JGJ59-2011）标准</w:t>
      </w:r>
      <w:r>
        <w:rPr>
          <w:rFonts w:hint="eastAsia" w:ascii="宋体" w:hAnsi="宋体" w:eastAsia="宋体" w:cs="宋体"/>
          <w:color w:val="auto"/>
          <w:sz w:val="24"/>
          <w:szCs w:val="24"/>
          <w:highlight w:val="none"/>
        </w:rPr>
        <w:t>。</w:t>
      </w:r>
    </w:p>
    <w:p w14:paraId="4AA9112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 关于治安保卫的特别约定：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3570910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 xml:space="preserve">     开工前提供场地治安管理计划       </w:t>
      </w:r>
      <w:r>
        <w:rPr>
          <w:rFonts w:hint="eastAsia" w:ascii="宋体" w:hAnsi="宋体" w:eastAsia="宋体" w:cs="宋体"/>
          <w:color w:val="auto"/>
          <w:sz w:val="24"/>
          <w:szCs w:val="24"/>
          <w:highlight w:val="none"/>
        </w:rPr>
        <w:t>。</w:t>
      </w:r>
    </w:p>
    <w:p w14:paraId="5034F0E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14:paraId="180E81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达到《建筑施工现场环境与卫生标准》（JGJ146-2004）标准</w:t>
      </w:r>
      <w:r>
        <w:rPr>
          <w:rFonts w:hint="eastAsia" w:ascii="宋体" w:hAnsi="宋体" w:eastAsia="宋体" w:cs="宋体"/>
          <w:color w:val="auto"/>
          <w:sz w:val="24"/>
          <w:szCs w:val="24"/>
          <w:highlight w:val="none"/>
        </w:rPr>
        <w:t>。</w:t>
      </w:r>
    </w:p>
    <w:p w14:paraId="080D0DE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6.1.6 关于安全文明施工费支付比例和支付期限的约定：</w:t>
      </w:r>
      <w:r>
        <w:rPr>
          <w:rFonts w:hint="eastAsia" w:ascii="宋体" w:hAnsi="宋体" w:eastAsia="宋体" w:cs="宋体"/>
          <w:color w:val="auto"/>
          <w:sz w:val="24"/>
          <w:szCs w:val="24"/>
          <w:highlight w:val="none"/>
          <w:u w:val="single"/>
        </w:rPr>
        <w:t xml:space="preserve">  纳入合同价格支付    </w:t>
      </w:r>
      <w:r>
        <w:rPr>
          <w:rFonts w:hint="eastAsia" w:ascii="宋体" w:hAnsi="宋体" w:eastAsia="宋体" w:cs="宋体"/>
          <w:color w:val="auto"/>
          <w:sz w:val="24"/>
          <w:szCs w:val="24"/>
          <w:highlight w:val="none"/>
        </w:rPr>
        <w:t>。</w:t>
      </w:r>
    </w:p>
    <w:p w14:paraId="339DFA7A">
      <w:pPr>
        <w:pStyle w:val="6"/>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02" w:name="_Toc351203639"/>
      <w:r>
        <w:rPr>
          <w:rFonts w:hint="eastAsia" w:ascii="宋体" w:hAnsi="宋体" w:eastAsia="宋体" w:cs="宋体"/>
          <w:b w:val="0"/>
          <w:color w:val="auto"/>
          <w:sz w:val="24"/>
          <w:szCs w:val="24"/>
          <w:highlight w:val="none"/>
        </w:rPr>
        <w:t>7. 工期和进度</w:t>
      </w:r>
      <w:bookmarkEnd w:id="102"/>
    </w:p>
    <w:p w14:paraId="4177889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施工组织设计</w:t>
      </w:r>
    </w:p>
    <w:p w14:paraId="03F48872">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7.1.1 合</w:t>
      </w:r>
      <w:r>
        <w:rPr>
          <w:rFonts w:hint="eastAsia" w:ascii="宋体" w:hAnsi="宋体" w:eastAsia="宋体" w:cs="宋体"/>
          <w:color w:val="auto"/>
          <w:kern w:val="0"/>
          <w:sz w:val="24"/>
          <w:szCs w:val="24"/>
          <w:highlight w:val="none"/>
        </w:rPr>
        <w:t>同当事人约定的施工组织设计应包括的其他内容：</w:t>
      </w:r>
      <w:r>
        <w:rPr>
          <w:rFonts w:hint="eastAsia" w:ascii="宋体" w:hAnsi="宋体" w:eastAsia="宋体" w:cs="宋体"/>
          <w:color w:val="auto"/>
          <w:sz w:val="24"/>
          <w:szCs w:val="24"/>
          <w:highlight w:val="none"/>
          <w:u w:val="single"/>
        </w:rPr>
        <w:t xml:space="preserve">按通用条款执行   </w:t>
      </w:r>
      <w:r>
        <w:rPr>
          <w:rFonts w:hint="eastAsia" w:ascii="宋体" w:hAnsi="宋体" w:eastAsia="宋体" w:cs="宋体"/>
          <w:color w:val="auto"/>
          <w:sz w:val="24"/>
          <w:szCs w:val="24"/>
          <w:highlight w:val="none"/>
        </w:rPr>
        <w:t>。</w:t>
      </w:r>
    </w:p>
    <w:p w14:paraId="53BA4EC3">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7.1.2 </w:t>
      </w:r>
      <w:r>
        <w:rPr>
          <w:rFonts w:hint="eastAsia" w:ascii="宋体" w:hAnsi="宋体" w:eastAsia="宋体" w:cs="宋体"/>
          <w:color w:val="auto"/>
          <w:kern w:val="0"/>
          <w:sz w:val="24"/>
          <w:szCs w:val="24"/>
          <w:highlight w:val="none"/>
        </w:rPr>
        <w:t>施工组织设计的提交和修改</w:t>
      </w:r>
    </w:p>
    <w:p w14:paraId="1475C83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承包人提交详细施工组织设计的期限的约定：</w:t>
      </w:r>
      <w:r>
        <w:rPr>
          <w:rFonts w:hint="eastAsia" w:ascii="宋体" w:hAnsi="宋体" w:eastAsia="宋体" w:cs="宋体"/>
          <w:color w:val="auto"/>
          <w:sz w:val="24"/>
          <w:szCs w:val="24"/>
          <w:highlight w:val="none"/>
          <w:u w:val="single"/>
        </w:rPr>
        <w:t xml:space="preserve">        开工前          </w:t>
      </w:r>
      <w:r>
        <w:rPr>
          <w:rFonts w:hint="eastAsia" w:ascii="宋体" w:hAnsi="宋体" w:eastAsia="宋体" w:cs="宋体"/>
          <w:color w:val="auto"/>
          <w:sz w:val="24"/>
          <w:szCs w:val="24"/>
          <w:highlight w:val="none"/>
        </w:rPr>
        <w:t>。</w:t>
      </w:r>
    </w:p>
    <w:p w14:paraId="28EF5FF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收到后7天内</w:t>
      </w:r>
      <w:r>
        <w:rPr>
          <w:rFonts w:hint="eastAsia" w:ascii="宋体" w:hAnsi="宋体" w:eastAsia="宋体" w:cs="宋体"/>
          <w:color w:val="auto"/>
          <w:sz w:val="24"/>
          <w:szCs w:val="24"/>
          <w:highlight w:val="none"/>
        </w:rPr>
        <w:t>。</w:t>
      </w:r>
    </w:p>
    <w:p w14:paraId="262F6DB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03" w:name="_Toc312678005"/>
      <w:bookmarkStart w:id="104" w:name="_Toc297216173"/>
      <w:bookmarkStart w:id="105" w:name="_Toc300934966"/>
      <w:bookmarkStart w:id="106" w:name="_Toc312677479"/>
      <w:bookmarkStart w:id="107" w:name="_Toc304295541"/>
      <w:bookmarkStart w:id="108" w:name="_Toc297123514"/>
      <w:bookmarkStart w:id="109" w:name="_Toc303539123"/>
      <w:r>
        <w:rPr>
          <w:rFonts w:hint="eastAsia" w:ascii="宋体" w:hAnsi="宋体" w:eastAsia="宋体" w:cs="宋体"/>
          <w:color w:val="auto"/>
          <w:sz w:val="24"/>
          <w:szCs w:val="24"/>
          <w:highlight w:val="none"/>
        </w:rPr>
        <w:t>.2 施工进度计划</w:t>
      </w:r>
    </w:p>
    <w:p w14:paraId="2F7A04A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49E309B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 xml:space="preserve"> 收到后5日内  </w:t>
      </w:r>
      <w:r>
        <w:rPr>
          <w:rFonts w:hint="eastAsia" w:ascii="宋体" w:hAnsi="宋体" w:eastAsia="宋体" w:cs="宋体"/>
          <w:color w:val="auto"/>
          <w:sz w:val="24"/>
          <w:szCs w:val="24"/>
          <w:highlight w:val="none"/>
        </w:rPr>
        <w:t>。</w:t>
      </w:r>
    </w:p>
    <w:p w14:paraId="6D82465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开工</w:t>
      </w:r>
    </w:p>
    <w:p w14:paraId="0ADA07E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14:paraId="67282C3C">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关于承包人提交</w:t>
      </w:r>
      <w:r>
        <w:rPr>
          <w:rFonts w:hint="eastAsia" w:ascii="宋体" w:hAnsi="宋体" w:eastAsia="宋体" w:cs="宋体"/>
          <w:color w:val="auto"/>
          <w:kern w:val="0"/>
          <w:sz w:val="24"/>
          <w:szCs w:val="24"/>
          <w:highlight w:val="none"/>
        </w:rPr>
        <w:t>工程开工报审表的期限：</w:t>
      </w:r>
      <w:r>
        <w:rPr>
          <w:rFonts w:hint="eastAsia" w:ascii="宋体" w:hAnsi="宋体" w:eastAsia="宋体" w:cs="宋体"/>
          <w:color w:val="auto"/>
          <w:sz w:val="24"/>
          <w:szCs w:val="24"/>
          <w:highlight w:val="none"/>
          <w:u w:val="single"/>
        </w:rPr>
        <w:t xml:space="preserve">  合同签订后、开工前    </w:t>
      </w:r>
      <w:r>
        <w:rPr>
          <w:rFonts w:hint="eastAsia" w:ascii="宋体" w:hAnsi="宋体" w:eastAsia="宋体" w:cs="宋体"/>
          <w:color w:val="auto"/>
          <w:sz w:val="24"/>
          <w:szCs w:val="24"/>
          <w:highlight w:val="none"/>
        </w:rPr>
        <w:t>。</w:t>
      </w:r>
    </w:p>
    <w:p w14:paraId="4FE8C3DD">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24A3AA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04BE1F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p w14:paraId="3498045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4"/>
          <w:highlight w:val="none"/>
          <w:u w:val="single"/>
        </w:rPr>
        <w:t xml:space="preserve"> 180 </w:t>
      </w:r>
      <w:r>
        <w:rPr>
          <w:rFonts w:hint="eastAsia" w:ascii="宋体" w:hAnsi="宋体" w:eastAsia="宋体" w:cs="宋体"/>
          <w:color w:val="auto"/>
          <w:sz w:val="24"/>
          <w:szCs w:val="24"/>
          <w:highlight w:val="none"/>
        </w:rPr>
        <w:t>天内发出开工通知的，承包人有权提出价格调整要求，或者解除合同。</w:t>
      </w:r>
    </w:p>
    <w:bookmarkEnd w:id="103"/>
    <w:bookmarkEnd w:id="104"/>
    <w:bookmarkEnd w:id="105"/>
    <w:bookmarkEnd w:id="106"/>
    <w:bookmarkEnd w:id="107"/>
    <w:bookmarkEnd w:id="108"/>
    <w:bookmarkEnd w:id="109"/>
    <w:p w14:paraId="4832E36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测量放线</w:t>
      </w:r>
    </w:p>
    <w:p w14:paraId="13690D6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7.4.1发包人通过监理人向承包人提供测量基准点、基准线和水准点及其书面资料的期限：</w:t>
      </w:r>
      <w:r>
        <w:rPr>
          <w:rFonts w:hint="eastAsia" w:ascii="宋体" w:hAnsi="宋体" w:eastAsia="宋体" w:cs="宋体"/>
          <w:color w:val="auto"/>
          <w:sz w:val="24"/>
          <w:szCs w:val="24"/>
          <w:highlight w:val="none"/>
          <w:u w:val="single"/>
        </w:rPr>
        <w:t xml:space="preserve">  合同签订后、开工前             </w:t>
      </w:r>
      <w:r>
        <w:rPr>
          <w:rFonts w:hint="eastAsia" w:ascii="宋体" w:hAnsi="宋体" w:eastAsia="宋体" w:cs="宋体"/>
          <w:color w:val="auto"/>
          <w:sz w:val="24"/>
          <w:szCs w:val="24"/>
          <w:highlight w:val="none"/>
        </w:rPr>
        <w:t>。</w:t>
      </w:r>
    </w:p>
    <w:p w14:paraId="468E539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10" w:name="_Toc312678010"/>
      <w:bookmarkStart w:id="111" w:name="_Toc297216175"/>
      <w:bookmarkStart w:id="112" w:name="_Toc297123516"/>
      <w:bookmarkStart w:id="113" w:name="_Toc312677484"/>
      <w:bookmarkStart w:id="114" w:name="_Toc300934968"/>
      <w:bookmarkStart w:id="115" w:name="_Toc303539125"/>
      <w:bookmarkStart w:id="116" w:name="_Toc304295546"/>
      <w:r>
        <w:rPr>
          <w:rFonts w:hint="eastAsia" w:ascii="宋体" w:hAnsi="宋体" w:eastAsia="宋体" w:cs="宋体"/>
          <w:color w:val="auto"/>
          <w:sz w:val="24"/>
          <w:szCs w:val="24"/>
          <w:highlight w:val="none"/>
        </w:rPr>
        <w:t>.5 工期延误</w:t>
      </w:r>
    </w:p>
    <w:bookmarkEnd w:id="110"/>
    <w:bookmarkEnd w:id="111"/>
    <w:bookmarkEnd w:id="112"/>
    <w:bookmarkEnd w:id="113"/>
    <w:bookmarkEnd w:id="114"/>
    <w:bookmarkEnd w:id="115"/>
    <w:bookmarkEnd w:id="116"/>
    <w:p w14:paraId="75EFFA5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 因发包人原因导致工期延误</w:t>
      </w:r>
    </w:p>
    <w:p w14:paraId="3133778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（7）因发包人原因导致工期延误的其他情形：</w:t>
      </w:r>
      <w:r>
        <w:rPr>
          <w:rFonts w:hint="eastAsia" w:ascii="宋体" w:hAnsi="宋体" w:eastAsia="宋体" w:cs="宋体"/>
          <w:color w:val="auto"/>
          <w:sz w:val="24"/>
          <w:szCs w:val="24"/>
          <w:highlight w:val="none"/>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宋体" w:hAnsi="宋体" w:eastAsia="宋体" w:cs="宋体"/>
          <w:color w:val="auto"/>
          <w:sz w:val="24"/>
          <w:szCs w:val="24"/>
          <w:highlight w:val="none"/>
        </w:rPr>
        <w:t>。</w:t>
      </w:r>
    </w:p>
    <w:p w14:paraId="08EAF75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17" w:name="_Toc312677486"/>
      <w:bookmarkStart w:id="118" w:name="_Toc318581169"/>
      <w:bookmarkStart w:id="119" w:name="_Toc312678012"/>
      <w:bookmarkStart w:id="120" w:name="_Toc304295548"/>
      <w:bookmarkStart w:id="121" w:name="_Toc303539127"/>
      <w:bookmarkStart w:id="122" w:name="_Toc300934970"/>
      <w:bookmarkStart w:id="123" w:name="_Toc297123518"/>
      <w:bookmarkStart w:id="124" w:name="_Toc297216177"/>
      <w:r>
        <w:rPr>
          <w:rFonts w:hint="eastAsia" w:ascii="宋体" w:hAnsi="宋体" w:eastAsia="宋体" w:cs="宋体"/>
          <w:color w:val="auto"/>
          <w:sz w:val="24"/>
          <w:szCs w:val="24"/>
          <w:highlight w:val="none"/>
        </w:rPr>
        <w:t>.5.2 因承包人原因导致工期延误</w:t>
      </w:r>
    </w:p>
    <w:bookmarkEnd w:id="117"/>
    <w:bookmarkEnd w:id="118"/>
    <w:bookmarkEnd w:id="119"/>
    <w:p w14:paraId="3755B00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因</w:t>
      </w:r>
      <w:bookmarkStart w:id="125" w:name="_Toc312677487"/>
      <w:bookmarkStart w:id="126" w:name="_Toc312678013"/>
      <w:bookmarkStart w:id="127" w:name="_Toc318581170"/>
      <w:r>
        <w:rPr>
          <w:rFonts w:hint="eastAsia" w:ascii="宋体" w:hAnsi="宋体" w:eastAsia="宋体" w:cs="宋体"/>
          <w:color w:val="auto"/>
          <w:sz w:val="24"/>
          <w:szCs w:val="24"/>
          <w:highlight w:val="none"/>
        </w:rPr>
        <w:t>承包人原因造成工期延误，逾期竣工违约金的计算方法为：</w:t>
      </w:r>
    </w:p>
    <w:p w14:paraId="0A115029">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每推延一天，赔偿合同价款的0.1%                 </w:t>
      </w:r>
      <w:r>
        <w:rPr>
          <w:rFonts w:hint="eastAsia" w:ascii="宋体" w:hAnsi="宋体" w:eastAsia="宋体" w:cs="宋体"/>
          <w:color w:val="auto"/>
          <w:sz w:val="24"/>
          <w:szCs w:val="24"/>
          <w:highlight w:val="none"/>
        </w:rPr>
        <w:t>。</w:t>
      </w:r>
      <w:bookmarkEnd w:id="120"/>
      <w:bookmarkEnd w:id="121"/>
      <w:bookmarkEnd w:id="122"/>
      <w:bookmarkEnd w:id="123"/>
      <w:bookmarkEnd w:id="124"/>
      <w:bookmarkEnd w:id="125"/>
      <w:bookmarkEnd w:id="126"/>
    </w:p>
    <w:bookmarkEnd w:id="127"/>
    <w:p w14:paraId="715FE82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w:t>
      </w:r>
      <w:bookmarkStart w:id="128" w:name="_Toc318581171"/>
      <w:bookmarkStart w:id="129" w:name="_Toc312678014"/>
      <w:r>
        <w:rPr>
          <w:rFonts w:hint="eastAsia" w:ascii="宋体" w:hAnsi="宋体" w:eastAsia="宋体" w:cs="宋体"/>
          <w:color w:val="auto"/>
          <w:sz w:val="24"/>
          <w:szCs w:val="24"/>
          <w:highlight w:val="none"/>
        </w:rPr>
        <w:t>期竣工违约金的上限：</w:t>
      </w:r>
      <w:r>
        <w:rPr>
          <w:rFonts w:hint="eastAsia" w:ascii="宋体" w:hAnsi="宋体" w:eastAsia="宋体" w:cs="宋体"/>
          <w:color w:val="auto"/>
          <w:sz w:val="24"/>
          <w:szCs w:val="24"/>
          <w:highlight w:val="none"/>
          <w:u w:val="single"/>
        </w:rPr>
        <w:t xml:space="preserve">   合同价款的2％     </w:t>
      </w:r>
      <w:r>
        <w:rPr>
          <w:rFonts w:hint="eastAsia" w:ascii="宋体" w:hAnsi="宋体" w:eastAsia="宋体" w:cs="宋体"/>
          <w:color w:val="auto"/>
          <w:sz w:val="24"/>
          <w:szCs w:val="24"/>
          <w:highlight w:val="none"/>
        </w:rPr>
        <w:t>。</w:t>
      </w:r>
    </w:p>
    <w:bookmarkEnd w:id="128"/>
    <w:bookmarkEnd w:id="129"/>
    <w:p w14:paraId="76F7A1F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30" w:name="_Toc304295549"/>
      <w:bookmarkStart w:id="131" w:name="_Toc303539128"/>
      <w:bookmarkStart w:id="132" w:name="_Toc300934971"/>
      <w:bookmarkStart w:id="133" w:name="_Toc297123519"/>
      <w:bookmarkStart w:id="134" w:name="_Toc312678015"/>
      <w:bookmarkStart w:id="135" w:name="_Toc297216178"/>
      <w:r>
        <w:rPr>
          <w:rFonts w:hint="eastAsia" w:ascii="宋体" w:hAnsi="宋体" w:eastAsia="宋体" w:cs="宋体"/>
          <w:color w:val="auto"/>
          <w:sz w:val="24"/>
          <w:szCs w:val="24"/>
          <w:highlight w:val="none"/>
        </w:rPr>
        <w:t>.6 不</w:t>
      </w:r>
      <w:bookmarkEnd w:id="130"/>
      <w:bookmarkEnd w:id="131"/>
      <w:bookmarkEnd w:id="132"/>
      <w:bookmarkEnd w:id="133"/>
      <w:bookmarkEnd w:id="134"/>
      <w:bookmarkEnd w:id="135"/>
      <w:r>
        <w:rPr>
          <w:rFonts w:hint="eastAsia" w:ascii="宋体" w:hAnsi="宋体" w:eastAsia="宋体" w:cs="宋体"/>
          <w:color w:val="auto"/>
          <w:sz w:val="24"/>
          <w:szCs w:val="24"/>
          <w:highlight w:val="none"/>
        </w:rPr>
        <w:t>利物质条件</w:t>
      </w:r>
    </w:p>
    <w:p w14:paraId="43741CB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bookmarkStart w:id="136" w:name="_Toc297123520"/>
      <w:bookmarkStart w:id="137" w:name="_Toc297216179"/>
      <w:bookmarkStart w:id="138" w:name="_Toc318581172"/>
      <w:bookmarkStart w:id="139" w:name="_Toc303539129"/>
      <w:bookmarkStart w:id="140" w:name="_Toc300934972"/>
      <w:bookmarkStart w:id="141" w:name="_Toc304295550"/>
      <w:bookmarkStart w:id="142" w:name="_Toc312678016"/>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36"/>
    <w:bookmarkEnd w:id="137"/>
    <w:bookmarkEnd w:id="138"/>
    <w:bookmarkEnd w:id="139"/>
    <w:bookmarkEnd w:id="140"/>
    <w:bookmarkEnd w:id="141"/>
    <w:bookmarkEnd w:id="142"/>
    <w:p w14:paraId="62FE7D9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43" w:name="_Toc304295551"/>
      <w:bookmarkStart w:id="144" w:name="_Toc312678017"/>
      <w:bookmarkStart w:id="145" w:name="_Toc297123521"/>
      <w:bookmarkStart w:id="146" w:name="_Toc297216180"/>
      <w:bookmarkStart w:id="147" w:name="_Toc303539130"/>
      <w:bookmarkStart w:id="148" w:name="_Toc300934973"/>
      <w:r>
        <w:rPr>
          <w:rFonts w:hint="eastAsia" w:ascii="宋体" w:hAnsi="宋体" w:eastAsia="宋体" w:cs="宋体"/>
          <w:color w:val="auto"/>
          <w:sz w:val="24"/>
          <w:szCs w:val="24"/>
          <w:highlight w:val="none"/>
        </w:rPr>
        <w:t>.7异常恶劣的气候条件</w:t>
      </w:r>
    </w:p>
    <w:bookmarkEnd w:id="143"/>
    <w:bookmarkEnd w:id="144"/>
    <w:bookmarkEnd w:id="145"/>
    <w:bookmarkEnd w:id="146"/>
    <w:bookmarkEnd w:id="147"/>
    <w:bookmarkEnd w:id="148"/>
    <w:p w14:paraId="68FE582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p>
    <w:p w14:paraId="384DCD2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地震、暴风雪            </w:t>
      </w:r>
      <w:r>
        <w:rPr>
          <w:rFonts w:hint="eastAsia" w:ascii="宋体" w:hAnsi="宋体" w:eastAsia="宋体" w:cs="宋体"/>
          <w:color w:val="auto"/>
          <w:sz w:val="24"/>
          <w:szCs w:val="24"/>
          <w:highlight w:val="none"/>
        </w:rPr>
        <w:t>；</w:t>
      </w:r>
    </w:p>
    <w:p w14:paraId="16586D9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 提前竣工的奖励</w:t>
      </w:r>
    </w:p>
    <w:p w14:paraId="1464840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7.9.2提前竣工的奖励：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1F30BB">
      <w:pPr>
        <w:pStyle w:val="6"/>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49" w:name="_Toc351203640"/>
      <w:r>
        <w:rPr>
          <w:rFonts w:hint="eastAsia" w:ascii="宋体" w:hAnsi="宋体" w:eastAsia="宋体" w:cs="宋体"/>
          <w:b w:val="0"/>
          <w:color w:val="auto"/>
          <w:sz w:val="24"/>
          <w:szCs w:val="24"/>
          <w:highlight w:val="none"/>
        </w:rPr>
        <w:t>8. 材料与设备</w:t>
      </w:r>
      <w:bookmarkEnd w:id="149"/>
    </w:p>
    <w:p w14:paraId="4E8C943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150" w:name="_Toc303539136"/>
      <w:bookmarkStart w:id="151" w:name="_Toc296891207"/>
      <w:bookmarkStart w:id="152" w:name="_Toc297123527"/>
      <w:bookmarkStart w:id="153" w:name="_Toc297048353"/>
      <w:bookmarkStart w:id="154" w:name="_Toc280868654"/>
      <w:bookmarkStart w:id="155" w:name="_Toc312678019"/>
      <w:bookmarkStart w:id="156" w:name="_Toc300934979"/>
      <w:bookmarkStart w:id="157" w:name="_Toc304295556"/>
      <w:bookmarkStart w:id="158" w:name="_Toc297216186"/>
      <w:bookmarkStart w:id="159" w:name="_Toc296890995"/>
      <w:bookmarkStart w:id="160" w:name="_Toc296346668"/>
      <w:bookmarkStart w:id="161" w:name="_Toc296503167"/>
      <w:bookmarkStart w:id="162" w:name="_Toc312677493"/>
      <w:bookmarkStart w:id="163" w:name="_Toc292559877"/>
      <w:bookmarkStart w:id="164" w:name="_Toc297120467"/>
      <w:bookmarkStart w:id="165" w:name="_Toc296347166"/>
      <w:bookmarkStart w:id="166" w:name="_Toc296944506"/>
      <w:bookmarkStart w:id="167" w:name="_Toc292559372"/>
      <w:bookmarkStart w:id="168" w:name="_Toc267251424"/>
      <w:bookmarkStart w:id="169" w:name="_Toc280868655"/>
      <w:bookmarkStart w:id="170" w:name="_Toc280868656"/>
      <w:r>
        <w:rPr>
          <w:rFonts w:hint="eastAsia" w:ascii="宋体" w:hAnsi="宋体" w:eastAsia="宋体" w:cs="宋体"/>
          <w:color w:val="auto"/>
          <w:sz w:val="24"/>
          <w:szCs w:val="24"/>
          <w:highlight w:val="none"/>
        </w:rPr>
        <w:t>.4材料与工程设备的保管与使用</w:t>
      </w:r>
    </w:p>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14:paraId="6B6E8EE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171" w:name="_Toc292559373"/>
      <w:bookmarkStart w:id="172" w:name="_Toc292559878"/>
      <w:bookmarkStart w:id="173" w:name="_Toc296944507"/>
      <w:bookmarkStart w:id="174" w:name="_Toc296890996"/>
      <w:bookmarkStart w:id="175" w:name="_Toc297120468"/>
      <w:bookmarkStart w:id="176" w:name="_Toc300934980"/>
      <w:bookmarkStart w:id="177" w:name="_Toc318581173"/>
      <w:bookmarkStart w:id="178" w:name="_Toc297123528"/>
      <w:bookmarkStart w:id="179" w:name="_Toc297216187"/>
      <w:bookmarkStart w:id="180" w:name="_Toc312677494"/>
      <w:bookmarkStart w:id="181" w:name="_Toc297048354"/>
      <w:bookmarkStart w:id="182" w:name="_Toc296891208"/>
      <w:bookmarkStart w:id="183" w:name="_Toc296503168"/>
      <w:bookmarkStart w:id="184" w:name="_Toc303539137"/>
      <w:bookmarkStart w:id="185" w:name="_Toc312678020"/>
      <w:bookmarkStart w:id="186" w:name="_Toc296347167"/>
      <w:bookmarkStart w:id="187" w:name="_Toc304295557"/>
      <w:bookmarkStart w:id="188" w:name="_Toc296346669"/>
      <w:r>
        <w:rPr>
          <w:rFonts w:hint="eastAsia" w:ascii="宋体" w:hAnsi="宋体" w:eastAsia="宋体" w:cs="宋体"/>
          <w:color w:val="auto"/>
          <w:sz w:val="24"/>
          <w:szCs w:val="24"/>
          <w:highlight w:val="none"/>
        </w:rPr>
        <w:t>.4.1发包人供应的材料设备的保管费用的承担：</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bookmarkEnd w:id="171"/>
      <w:bookmarkEnd w:id="172"/>
    </w:p>
    <w:p w14:paraId="6E7DB28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 样品</w:t>
      </w:r>
    </w:p>
    <w:p w14:paraId="7386A16E">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8.6.1</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样品的报送与封存</w:t>
      </w:r>
    </w:p>
    <w:p w14:paraId="59818AF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 xml:space="preserve"> 执行通用条款，按发包人需求确定     </w:t>
      </w:r>
      <w:r>
        <w:rPr>
          <w:rFonts w:hint="eastAsia" w:ascii="宋体" w:hAnsi="宋体" w:eastAsia="宋体" w:cs="宋体"/>
          <w:color w:val="auto"/>
          <w:sz w:val="24"/>
          <w:szCs w:val="24"/>
          <w:highlight w:val="none"/>
        </w:rPr>
        <w:t>。</w:t>
      </w:r>
    </w:p>
    <w:p w14:paraId="2AB88CB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 施工设备和临时设施</w:t>
      </w:r>
    </w:p>
    <w:p w14:paraId="01275BF9">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w:t>
      </w:r>
    </w:p>
    <w:p w14:paraId="16B791B9">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p>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14:paraId="1F666EBD">
      <w:pPr>
        <w:pStyle w:val="6"/>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89" w:name="_Toc351203641"/>
      <w:r>
        <w:rPr>
          <w:rFonts w:hint="eastAsia" w:ascii="宋体" w:hAnsi="宋体" w:eastAsia="宋体" w:cs="宋体"/>
          <w:b w:val="0"/>
          <w:color w:val="auto"/>
          <w:sz w:val="24"/>
          <w:szCs w:val="24"/>
          <w:highlight w:val="none"/>
        </w:rPr>
        <w:t>9</w:t>
      </w:r>
      <w:bookmarkEnd w:id="168"/>
      <w:bookmarkEnd w:id="169"/>
      <w:bookmarkEnd w:id="170"/>
      <w:bookmarkStart w:id="190" w:name="_Toc312678021"/>
      <w:bookmarkStart w:id="191" w:name="_Toc304295559"/>
      <w:bookmarkStart w:id="192" w:name="_Toc297216192"/>
      <w:bookmarkStart w:id="193" w:name="_Toc312677495"/>
      <w:bookmarkStart w:id="194" w:name="_Toc300934982"/>
      <w:bookmarkStart w:id="195" w:name="_Toc303539139"/>
      <w:bookmarkStart w:id="196" w:name="_Toc297123533"/>
      <w:bookmarkStart w:id="197" w:name="_Toc292559883"/>
      <w:bookmarkStart w:id="198" w:name="_Toc296891213"/>
      <w:bookmarkStart w:id="199" w:name="_Toc267251427"/>
      <w:bookmarkStart w:id="200" w:name="_Toc267251428"/>
      <w:bookmarkStart w:id="201" w:name="_Toc297048359"/>
      <w:bookmarkStart w:id="202" w:name="_Toc297120473"/>
      <w:bookmarkStart w:id="203" w:name="_Toc296503173"/>
      <w:bookmarkStart w:id="204" w:name="_Toc296944512"/>
      <w:bookmarkStart w:id="205" w:name="_Toc292559378"/>
      <w:bookmarkStart w:id="206" w:name="_Toc296346674"/>
      <w:bookmarkStart w:id="207" w:name="_Toc296347172"/>
      <w:bookmarkStart w:id="208" w:name="_Toc296891001"/>
      <w:r>
        <w:rPr>
          <w:rFonts w:hint="eastAsia" w:ascii="宋体" w:hAnsi="宋体" w:eastAsia="宋体" w:cs="宋体"/>
          <w:b w:val="0"/>
          <w:color w:val="auto"/>
          <w:sz w:val="24"/>
          <w:szCs w:val="24"/>
          <w:highlight w:val="none"/>
        </w:rPr>
        <w:t>. 试验与检验</w:t>
      </w:r>
      <w:bookmarkEnd w:id="189"/>
    </w:p>
    <w:bookmarkEnd w:id="190"/>
    <w:bookmarkEnd w:id="191"/>
    <w:bookmarkEnd w:id="192"/>
    <w:bookmarkEnd w:id="193"/>
    <w:bookmarkEnd w:id="194"/>
    <w:bookmarkEnd w:id="195"/>
    <w:bookmarkEnd w:id="196"/>
    <w:p w14:paraId="30105B0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209" w:name="_Toc297216193"/>
      <w:bookmarkStart w:id="210" w:name="_Toc312677496"/>
      <w:bookmarkStart w:id="211" w:name="_Toc304295560"/>
      <w:bookmarkStart w:id="212" w:name="_Toc312678022"/>
      <w:bookmarkStart w:id="213" w:name="_Toc303539140"/>
      <w:bookmarkStart w:id="214" w:name="_Toc300934983"/>
      <w:bookmarkStart w:id="215" w:name="_Toc297123534"/>
      <w:r>
        <w:rPr>
          <w:rFonts w:hint="eastAsia" w:ascii="宋体" w:hAnsi="宋体" w:eastAsia="宋体" w:cs="宋体"/>
          <w:color w:val="auto"/>
          <w:sz w:val="24"/>
          <w:szCs w:val="24"/>
          <w:highlight w:val="none"/>
        </w:rPr>
        <w:t>.1试验设备与试验人员</w:t>
      </w:r>
    </w:p>
    <w:bookmarkEnd w:id="209"/>
    <w:bookmarkEnd w:id="210"/>
    <w:bookmarkEnd w:id="211"/>
    <w:bookmarkEnd w:id="212"/>
    <w:bookmarkEnd w:id="213"/>
    <w:bookmarkEnd w:id="214"/>
    <w:bookmarkEnd w:id="215"/>
    <w:p w14:paraId="08EB2FA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216" w:name="_Toc297123535"/>
      <w:bookmarkStart w:id="217" w:name="_Toc312677497"/>
      <w:bookmarkStart w:id="218" w:name="_Toc300934984"/>
      <w:bookmarkStart w:id="219" w:name="_Toc312678023"/>
      <w:bookmarkStart w:id="220" w:name="_Toc303539141"/>
      <w:bookmarkStart w:id="221" w:name="_Toc297216194"/>
      <w:bookmarkStart w:id="222" w:name="_Toc304295561"/>
      <w:bookmarkStart w:id="223" w:name="_Toc318581174"/>
      <w:r>
        <w:rPr>
          <w:rFonts w:hint="eastAsia" w:ascii="宋体" w:hAnsi="宋体" w:eastAsia="宋体" w:cs="宋体"/>
          <w:color w:val="auto"/>
          <w:sz w:val="24"/>
          <w:szCs w:val="24"/>
          <w:highlight w:val="none"/>
        </w:rPr>
        <w:t>.1.2 试验设备</w:t>
      </w:r>
    </w:p>
    <w:p w14:paraId="3787016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bookmarkEnd w:id="216"/>
      <w:bookmarkEnd w:id="217"/>
      <w:bookmarkEnd w:id="218"/>
      <w:bookmarkEnd w:id="219"/>
      <w:bookmarkEnd w:id="220"/>
      <w:bookmarkEnd w:id="221"/>
      <w:bookmarkEnd w:id="222"/>
      <w:bookmarkStart w:id="224" w:name="_Toc312677498"/>
      <w:bookmarkStart w:id="225" w:name="_Toc297216195"/>
      <w:bookmarkStart w:id="226" w:name="_Toc303539142"/>
      <w:bookmarkStart w:id="227" w:name="_Toc312678024"/>
      <w:bookmarkStart w:id="228" w:name="_Toc300934985"/>
      <w:bookmarkStart w:id="229" w:name="_Toc297123536"/>
      <w:bookmarkStart w:id="230" w:name="_Toc304295562"/>
      <w:r>
        <w:rPr>
          <w:rFonts w:hint="eastAsia" w:ascii="宋体" w:hAnsi="宋体" w:eastAsia="宋体" w:cs="宋体"/>
          <w:color w:val="auto"/>
          <w:sz w:val="24"/>
          <w:szCs w:val="24"/>
          <w:highlight w:val="none"/>
          <w:u w:val="single"/>
        </w:rPr>
        <w:t xml:space="preserve">    按有关规定执行      </w:t>
      </w:r>
      <w:r>
        <w:rPr>
          <w:rFonts w:hint="eastAsia" w:ascii="宋体" w:hAnsi="宋体" w:eastAsia="宋体" w:cs="宋体"/>
          <w:color w:val="auto"/>
          <w:sz w:val="24"/>
          <w:szCs w:val="24"/>
          <w:highlight w:val="none"/>
        </w:rPr>
        <w:t xml:space="preserve">。 </w:t>
      </w:r>
    </w:p>
    <w:p w14:paraId="10BF88A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 xml:space="preserve">    按有关规定执行       </w:t>
      </w:r>
      <w:r>
        <w:rPr>
          <w:rFonts w:hint="eastAsia" w:ascii="宋体" w:hAnsi="宋体" w:eastAsia="宋体" w:cs="宋体"/>
          <w:color w:val="auto"/>
          <w:sz w:val="24"/>
          <w:szCs w:val="24"/>
          <w:highlight w:val="none"/>
        </w:rPr>
        <w:t>。</w:t>
      </w:r>
    </w:p>
    <w:p w14:paraId="3A1FD5C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E9DCA1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9.4 现场工艺试验 </w:t>
      </w:r>
    </w:p>
    <w:p w14:paraId="3932181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223"/>
    <w:bookmarkEnd w:id="224"/>
    <w:bookmarkEnd w:id="225"/>
    <w:bookmarkEnd w:id="226"/>
    <w:bookmarkEnd w:id="227"/>
    <w:bookmarkEnd w:id="228"/>
    <w:bookmarkEnd w:id="229"/>
    <w:bookmarkEnd w:id="230"/>
    <w:p w14:paraId="36CD0AAD">
      <w:pPr>
        <w:pStyle w:val="6"/>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231" w:name="_Toc351203642"/>
      <w:r>
        <w:rPr>
          <w:rFonts w:hint="eastAsia" w:ascii="宋体" w:hAnsi="宋体" w:eastAsia="宋体" w:cs="宋体"/>
          <w:b w:val="0"/>
          <w:color w:val="auto"/>
          <w:sz w:val="24"/>
          <w:szCs w:val="24"/>
          <w:highlight w:val="none"/>
        </w:rPr>
        <w:t>1</w:t>
      </w:r>
      <w:bookmarkEnd w:id="197"/>
      <w:bookmarkEnd w:id="198"/>
      <w:bookmarkEnd w:id="199"/>
      <w:bookmarkEnd w:id="200"/>
      <w:bookmarkEnd w:id="201"/>
      <w:bookmarkEnd w:id="202"/>
      <w:bookmarkEnd w:id="203"/>
      <w:bookmarkEnd w:id="204"/>
      <w:bookmarkEnd w:id="205"/>
      <w:bookmarkEnd w:id="206"/>
      <w:bookmarkEnd w:id="207"/>
      <w:bookmarkEnd w:id="208"/>
      <w:bookmarkStart w:id="232" w:name="_Toc297048379"/>
      <w:bookmarkStart w:id="233" w:name="_Toc296891021"/>
      <w:bookmarkStart w:id="234" w:name="_Toc296346694"/>
      <w:bookmarkStart w:id="235" w:name="_Toc300934989"/>
      <w:bookmarkStart w:id="236" w:name="_Toc292559398"/>
      <w:bookmarkStart w:id="237" w:name="_Toc304295566"/>
      <w:bookmarkStart w:id="238" w:name="_Toc296944532"/>
      <w:bookmarkStart w:id="239" w:name="_Toc292559903"/>
      <w:bookmarkStart w:id="240" w:name="_Toc303539146"/>
      <w:bookmarkStart w:id="241" w:name="_Toc296347192"/>
      <w:bookmarkStart w:id="242" w:name="_Toc297120493"/>
      <w:bookmarkStart w:id="243" w:name="_Toc296503193"/>
      <w:bookmarkStart w:id="244" w:name="_Toc297216199"/>
      <w:bookmarkStart w:id="245" w:name="_Toc296891233"/>
      <w:bookmarkStart w:id="246" w:name="_Toc297123540"/>
      <w:bookmarkStart w:id="247" w:name="_Toc312678025"/>
      <w:bookmarkStart w:id="248" w:name="_Toc312677499"/>
      <w:bookmarkStart w:id="249" w:name="_Toc267251435"/>
      <w:bookmarkStart w:id="250" w:name="_Toc267251437"/>
      <w:bookmarkStart w:id="251" w:name="_Toc267251441"/>
      <w:bookmarkStart w:id="252" w:name="_Toc267251439"/>
      <w:bookmarkStart w:id="253" w:name="_Toc267251433"/>
      <w:bookmarkStart w:id="254" w:name="_Toc267251440"/>
      <w:bookmarkStart w:id="255" w:name="_Toc267251442"/>
      <w:r>
        <w:rPr>
          <w:rFonts w:hint="eastAsia" w:ascii="宋体" w:hAnsi="宋体" w:eastAsia="宋体" w:cs="宋体"/>
          <w:b w:val="0"/>
          <w:color w:val="auto"/>
          <w:sz w:val="24"/>
          <w:szCs w:val="24"/>
          <w:highlight w:val="none"/>
        </w:rPr>
        <w:t>0. 变更</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bookmarkEnd w:id="247"/>
    <w:bookmarkEnd w:id="248"/>
    <w:p w14:paraId="1A2B228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256" w:name="_Toc296347193"/>
      <w:bookmarkStart w:id="257" w:name="_Toc292559904"/>
      <w:bookmarkStart w:id="258" w:name="_Toc296891234"/>
      <w:bookmarkStart w:id="259" w:name="_Toc312677500"/>
      <w:bookmarkStart w:id="260" w:name="_Toc292559399"/>
      <w:bookmarkStart w:id="261" w:name="_Toc303539147"/>
      <w:bookmarkStart w:id="262" w:name="_Toc296891022"/>
      <w:bookmarkStart w:id="263" w:name="_Toc300934990"/>
      <w:bookmarkStart w:id="264" w:name="_Toc297123541"/>
      <w:bookmarkStart w:id="265" w:name="_Toc312678026"/>
      <w:bookmarkStart w:id="266" w:name="_Toc297048380"/>
      <w:bookmarkStart w:id="267" w:name="_Toc296944533"/>
      <w:bookmarkStart w:id="268" w:name="_Toc296503194"/>
      <w:bookmarkStart w:id="269" w:name="_Toc304295567"/>
      <w:bookmarkStart w:id="270" w:name="_Toc297120494"/>
      <w:bookmarkStart w:id="271" w:name="_Toc297216200"/>
      <w:bookmarkStart w:id="272" w:name="_Toc296346695"/>
      <w:r>
        <w:rPr>
          <w:rFonts w:hint="eastAsia" w:ascii="宋体" w:hAnsi="宋体" w:eastAsia="宋体" w:cs="宋体"/>
          <w:color w:val="auto"/>
          <w:sz w:val="24"/>
          <w:szCs w:val="24"/>
          <w:highlight w:val="none"/>
        </w:rPr>
        <w:t>0.1变更的范围</w:t>
      </w:r>
    </w:p>
    <w:p w14:paraId="09E4C39E">
      <w:pPr>
        <w:keepNext w:val="0"/>
        <w:keepLines w:val="0"/>
        <w:pageBreakBefore w:val="0"/>
        <w:widowControl w:val="0"/>
        <w:kinsoku/>
        <w:wordWrap/>
        <w:overflowPunct/>
        <w:topLinePunct w:val="0"/>
        <w:autoSpaceDE w:val="0"/>
        <w:autoSpaceDN w:val="0"/>
        <w:bidi w:val="0"/>
        <w:snapToGrid/>
        <w:spacing w:line="340" w:lineRule="exact"/>
        <w:ind w:firstLine="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关于变更的范围的约定：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396127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变更估价</w:t>
      </w:r>
    </w:p>
    <w:p w14:paraId="62E1258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 变更估价原则</w:t>
      </w:r>
    </w:p>
    <w:p w14:paraId="6C2AFE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关于变更估价的约定: </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72FC1D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Start w:id="273" w:name="_Toc296944536"/>
      <w:bookmarkStart w:id="274" w:name="_Toc292559402"/>
      <w:bookmarkStart w:id="275" w:name="_Toc297120497"/>
      <w:bookmarkStart w:id="276" w:name="_Toc296891237"/>
      <w:bookmarkStart w:id="277" w:name="_Toc303539150"/>
      <w:bookmarkStart w:id="278" w:name="_Toc296346698"/>
      <w:bookmarkStart w:id="279" w:name="_Toc296503197"/>
      <w:bookmarkStart w:id="280" w:name="_Toc296347196"/>
      <w:bookmarkStart w:id="281" w:name="_Toc292559907"/>
      <w:bookmarkStart w:id="282" w:name="_Toc297123544"/>
      <w:bookmarkStart w:id="283" w:name="_Toc296891025"/>
      <w:bookmarkStart w:id="284" w:name="_Toc300934993"/>
      <w:bookmarkStart w:id="285" w:name="_Toc297048383"/>
      <w:bookmarkStart w:id="286" w:name="_Toc297216203"/>
      <w:bookmarkStart w:id="287" w:name="_Toc304295570"/>
      <w:bookmarkStart w:id="288" w:name="_Toc312678029"/>
      <w:bookmarkStart w:id="289" w:name="_Toc312677503"/>
      <w:r>
        <w:rPr>
          <w:rFonts w:hint="eastAsia" w:ascii="宋体" w:hAnsi="宋体" w:eastAsia="宋体" w:cs="宋体"/>
          <w:color w:val="auto"/>
          <w:sz w:val="24"/>
          <w:szCs w:val="24"/>
          <w:highlight w:val="none"/>
        </w:rPr>
        <w:t>0.5承</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Start w:id="290" w:name="_Toc292559408"/>
      <w:bookmarkStart w:id="291" w:name="_Toc296347202"/>
      <w:bookmarkStart w:id="292" w:name="_Toc292559913"/>
      <w:bookmarkStart w:id="293" w:name="_Toc296346704"/>
      <w:bookmarkStart w:id="294" w:name="_Toc303539151"/>
      <w:bookmarkStart w:id="295" w:name="_Toc297048389"/>
      <w:bookmarkStart w:id="296" w:name="_Toc296944542"/>
      <w:bookmarkStart w:id="297" w:name="_Toc296503203"/>
      <w:bookmarkStart w:id="298" w:name="_Toc297216204"/>
      <w:bookmarkStart w:id="299" w:name="_Toc297120503"/>
      <w:bookmarkStart w:id="300" w:name="_Toc300934994"/>
      <w:bookmarkStart w:id="301" w:name="_Toc297123545"/>
      <w:bookmarkStart w:id="302" w:name="_Toc296891243"/>
      <w:bookmarkStart w:id="303" w:name="_Toc296891031"/>
      <w:r>
        <w:rPr>
          <w:rFonts w:hint="eastAsia" w:ascii="宋体" w:hAnsi="宋体" w:eastAsia="宋体" w:cs="宋体"/>
          <w:color w:val="auto"/>
          <w:sz w:val="24"/>
          <w:szCs w:val="24"/>
          <w:highlight w:val="none"/>
        </w:rPr>
        <w:t>包人的合理化建议</w:t>
      </w:r>
    </w:p>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14:paraId="1BB18B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08D004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89EE87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w:t>
      </w:r>
      <w:bookmarkStart w:id="304" w:name="_Toc296891244"/>
      <w:bookmarkStart w:id="305" w:name="_Toc312678030"/>
      <w:bookmarkStart w:id="306" w:name="_Toc296346705"/>
      <w:bookmarkStart w:id="307" w:name="_Toc297123546"/>
      <w:bookmarkStart w:id="308" w:name="_Toc292559914"/>
      <w:bookmarkStart w:id="309" w:name="_Toc297048390"/>
      <w:bookmarkStart w:id="310" w:name="_Toc297120504"/>
      <w:bookmarkStart w:id="311" w:name="_Toc296891032"/>
      <w:bookmarkStart w:id="312" w:name="_Toc303539152"/>
      <w:bookmarkStart w:id="313" w:name="_Toc296503204"/>
      <w:bookmarkStart w:id="314" w:name="_Toc304295571"/>
      <w:bookmarkStart w:id="315" w:name="_Toc300934995"/>
      <w:bookmarkStart w:id="316" w:name="_Toc318581175"/>
      <w:bookmarkStart w:id="317" w:name="_Toc296944543"/>
      <w:bookmarkStart w:id="318" w:name="_Toc292559409"/>
      <w:bookmarkStart w:id="319" w:name="_Toc297216205"/>
      <w:bookmarkStart w:id="320" w:name="_Toc312677504"/>
      <w:bookmarkStart w:id="321" w:name="_Toc296347203"/>
      <w:r>
        <w:rPr>
          <w:rFonts w:hint="eastAsia" w:ascii="宋体" w:hAnsi="宋体" w:eastAsia="宋体" w:cs="宋体"/>
          <w:color w:val="auto"/>
          <w:sz w:val="24"/>
          <w:szCs w:val="24"/>
          <w:highlight w:val="none"/>
        </w:rPr>
        <w:t>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14:paraId="268A6A9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322" w:name="_Toc296347198"/>
      <w:bookmarkStart w:id="323" w:name="_Toc292559404"/>
      <w:bookmarkStart w:id="324" w:name="_Toc297123548"/>
      <w:bookmarkStart w:id="325" w:name="_Toc303539154"/>
      <w:bookmarkStart w:id="326" w:name="_Toc296891239"/>
      <w:bookmarkStart w:id="327" w:name="_Toc296503199"/>
      <w:bookmarkStart w:id="328" w:name="_Toc292559909"/>
      <w:bookmarkStart w:id="329" w:name="_Toc304295574"/>
      <w:bookmarkStart w:id="330" w:name="_Toc297216207"/>
      <w:bookmarkStart w:id="331" w:name="_Toc312677507"/>
      <w:bookmarkStart w:id="332" w:name="_Toc296346700"/>
      <w:bookmarkStart w:id="333" w:name="_Toc312678033"/>
      <w:bookmarkStart w:id="334" w:name="_Toc297048385"/>
      <w:bookmarkStart w:id="335" w:name="_Toc297120499"/>
      <w:bookmarkStart w:id="336" w:name="_Toc296944538"/>
      <w:bookmarkStart w:id="337" w:name="_Toc296891027"/>
      <w:bookmarkStart w:id="338" w:name="_Toc300934997"/>
      <w:r>
        <w:rPr>
          <w:rFonts w:hint="eastAsia" w:ascii="宋体" w:hAnsi="宋体" w:eastAsia="宋体" w:cs="宋体"/>
          <w:color w:val="auto"/>
          <w:sz w:val="24"/>
          <w:szCs w:val="24"/>
          <w:highlight w:val="none"/>
        </w:rPr>
        <w:t>0.7 暂估价</w:t>
      </w:r>
    </w:p>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14:paraId="0F087AD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暂</w:t>
      </w:r>
      <w:bookmarkStart w:id="339" w:name="_Toc318581176"/>
      <w:bookmarkStart w:id="340" w:name="_Toc312677508"/>
      <w:bookmarkStart w:id="341" w:name="_Toc312678034"/>
      <w:r>
        <w:rPr>
          <w:rFonts w:hint="eastAsia" w:ascii="宋体" w:hAnsi="宋体" w:eastAsia="宋体" w:cs="宋体"/>
          <w:color w:val="auto"/>
          <w:kern w:val="0"/>
          <w:sz w:val="24"/>
          <w:szCs w:val="24"/>
          <w:highlight w:val="none"/>
        </w:rPr>
        <w:t>估价材料和工程设备的明细详见附件11：《</w:t>
      </w:r>
      <w:r>
        <w:rPr>
          <w:rFonts w:hint="eastAsia" w:ascii="宋体" w:hAnsi="宋体" w:eastAsia="宋体" w:cs="宋体"/>
          <w:color w:val="auto"/>
          <w:sz w:val="24"/>
          <w:szCs w:val="24"/>
          <w:highlight w:val="none"/>
        </w:rPr>
        <w:t>暂估价一览表》</w:t>
      </w:r>
      <w:r>
        <w:rPr>
          <w:rFonts w:hint="eastAsia" w:ascii="宋体" w:hAnsi="宋体" w:eastAsia="宋体" w:cs="宋体"/>
          <w:color w:val="auto"/>
          <w:kern w:val="0"/>
          <w:sz w:val="24"/>
          <w:szCs w:val="24"/>
          <w:highlight w:val="none"/>
        </w:rPr>
        <w:t>。</w:t>
      </w:r>
    </w:p>
    <w:bookmarkEnd w:id="339"/>
    <w:bookmarkEnd w:id="340"/>
    <w:bookmarkEnd w:id="341"/>
    <w:p w14:paraId="1FF61BE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342" w:name="_Toc318581177"/>
      <w:bookmarkStart w:id="343" w:name="_Toc312677509"/>
      <w:bookmarkStart w:id="344" w:name="_Toc312678035"/>
      <w:r>
        <w:rPr>
          <w:rFonts w:hint="eastAsia" w:ascii="宋体" w:hAnsi="宋体" w:eastAsia="宋体" w:cs="宋体"/>
          <w:color w:val="auto"/>
          <w:sz w:val="24"/>
          <w:szCs w:val="24"/>
          <w:highlight w:val="none"/>
        </w:rPr>
        <w:t>0.7.1 依法必须招标的暂估价项目</w:t>
      </w:r>
    </w:p>
    <w:bookmarkEnd w:id="342"/>
    <w:bookmarkEnd w:id="343"/>
    <w:bookmarkEnd w:id="344"/>
    <w:p w14:paraId="0F30F0B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种方式确定。</w:t>
      </w:r>
    </w:p>
    <w:p w14:paraId="656481E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10.7.2 不属于依法必须招标的暂估价项目</w:t>
      </w:r>
    </w:p>
    <w:p w14:paraId="4301073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种方式确定。</w:t>
      </w:r>
    </w:p>
    <w:p w14:paraId="4C18268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第3种方式：</w:t>
      </w:r>
      <w:r>
        <w:rPr>
          <w:rFonts w:hint="eastAsia" w:ascii="宋体" w:hAnsi="宋体" w:eastAsia="宋体" w:cs="宋体"/>
          <w:color w:val="auto"/>
          <w:kern w:val="0"/>
          <w:sz w:val="24"/>
          <w:szCs w:val="24"/>
          <w:highlight w:val="none"/>
        </w:rPr>
        <w:t>承包人直接实施的暂估价项目</w:t>
      </w:r>
    </w:p>
    <w:p w14:paraId="1E82891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88F83E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 暂列金额</w:t>
      </w:r>
    </w:p>
    <w:p w14:paraId="40798A17">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合同当事人关于暂列金额使用的约定：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0DE98508">
      <w:pPr>
        <w:pStyle w:val="6"/>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345" w:name="_Toc351203643"/>
      <w:r>
        <w:rPr>
          <w:rFonts w:hint="eastAsia" w:ascii="宋体" w:hAnsi="宋体" w:eastAsia="宋体" w:cs="宋体"/>
          <w:b w:val="0"/>
          <w:color w:val="auto"/>
          <w:sz w:val="24"/>
          <w:szCs w:val="24"/>
          <w:highlight w:val="none"/>
        </w:rPr>
        <w:t>11. 价格调整</w:t>
      </w:r>
      <w:bookmarkEnd w:id="345"/>
    </w:p>
    <w:p w14:paraId="14F8438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346" w:name="_Toc297120501"/>
      <w:bookmarkStart w:id="347" w:name="_Toc296944540"/>
      <w:bookmarkStart w:id="348" w:name="_Toc296503201"/>
      <w:bookmarkStart w:id="349" w:name="_Toc297123550"/>
      <w:bookmarkStart w:id="350" w:name="_Toc296347200"/>
      <w:bookmarkStart w:id="351" w:name="_Toc292559406"/>
      <w:bookmarkStart w:id="352" w:name="_Toc300935000"/>
      <w:bookmarkStart w:id="353" w:name="_Toc297048387"/>
      <w:bookmarkStart w:id="354" w:name="_Toc296891241"/>
      <w:bookmarkStart w:id="355" w:name="_Toc312678039"/>
      <w:bookmarkStart w:id="356" w:name="_Toc292559911"/>
      <w:bookmarkStart w:id="357" w:name="_Toc304295577"/>
      <w:bookmarkStart w:id="358" w:name="_Toc303539157"/>
      <w:bookmarkStart w:id="359" w:name="_Toc296346702"/>
      <w:bookmarkStart w:id="360" w:name="_Toc296891029"/>
      <w:bookmarkStart w:id="361" w:name="_Toc297216209"/>
      <w:r>
        <w:rPr>
          <w:rFonts w:hint="eastAsia" w:ascii="宋体" w:hAnsi="宋体" w:eastAsia="宋体" w:cs="宋体"/>
          <w:color w:val="auto"/>
          <w:sz w:val="24"/>
          <w:szCs w:val="24"/>
          <w:highlight w:val="none"/>
        </w:rPr>
        <w:t>11.1 市场价格波动引起的调整</w:t>
      </w:r>
    </w:p>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14:paraId="567AE3A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sz w:val="24"/>
          <w:szCs w:val="24"/>
          <w:highlight w:val="none"/>
        </w:rPr>
        <w:t>。</w:t>
      </w:r>
    </w:p>
    <w:p w14:paraId="652B847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种方式对合同价格进行调整：</w:t>
      </w:r>
    </w:p>
    <w:p w14:paraId="346D44A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14:paraId="5633305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关于各可调因子、定值和变值权重，以及基本价格指数及其来源的约定：</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3BE33E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14:paraId="5323AF5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（2）关于基准价格的约定：</w:t>
      </w:r>
      <w:r>
        <w:rPr>
          <w:rFonts w:hint="eastAsia" w:ascii="宋体" w:hAnsi="宋体" w:eastAsia="宋体" w:cs="宋体"/>
          <w:color w:val="auto"/>
          <w:sz w:val="24"/>
          <w:szCs w:val="24"/>
          <w:highlight w:val="none"/>
          <w:u w:val="single"/>
        </w:rPr>
        <w:t xml:space="preserve"> 根据编制说明中约定的价格信息文件 </w:t>
      </w:r>
      <w:r>
        <w:rPr>
          <w:rFonts w:hint="eastAsia" w:ascii="宋体" w:hAnsi="宋体" w:eastAsia="宋体" w:cs="宋体"/>
          <w:color w:val="auto"/>
          <w:sz w:val="24"/>
          <w:szCs w:val="24"/>
          <w:highlight w:val="none"/>
        </w:rPr>
        <w:t>。</w:t>
      </w:r>
    </w:p>
    <w:p w14:paraId="60262E5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%时，或材料单价跌幅以已标价工程量清单或预算书中载明材料单价为基础超过</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rPr>
        <w:t>%时，其超过部分据实调整。</w:t>
      </w:r>
    </w:p>
    <w:p w14:paraId="6EBEF1F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%时，材料单价涨幅以已标价工程量清单或预算书中载明材料单价为基础超过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337C27B1">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6F79410F">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第3种方式：其他价格调整方式：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249"/>
    <w:bookmarkEnd w:id="250"/>
    <w:bookmarkEnd w:id="251"/>
    <w:bookmarkEnd w:id="252"/>
    <w:bookmarkEnd w:id="253"/>
    <w:bookmarkEnd w:id="254"/>
    <w:p w14:paraId="53DE2C50">
      <w:pPr>
        <w:pStyle w:val="6"/>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362" w:name="_Toc296944544"/>
      <w:bookmarkStart w:id="363" w:name="_Toc297048391"/>
      <w:bookmarkStart w:id="364" w:name="_Toc292559915"/>
      <w:bookmarkStart w:id="365" w:name="_Toc296347204"/>
      <w:bookmarkStart w:id="366" w:name="_Toc292559410"/>
      <w:bookmarkStart w:id="367" w:name="_Toc296891033"/>
      <w:bookmarkStart w:id="368" w:name="_Toc296891245"/>
      <w:bookmarkStart w:id="369" w:name="_Toc296346706"/>
      <w:bookmarkStart w:id="370" w:name="_Toc296503205"/>
      <w:bookmarkStart w:id="371" w:name="_Toc297120505"/>
      <w:bookmarkStart w:id="372" w:name="_Toc351203644"/>
      <w:bookmarkStart w:id="373" w:name="_Toc303539159"/>
      <w:bookmarkStart w:id="374" w:name="_Toc312678040"/>
      <w:bookmarkStart w:id="375" w:name="_Toc304295579"/>
      <w:bookmarkStart w:id="376" w:name="_Toc297216211"/>
      <w:bookmarkStart w:id="377" w:name="_Toc297123552"/>
      <w:bookmarkStart w:id="378" w:name="_Toc300935002"/>
      <w:r>
        <w:rPr>
          <w:rFonts w:hint="eastAsia" w:ascii="宋体" w:hAnsi="宋体" w:eastAsia="宋体" w:cs="宋体"/>
          <w:b w:val="0"/>
          <w:color w:val="auto"/>
          <w:sz w:val="24"/>
          <w:szCs w:val="24"/>
          <w:highlight w:val="none"/>
        </w:rPr>
        <w:t xml:space="preserve">12. </w:t>
      </w:r>
      <w:bookmarkEnd w:id="362"/>
      <w:bookmarkEnd w:id="363"/>
      <w:bookmarkEnd w:id="364"/>
      <w:bookmarkEnd w:id="365"/>
      <w:bookmarkEnd w:id="366"/>
      <w:bookmarkEnd w:id="367"/>
      <w:bookmarkEnd w:id="368"/>
      <w:bookmarkEnd w:id="369"/>
      <w:bookmarkEnd w:id="370"/>
      <w:bookmarkEnd w:id="371"/>
      <w:r>
        <w:rPr>
          <w:rFonts w:hint="eastAsia" w:ascii="宋体" w:hAnsi="宋体" w:eastAsia="宋体" w:cs="宋体"/>
          <w:b w:val="0"/>
          <w:color w:val="auto"/>
          <w:sz w:val="24"/>
          <w:szCs w:val="24"/>
          <w:highlight w:val="none"/>
        </w:rPr>
        <w:t>合同价格、计量与支付</w:t>
      </w:r>
      <w:bookmarkEnd w:id="372"/>
    </w:p>
    <w:bookmarkEnd w:id="373"/>
    <w:bookmarkEnd w:id="374"/>
    <w:bookmarkEnd w:id="375"/>
    <w:bookmarkEnd w:id="376"/>
    <w:bookmarkEnd w:id="377"/>
    <w:bookmarkEnd w:id="378"/>
    <w:p w14:paraId="44BD2A7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379" w:name="_Toc292559916"/>
      <w:bookmarkStart w:id="380" w:name="_Toc292559411"/>
      <w:bookmarkStart w:id="381" w:name="_Toc267251461"/>
      <w:bookmarkStart w:id="382" w:name="_Toc296503206"/>
      <w:bookmarkStart w:id="383" w:name="_Toc296891246"/>
      <w:bookmarkStart w:id="384" w:name="_Toc296944545"/>
      <w:bookmarkStart w:id="385" w:name="_Toc297120506"/>
      <w:bookmarkStart w:id="386" w:name="_Toc296347205"/>
      <w:bookmarkStart w:id="387" w:name="_Toc297048392"/>
      <w:bookmarkStart w:id="388" w:name="_Toc296346707"/>
      <w:bookmarkStart w:id="389" w:name="_Toc296891034"/>
      <w:bookmarkStart w:id="390" w:name="_Toc300935003"/>
      <w:bookmarkStart w:id="391" w:name="_Toc297216212"/>
      <w:bookmarkStart w:id="392" w:name="_Toc297123553"/>
      <w:bookmarkStart w:id="393" w:name="_Toc304295580"/>
      <w:bookmarkStart w:id="394" w:name="_Toc303539160"/>
      <w:bookmarkStart w:id="395" w:name="_Toc312678041"/>
      <w:r>
        <w:rPr>
          <w:rFonts w:hint="eastAsia" w:ascii="宋体" w:hAnsi="宋体" w:eastAsia="宋体" w:cs="宋体"/>
          <w:color w:val="auto"/>
          <w:sz w:val="24"/>
          <w:szCs w:val="24"/>
          <w:highlight w:val="none"/>
        </w:rPr>
        <w:t>12.1 合</w:t>
      </w:r>
      <w:bookmarkEnd w:id="379"/>
      <w:bookmarkEnd w:id="380"/>
      <w:bookmarkEnd w:id="381"/>
      <w:r>
        <w:rPr>
          <w:rFonts w:hint="eastAsia" w:ascii="宋体" w:hAnsi="宋体" w:eastAsia="宋体" w:cs="宋体"/>
          <w:color w:val="auto"/>
          <w:sz w:val="24"/>
          <w:szCs w:val="24"/>
          <w:highlight w:val="none"/>
        </w:rPr>
        <w:t>同价</w:t>
      </w:r>
      <w:bookmarkEnd w:id="382"/>
      <w:bookmarkEnd w:id="383"/>
      <w:bookmarkEnd w:id="384"/>
      <w:bookmarkEnd w:id="385"/>
      <w:bookmarkEnd w:id="386"/>
      <w:bookmarkEnd w:id="387"/>
      <w:bookmarkEnd w:id="388"/>
      <w:bookmarkEnd w:id="389"/>
      <w:r>
        <w:rPr>
          <w:rFonts w:hint="eastAsia" w:ascii="宋体" w:hAnsi="宋体" w:eastAsia="宋体" w:cs="宋体"/>
          <w:color w:val="auto"/>
          <w:sz w:val="24"/>
          <w:szCs w:val="24"/>
          <w:highlight w:val="none"/>
        </w:rPr>
        <w:t>格形式</w:t>
      </w:r>
    </w:p>
    <w:bookmarkEnd w:id="390"/>
    <w:bookmarkEnd w:id="391"/>
    <w:bookmarkEnd w:id="392"/>
    <w:bookmarkEnd w:id="393"/>
    <w:bookmarkEnd w:id="394"/>
    <w:bookmarkEnd w:id="395"/>
    <w:p w14:paraId="09C6BDB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5CC4ED8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除经济签证、设计变更、市场因素以外的所有风险</w:t>
      </w:r>
      <w:r>
        <w:rPr>
          <w:rFonts w:hint="eastAsia" w:ascii="宋体" w:hAnsi="宋体" w:eastAsia="宋体" w:cs="宋体"/>
          <w:color w:val="auto"/>
          <w:sz w:val="24"/>
          <w:szCs w:val="24"/>
          <w:highlight w:val="none"/>
        </w:rPr>
        <w:t>。</w:t>
      </w:r>
    </w:p>
    <w:p w14:paraId="3DB2346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C992B3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w:t>
      </w:r>
    </w:p>
    <w:p w14:paraId="01143CD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总价包含的风险范围：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3CB895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D18D21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64681A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3、其他价格方式：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30F0B4C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96" w:name="_Toc297216213"/>
      <w:bookmarkStart w:id="397" w:name="_Toc303539161"/>
      <w:bookmarkStart w:id="398" w:name="_Toc297123554"/>
      <w:bookmarkStart w:id="399" w:name="_Toc300935004"/>
      <w:bookmarkStart w:id="400" w:name="_Toc312678042"/>
      <w:bookmarkStart w:id="401" w:name="_Toc304295581"/>
      <w:bookmarkStart w:id="402" w:name="_Toc292559917"/>
      <w:bookmarkStart w:id="403" w:name="_Toc296944546"/>
      <w:bookmarkStart w:id="404" w:name="_Toc297048393"/>
      <w:bookmarkStart w:id="405" w:name="_Toc296346708"/>
      <w:bookmarkStart w:id="406" w:name="_Toc297120507"/>
      <w:bookmarkStart w:id="407" w:name="_Toc296503207"/>
      <w:bookmarkStart w:id="408" w:name="_Toc296347206"/>
      <w:bookmarkStart w:id="409" w:name="_Toc296891035"/>
      <w:bookmarkStart w:id="410" w:name="_Toc292559412"/>
      <w:bookmarkStart w:id="411" w:name="_Toc296891247"/>
      <w:r>
        <w:rPr>
          <w:rFonts w:hint="eastAsia" w:ascii="宋体" w:hAnsi="宋体" w:eastAsia="宋体" w:cs="宋体"/>
          <w:color w:val="000000" w:themeColor="text1"/>
          <w:sz w:val="24"/>
          <w:szCs w:val="24"/>
          <w:highlight w:val="none"/>
          <w14:textFill>
            <w14:solidFill>
              <w14:schemeClr w14:val="tx1"/>
            </w14:solidFill>
          </w14:textFill>
        </w:rPr>
        <w:t>12.2 预付款</w:t>
      </w:r>
    </w:p>
    <w:bookmarkEnd w:id="396"/>
    <w:bookmarkEnd w:id="397"/>
    <w:bookmarkEnd w:id="398"/>
    <w:bookmarkEnd w:id="399"/>
    <w:bookmarkEnd w:id="400"/>
    <w:bookmarkEnd w:id="401"/>
    <w:p w14:paraId="33B516A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12.2.1 预付款的支付</w:t>
      </w:r>
    </w:p>
    <w:p w14:paraId="40F0793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预付款支付比例或金额：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合同价的</w:t>
      </w:r>
      <w:r>
        <w:rPr>
          <w:rFonts w:hint="eastAsia"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 xml:space="preserve">0%   </w:t>
      </w:r>
      <w:r>
        <w:rPr>
          <w:rFonts w:hint="eastAsia" w:ascii="宋体" w:hAnsi="宋体" w:eastAsia="宋体" w:cs="宋体"/>
          <w:color w:val="000000" w:themeColor="text1"/>
          <w:sz w:val="24"/>
          <w:szCs w:val="24"/>
          <w:highlight w:val="none"/>
          <w14:textFill>
            <w14:solidFill>
              <w14:schemeClr w14:val="tx1"/>
            </w14:solidFill>
          </w14:textFill>
        </w:rPr>
        <w:t>。</w:t>
      </w:r>
    </w:p>
    <w:p w14:paraId="4C7877D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预付款支付期限：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签订合同、承包方提交履约保证金，完成后并在开工以前  </w:t>
      </w:r>
      <w:r>
        <w:rPr>
          <w:rFonts w:hint="eastAsia" w:ascii="宋体" w:hAnsi="宋体" w:eastAsia="宋体" w:cs="宋体"/>
          <w:color w:val="000000" w:themeColor="text1"/>
          <w:sz w:val="24"/>
          <w:szCs w:val="24"/>
          <w:highlight w:val="none"/>
          <w14:textFill>
            <w14:solidFill>
              <w14:schemeClr w14:val="tx1"/>
            </w14:solidFill>
          </w14:textFill>
        </w:rPr>
        <w:t>。</w:t>
      </w:r>
    </w:p>
    <w:p w14:paraId="0CB108F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预付款扣回的方式：</w:t>
      </w:r>
      <w:r>
        <w:rPr>
          <w:rFonts w:hint="eastAsia" w:cs="宋体"/>
          <w:color w:val="000000" w:themeColor="text1"/>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7DE2B9B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12.2.2 预付款担保</w:t>
      </w:r>
    </w:p>
    <w:p w14:paraId="27D057C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承包人提交预付款担保的期限：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1CD22DE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预付款担保的形式为：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bookmarkEnd w:id="402"/>
    <w:bookmarkEnd w:id="403"/>
    <w:bookmarkEnd w:id="404"/>
    <w:bookmarkEnd w:id="405"/>
    <w:bookmarkEnd w:id="406"/>
    <w:bookmarkEnd w:id="407"/>
    <w:bookmarkEnd w:id="408"/>
    <w:bookmarkEnd w:id="409"/>
    <w:bookmarkEnd w:id="410"/>
    <w:bookmarkEnd w:id="411"/>
    <w:p w14:paraId="16B741A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 计量</w:t>
      </w:r>
    </w:p>
    <w:p w14:paraId="673D9A2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12.3.1 计量原则</w:t>
      </w:r>
    </w:p>
    <w:p w14:paraId="586E926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工程量计算规则：</w:t>
      </w:r>
      <w:r>
        <w:rPr>
          <w:rFonts w:hint="eastAsia" w:ascii="宋体" w:hAnsi="宋体" w:eastAsia="宋体" w:cs="宋体"/>
          <w:color w:val="000000" w:themeColor="text1"/>
          <w:sz w:val="24"/>
          <w:szCs w:val="24"/>
          <w:highlight w:val="none"/>
          <w:u w:val="single"/>
          <w14:textFill>
            <w14:solidFill>
              <w14:schemeClr w14:val="tx1"/>
            </w14:solidFill>
          </w14:textFill>
        </w:rPr>
        <w:t xml:space="preserve">按GB50500-2013建设工程工程量清单计价规范工程量计算规则  </w:t>
      </w:r>
      <w:r>
        <w:rPr>
          <w:rFonts w:hint="eastAsia" w:ascii="宋体" w:hAnsi="宋体" w:eastAsia="宋体" w:cs="宋体"/>
          <w:color w:val="000000" w:themeColor="text1"/>
          <w:sz w:val="24"/>
          <w:szCs w:val="24"/>
          <w:highlight w:val="none"/>
          <w14:textFill>
            <w14:solidFill>
              <w14:schemeClr w14:val="tx1"/>
            </w14:solidFill>
          </w14:textFill>
        </w:rPr>
        <w:t>。</w:t>
      </w:r>
    </w:p>
    <w:p w14:paraId="7C7DF45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12.3.2 计量周期</w:t>
      </w:r>
    </w:p>
    <w:p w14:paraId="378FBE2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关于计量周期的约定：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按月计量        </w:t>
      </w:r>
      <w:r>
        <w:rPr>
          <w:rFonts w:hint="eastAsia" w:ascii="宋体" w:hAnsi="宋体" w:eastAsia="宋体" w:cs="宋体"/>
          <w:color w:val="000000" w:themeColor="text1"/>
          <w:sz w:val="24"/>
          <w:szCs w:val="24"/>
          <w:highlight w:val="none"/>
          <w14:textFill>
            <w14:solidFill>
              <w14:schemeClr w14:val="tx1"/>
            </w14:solidFill>
          </w14:textFill>
        </w:rPr>
        <w:t>。</w:t>
      </w:r>
    </w:p>
    <w:p w14:paraId="45B09B6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12.3.3 单价合同的计量</w:t>
      </w:r>
    </w:p>
    <w:p w14:paraId="0E1DF0B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关于单价合同计量的约定：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按月计量     </w:t>
      </w:r>
      <w:r>
        <w:rPr>
          <w:rFonts w:hint="eastAsia" w:ascii="宋体" w:hAnsi="宋体" w:eastAsia="宋体" w:cs="宋体"/>
          <w:color w:val="000000" w:themeColor="text1"/>
          <w:sz w:val="24"/>
          <w:szCs w:val="24"/>
          <w:highlight w:val="none"/>
          <w14:textFill>
            <w14:solidFill>
              <w14:schemeClr w14:val="tx1"/>
            </w14:solidFill>
          </w14:textFill>
        </w:rPr>
        <w:t>。</w:t>
      </w:r>
    </w:p>
    <w:p w14:paraId="7268D98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12.3.4 总价合同的计量</w:t>
      </w:r>
    </w:p>
    <w:p w14:paraId="55366AE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关于总价合同计量的约定：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7A42A6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12.3.5总价合同采用支付分解表计量支付的，是否适用第</w:t>
      </w:r>
      <w:r>
        <w:rPr>
          <w:rFonts w:hint="eastAsia" w:ascii="宋体" w:hAnsi="宋体" w:eastAsia="宋体" w:cs="宋体"/>
          <w:color w:val="000000" w:themeColor="text1"/>
          <w:kern w:val="0"/>
          <w:sz w:val="24"/>
          <w:szCs w:val="24"/>
          <w:highlight w:val="none"/>
          <w14:textFill>
            <w14:solidFill>
              <w14:schemeClr w14:val="tx1"/>
            </w14:solidFill>
          </w14:textFill>
        </w:rPr>
        <w:t xml:space="preserve">12.3.4 </w:t>
      </w:r>
      <w:r>
        <w:rPr>
          <w:rFonts w:hint="eastAsia" w:ascii="宋体" w:hAnsi="宋体" w:eastAsia="宋体" w:cs="宋体"/>
          <w:color w:val="000000" w:themeColor="text1"/>
          <w:sz w:val="24"/>
          <w:szCs w:val="24"/>
          <w:highlight w:val="none"/>
          <w14:textFill>
            <w14:solidFill>
              <w14:schemeClr w14:val="tx1"/>
            </w14:solidFill>
          </w14:textFill>
        </w:rPr>
        <w:t>项</w:t>
      </w:r>
      <w:r>
        <w:rPr>
          <w:rFonts w:hint="eastAsia" w:ascii="宋体" w:hAnsi="宋体" w:eastAsia="宋体" w:cs="宋体"/>
          <w:color w:val="000000" w:themeColor="text1"/>
          <w:kern w:val="0"/>
          <w:sz w:val="24"/>
          <w:szCs w:val="24"/>
          <w:highlight w:val="none"/>
          <w14:textFill>
            <w14:solidFill>
              <w14:schemeClr w14:val="tx1"/>
            </w14:solidFill>
          </w14:textFill>
        </w:rPr>
        <w:t>〔总价合同的计量〕</w:t>
      </w:r>
      <w:r>
        <w:rPr>
          <w:rFonts w:hint="eastAsia" w:ascii="宋体" w:hAnsi="宋体" w:eastAsia="宋体" w:cs="宋体"/>
          <w:color w:val="000000" w:themeColor="text1"/>
          <w:sz w:val="24"/>
          <w:szCs w:val="24"/>
          <w:highlight w:val="none"/>
          <w14:textFill>
            <w14:solidFill>
              <w14:schemeClr w14:val="tx1"/>
            </w14:solidFill>
          </w14:textFill>
        </w:rPr>
        <w:t>约定进行计量：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41ECD6F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12.3.6 其他价格形式合同的计量</w:t>
      </w:r>
    </w:p>
    <w:p w14:paraId="45369C3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其他价格形式的计量方式和程序：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17995A0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 工程进度款支付</w:t>
      </w:r>
    </w:p>
    <w:p w14:paraId="21DF12E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12" w:name="_Toc296503211"/>
      <w:bookmarkStart w:id="413" w:name="_Toc296346712"/>
      <w:bookmarkStart w:id="414" w:name="_Toc296944550"/>
      <w:bookmarkStart w:id="415" w:name="_Toc300935006"/>
      <w:bookmarkStart w:id="416" w:name="_Toc297216215"/>
      <w:bookmarkStart w:id="417" w:name="_Toc292559921"/>
      <w:bookmarkStart w:id="418" w:name="_Toc296891039"/>
      <w:bookmarkStart w:id="419" w:name="_Toc297123556"/>
      <w:bookmarkStart w:id="420" w:name="_Toc297120511"/>
      <w:bookmarkStart w:id="421" w:name="_Toc297048397"/>
      <w:bookmarkStart w:id="422" w:name="_Toc292559416"/>
      <w:bookmarkStart w:id="423" w:name="_Toc303539163"/>
      <w:bookmarkStart w:id="424" w:name="_Toc296891251"/>
      <w:bookmarkStart w:id="425" w:name="_Toc296347210"/>
      <w:r>
        <w:rPr>
          <w:rFonts w:hint="eastAsia" w:ascii="宋体" w:hAnsi="宋体" w:eastAsia="宋体" w:cs="宋体"/>
          <w:color w:val="000000" w:themeColor="text1"/>
          <w:sz w:val="24"/>
          <w:szCs w:val="24"/>
          <w:highlight w:val="none"/>
          <w14:textFill>
            <w14:solidFill>
              <w14:schemeClr w14:val="tx1"/>
            </w14:solidFill>
          </w14:textFill>
        </w:rPr>
        <w:t>12.4.1 付款周期</w:t>
      </w:r>
    </w:p>
    <w:p w14:paraId="4414D063">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关于付款周期的约定：</w:t>
      </w:r>
      <w:r>
        <w:rPr>
          <w:rFonts w:hint="eastAsia" w:ascii="宋体" w:hAnsi="宋体" w:eastAsia="宋体" w:cs="宋体"/>
          <w:color w:val="000000" w:themeColor="text1"/>
          <w:sz w:val="24"/>
          <w:szCs w:val="24"/>
          <w:highlight w:val="none"/>
          <w:u w:val="single"/>
          <w14:textFill>
            <w14:solidFill>
              <w14:schemeClr w14:val="tx1"/>
            </w14:solidFill>
          </w14:textFill>
        </w:rPr>
        <w:t>首次支付30%的工程款。工程进度款按月结算，每月支付80%的进度款。工程累计付款至签约合同价（不含暂列金）的80%时停止支付，工程竣工验收合格后，按审计结算定案价支付剩余工程款，结算审计定案价的3%作为工程质量保证金。确认增减的变更工程价款，作为调整（减）合同价款与工程进度款同期支付。验收后付款及变更项目付款，需经建设单位审核批准后付款。</w:t>
      </w:r>
    </w:p>
    <w:p w14:paraId="7B523AC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12.4.2 进度付款申请单的编制</w:t>
      </w:r>
    </w:p>
    <w:p w14:paraId="4BC483D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关于进度付款申请单编制的约定：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按发包方工程款支付管理规定执行  </w:t>
      </w:r>
      <w:r>
        <w:rPr>
          <w:rFonts w:hint="eastAsia" w:ascii="宋体" w:hAnsi="宋体" w:eastAsia="宋体" w:cs="宋体"/>
          <w:color w:val="000000" w:themeColor="text1"/>
          <w:sz w:val="24"/>
          <w:szCs w:val="24"/>
          <w:highlight w:val="none"/>
          <w14:textFill>
            <w14:solidFill>
              <w14:schemeClr w14:val="tx1"/>
            </w14:solidFill>
          </w14:textFill>
        </w:rPr>
        <w:t>。</w:t>
      </w:r>
    </w:p>
    <w:p w14:paraId="7F11A3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hint="eastAsia" w:ascii="宋体" w:hAnsi="宋体" w:eastAsia="宋体" w:cs="宋体"/>
          <w:color w:val="000000" w:themeColor="text1"/>
          <w:sz w:val="24"/>
          <w:szCs w:val="24"/>
          <w:highlight w:val="none"/>
          <w14:textFill>
            <w14:solidFill>
              <w14:schemeClr w14:val="tx1"/>
            </w14:solidFill>
          </w14:textFill>
        </w:rPr>
        <w:t>2.4.3 进度付款申请单的提交</w:t>
      </w:r>
    </w:p>
    <w:p w14:paraId="637987B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（1）单价合同进度付款申请单提交的约定：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按发包方工程款支付管理规定执行   </w:t>
      </w:r>
      <w:r>
        <w:rPr>
          <w:rFonts w:hint="eastAsia" w:ascii="宋体" w:hAnsi="宋体" w:eastAsia="宋体" w:cs="宋体"/>
          <w:color w:val="000000" w:themeColor="text1"/>
          <w:sz w:val="24"/>
          <w:szCs w:val="24"/>
          <w:highlight w:val="none"/>
          <w14:textFill>
            <w14:solidFill>
              <w14:schemeClr w14:val="tx1"/>
            </w14:solidFill>
          </w14:textFill>
        </w:rPr>
        <w:t>。</w:t>
      </w:r>
    </w:p>
    <w:p w14:paraId="5F1F9E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（2）总价合同进度付款申请</w:t>
      </w:r>
      <w:r>
        <w:rPr>
          <w:rFonts w:hint="eastAsia" w:ascii="宋体" w:hAnsi="宋体" w:eastAsia="宋体" w:cs="宋体"/>
          <w:color w:val="auto"/>
          <w:sz w:val="24"/>
          <w:szCs w:val="24"/>
          <w:highlight w:val="none"/>
        </w:rPr>
        <w:t>单提交的约定：</w:t>
      </w:r>
      <w:r>
        <w:rPr>
          <w:rFonts w:hint="eastAsia" w:ascii="宋体" w:hAnsi="宋体" w:eastAsia="宋体" w:cs="宋体"/>
          <w:color w:val="auto"/>
          <w:sz w:val="24"/>
          <w:szCs w:val="24"/>
          <w:highlight w:val="none"/>
          <w:u w:val="single"/>
        </w:rPr>
        <w:t xml:space="preserve">  按发包方工程款支付管理规定执行  </w:t>
      </w:r>
      <w:r>
        <w:rPr>
          <w:rFonts w:hint="eastAsia" w:ascii="宋体" w:hAnsi="宋体" w:eastAsia="宋体" w:cs="宋体"/>
          <w:color w:val="auto"/>
          <w:sz w:val="24"/>
          <w:szCs w:val="24"/>
          <w:highlight w:val="none"/>
        </w:rPr>
        <w:t>。</w:t>
      </w:r>
    </w:p>
    <w:p w14:paraId="7F0A39D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（3）其他价格形式合同进度付款申请单提交的约定：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9307B59">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 进度款审核和支付</w:t>
      </w:r>
    </w:p>
    <w:p w14:paraId="04A2277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（1）监理人审查并报送发包人的期限：</w:t>
      </w:r>
      <w:r>
        <w:rPr>
          <w:rFonts w:hint="eastAsia" w:ascii="宋体" w:hAnsi="宋体" w:eastAsia="宋体" w:cs="宋体"/>
          <w:color w:val="auto"/>
          <w:sz w:val="24"/>
          <w:szCs w:val="24"/>
          <w:highlight w:val="none"/>
          <w:u w:val="single"/>
        </w:rPr>
        <w:t xml:space="preserve">  收到申请7日内审查并报送     </w:t>
      </w:r>
      <w:r>
        <w:rPr>
          <w:rFonts w:hint="eastAsia" w:ascii="宋体" w:hAnsi="宋体" w:eastAsia="宋体" w:cs="宋体"/>
          <w:color w:val="auto"/>
          <w:sz w:val="24"/>
          <w:szCs w:val="24"/>
          <w:highlight w:val="none"/>
        </w:rPr>
        <w:t>。</w:t>
      </w:r>
    </w:p>
    <w:p w14:paraId="036756E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sz w:val="24"/>
          <w:szCs w:val="24"/>
          <w:highlight w:val="none"/>
          <w:u w:val="single"/>
        </w:rPr>
        <w:t xml:space="preserve"> 收到7日内完成       </w:t>
      </w:r>
      <w:r>
        <w:rPr>
          <w:rFonts w:hint="eastAsia" w:ascii="宋体" w:hAnsi="宋体" w:eastAsia="宋体" w:cs="宋体"/>
          <w:color w:val="auto"/>
          <w:sz w:val="24"/>
          <w:szCs w:val="24"/>
          <w:highlight w:val="none"/>
        </w:rPr>
        <w:t>。</w:t>
      </w:r>
    </w:p>
    <w:p w14:paraId="76D0031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（2）发包人支付进度款的期限：</w:t>
      </w:r>
      <w:r>
        <w:rPr>
          <w:rFonts w:hint="eastAsia" w:ascii="宋体" w:hAnsi="宋体" w:eastAsia="宋体" w:cs="宋体"/>
          <w:color w:val="auto"/>
          <w:sz w:val="24"/>
          <w:szCs w:val="24"/>
          <w:highlight w:val="none"/>
          <w:u w:val="single"/>
        </w:rPr>
        <w:t xml:space="preserve">  14日内                         </w:t>
      </w:r>
      <w:r>
        <w:rPr>
          <w:rFonts w:hint="eastAsia" w:ascii="宋体" w:hAnsi="宋体" w:eastAsia="宋体" w:cs="宋体"/>
          <w:color w:val="auto"/>
          <w:sz w:val="24"/>
          <w:szCs w:val="24"/>
          <w:highlight w:val="none"/>
        </w:rPr>
        <w:t>。</w:t>
      </w:r>
    </w:p>
    <w:p w14:paraId="45C4B230">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A0FD5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12.4.6 支付分解表的编制</w:t>
      </w:r>
    </w:p>
    <w:p w14:paraId="35A163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875AB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3、单价合同的总价项目支付分解表的编制与审批：</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bookmarkEnd w:id="255"/>
    <w:p w14:paraId="499882D7">
      <w:pPr>
        <w:pStyle w:val="6"/>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26" w:name="_Toc351203645"/>
      <w:bookmarkStart w:id="427" w:name="_Toc312678053"/>
      <w:bookmarkStart w:id="428" w:name="_Toc296944558"/>
      <w:bookmarkStart w:id="429" w:name="_Toc303539172"/>
      <w:bookmarkStart w:id="430" w:name="_Toc297120519"/>
      <w:bookmarkStart w:id="431" w:name="_Toc297123564"/>
      <w:bookmarkStart w:id="432" w:name="_Toc300935015"/>
      <w:bookmarkStart w:id="433" w:name="_Toc296891047"/>
      <w:bookmarkStart w:id="434" w:name="_Toc296346720"/>
      <w:bookmarkStart w:id="435" w:name="_Toc297216223"/>
      <w:bookmarkStart w:id="436" w:name="_Toc296891259"/>
      <w:bookmarkStart w:id="437" w:name="_Toc296347218"/>
      <w:bookmarkStart w:id="438" w:name="_Toc292559424"/>
      <w:bookmarkStart w:id="439" w:name="_Toc296503219"/>
      <w:bookmarkStart w:id="440" w:name="_Toc297048405"/>
      <w:bookmarkStart w:id="441" w:name="_Toc304295593"/>
      <w:bookmarkStart w:id="442" w:name="_Toc292559929"/>
      <w:r>
        <w:rPr>
          <w:rFonts w:hint="eastAsia" w:ascii="宋体" w:hAnsi="宋体" w:eastAsia="宋体" w:cs="宋体"/>
          <w:b w:val="0"/>
          <w:color w:val="auto"/>
          <w:sz w:val="24"/>
          <w:szCs w:val="24"/>
          <w:highlight w:val="none"/>
        </w:rPr>
        <w:t>13. 验收和工程试车</w:t>
      </w:r>
      <w:bookmarkEnd w:id="426"/>
    </w:p>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14:paraId="27F03FA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分部分项工程验收</w:t>
      </w:r>
    </w:p>
    <w:p w14:paraId="331560F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36035F9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6DB4523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443" w:name="_Toc296891263"/>
      <w:bookmarkStart w:id="444" w:name="_Toc312678056"/>
      <w:bookmarkStart w:id="445" w:name="_Toc304295596"/>
      <w:bookmarkStart w:id="446" w:name="_Toc297048409"/>
      <w:bookmarkStart w:id="447" w:name="_Toc296503223"/>
      <w:bookmarkStart w:id="448" w:name="_Toc297120523"/>
      <w:bookmarkStart w:id="449" w:name="_Toc300935016"/>
      <w:bookmarkStart w:id="450" w:name="_Toc296347222"/>
      <w:bookmarkStart w:id="451" w:name="_Toc297216224"/>
      <w:bookmarkStart w:id="452" w:name="_Toc296891051"/>
      <w:bookmarkStart w:id="453" w:name="_Toc296346724"/>
      <w:bookmarkStart w:id="454" w:name="_Toc296944562"/>
      <w:bookmarkStart w:id="455" w:name="_Toc292559428"/>
      <w:bookmarkStart w:id="456" w:name="_Toc303539173"/>
      <w:bookmarkStart w:id="457" w:name="_Toc297123565"/>
      <w:bookmarkStart w:id="458" w:name="_Toc292559933"/>
      <w:bookmarkStart w:id="459" w:name="_Toc267251472"/>
      <w:bookmarkStart w:id="460" w:name="_Toc267251475"/>
      <w:bookmarkStart w:id="461" w:name="_Toc267251474"/>
      <w:bookmarkStart w:id="462" w:name="_Toc267251476"/>
      <w:bookmarkStart w:id="463" w:name="_Toc267251471"/>
      <w:bookmarkStart w:id="464" w:name="_Toc267251473"/>
      <w:bookmarkStart w:id="465" w:name="_Toc267251470"/>
      <w:r>
        <w:rPr>
          <w:rFonts w:hint="eastAsia" w:ascii="宋体" w:hAnsi="宋体" w:eastAsia="宋体" w:cs="宋体"/>
          <w:color w:val="auto"/>
          <w:sz w:val="24"/>
          <w:szCs w:val="24"/>
          <w:highlight w:val="none"/>
        </w:rPr>
        <w:t>13.2 竣工验收</w:t>
      </w:r>
    </w:p>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14:paraId="5AA1B9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bookmarkStart w:id="466" w:name="_Toc280868704"/>
      <w:bookmarkStart w:id="467" w:name="_Toc280868705"/>
      <w:bookmarkStart w:id="468" w:name="_Toc280868706"/>
      <w:bookmarkStart w:id="469" w:name="_Toc280868707"/>
      <w:bookmarkStart w:id="470" w:name="_Toc280868708"/>
      <w:bookmarkStart w:id="471" w:name="_Toc280868709"/>
      <w:r>
        <w:rPr>
          <w:rFonts w:hint="eastAsia" w:ascii="宋体" w:hAnsi="宋体" w:eastAsia="宋体" w:cs="宋体"/>
          <w:color w:val="auto"/>
          <w:sz w:val="24"/>
          <w:szCs w:val="24"/>
          <w:highlight w:val="none"/>
        </w:rPr>
        <w:t>13.2.2竣工验收程序</w:t>
      </w:r>
    </w:p>
    <w:bookmarkEnd w:id="466"/>
    <w:p w14:paraId="47BFC9A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关于竣工验收程序的约定：</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p w14:paraId="766F8C6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bookmarkEnd w:id="467"/>
    <w:p w14:paraId="283F8E1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13.2.5移交、接收全部与部分工程</w:t>
      </w:r>
    </w:p>
    <w:bookmarkEnd w:id="468"/>
    <w:p w14:paraId="7AFE835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承包人向发包人移交工程的期限：</w:t>
      </w:r>
      <w:r>
        <w:rPr>
          <w:rFonts w:hint="eastAsia" w:ascii="宋体" w:hAnsi="宋体" w:eastAsia="宋体" w:cs="宋体"/>
          <w:color w:val="auto"/>
          <w:sz w:val="24"/>
          <w:szCs w:val="24"/>
          <w:highlight w:val="none"/>
          <w:u w:val="single"/>
        </w:rPr>
        <w:t xml:space="preserve">   颁发工程接收证书后7日内      </w:t>
      </w:r>
      <w:r>
        <w:rPr>
          <w:rFonts w:hint="eastAsia" w:ascii="宋体" w:hAnsi="宋体" w:eastAsia="宋体" w:cs="宋体"/>
          <w:color w:val="auto"/>
          <w:sz w:val="24"/>
          <w:szCs w:val="24"/>
          <w:highlight w:val="none"/>
        </w:rPr>
        <w:t>。</w:t>
      </w:r>
    </w:p>
    <w:p w14:paraId="522256B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发包人未按本合同约定接收全部或部分工程的，违约金的计算方法为：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469"/>
    <w:p w14:paraId="73C875D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31A88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工程试车</w:t>
      </w:r>
    </w:p>
    <w:bookmarkEnd w:id="470"/>
    <w:p w14:paraId="1AEC0EE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13.3.1 试车程序</w:t>
      </w:r>
    </w:p>
    <w:p w14:paraId="0E7015B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工程试车内容：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12FDA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（1）单机无负荷试车费用由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承担；</w:t>
      </w:r>
    </w:p>
    <w:p w14:paraId="2B1D35F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（2）无负荷联动试车费用由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承担。</w:t>
      </w:r>
    </w:p>
    <w:p w14:paraId="5811C7D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13.3.3 投料试车</w:t>
      </w:r>
    </w:p>
    <w:p w14:paraId="3CE5DBF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关于投料试车相关事项的约定：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4595EF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竣工退场</w:t>
      </w:r>
    </w:p>
    <w:p w14:paraId="66ACCD3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13.6.1 竣工退场</w:t>
      </w:r>
    </w:p>
    <w:p w14:paraId="4B0C9EC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承包人完成竣工退场的期限：</w:t>
      </w:r>
      <w:r>
        <w:rPr>
          <w:rFonts w:hint="eastAsia" w:ascii="宋体" w:hAnsi="宋体" w:eastAsia="宋体" w:cs="宋体"/>
          <w:color w:val="auto"/>
          <w:sz w:val="24"/>
          <w:szCs w:val="24"/>
          <w:highlight w:val="none"/>
          <w:u w:val="single"/>
        </w:rPr>
        <w:t xml:space="preserve">   颁发工程接收证书后3日内      </w:t>
      </w:r>
      <w:r>
        <w:rPr>
          <w:rFonts w:hint="eastAsia" w:ascii="宋体" w:hAnsi="宋体" w:eastAsia="宋体" w:cs="宋体"/>
          <w:color w:val="auto"/>
          <w:kern w:val="0"/>
          <w:sz w:val="24"/>
          <w:szCs w:val="24"/>
          <w:highlight w:val="none"/>
        </w:rPr>
        <w:t>。</w:t>
      </w:r>
    </w:p>
    <w:p w14:paraId="2F897E67">
      <w:pPr>
        <w:pStyle w:val="6"/>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72" w:name="_Toc351203646"/>
      <w:r>
        <w:rPr>
          <w:rFonts w:hint="eastAsia" w:ascii="宋体" w:hAnsi="宋体" w:eastAsia="宋体" w:cs="宋体"/>
          <w:b w:val="0"/>
          <w:color w:val="auto"/>
          <w:sz w:val="24"/>
          <w:szCs w:val="24"/>
          <w:highlight w:val="none"/>
        </w:rPr>
        <w:t>14. 竣工结算</w:t>
      </w:r>
      <w:bookmarkEnd w:id="472"/>
    </w:p>
    <w:p w14:paraId="7C061C2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竣工付款申请</w:t>
      </w:r>
    </w:p>
    <w:p w14:paraId="1A3CA20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承包人提交竣工付款申请单的期限：</w:t>
      </w:r>
      <w:r>
        <w:rPr>
          <w:rFonts w:hint="eastAsia" w:ascii="宋体" w:hAnsi="宋体" w:eastAsia="宋体" w:cs="宋体"/>
          <w:color w:val="auto"/>
          <w:sz w:val="24"/>
          <w:szCs w:val="24"/>
          <w:highlight w:val="none"/>
          <w:u w:val="single"/>
        </w:rPr>
        <w:t xml:space="preserve">按合同付款约定执行    </w:t>
      </w:r>
      <w:r>
        <w:rPr>
          <w:rFonts w:hint="eastAsia" w:ascii="宋体" w:hAnsi="宋体" w:eastAsia="宋体" w:cs="宋体"/>
          <w:color w:val="auto"/>
          <w:sz w:val="24"/>
          <w:szCs w:val="24"/>
          <w:highlight w:val="none"/>
        </w:rPr>
        <w:t>。</w:t>
      </w:r>
    </w:p>
    <w:p w14:paraId="7233C4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竣工付款申请单应包括的内容：</w:t>
      </w:r>
      <w:r>
        <w:rPr>
          <w:rFonts w:hint="eastAsia" w:ascii="宋体" w:hAnsi="宋体" w:eastAsia="宋体" w:cs="宋体"/>
          <w:color w:val="auto"/>
          <w:sz w:val="24"/>
          <w:szCs w:val="24"/>
          <w:highlight w:val="none"/>
          <w:u w:val="single"/>
        </w:rPr>
        <w:t xml:space="preserve">   按合同付款约定执行         </w:t>
      </w:r>
      <w:r>
        <w:rPr>
          <w:rFonts w:hint="eastAsia" w:ascii="宋体" w:hAnsi="宋体" w:eastAsia="宋体" w:cs="宋体"/>
          <w:color w:val="auto"/>
          <w:sz w:val="24"/>
          <w:szCs w:val="24"/>
          <w:highlight w:val="none"/>
        </w:rPr>
        <w:t>。</w:t>
      </w:r>
    </w:p>
    <w:p w14:paraId="5C07DC3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竣工结算审核</w:t>
      </w:r>
    </w:p>
    <w:p w14:paraId="2201199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 xml:space="preserve">  按合同付款约定执行   </w:t>
      </w:r>
      <w:r>
        <w:rPr>
          <w:rFonts w:hint="eastAsia" w:ascii="宋体" w:hAnsi="宋体" w:eastAsia="宋体" w:cs="宋体"/>
          <w:color w:val="auto"/>
          <w:sz w:val="24"/>
          <w:szCs w:val="24"/>
          <w:highlight w:val="none"/>
        </w:rPr>
        <w:t>。</w:t>
      </w:r>
    </w:p>
    <w:p w14:paraId="4A9CDEC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 xml:space="preserve">按合同付款约定执行    </w:t>
      </w:r>
      <w:r>
        <w:rPr>
          <w:rFonts w:hint="eastAsia" w:ascii="宋体" w:hAnsi="宋体" w:eastAsia="宋体" w:cs="宋体"/>
          <w:color w:val="auto"/>
          <w:sz w:val="24"/>
          <w:szCs w:val="24"/>
          <w:highlight w:val="none"/>
        </w:rPr>
        <w:t>。</w:t>
      </w:r>
    </w:p>
    <w:p w14:paraId="6A02692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关于竣工付款证书异议部分复核的方式和程序：</w:t>
      </w:r>
      <w:r>
        <w:rPr>
          <w:rFonts w:hint="eastAsia" w:ascii="宋体" w:hAnsi="宋体" w:eastAsia="宋体" w:cs="宋体"/>
          <w:color w:val="auto"/>
          <w:sz w:val="24"/>
          <w:szCs w:val="24"/>
          <w:highlight w:val="none"/>
          <w:u w:val="single"/>
        </w:rPr>
        <w:t xml:space="preserve"> 发包方支付工程款必须进入本合同约定账户     </w:t>
      </w:r>
      <w:r>
        <w:rPr>
          <w:rFonts w:hint="eastAsia" w:ascii="宋体" w:hAnsi="宋体" w:eastAsia="宋体" w:cs="宋体"/>
          <w:color w:val="auto"/>
          <w:sz w:val="24"/>
          <w:szCs w:val="24"/>
          <w:highlight w:val="none"/>
        </w:rPr>
        <w:t>。</w:t>
      </w:r>
    </w:p>
    <w:p w14:paraId="208C845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最终结清</w:t>
      </w:r>
    </w:p>
    <w:p w14:paraId="3057ED1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14.4.1 最终结清申请单</w:t>
      </w:r>
    </w:p>
    <w:p w14:paraId="061CC64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承包人提交最终结清申请单的份数：</w:t>
      </w:r>
      <w:r>
        <w:rPr>
          <w:rFonts w:hint="eastAsia" w:ascii="宋体" w:hAnsi="宋体" w:eastAsia="宋体" w:cs="宋体"/>
          <w:color w:val="auto"/>
          <w:sz w:val="24"/>
          <w:szCs w:val="24"/>
          <w:highlight w:val="none"/>
          <w:u w:val="single"/>
        </w:rPr>
        <w:t xml:space="preserve">     肆份        </w:t>
      </w:r>
      <w:r>
        <w:rPr>
          <w:rFonts w:hint="eastAsia" w:ascii="宋体" w:hAnsi="宋体" w:eastAsia="宋体" w:cs="宋体"/>
          <w:color w:val="auto"/>
          <w:sz w:val="24"/>
          <w:szCs w:val="24"/>
          <w:highlight w:val="none"/>
        </w:rPr>
        <w:t>。</w:t>
      </w:r>
    </w:p>
    <w:p w14:paraId="34DDAF6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承包人提交最终结算申请单的期限：</w:t>
      </w:r>
      <w:r>
        <w:rPr>
          <w:rFonts w:hint="eastAsia" w:ascii="宋体" w:hAnsi="宋体" w:eastAsia="宋体" w:cs="宋体"/>
          <w:color w:val="auto"/>
          <w:sz w:val="24"/>
          <w:szCs w:val="24"/>
          <w:highlight w:val="none"/>
          <w:u w:val="single"/>
        </w:rPr>
        <w:t xml:space="preserve">  缺陷责任期终止证书颁发后7天内    </w:t>
      </w:r>
      <w:r>
        <w:rPr>
          <w:rFonts w:hint="eastAsia" w:ascii="宋体" w:hAnsi="宋体" w:eastAsia="宋体" w:cs="宋体"/>
          <w:color w:val="auto"/>
          <w:sz w:val="24"/>
          <w:szCs w:val="24"/>
          <w:highlight w:val="none"/>
        </w:rPr>
        <w:t xml:space="preserve">。 </w:t>
      </w:r>
    </w:p>
    <w:p w14:paraId="2031A1B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最终结清证书和支付</w:t>
      </w:r>
    </w:p>
    <w:p w14:paraId="2591982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 xml:space="preserve">  收到最终结算申请单后14天内        </w:t>
      </w:r>
      <w:r>
        <w:rPr>
          <w:rFonts w:hint="eastAsia" w:ascii="宋体" w:hAnsi="宋体" w:eastAsia="宋体" w:cs="宋体"/>
          <w:color w:val="auto"/>
          <w:sz w:val="24"/>
          <w:szCs w:val="24"/>
          <w:highlight w:val="none"/>
        </w:rPr>
        <w:t>。</w:t>
      </w:r>
    </w:p>
    <w:p w14:paraId="33DD59F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bookmarkEnd w:id="459"/>
    <w:bookmarkEnd w:id="460"/>
    <w:bookmarkEnd w:id="461"/>
    <w:bookmarkEnd w:id="462"/>
    <w:bookmarkEnd w:id="463"/>
    <w:bookmarkEnd w:id="464"/>
    <w:bookmarkEnd w:id="465"/>
    <w:bookmarkEnd w:id="471"/>
    <w:p w14:paraId="640751FD">
      <w:pPr>
        <w:pStyle w:val="6"/>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73" w:name="_Toc351203647"/>
      <w:bookmarkStart w:id="474" w:name="_Toc267251483"/>
      <w:bookmarkStart w:id="475" w:name="_Toc267251484"/>
      <w:bookmarkStart w:id="476" w:name="_Toc267251482"/>
      <w:bookmarkStart w:id="477" w:name="_Toc267251485"/>
      <w:bookmarkStart w:id="478" w:name="_Toc267251486"/>
      <w:bookmarkStart w:id="479" w:name="_Toc267251488"/>
      <w:bookmarkStart w:id="480" w:name="_Toc267251490"/>
      <w:bookmarkStart w:id="481" w:name="_Toc267251489"/>
      <w:bookmarkStart w:id="482" w:name="_Toc267251495"/>
      <w:bookmarkStart w:id="483" w:name="_Toc267251498"/>
      <w:bookmarkStart w:id="484" w:name="_Toc267251502"/>
      <w:bookmarkStart w:id="485" w:name="_Toc267251491"/>
      <w:bookmarkStart w:id="486" w:name="_Toc267251493"/>
      <w:bookmarkStart w:id="487" w:name="_Toc267251503"/>
      <w:bookmarkStart w:id="488" w:name="_Toc267251501"/>
      <w:bookmarkStart w:id="489" w:name="_Toc267251494"/>
      <w:bookmarkStart w:id="490" w:name="_Toc267251492"/>
      <w:bookmarkStart w:id="491" w:name="_Toc267251496"/>
      <w:bookmarkStart w:id="492" w:name="_Toc267251499"/>
      <w:bookmarkStart w:id="493" w:name="_Toc267251497"/>
      <w:bookmarkStart w:id="494" w:name="_Toc267251504"/>
      <w:bookmarkStart w:id="495" w:name="_Toc267251506"/>
      <w:bookmarkStart w:id="496" w:name="_Toc267251507"/>
      <w:bookmarkStart w:id="497" w:name="_Toc267251508"/>
      <w:bookmarkStart w:id="498" w:name="_Toc267251514"/>
      <w:bookmarkStart w:id="499" w:name="_Toc267251510"/>
      <w:bookmarkStart w:id="500" w:name="_Toc267251511"/>
      <w:bookmarkStart w:id="501" w:name="_Toc267251513"/>
      <w:bookmarkStart w:id="502" w:name="_Toc267251509"/>
      <w:bookmarkStart w:id="503" w:name="_Toc267251515"/>
      <w:r>
        <w:rPr>
          <w:rFonts w:hint="eastAsia" w:ascii="宋体" w:hAnsi="宋体" w:eastAsia="宋体" w:cs="宋体"/>
          <w:b w:val="0"/>
          <w:color w:val="auto"/>
          <w:sz w:val="24"/>
          <w:szCs w:val="24"/>
          <w:highlight w:val="none"/>
        </w:rPr>
        <w:t>15. 缺陷责任期与保修</w:t>
      </w:r>
      <w:bookmarkEnd w:id="473"/>
    </w:p>
    <w:p w14:paraId="0B820B2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15.2缺陷责任期</w:t>
      </w:r>
      <w:bookmarkEnd w:id="474"/>
    </w:p>
    <w:p w14:paraId="5990EA9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szCs w:val="24"/>
          <w:highlight w:val="none"/>
          <w:u w:val="single"/>
        </w:rPr>
        <w:t xml:space="preserve">  自实际竣工日期起计算为12个月    </w:t>
      </w:r>
      <w:r>
        <w:rPr>
          <w:rFonts w:hint="eastAsia" w:ascii="宋体" w:hAnsi="宋体" w:eastAsia="宋体" w:cs="宋体"/>
          <w:color w:val="auto"/>
          <w:sz w:val="24"/>
          <w:szCs w:val="24"/>
          <w:highlight w:val="none"/>
        </w:rPr>
        <w:t>。</w:t>
      </w:r>
    </w:p>
    <w:p w14:paraId="5967352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质量保证金</w:t>
      </w:r>
    </w:p>
    <w:p w14:paraId="1F56F88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关于是否扣留质量保证金的约定：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扣留          </w:t>
      </w:r>
      <w:r>
        <w:rPr>
          <w:rFonts w:hint="eastAsia" w:ascii="宋体" w:hAnsi="宋体" w:eastAsia="宋体" w:cs="宋体"/>
          <w:color w:val="000000" w:themeColor="text1"/>
          <w:sz w:val="24"/>
          <w:szCs w:val="24"/>
          <w:highlight w:val="none"/>
          <w14:textFill>
            <w14:solidFill>
              <w14:schemeClr w14:val="tx1"/>
            </w14:solidFill>
          </w14:textFill>
        </w:rPr>
        <w:t>。</w:t>
      </w:r>
    </w:p>
    <w:p w14:paraId="02BD1C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15.3.1 承包人提供质量保证金的方式</w:t>
      </w:r>
    </w:p>
    <w:p w14:paraId="2D33BC1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质量保证金采用以下第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种方式：</w:t>
      </w:r>
    </w:p>
    <w:p w14:paraId="549532EC">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（1）质量保证金保函，保证金额为：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14:paraId="6A9B5CED">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3  </w:t>
      </w:r>
      <w:r>
        <w:rPr>
          <w:rFonts w:hint="eastAsia" w:ascii="宋体" w:hAnsi="宋体" w:eastAsia="宋体" w:cs="宋体"/>
          <w:color w:val="000000" w:themeColor="text1"/>
          <w:kern w:val="0"/>
          <w:sz w:val="24"/>
          <w:szCs w:val="24"/>
          <w:highlight w:val="none"/>
          <w14:textFill>
            <w14:solidFill>
              <w14:schemeClr w14:val="tx1"/>
            </w14:solidFill>
          </w14:textFill>
        </w:rPr>
        <w:t>%的工程款；</w:t>
      </w:r>
    </w:p>
    <w:p w14:paraId="2609FE30">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（3）其他方式:</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5782C45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15.3.2 质量保证金的扣留 </w:t>
      </w:r>
    </w:p>
    <w:p w14:paraId="2084090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质量保证金的扣留采取以下第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宋体"/>
          <w:b/>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种方式：</w:t>
      </w:r>
    </w:p>
    <w:p w14:paraId="445F778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（1）在支付工程进度款时逐次扣留，在此情形下，质量保证金的计算基数不包括预付款的支付、扣回以及价格调整的金额；</w:t>
      </w:r>
    </w:p>
    <w:p w14:paraId="79680A7D">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（2）工程竣工结算时一次性扣留质量保证金；</w:t>
      </w:r>
    </w:p>
    <w:p w14:paraId="6C950AE4">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（3）其他扣留方式:</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以保函形式缴纳</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06B921D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关于质量保证金的补充约定：</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按照国家、自治区现行规定执行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bookmarkEnd w:id="475"/>
    <w:bookmarkEnd w:id="476"/>
    <w:p w14:paraId="757E01F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15.4保修</w:t>
      </w:r>
    </w:p>
    <w:bookmarkEnd w:id="477"/>
    <w:p w14:paraId="1F0A9F9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15.4.1 保修责任</w:t>
      </w:r>
    </w:p>
    <w:p w14:paraId="053BA32A">
      <w:pPr>
        <w:keepNext w:val="0"/>
        <w:keepLines w:val="0"/>
        <w:pageBreakBefore w:val="0"/>
        <w:widowControl w:val="0"/>
        <w:kinsoku/>
        <w:wordWrap/>
        <w:overflowPunct/>
        <w:topLinePunct w:val="0"/>
        <w:autoSpaceDE w:val="0"/>
        <w:autoSpaceDN w:val="0"/>
        <w:bidi w:val="0"/>
        <w:snapToGrid/>
        <w:spacing w:line="340" w:lineRule="exact"/>
        <w:ind w:firstLine="468" w:firstLineChars="195"/>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工程保修期为：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见工程质量保修书</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889139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15.4.3 修复通知</w:t>
      </w:r>
    </w:p>
    <w:p w14:paraId="772889E9">
      <w:pPr>
        <w:keepNext w:val="0"/>
        <w:keepLines w:val="0"/>
        <w:pageBreakBefore w:val="0"/>
        <w:widowControl w:val="0"/>
        <w:kinsoku/>
        <w:wordWrap/>
        <w:overflowPunct/>
        <w:topLinePunct w:val="0"/>
        <w:autoSpaceDE w:val="0"/>
        <w:autoSpaceDN w:val="0"/>
        <w:bidi w:val="0"/>
        <w:snapToGrid/>
        <w:spacing w:line="340" w:lineRule="exact"/>
        <w:ind w:firstLine="468" w:firstLineChars="19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承包人收到保修通知并到达工程现场的合理时间：</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24小时内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bookmarkEnd w:id="478"/>
    <w:bookmarkEnd w:id="479"/>
    <w:bookmarkEnd w:id="480"/>
    <w:bookmarkEnd w:id="481"/>
    <w:p w14:paraId="3C68A927">
      <w:pPr>
        <w:pStyle w:val="6"/>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04" w:name="_Toc351203648"/>
      <w:bookmarkStart w:id="505" w:name="_Toc280868717"/>
      <w:bookmarkStart w:id="506" w:name="_Toc280868718"/>
      <w:r>
        <w:rPr>
          <w:rFonts w:hint="eastAsia" w:ascii="宋体" w:hAnsi="宋体" w:eastAsia="宋体" w:cs="宋体"/>
          <w:b w:val="0"/>
          <w:color w:val="auto"/>
          <w:sz w:val="24"/>
          <w:szCs w:val="24"/>
          <w:highlight w:val="none"/>
        </w:rPr>
        <w:t>16. 违约</w:t>
      </w:r>
      <w:bookmarkEnd w:id="504"/>
    </w:p>
    <w:p w14:paraId="232FF1E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发包人违约</w:t>
      </w:r>
    </w:p>
    <w:p w14:paraId="22632F7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p>
    <w:p w14:paraId="1D5D705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172B25B">
      <w:pPr>
        <w:keepNext w:val="0"/>
        <w:keepLines w:val="0"/>
        <w:pageBreakBefore w:val="0"/>
        <w:widowControl w:val="0"/>
        <w:kinsoku/>
        <w:wordWrap/>
        <w:overflowPunct/>
        <w:topLinePunct w:val="0"/>
        <w:autoSpaceDE w:val="0"/>
        <w:autoSpaceDN w:val="0"/>
        <w:bidi w:val="0"/>
        <w:snapToGrid/>
        <w:spacing w:line="340" w:lineRule="exact"/>
        <w:ind w:left="1050" w:hanging="1200" w:hangingChars="5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16.1.2 发包人违约的责任</w:t>
      </w:r>
    </w:p>
    <w:p w14:paraId="35269A1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发包人违约责任的承担方式和计算方法：</w:t>
      </w:r>
    </w:p>
    <w:p w14:paraId="635F96E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（1）因发包人原因未能在计划开工日期前7天内下达开工通知的违约责任：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6D5A18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（2）因发包人原因未能按合同约定支付合同价款的违约责任：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012805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（3）发包人违反第10.1款〔变更的范围〕第（2）项约定，自行实施被取消的工作或转由他人实施的违约责任：</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0FF10A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776972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（5）因发包人违反合同约定造成暂停施工的违约责任：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11BB29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（6）发包人无正当理由没有在约定期限内发出复工指示，导致承包人无法复工的违约责任：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74547A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20F7221">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因发包人违约解除合同</w:t>
      </w:r>
    </w:p>
    <w:p w14:paraId="3CD6C26F">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承包人按16.1.1项〔发包人违约的情形〕约定暂停施工满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天后发包人仍不纠正其违约行为并致使合同目的不能实现的，承包人有权解除合同。</w:t>
      </w:r>
    </w:p>
    <w:p w14:paraId="5A45A38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承包人违约</w:t>
      </w:r>
    </w:p>
    <w:p w14:paraId="42407B6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16.2.1 承包人违约的情形</w:t>
      </w:r>
    </w:p>
    <w:p w14:paraId="55EB1DB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承包人违约的其他情形：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025DD8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16.2.2承包人违约的责任</w:t>
      </w:r>
    </w:p>
    <w:p w14:paraId="448CB48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承包人违约责任的承担方式和计算方法：</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 xml:space="preserve">    </w:t>
      </w:r>
    </w:p>
    <w:p w14:paraId="76F3C39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 因承包人违约解除合同</w:t>
      </w:r>
    </w:p>
    <w:p w14:paraId="048A2ACF">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关于承包人违约解除合同的特别约定：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C3E9E28">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由发包人承担</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5D4B28E">
      <w:pPr>
        <w:pStyle w:val="6"/>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07" w:name="_Toc351203649"/>
      <w:r>
        <w:rPr>
          <w:rFonts w:hint="eastAsia" w:ascii="宋体" w:hAnsi="宋体" w:eastAsia="宋体" w:cs="宋体"/>
          <w:b w:val="0"/>
          <w:color w:val="auto"/>
          <w:sz w:val="24"/>
          <w:szCs w:val="24"/>
          <w:highlight w:val="none"/>
        </w:rPr>
        <w:t>17. 不可抗力</w:t>
      </w:r>
      <w:bookmarkEnd w:id="507"/>
      <w:r>
        <w:rPr>
          <w:rFonts w:hint="eastAsia" w:ascii="宋体" w:hAnsi="宋体" w:eastAsia="宋体" w:cs="宋体"/>
          <w:b w:val="0"/>
          <w:color w:val="auto"/>
          <w:sz w:val="24"/>
          <w:szCs w:val="24"/>
          <w:highlight w:val="none"/>
        </w:rPr>
        <w:t xml:space="preserve"> </w:t>
      </w:r>
      <w:bookmarkEnd w:id="505"/>
    </w:p>
    <w:p w14:paraId="5E537F3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不可抗力的确认</w:t>
      </w:r>
    </w:p>
    <w:p w14:paraId="3D8B4EF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 xml:space="preserve">除通用合同条款约定的不可抗力事件之外，视为不可抗力的其他情形：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CE6CBA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因不可抗力解除合同</w:t>
      </w:r>
    </w:p>
    <w:p w14:paraId="0614ED6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天内完成款项的支付。</w:t>
      </w:r>
    </w:p>
    <w:p w14:paraId="6B0DBF7C">
      <w:pPr>
        <w:pStyle w:val="6"/>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08" w:name="_Toc351203650"/>
      <w:r>
        <w:rPr>
          <w:rFonts w:hint="eastAsia" w:ascii="宋体" w:hAnsi="宋体" w:eastAsia="宋体" w:cs="宋体"/>
          <w:b w:val="0"/>
          <w:color w:val="auto"/>
          <w:sz w:val="24"/>
          <w:szCs w:val="24"/>
          <w:highlight w:val="none"/>
        </w:rPr>
        <w:t>18. 保险</w:t>
      </w:r>
      <w:bookmarkEnd w:id="508"/>
    </w:p>
    <w:bookmarkEnd w:id="506"/>
    <w:p w14:paraId="3538A14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工程保险</w:t>
      </w:r>
    </w:p>
    <w:p w14:paraId="4D3C6D0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F8493D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其他保险</w:t>
      </w:r>
    </w:p>
    <w:p w14:paraId="01FC81A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9B9137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p w14:paraId="5D1E2F3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 通知义务</w:t>
      </w:r>
    </w:p>
    <w:p w14:paraId="550A5A4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关于变更保险合同时的通知义务的约定：</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bookmarkEnd w:id="482"/>
    <w:bookmarkEnd w:id="483"/>
    <w:bookmarkEnd w:id="484"/>
    <w:bookmarkEnd w:id="485"/>
    <w:bookmarkEnd w:id="486"/>
    <w:bookmarkEnd w:id="487"/>
    <w:bookmarkEnd w:id="488"/>
    <w:bookmarkEnd w:id="489"/>
    <w:bookmarkEnd w:id="490"/>
    <w:bookmarkEnd w:id="491"/>
    <w:bookmarkEnd w:id="492"/>
    <w:bookmarkEnd w:id="493"/>
    <w:p w14:paraId="3CEF1497">
      <w:pPr>
        <w:pStyle w:val="6"/>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09" w:name="_Toc351203651"/>
      <w:r>
        <w:rPr>
          <w:rFonts w:hint="eastAsia" w:ascii="宋体" w:hAnsi="宋体" w:eastAsia="宋体" w:cs="宋体"/>
          <w:b w:val="0"/>
          <w:color w:val="auto"/>
          <w:sz w:val="24"/>
          <w:szCs w:val="24"/>
          <w:highlight w:val="none"/>
        </w:rPr>
        <w:t>20. 争议解决</w:t>
      </w:r>
      <w:bookmarkEnd w:id="509"/>
    </w:p>
    <w:bookmarkEnd w:id="494"/>
    <w:bookmarkEnd w:id="495"/>
    <w:p w14:paraId="0317A5A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争</w:t>
      </w:r>
      <w:bookmarkEnd w:id="496"/>
      <w:r>
        <w:rPr>
          <w:rFonts w:hint="eastAsia" w:ascii="宋体" w:hAnsi="宋体" w:eastAsia="宋体" w:cs="宋体"/>
          <w:color w:val="auto"/>
          <w:sz w:val="24"/>
          <w:szCs w:val="24"/>
          <w:highlight w:val="none"/>
        </w:rPr>
        <w:t>议评审</w:t>
      </w:r>
    </w:p>
    <w:p w14:paraId="6367D055">
      <w:pPr>
        <w:keepNext w:val="0"/>
        <w:keepLines w:val="0"/>
        <w:pageBreakBefore w:val="0"/>
        <w:widowControl w:val="0"/>
        <w:kinsoku/>
        <w:wordWrap/>
        <w:overflowPunct/>
        <w:topLinePunct w:val="0"/>
        <w:autoSpaceDE w:val="0"/>
        <w:autoSpaceDN w:val="0"/>
        <w:bidi w:val="0"/>
        <w:snapToGrid/>
        <w:spacing w:line="340" w:lineRule="exact"/>
        <w:ind w:left="156" w:leftChars="71"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DBD6C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20.3.1 争议评审小组的确定</w:t>
      </w:r>
    </w:p>
    <w:p w14:paraId="2DD550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290D51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4D6581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C9BC34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313E25">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20.3.2 争议评审小组的决定</w:t>
      </w:r>
    </w:p>
    <w:p w14:paraId="6915AB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331921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20.4仲裁或诉讼</w:t>
      </w:r>
      <w:bookmarkEnd w:id="497"/>
    </w:p>
    <w:p w14:paraId="020E1F70">
      <w:pPr>
        <w:keepNext w:val="0"/>
        <w:keepLines w:val="0"/>
        <w:pageBreakBefore w:val="0"/>
        <w:widowControl w:val="0"/>
        <w:kinsoku/>
        <w:wordWrap/>
        <w:overflowPunct/>
        <w:topLinePunct w:val="0"/>
        <w:autoSpaceDE w:val="0"/>
        <w:autoSpaceDN w:val="0"/>
        <w:bidi w:val="0"/>
        <w:snapToGrid/>
        <w:spacing w:after="120"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14:paraId="0DCDC8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仲裁委员会申请仲裁；</w:t>
      </w:r>
    </w:p>
    <w:p w14:paraId="787AF1D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工程所在地      </w:t>
      </w:r>
      <w:r>
        <w:rPr>
          <w:rFonts w:hint="eastAsia" w:ascii="宋体" w:hAnsi="宋体" w:eastAsia="宋体" w:cs="宋体"/>
          <w:color w:val="auto"/>
          <w:sz w:val="24"/>
          <w:szCs w:val="24"/>
          <w:highlight w:val="none"/>
        </w:rPr>
        <w:t>人民法院起诉。</w:t>
      </w:r>
      <w:bookmarkEnd w:id="498"/>
      <w:bookmarkEnd w:id="499"/>
      <w:bookmarkEnd w:id="500"/>
      <w:bookmarkEnd w:id="501"/>
      <w:bookmarkEnd w:id="502"/>
      <w:bookmarkEnd w:id="503"/>
    </w:p>
    <w:p w14:paraId="5F04919A">
      <w:pPr>
        <w:pStyle w:val="4"/>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bookmarkStart w:id="510" w:name="_Toc418164812"/>
      <w:bookmarkStart w:id="511" w:name="_Toc495501807"/>
    </w:p>
    <w:p w14:paraId="210E6ED9">
      <w:pPr>
        <w:pStyle w:val="4"/>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p>
    <w:p w14:paraId="42FEFD56">
      <w:pPr>
        <w:pStyle w:val="4"/>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第三节 合同文件格式</w:t>
      </w:r>
      <w:bookmarkEnd w:id="510"/>
      <w:bookmarkEnd w:id="511"/>
    </w:p>
    <w:p w14:paraId="3A5E8DF6">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1.合同文件格式</w:t>
      </w:r>
    </w:p>
    <w:p w14:paraId="44D54D4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 依据设计文件的要求，本工程</w:t>
      </w:r>
      <w:r>
        <w:rPr>
          <w:rFonts w:hint="eastAsia" w:ascii="宋体" w:hAnsi="宋体" w:eastAsia="宋体" w:cs="宋体"/>
          <w:color w:val="auto"/>
          <w:kern w:val="0"/>
          <w:sz w:val="24"/>
          <w:szCs w:val="24"/>
          <w:highlight w:val="none"/>
          <w:lang w:eastAsia="zh-CN"/>
        </w:rPr>
        <w:t>采购项目</w:t>
      </w:r>
      <w:r>
        <w:rPr>
          <w:rFonts w:hint="eastAsia" w:ascii="宋体" w:hAnsi="宋体" w:eastAsia="宋体" w:cs="宋体"/>
          <w:color w:val="auto"/>
          <w:kern w:val="0"/>
          <w:sz w:val="24"/>
          <w:szCs w:val="24"/>
          <w:highlight w:val="none"/>
        </w:rPr>
        <w:t>的材料、设备、施工必须达到现行中华人民共和国以及自治区和行业的工程建设标准、规范的要求。</w:t>
      </w:r>
    </w:p>
    <w:p w14:paraId="588EF49B">
      <w:pPr>
        <w:keepNext w:val="0"/>
        <w:keepLines w:val="0"/>
        <w:pageBreakBefore w:val="0"/>
        <w:widowControl w:val="0"/>
        <w:kinsoku/>
        <w:wordWrap/>
        <w:overflowPunct/>
        <w:topLinePunct w:val="0"/>
        <w:autoSpaceDE w:val="0"/>
        <w:autoSpaceDN w:val="0"/>
        <w:bidi w:val="0"/>
        <w:adjustRightInd w:val="0"/>
        <w:snapToGrid/>
        <w:spacing w:line="340" w:lineRule="exact"/>
        <w:ind w:left="2" w:firstLine="482" w:firstLineChars="201"/>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 建设工程施工合同的“合同条件”采用国家工商行政管理局和建设部颁发的《建设工程施工合同》（</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u w:val="single"/>
        </w:rPr>
        <w:t>GF-201</w:t>
      </w:r>
      <w:r>
        <w:rPr>
          <w:rFonts w:hint="eastAsia" w:cs="宋体"/>
          <w:b/>
          <w:color w:val="auto"/>
          <w:kern w:val="0"/>
          <w:sz w:val="24"/>
          <w:szCs w:val="24"/>
          <w:highlight w:val="none"/>
          <w:u w:val="single"/>
          <w:lang w:val="en-US" w:eastAsia="zh-CN"/>
        </w:rPr>
        <w:t>7</w:t>
      </w:r>
      <w:r>
        <w:rPr>
          <w:rFonts w:hint="eastAsia" w:ascii="宋体" w:hAnsi="宋体" w:eastAsia="宋体" w:cs="宋体"/>
          <w:b/>
          <w:color w:val="auto"/>
          <w:kern w:val="0"/>
          <w:sz w:val="24"/>
          <w:szCs w:val="24"/>
          <w:highlight w:val="none"/>
          <w:u w:val="single"/>
        </w:rPr>
        <w:t>-0201</w:t>
      </w:r>
      <w:r>
        <w:rPr>
          <w:rFonts w:hint="eastAsia" w:ascii="宋体" w:hAnsi="宋体" w:eastAsia="宋体" w:cs="宋体"/>
          <w:color w:val="auto"/>
          <w:kern w:val="0"/>
          <w:sz w:val="24"/>
          <w:szCs w:val="24"/>
          <w:highlight w:val="none"/>
        </w:rPr>
        <w:t xml:space="preserve"> ）的合同条件。</w:t>
      </w:r>
    </w:p>
    <w:p w14:paraId="6047A45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 合同协议条款将由建设单位（发包人）与中标单位（承包人）结合本工程具体情况协商后签订。</w:t>
      </w:r>
      <w:bookmarkEnd w:id="48"/>
      <w:bookmarkEnd w:id="49"/>
      <w:bookmarkEnd w:id="50"/>
      <w:bookmarkEnd w:id="51"/>
    </w:p>
    <w:p w14:paraId="485F168F">
      <w:pPr>
        <w:pStyle w:val="16"/>
        <w:rPr>
          <w:rFonts w:hint="eastAsia" w:ascii="宋体" w:hAnsi="宋体" w:eastAsia="宋体" w:cs="宋体"/>
          <w:color w:val="auto"/>
          <w:sz w:val="24"/>
          <w:szCs w:val="24"/>
          <w:highlight w:val="none"/>
        </w:rPr>
      </w:pPr>
    </w:p>
    <w:p w14:paraId="48966618">
      <w:pPr>
        <w:pStyle w:val="16"/>
        <w:rPr>
          <w:rFonts w:hint="eastAsia" w:ascii="宋体" w:hAnsi="宋体" w:eastAsia="宋体" w:cs="宋体"/>
          <w:color w:val="auto"/>
          <w:sz w:val="24"/>
          <w:szCs w:val="24"/>
          <w:highlight w:val="none"/>
        </w:rPr>
      </w:pPr>
    </w:p>
    <w:p w14:paraId="21D110CE">
      <w:pPr>
        <w:pStyle w:val="16"/>
        <w:rPr>
          <w:rFonts w:hint="eastAsia" w:ascii="宋体" w:hAnsi="宋体" w:eastAsia="宋体" w:cs="宋体"/>
          <w:color w:val="auto"/>
          <w:sz w:val="24"/>
          <w:szCs w:val="24"/>
          <w:highlight w:val="none"/>
        </w:rPr>
      </w:pPr>
    </w:p>
    <w:p w14:paraId="7F2253C4">
      <w:pPr>
        <w:pStyle w:val="16"/>
        <w:rPr>
          <w:rFonts w:hint="eastAsia" w:ascii="宋体" w:hAnsi="宋体" w:eastAsia="宋体" w:cs="宋体"/>
          <w:color w:val="auto"/>
          <w:sz w:val="24"/>
          <w:szCs w:val="24"/>
          <w:highlight w:val="none"/>
        </w:rPr>
        <w:sectPr>
          <w:headerReference r:id="rId16" w:type="default"/>
          <w:pgSz w:w="11910" w:h="16840"/>
          <w:pgMar w:top="1134" w:right="1531" w:bottom="1134" w:left="1531" w:header="670" w:footer="1041" w:gutter="0"/>
          <w:pgNumType w:fmt="decimal"/>
          <w:cols w:space="0" w:num="1"/>
          <w:rtlGutter w:val="0"/>
          <w:docGrid w:linePitch="1" w:charSpace="0"/>
        </w:sectPr>
      </w:pPr>
    </w:p>
    <w:p w14:paraId="6E97E671">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561" w:firstLineChars="800"/>
        <w:jc w:val="both"/>
        <w:textAlignment w:val="auto"/>
        <w:rPr>
          <w:rFonts w:hint="eastAsia" w:ascii="微软雅黑" w:hAnsi="微软雅黑" w:eastAsia="微软雅黑" w:cs="微软雅黑"/>
          <w:b/>
          <w:bCs/>
          <w:color w:val="auto"/>
          <w:sz w:val="32"/>
          <w:szCs w:val="32"/>
          <w:highlight w:val="none"/>
        </w:rPr>
      </w:pPr>
      <w:bookmarkStart w:id="512" w:name="_bookmark4"/>
      <w:bookmarkEnd w:id="512"/>
      <w:bookmarkStart w:id="513" w:name="_Toc10386_WPSOffice_Level1"/>
      <w:r>
        <w:rPr>
          <w:rFonts w:hint="eastAsia" w:ascii="微软雅黑" w:hAnsi="微软雅黑" w:eastAsia="微软雅黑" w:cs="微软雅黑"/>
          <w:b/>
          <w:bCs/>
          <w:color w:val="auto"/>
          <w:sz w:val="32"/>
          <w:szCs w:val="32"/>
          <w:highlight w:val="none"/>
        </w:rPr>
        <w:t>第五部分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rPr>
        <w:t>响应文件格式</w:t>
      </w:r>
      <w:bookmarkEnd w:id="513"/>
    </w:p>
    <w:p w14:paraId="27A00190">
      <w:pPr>
        <w:keepNext w:val="0"/>
        <w:keepLines w:val="0"/>
        <w:pageBreakBefore w:val="0"/>
        <w:widowControl w:val="0"/>
        <w:kinsoku/>
        <w:wordWrap/>
        <w:overflowPunct/>
        <w:topLinePunct w:val="0"/>
        <w:autoSpaceDE w:val="0"/>
        <w:autoSpaceDN w:val="0"/>
        <w:bidi w:val="0"/>
        <w:adjustRightInd/>
        <w:snapToGrid/>
        <w:spacing w:line="440" w:lineRule="exact"/>
        <w:ind w:firstLine="3092" w:firstLineChars="1100"/>
        <w:jc w:val="both"/>
        <w:textAlignment w:val="auto"/>
        <w:rPr>
          <w:rFonts w:hint="eastAsia" w:ascii="宋体" w:hAnsi="宋体" w:eastAsia="宋体" w:cs="宋体"/>
          <w:b/>
          <w:bCs/>
          <w:color w:val="auto"/>
          <w:sz w:val="28"/>
          <w:szCs w:val="28"/>
          <w:highlight w:val="none"/>
          <w:lang w:eastAsia="zh-CN"/>
        </w:rPr>
      </w:pPr>
      <w:bookmarkStart w:id="514" w:name="_Toc8063_WPSOffice_Level1"/>
      <w:r>
        <w:rPr>
          <w:rFonts w:hint="eastAsia" w:ascii="宋体" w:hAnsi="宋体" w:eastAsia="宋体" w:cs="宋体"/>
          <w:b/>
          <w:bCs/>
          <w:color w:val="auto"/>
          <w:sz w:val="28"/>
          <w:szCs w:val="28"/>
          <w:highlight w:val="none"/>
          <w:lang w:val="en-US" w:eastAsia="zh-CN"/>
        </w:rPr>
        <w:t>磋商</w:t>
      </w:r>
      <w:r>
        <w:rPr>
          <w:rFonts w:hint="eastAsia" w:ascii="宋体" w:hAnsi="宋体" w:eastAsia="宋体" w:cs="宋体"/>
          <w:b/>
          <w:bCs/>
          <w:color w:val="auto"/>
          <w:sz w:val="28"/>
          <w:szCs w:val="28"/>
          <w:highlight w:val="none"/>
        </w:rPr>
        <w:t>响应文件封面</w:t>
      </w:r>
      <w:r>
        <w:rPr>
          <w:rFonts w:hint="eastAsia" w:ascii="宋体" w:hAnsi="宋体" w:eastAsia="宋体" w:cs="宋体"/>
          <w:b/>
          <w:bCs/>
          <w:color w:val="auto"/>
          <w:sz w:val="28"/>
          <w:szCs w:val="28"/>
          <w:highlight w:val="none"/>
          <w:lang w:val="en-US" w:eastAsia="zh-CN"/>
        </w:rPr>
        <w:t>格式</w:t>
      </w:r>
      <w:bookmarkEnd w:id="514"/>
    </w:p>
    <w:p w14:paraId="7D7B00F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right"/>
        <w:textAlignment w:val="auto"/>
        <w:rPr>
          <w:rFonts w:hint="eastAsia" w:ascii="宋体" w:hAnsi="宋体" w:eastAsia="宋体" w:cs="宋体"/>
          <w:color w:val="auto"/>
          <w:sz w:val="24"/>
          <w:szCs w:val="24"/>
          <w:highlight w:val="none"/>
        </w:rPr>
      </w:pPr>
    </w:p>
    <w:p w14:paraId="168E56E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44"/>
          <w:szCs w:val="44"/>
          <w:highlight w:val="none"/>
        </w:rPr>
      </w:pPr>
    </w:p>
    <w:p w14:paraId="73C66EE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36"/>
          <w:szCs w:val="36"/>
          <w:highlight w:val="none"/>
        </w:rPr>
      </w:pPr>
      <w:bookmarkStart w:id="515" w:name="_Toc28255_WPSOffice_Level1"/>
      <w:r>
        <w:rPr>
          <w:rFonts w:hint="eastAsia" w:ascii="宋体" w:hAnsi="宋体" w:eastAsia="宋体" w:cs="宋体"/>
          <w:b/>
          <w:bCs/>
          <w:color w:val="auto"/>
          <w:sz w:val="36"/>
          <w:szCs w:val="36"/>
          <w:highlight w:val="none"/>
        </w:rPr>
        <w:t>项目名称：</w:t>
      </w:r>
      <w:bookmarkEnd w:id="515"/>
    </w:p>
    <w:p w14:paraId="2F2CA38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36"/>
          <w:szCs w:val="36"/>
          <w:highlight w:val="none"/>
        </w:rPr>
      </w:pPr>
      <w:bookmarkStart w:id="516" w:name="_Toc11066_WPSOffice_Level1"/>
      <w:r>
        <w:rPr>
          <w:rFonts w:hint="eastAsia" w:ascii="宋体" w:hAnsi="宋体" w:eastAsia="宋体" w:cs="宋体"/>
          <w:b/>
          <w:bCs/>
          <w:color w:val="auto"/>
          <w:sz w:val="36"/>
          <w:szCs w:val="36"/>
          <w:highlight w:val="none"/>
        </w:rPr>
        <w:t>项目编号：</w:t>
      </w:r>
      <w:bookmarkEnd w:id="516"/>
    </w:p>
    <w:p w14:paraId="41CAD66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B503475">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48"/>
          <w:szCs w:val="48"/>
          <w:highlight w:val="none"/>
          <w:lang w:val="en-US" w:eastAsia="zh-CN"/>
        </w:rPr>
      </w:pPr>
    </w:p>
    <w:p w14:paraId="7D24BA88">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48"/>
          <w:szCs w:val="48"/>
          <w:highlight w:val="none"/>
          <w:lang w:val="en-US" w:eastAsia="zh-CN"/>
        </w:rPr>
      </w:pPr>
    </w:p>
    <w:p w14:paraId="131E7FE7">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72"/>
          <w:szCs w:val="72"/>
          <w:highlight w:val="none"/>
        </w:rPr>
      </w:pPr>
      <w:bookmarkStart w:id="517" w:name="_Toc27361_WPSOffice_Level1"/>
      <w:r>
        <w:rPr>
          <w:rFonts w:hint="eastAsia" w:ascii="宋体" w:hAnsi="宋体" w:eastAsia="宋体" w:cs="宋体"/>
          <w:b/>
          <w:bCs/>
          <w:color w:val="auto"/>
          <w:sz w:val="48"/>
          <w:szCs w:val="48"/>
          <w:highlight w:val="none"/>
          <w:lang w:val="en-US" w:eastAsia="zh-CN"/>
        </w:rPr>
        <w:t>磋商</w:t>
      </w:r>
      <w:r>
        <w:rPr>
          <w:rFonts w:hint="eastAsia" w:ascii="宋体" w:hAnsi="宋体" w:eastAsia="宋体" w:cs="宋体"/>
          <w:b/>
          <w:bCs/>
          <w:color w:val="auto"/>
          <w:sz w:val="48"/>
          <w:szCs w:val="48"/>
          <w:highlight w:val="none"/>
        </w:rPr>
        <w:t>响应文件</w:t>
      </w:r>
      <w:bookmarkEnd w:id="517"/>
      <w:r>
        <w:rPr>
          <w:rFonts w:hint="eastAsia" w:ascii="宋体" w:hAnsi="宋体" w:eastAsia="宋体" w:cs="宋体"/>
          <w:b/>
          <w:bCs/>
          <w:color w:val="auto"/>
          <w:sz w:val="72"/>
          <w:szCs w:val="72"/>
          <w:highlight w:val="none"/>
        </w:rPr>
        <w:t xml:space="preserve"> </w:t>
      </w:r>
    </w:p>
    <w:p w14:paraId="2CD44237">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44"/>
          <w:szCs w:val="44"/>
          <w:highlight w:val="none"/>
        </w:rPr>
      </w:pPr>
    </w:p>
    <w:p w14:paraId="39B62DFF">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44"/>
          <w:szCs w:val="44"/>
          <w:highlight w:val="none"/>
        </w:rPr>
      </w:pPr>
    </w:p>
    <w:p w14:paraId="4D7C4D00">
      <w:pPr>
        <w:keepNext w:val="0"/>
        <w:keepLines w:val="0"/>
        <w:pageBreakBefore w:val="0"/>
        <w:widowControl w:val="0"/>
        <w:kinsoku/>
        <w:wordWrap/>
        <w:overflowPunct/>
        <w:topLinePunct w:val="0"/>
        <w:autoSpaceDE w:val="0"/>
        <w:autoSpaceDN w:val="0"/>
        <w:bidi w:val="0"/>
        <w:adjustRightInd/>
        <w:snapToGrid/>
        <w:spacing w:line="440" w:lineRule="exact"/>
        <w:ind w:firstLine="1928" w:firstLineChars="800"/>
        <w:jc w:val="both"/>
        <w:textAlignment w:val="auto"/>
        <w:rPr>
          <w:rFonts w:hint="eastAsia" w:ascii="宋体" w:hAnsi="宋体" w:eastAsia="宋体" w:cs="宋体"/>
          <w:b/>
          <w:bCs/>
          <w:color w:val="auto"/>
          <w:sz w:val="24"/>
          <w:szCs w:val="24"/>
          <w:highlight w:val="none"/>
        </w:rPr>
      </w:pPr>
    </w:p>
    <w:p w14:paraId="7B4D7CA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73DAF68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5E9709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0BEF4CA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7E4B3F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rPr>
        <w:t>供应商名称（加盖公章）：</w:t>
      </w:r>
      <w:r>
        <w:rPr>
          <w:rFonts w:hint="eastAsia" w:ascii="宋体" w:hAnsi="宋体" w:eastAsia="宋体" w:cs="宋体"/>
          <w:b/>
          <w:bCs/>
          <w:color w:val="auto"/>
          <w:sz w:val="24"/>
          <w:szCs w:val="24"/>
          <w:highlight w:val="none"/>
          <w:u w:val="single"/>
          <w:lang w:val="en-US" w:eastAsia="zh-CN"/>
        </w:rPr>
        <w:t xml:space="preserve">                                </w:t>
      </w:r>
    </w:p>
    <w:p w14:paraId="7AF92DE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cs="宋体"/>
          <w:b/>
          <w:bCs/>
          <w:color w:val="auto"/>
          <w:sz w:val="24"/>
          <w:szCs w:val="24"/>
          <w:highlight w:val="none"/>
          <w:u w:val="none"/>
          <w:lang w:val="en-US" w:eastAsia="zh-CN"/>
        </w:rPr>
      </w:pPr>
      <w:r>
        <w:rPr>
          <w:rFonts w:hint="eastAsia" w:cs="宋体"/>
          <w:b/>
          <w:bCs/>
          <w:color w:val="auto"/>
          <w:sz w:val="24"/>
          <w:szCs w:val="24"/>
          <w:highlight w:val="none"/>
          <w:u w:val="none"/>
          <w:lang w:val="en-US" w:eastAsia="zh-CN"/>
        </w:rPr>
        <w:t>供应商地址：</w:t>
      </w:r>
    </w:p>
    <w:p w14:paraId="0A7CB7A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default" w:cs="宋体"/>
          <w:b/>
          <w:bCs/>
          <w:color w:val="auto"/>
          <w:sz w:val="24"/>
          <w:szCs w:val="24"/>
          <w:highlight w:val="none"/>
          <w:u w:val="single"/>
          <w:lang w:val="en-US" w:eastAsia="zh-CN"/>
        </w:rPr>
      </w:pPr>
      <w:r>
        <w:rPr>
          <w:rFonts w:hint="eastAsia" w:cs="宋体"/>
          <w:b/>
          <w:bCs/>
          <w:color w:val="auto"/>
          <w:sz w:val="24"/>
          <w:szCs w:val="24"/>
          <w:highlight w:val="none"/>
          <w:u w:val="none"/>
          <w:lang w:val="en-US" w:eastAsia="zh-CN"/>
        </w:rPr>
        <w:t>供应商联系人：      电话：</w:t>
      </w:r>
    </w:p>
    <w:p w14:paraId="47A0B9E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5585ADCB">
      <w:pPr>
        <w:rPr>
          <w:rFonts w:hint="eastAsia"/>
          <w:color w:val="auto"/>
          <w:highlight w:val="none"/>
        </w:rPr>
      </w:pPr>
    </w:p>
    <w:p w14:paraId="1D60C982">
      <w:pPr>
        <w:bidi w:val="0"/>
        <w:rPr>
          <w:rFonts w:hint="eastAsia" w:ascii="宋体" w:hAnsi="宋体" w:eastAsia="宋体" w:cs="宋体"/>
          <w:color w:val="auto"/>
          <w:sz w:val="22"/>
          <w:szCs w:val="22"/>
          <w:highlight w:val="none"/>
          <w:lang w:val="zh-CN" w:eastAsia="zh-CN" w:bidi="zh-CN"/>
        </w:rPr>
      </w:pPr>
    </w:p>
    <w:p w14:paraId="56A3444E">
      <w:pPr>
        <w:bidi w:val="0"/>
        <w:rPr>
          <w:rFonts w:hint="eastAsia"/>
          <w:color w:val="auto"/>
          <w:highlight w:val="none"/>
          <w:lang w:val="zh-CN" w:eastAsia="zh-CN"/>
        </w:rPr>
      </w:pPr>
    </w:p>
    <w:p w14:paraId="638E6D30">
      <w:pPr>
        <w:spacing w:line="440" w:lineRule="exact"/>
        <w:ind w:firstLine="3213" w:firstLineChars="1000"/>
        <w:jc w:val="both"/>
        <w:rPr>
          <w:rFonts w:hint="eastAsia" w:ascii="宋体" w:hAnsi="宋体"/>
          <w:b/>
          <w:bCs/>
          <w:color w:val="auto"/>
          <w:sz w:val="32"/>
          <w:szCs w:val="32"/>
          <w:highlight w:val="none"/>
        </w:rPr>
      </w:pPr>
      <w:bookmarkStart w:id="518" w:name="_Toc9356_WPSOffice_Level1"/>
    </w:p>
    <w:p w14:paraId="0BD8C0B0">
      <w:pPr>
        <w:spacing w:line="440" w:lineRule="exact"/>
        <w:ind w:firstLine="3213" w:firstLineChars="1000"/>
        <w:jc w:val="both"/>
        <w:rPr>
          <w:rFonts w:hint="eastAsia" w:ascii="宋体" w:hAnsi="宋体"/>
          <w:b/>
          <w:bCs/>
          <w:color w:val="auto"/>
          <w:sz w:val="32"/>
          <w:szCs w:val="32"/>
          <w:highlight w:val="none"/>
        </w:rPr>
      </w:pPr>
    </w:p>
    <w:p w14:paraId="528EA309">
      <w:pPr>
        <w:spacing w:line="440" w:lineRule="exact"/>
        <w:ind w:firstLine="3213" w:firstLineChars="1000"/>
        <w:jc w:val="both"/>
        <w:rPr>
          <w:rFonts w:hint="eastAsia" w:ascii="宋体" w:hAnsi="宋体"/>
          <w:b/>
          <w:bCs/>
          <w:color w:val="auto"/>
          <w:sz w:val="32"/>
          <w:szCs w:val="32"/>
          <w:highlight w:val="none"/>
        </w:rPr>
      </w:pPr>
    </w:p>
    <w:p w14:paraId="2646C946">
      <w:pPr>
        <w:spacing w:line="440" w:lineRule="exact"/>
        <w:ind w:firstLine="3213" w:firstLineChars="1000"/>
        <w:jc w:val="both"/>
        <w:rPr>
          <w:rFonts w:hint="eastAsia" w:ascii="宋体" w:hAnsi="宋体"/>
          <w:b/>
          <w:bCs/>
          <w:color w:val="auto"/>
          <w:sz w:val="32"/>
          <w:szCs w:val="32"/>
          <w:highlight w:val="none"/>
        </w:rPr>
      </w:pPr>
    </w:p>
    <w:p w14:paraId="5AFFD103">
      <w:pPr>
        <w:spacing w:line="440" w:lineRule="exact"/>
        <w:ind w:firstLine="3213" w:firstLineChars="1000"/>
        <w:jc w:val="both"/>
        <w:rPr>
          <w:rFonts w:hint="eastAsia" w:ascii="宋体" w:hAnsi="宋体"/>
          <w:b/>
          <w:bCs/>
          <w:color w:val="auto"/>
          <w:sz w:val="32"/>
          <w:szCs w:val="32"/>
          <w:highlight w:val="none"/>
        </w:rPr>
      </w:pPr>
    </w:p>
    <w:p w14:paraId="2E7DA8C2">
      <w:pPr>
        <w:spacing w:line="440" w:lineRule="exact"/>
        <w:ind w:firstLine="3213" w:firstLineChars="1000"/>
        <w:jc w:val="both"/>
        <w:rPr>
          <w:rFonts w:hint="eastAsia" w:ascii="宋体" w:hAnsi="宋体"/>
          <w:b/>
          <w:bCs/>
          <w:color w:val="auto"/>
          <w:sz w:val="32"/>
          <w:szCs w:val="32"/>
          <w:highlight w:val="none"/>
        </w:rPr>
      </w:pPr>
    </w:p>
    <w:p w14:paraId="236D6FD4">
      <w:pPr>
        <w:spacing w:line="440" w:lineRule="exact"/>
        <w:ind w:firstLine="3213" w:firstLineChars="1000"/>
        <w:jc w:val="both"/>
        <w:rPr>
          <w:rFonts w:hint="eastAsia" w:ascii="宋体" w:hAnsi="宋体"/>
          <w:b/>
          <w:bCs/>
          <w:color w:val="auto"/>
          <w:sz w:val="32"/>
          <w:szCs w:val="32"/>
          <w:highlight w:val="none"/>
        </w:rPr>
      </w:pPr>
    </w:p>
    <w:p w14:paraId="5E07F404">
      <w:pPr>
        <w:spacing w:line="440" w:lineRule="exact"/>
        <w:ind w:firstLine="3213" w:firstLineChars="1000"/>
        <w:jc w:val="both"/>
        <w:rPr>
          <w:rFonts w:hint="eastAsia" w:ascii="宋体" w:hAnsi="宋体"/>
          <w:b/>
          <w:bCs/>
          <w:color w:val="auto"/>
          <w:sz w:val="32"/>
          <w:szCs w:val="32"/>
          <w:highlight w:val="none"/>
        </w:rPr>
      </w:pPr>
    </w:p>
    <w:p w14:paraId="4D2677C9">
      <w:pPr>
        <w:spacing w:line="440" w:lineRule="exact"/>
        <w:ind w:firstLine="3213" w:firstLineChars="1000"/>
        <w:jc w:val="both"/>
        <w:rPr>
          <w:rFonts w:hint="eastAsia" w:ascii="宋体" w:hAnsi="宋体"/>
          <w:b/>
          <w:bCs/>
          <w:color w:val="auto"/>
          <w:sz w:val="32"/>
          <w:szCs w:val="32"/>
          <w:highlight w:val="none"/>
        </w:rPr>
      </w:pPr>
    </w:p>
    <w:p w14:paraId="6C685953">
      <w:pPr>
        <w:spacing w:line="440" w:lineRule="exact"/>
        <w:ind w:firstLine="3213" w:firstLineChars="1000"/>
        <w:jc w:val="both"/>
        <w:rPr>
          <w:rFonts w:hint="eastAsia" w:ascii="宋体" w:hAnsi="宋体"/>
          <w:b/>
          <w:bCs/>
          <w:color w:val="auto"/>
          <w:sz w:val="32"/>
          <w:szCs w:val="32"/>
          <w:highlight w:val="none"/>
        </w:rPr>
      </w:pPr>
      <w:r>
        <w:rPr>
          <w:rFonts w:hint="eastAsia" w:ascii="宋体" w:hAnsi="宋体"/>
          <w:b/>
          <w:bCs/>
          <w:color w:val="auto"/>
          <w:sz w:val="32"/>
          <w:szCs w:val="32"/>
          <w:highlight w:val="none"/>
        </w:rPr>
        <w:t>响应文件主要目录</w:t>
      </w:r>
      <w:bookmarkEnd w:id="518"/>
    </w:p>
    <w:p w14:paraId="2BB63079">
      <w:pPr>
        <w:spacing w:line="440" w:lineRule="exact"/>
        <w:ind w:firstLine="643"/>
        <w:jc w:val="center"/>
        <w:rPr>
          <w:rFonts w:hint="eastAsia" w:ascii="宋体" w:hAnsi="宋体"/>
          <w:b/>
          <w:bCs/>
          <w:color w:val="auto"/>
          <w:sz w:val="32"/>
          <w:szCs w:val="32"/>
          <w:highlight w:val="none"/>
        </w:rPr>
      </w:pPr>
    </w:p>
    <w:p w14:paraId="629CBEEA">
      <w:pPr>
        <w:pStyle w:val="2"/>
        <w:spacing w:before="63" w:line="220" w:lineRule="auto"/>
        <w:ind w:left="586"/>
        <w:rPr>
          <w:rFonts w:hint="eastAsia"/>
          <w:b/>
          <w:bCs/>
          <w:color w:val="auto"/>
          <w:sz w:val="24"/>
          <w:szCs w:val="24"/>
          <w:highlight w:val="none"/>
          <w:lang w:val="en-US" w:eastAsia="zh-CN"/>
        </w:rPr>
      </w:pPr>
      <w:r>
        <w:rPr>
          <w:rFonts w:hint="eastAsia"/>
          <w:b/>
          <w:bCs/>
          <w:color w:val="auto"/>
          <w:sz w:val="24"/>
          <w:szCs w:val="24"/>
          <w:highlight w:val="none"/>
          <w:lang w:val="en-US" w:eastAsia="zh-CN"/>
        </w:rPr>
        <w:t>一、资格响应文件</w:t>
      </w:r>
    </w:p>
    <w:p w14:paraId="5E905480">
      <w:pPr>
        <w:pStyle w:val="2"/>
        <w:spacing w:before="63" w:line="220" w:lineRule="auto"/>
        <w:ind w:left="586"/>
      </w:pPr>
      <w:r>
        <w:rPr>
          <w:spacing w:val="-1"/>
        </w:rPr>
        <w:t>一、资格证明文件………………………………………（页数）</w:t>
      </w:r>
    </w:p>
    <w:p w14:paraId="016C671A">
      <w:pPr>
        <w:pStyle w:val="2"/>
        <w:spacing w:before="67" w:line="220" w:lineRule="auto"/>
        <w:ind w:left="586"/>
      </w:pPr>
      <w:r>
        <w:rPr>
          <w:spacing w:val="-1"/>
        </w:rPr>
        <w:t>二、</w:t>
      </w:r>
      <w:r>
        <w:rPr>
          <w:rFonts w:hint="eastAsia"/>
          <w:spacing w:val="-1"/>
          <w:lang w:val="en-US" w:eastAsia="zh-CN"/>
        </w:rPr>
        <w:t>报价响应文件</w:t>
      </w:r>
      <w:r>
        <w:rPr>
          <w:spacing w:val="-1"/>
        </w:rPr>
        <w:t>………………………………………（页数）</w:t>
      </w:r>
    </w:p>
    <w:p w14:paraId="18AB0050">
      <w:pPr>
        <w:pStyle w:val="2"/>
        <w:spacing w:before="64" w:line="219" w:lineRule="auto"/>
        <w:ind w:left="581"/>
        <w:rPr>
          <w:spacing w:val="-1"/>
        </w:rPr>
      </w:pPr>
      <w:r>
        <w:rPr>
          <w:spacing w:val="-1"/>
        </w:rPr>
        <w:t>三、</w:t>
      </w:r>
      <w:r>
        <w:rPr>
          <w:rFonts w:hint="eastAsia"/>
          <w:spacing w:val="-1"/>
          <w:lang w:val="en-US" w:eastAsia="zh-CN"/>
        </w:rPr>
        <w:t>商务技术响应文件</w:t>
      </w:r>
      <w:r>
        <w:rPr>
          <w:spacing w:val="-1"/>
        </w:rPr>
        <w:t>…………………………………（页数）</w:t>
      </w:r>
    </w:p>
    <w:p w14:paraId="2C5DD226">
      <w:pPr>
        <w:pStyle w:val="2"/>
        <w:spacing w:before="64" w:line="219" w:lineRule="auto"/>
        <w:ind w:left="581"/>
        <w:rPr>
          <w:spacing w:val="-1"/>
        </w:rPr>
      </w:pPr>
    </w:p>
    <w:p w14:paraId="10D783DB">
      <w:pPr>
        <w:pStyle w:val="2"/>
        <w:spacing w:before="64" w:line="219" w:lineRule="auto"/>
        <w:ind w:left="581"/>
        <w:rPr>
          <w:spacing w:val="-1"/>
        </w:rPr>
      </w:pPr>
    </w:p>
    <w:p w14:paraId="6CB87FF9">
      <w:pPr>
        <w:rPr>
          <w:b/>
          <w:bCs/>
          <w:color w:val="auto"/>
          <w:sz w:val="24"/>
          <w:szCs w:val="24"/>
          <w:highlight w:val="none"/>
        </w:rPr>
      </w:pPr>
      <w:r>
        <w:rPr>
          <w:rFonts w:hint="eastAsia"/>
          <w:spacing w:val="-1"/>
          <w:lang w:val="en-US" w:eastAsia="zh-CN"/>
        </w:rPr>
        <w:t>自行添加详细的二级、三级目录</w:t>
      </w:r>
    </w:p>
    <w:p w14:paraId="5CB9FFF2">
      <w:pPr>
        <w:rPr>
          <w:rFonts w:hint="default"/>
          <w:color w:val="auto"/>
          <w:sz w:val="24"/>
          <w:szCs w:val="24"/>
          <w:highlight w:val="none"/>
          <w:lang w:val="en-US"/>
        </w:rPr>
      </w:pPr>
    </w:p>
    <w:p w14:paraId="761203BA">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p>
    <w:p w14:paraId="77C12895">
      <w:pPr>
        <w:pStyle w:val="9"/>
        <w:rPr>
          <w:rFonts w:hint="eastAsia" w:ascii="宋体" w:hAnsi="宋体" w:eastAsia="宋体" w:cs="宋体"/>
          <w:b/>
          <w:bCs/>
          <w:color w:val="auto"/>
          <w:sz w:val="28"/>
          <w:szCs w:val="28"/>
          <w:highlight w:val="none"/>
        </w:rPr>
      </w:pPr>
    </w:p>
    <w:p w14:paraId="69B6B1AE">
      <w:pPr>
        <w:rPr>
          <w:rFonts w:hint="eastAsia"/>
          <w:color w:val="auto"/>
          <w:highlight w:val="none"/>
        </w:rPr>
      </w:pPr>
    </w:p>
    <w:p w14:paraId="115E1463">
      <w:pPr>
        <w:rPr>
          <w:rFonts w:hint="eastAsia"/>
          <w:color w:val="auto"/>
          <w:highlight w:val="none"/>
        </w:rPr>
      </w:pPr>
    </w:p>
    <w:p w14:paraId="7FFBCCBF">
      <w:pPr>
        <w:rPr>
          <w:rFonts w:hint="eastAsia"/>
          <w:color w:val="auto"/>
          <w:highlight w:val="none"/>
        </w:rPr>
      </w:pPr>
    </w:p>
    <w:p w14:paraId="56C73765">
      <w:pPr>
        <w:rPr>
          <w:rFonts w:hint="eastAsia"/>
          <w:color w:val="auto"/>
          <w:highlight w:val="none"/>
        </w:rPr>
      </w:pPr>
    </w:p>
    <w:p w14:paraId="748E470D">
      <w:pPr>
        <w:rPr>
          <w:rFonts w:hint="eastAsia"/>
          <w:color w:val="auto"/>
          <w:highlight w:val="none"/>
        </w:rPr>
      </w:pPr>
    </w:p>
    <w:p w14:paraId="086FCAA9">
      <w:pPr>
        <w:rPr>
          <w:rFonts w:hint="eastAsia"/>
          <w:color w:val="auto"/>
          <w:highlight w:val="none"/>
        </w:rPr>
      </w:pPr>
    </w:p>
    <w:p w14:paraId="4C0A75A2">
      <w:pPr>
        <w:rPr>
          <w:rFonts w:hint="eastAsia"/>
          <w:color w:val="auto"/>
          <w:highlight w:val="none"/>
        </w:rPr>
      </w:pPr>
    </w:p>
    <w:p w14:paraId="53500D26">
      <w:pPr>
        <w:rPr>
          <w:rFonts w:hint="eastAsia"/>
          <w:color w:val="auto"/>
          <w:highlight w:val="none"/>
        </w:rPr>
      </w:pPr>
    </w:p>
    <w:p w14:paraId="170E50A4">
      <w:pPr>
        <w:rPr>
          <w:rFonts w:hint="eastAsia"/>
          <w:color w:val="auto"/>
          <w:highlight w:val="none"/>
        </w:rPr>
      </w:pPr>
    </w:p>
    <w:p w14:paraId="579DF856">
      <w:pPr>
        <w:rPr>
          <w:rFonts w:hint="eastAsia"/>
          <w:color w:val="auto"/>
          <w:highlight w:val="none"/>
        </w:rPr>
      </w:pPr>
    </w:p>
    <w:p w14:paraId="17E63892">
      <w:pPr>
        <w:rPr>
          <w:rFonts w:hint="eastAsia"/>
          <w:color w:val="auto"/>
          <w:highlight w:val="none"/>
        </w:rPr>
      </w:pPr>
    </w:p>
    <w:p w14:paraId="3A265E54">
      <w:pPr>
        <w:rPr>
          <w:rFonts w:hint="eastAsia"/>
          <w:color w:val="auto"/>
          <w:highlight w:val="none"/>
        </w:rPr>
      </w:pPr>
    </w:p>
    <w:p w14:paraId="1E77B1CE">
      <w:pPr>
        <w:rPr>
          <w:rFonts w:hint="eastAsia"/>
          <w:color w:val="auto"/>
          <w:highlight w:val="none"/>
        </w:rPr>
      </w:pPr>
    </w:p>
    <w:p w14:paraId="0D5322DE">
      <w:pPr>
        <w:rPr>
          <w:rFonts w:hint="eastAsia"/>
          <w:color w:val="auto"/>
          <w:highlight w:val="none"/>
        </w:rPr>
      </w:pPr>
    </w:p>
    <w:p w14:paraId="1341ACB9">
      <w:pPr>
        <w:rPr>
          <w:rFonts w:hint="eastAsia"/>
          <w:color w:val="auto"/>
          <w:highlight w:val="none"/>
        </w:rPr>
      </w:pPr>
    </w:p>
    <w:p w14:paraId="1852258F">
      <w:pPr>
        <w:rPr>
          <w:rFonts w:hint="eastAsia"/>
          <w:color w:val="auto"/>
          <w:highlight w:val="none"/>
        </w:rPr>
      </w:pPr>
    </w:p>
    <w:p w14:paraId="408A39B9">
      <w:pPr>
        <w:rPr>
          <w:rFonts w:hint="eastAsia"/>
          <w:color w:val="auto"/>
          <w:highlight w:val="none"/>
        </w:rPr>
      </w:pPr>
    </w:p>
    <w:p w14:paraId="27142F9C">
      <w:pPr>
        <w:rPr>
          <w:rFonts w:hint="eastAsia"/>
          <w:color w:val="auto"/>
          <w:highlight w:val="none"/>
        </w:rPr>
      </w:pPr>
    </w:p>
    <w:p w14:paraId="4A8BD477">
      <w:pPr>
        <w:rPr>
          <w:rFonts w:hint="eastAsia"/>
          <w:color w:val="auto"/>
          <w:highlight w:val="none"/>
        </w:rPr>
      </w:pPr>
    </w:p>
    <w:p w14:paraId="4C9994C8">
      <w:pPr>
        <w:rPr>
          <w:rFonts w:hint="eastAsia"/>
          <w:color w:val="auto"/>
          <w:highlight w:val="none"/>
        </w:rPr>
      </w:pPr>
    </w:p>
    <w:p w14:paraId="4805FB71">
      <w:pPr>
        <w:rPr>
          <w:rFonts w:hint="eastAsia"/>
          <w:color w:val="auto"/>
          <w:highlight w:val="none"/>
        </w:rPr>
      </w:pPr>
    </w:p>
    <w:p w14:paraId="0CD19ACA">
      <w:pPr>
        <w:rPr>
          <w:rFonts w:hint="eastAsia"/>
          <w:color w:val="auto"/>
          <w:highlight w:val="none"/>
        </w:rPr>
      </w:pPr>
    </w:p>
    <w:p w14:paraId="5810574F">
      <w:pPr>
        <w:rPr>
          <w:rFonts w:hint="eastAsia"/>
          <w:color w:val="auto"/>
          <w:highlight w:val="none"/>
        </w:rPr>
      </w:pPr>
    </w:p>
    <w:p w14:paraId="26CEF03F">
      <w:pPr>
        <w:rPr>
          <w:rFonts w:hint="eastAsia"/>
          <w:color w:val="auto"/>
          <w:highlight w:val="none"/>
        </w:rPr>
      </w:pPr>
    </w:p>
    <w:p w14:paraId="67404B69">
      <w:pPr>
        <w:rPr>
          <w:rFonts w:hint="eastAsia"/>
          <w:color w:val="auto"/>
          <w:highlight w:val="none"/>
        </w:rPr>
      </w:pPr>
    </w:p>
    <w:p w14:paraId="6589582C">
      <w:pPr>
        <w:rPr>
          <w:rFonts w:hint="eastAsia"/>
          <w:color w:val="auto"/>
          <w:highlight w:val="none"/>
        </w:rPr>
      </w:pPr>
    </w:p>
    <w:p w14:paraId="0B680CE0">
      <w:pPr>
        <w:rPr>
          <w:rFonts w:hint="eastAsia"/>
          <w:color w:val="auto"/>
          <w:highlight w:val="none"/>
        </w:rPr>
      </w:pPr>
    </w:p>
    <w:p w14:paraId="3CF1A0A4">
      <w:pPr>
        <w:rPr>
          <w:rFonts w:hint="eastAsia"/>
          <w:color w:val="auto"/>
          <w:highlight w:val="none"/>
        </w:rPr>
      </w:pPr>
    </w:p>
    <w:p w14:paraId="73B6BDE1">
      <w:pPr>
        <w:rPr>
          <w:rFonts w:hint="eastAsia"/>
          <w:color w:val="auto"/>
          <w:highlight w:val="none"/>
        </w:rPr>
      </w:pPr>
    </w:p>
    <w:p w14:paraId="25A0EA2B">
      <w:pPr>
        <w:rPr>
          <w:rFonts w:hint="eastAsia"/>
          <w:color w:val="auto"/>
          <w:highlight w:val="none"/>
        </w:rPr>
      </w:pPr>
    </w:p>
    <w:p w14:paraId="4F337A4D">
      <w:pPr>
        <w:pStyle w:val="19"/>
        <w:ind w:left="0" w:leftChars="0" w:firstLine="0" w:firstLineChars="0"/>
        <w:rPr>
          <w:rFonts w:hint="default" w:ascii="宋体" w:hAnsi="宋体" w:eastAsia="宋体" w:cs="宋体"/>
          <w:sz w:val="24"/>
          <w:szCs w:val="24"/>
          <w:lang w:val="en-US"/>
        </w:rPr>
      </w:pPr>
      <w:r>
        <w:rPr>
          <w:rFonts w:hint="eastAsia" w:ascii="宋体" w:hAnsi="宋体" w:eastAsia="宋体" w:cs="宋体"/>
          <w:b/>
          <w:bCs/>
          <w:sz w:val="24"/>
          <w:szCs w:val="24"/>
          <w:lang w:val="en-US" w:eastAsia="zh-CN"/>
        </w:rPr>
        <w:t>一、资格</w:t>
      </w:r>
      <w:r>
        <w:rPr>
          <w:rFonts w:hint="eastAsia" w:ascii="宋体" w:hAnsi="宋体" w:cs="宋体"/>
          <w:b/>
          <w:bCs/>
          <w:sz w:val="24"/>
          <w:szCs w:val="24"/>
          <w:lang w:val="en-US" w:eastAsia="zh-CN"/>
        </w:rPr>
        <w:t>响应文件</w:t>
      </w:r>
    </w:p>
    <w:p w14:paraId="155BA8B5">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1、《中华人民共和国政府采购法》第二十二条应当具备的条件；</w:t>
      </w:r>
    </w:p>
    <w:p w14:paraId="33B0ED5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①具有独立承担民事责任的能力；</w:t>
      </w:r>
    </w:p>
    <w:p w14:paraId="149C2F7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②具有良好的商业信誉和健全的财务会计制度；</w:t>
      </w:r>
    </w:p>
    <w:p w14:paraId="45EE065B">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③具有履行合同所必需的设备和专业技术能力；</w:t>
      </w:r>
    </w:p>
    <w:p w14:paraId="7377DFDB">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④有依法缴纳税收和社会保障资金的良好记录；</w:t>
      </w:r>
    </w:p>
    <w:p w14:paraId="68D00B91">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⑤参加政府采购活动前三年内，在经营活动中没有重大违法记录；</w:t>
      </w:r>
    </w:p>
    <w:p w14:paraId="22459A3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⑥法律、行政法规规定的其他条件;</w:t>
      </w:r>
    </w:p>
    <w:p w14:paraId="7F6CE5A5">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须提供以下资料：</w:t>
      </w:r>
    </w:p>
    <w:p w14:paraId="1D1453B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1.1、具有独立承担民事责任的能力；须提供相关证明材料，其中：</w:t>
      </w:r>
    </w:p>
    <w:p w14:paraId="19CB1007">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供应商是企业（包括合伙企业）的，须提供其在工商部门注册的有效“营业执照”的复印件；</w:t>
      </w:r>
    </w:p>
    <w:p w14:paraId="3CAE008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供应商是事业单位的，须提供其有效的“事业单位法人证书”复印件；</w:t>
      </w:r>
    </w:p>
    <w:p w14:paraId="7B55B47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供应商是非企业专业服务机构的，须提供其有效的执业许可证复印件；</w:t>
      </w:r>
    </w:p>
    <w:p w14:paraId="54AADF2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供应商是个体工商户的，须提供其有效的“个体工商户营业执照” 复印件；</w:t>
      </w:r>
    </w:p>
    <w:p w14:paraId="53D2B3D8">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以上复印件须加盖供应商公章。</w:t>
      </w:r>
    </w:p>
    <w:p w14:paraId="340F0D09">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供应商是自然人的，应提供其有效的自然人身份证明；</w:t>
      </w:r>
    </w:p>
    <w:p w14:paraId="3644C5C2">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1.2、具有良好的商业信誉和健全的财务会计制度；须提供相关证明材料，其中：</w:t>
      </w:r>
    </w:p>
    <w:p w14:paraId="5D2A74A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供应商是法人的，须提供（</w:t>
      </w:r>
      <w:r>
        <w:rPr>
          <w:rFonts w:hint="eastAsia" w:ascii="宋体" w:hAnsi="宋体" w:cs="宋体"/>
          <w:b w:val="0"/>
          <w:bCs/>
          <w:color w:val="000000"/>
          <w:sz w:val="24"/>
          <w:szCs w:val="24"/>
          <w:highlight w:val="none"/>
          <w:lang w:val="en-US" w:eastAsia="zh-CN"/>
        </w:rPr>
        <w:t>2025年</w:t>
      </w:r>
      <w:r>
        <w:rPr>
          <w:rFonts w:hint="eastAsia" w:ascii="宋体" w:hAnsi="宋体" w:eastAsia="宋体" w:cs="宋体"/>
          <w:b w:val="0"/>
          <w:bCs/>
          <w:color w:val="000000"/>
          <w:sz w:val="24"/>
          <w:szCs w:val="24"/>
          <w:highlight w:val="none"/>
          <w:lang w:val="en-US" w:eastAsia="zh-CN"/>
        </w:rPr>
        <w:t>）经审计的财务审计报告复印件（报告中须包括资产负债表、利润表、现金流量表）或财务报表</w:t>
      </w:r>
      <w:r>
        <w:rPr>
          <w:rFonts w:hint="eastAsia" w:ascii="宋体" w:hAnsi="宋体" w:cs="宋体"/>
          <w:b w:val="0"/>
          <w:bCs/>
          <w:color w:val="000000"/>
          <w:sz w:val="24"/>
          <w:szCs w:val="24"/>
          <w:highlight w:val="none"/>
          <w:lang w:val="en-US" w:eastAsia="zh-CN"/>
        </w:rPr>
        <w:t>（2025年）</w:t>
      </w:r>
      <w:r>
        <w:rPr>
          <w:rFonts w:hint="eastAsia" w:ascii="宋体" w:hAnsi="宋体" w:eastAsia="宋体" w:cs="宋体"/>
          <w:b w:val="0"/>
          <w:bCs/>
          <w:color w:val="000000"/>
          <w:sz w:val="24"/>
          <w:szCs w:val="24"/>
          <w:highlight w:val="none"/>
          <w:lang w:val="en-US" w:eastAsia="zh-CN"/>
        </w:rPr>
        <w:t>资产负债表、利润表、现金流量表或其基本银行在开标日期前三个月内开具的资信证明；</w:t>
      </w:r>
    </w:p>
    <w:p w14:paraId="55A26ABE">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供应商是其他组织或自然人的，须提供银行出具的资信证明原件；</w:t>
      </w:r>
    </w:p>
    <w:p w14:paraId="5EE87EB1">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银行资信证明无收受人和项目的限制，银行资信证明可以是复印件，评标委员会保留审核原件的权利。</w:t>
      </w:r>
    </w:p>
    <w:p w14:paraId="588838CF">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1.3、具有履行合同所必需的设备和专业技术能力；须附相关证明材料或书面声明</w:t>
      </w:r>
    </w:p>
    <w:p w14:paraId="001C6EDB">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21F0E687">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书面声明格式：</w:t>
      </w:r>
    </w:p>
    <w:p w14:paraId="16E04E67">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66AE40B9">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本供应商郑重声明：</w:t>
      </w:r>
    </w:p>
    <w:p w14:paraId="6AC61E6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本公司（或单位）具备本项目履行合同所必需的设备和专业技术能力，特此声明。</w:t>
      </w:r>
    </w:p>
    <w:p w14:paraId="1D969DA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供应商法定代表人（或法定代表人授权代表）签字或盖章：</w:t>
      </w:r>
    </w:p>
    <w:p w14:paraId="68CC3401">
      <w:pPr>
        <w:pageBreakBefore w:val="0"/>
        <w:numPr>
          <w:ilvl w:val="0"/>
          <w:numId w:val="0"/>
        </w:numPr>
        <w:kinsoku/>
        <w:wordWrap/>
        <w:overflowPunct/>
        <w:topLinePunct w:val="0"/>
        <w:bidi w:val="0"/>
        <w:spacing w:beforeAutospacing="0" w:afterAutospacing="0" w:line="400" w:lineRule="exact"/>
        <w:jc w:val="righ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供应商名称（加盖公章）：</w:t>
      </w:r>
    </w:p>
    <w:p w14:paraId="252B3123">
      <w:pPr>
        <w:pageBreakBefore w:val="0"/>
        <w:numPr>
          <w:ilvl w:val="0"/>
          <w:numId w:val="0"/>
        </w:numPr>
        <w:kinsoku/>
        <w:wordWrap/>
        <w:overflowPunct/>
        <w:topLinePunct w:val="0"/>
        <w:bidi w:val="0"/>
        <w:spacing w:beforeAutospacing="0" w:afterAutospacing="0" w:line="400" w:lineRule="exact"/>
        <w:jc w:val="right"/>
        <w:rPr>
          <w:rFonts w:hint="eastAsia" w:ascii="宋体" w:hAnsi="宋体" w:eastAsia="宋体" w:cs="宋体"/>
          <w:b/>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日期：   年   月   日</w:t>
      </w:r>
    </w:p>
    <w:p w14:paraId="7E8C72BB">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 xml:space="preserve"> </w:t>
      </w:r>
    </w:p>
    <w:p w14:paraId="6C49884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1.4、有依法缴纳税收和社会保障资金的良好记录；须提供依法缴纳税收和社会保障资金的证明材料，须提供开标前三个月内任意一个月的依法缴税凭据</w:t>
      </w:r>
      <w:r>
        <w:rPr>
          <w:rFonts w:hint="eastAsia" w:cs="宋体"/>
          <w:b w:val="0"/>
          <w:bCs/>
          <w:color w:val="000000"/>
          <w:sz w:val="24"/>
          <w:szCs w:val="24"/>
          <w:highlight w:val="none"/>
          <w:lang w:val="en-US" w:eastAsia="zh-CN"/>
        </w:rPr>
        <w:t>（零申报企业可提供无欠税证明，同时提供零申报的申报表截图加盖公章）</w:t>
      </w:r>
      <w:r>
        <w:rPr>
          <w:rFonts w:hint="eastAsia" w:ascii="宋体" w:hAnsi="宋体" w:eastAsia="宋体" w:cs="宋体"/>
          <w:b w:val="0"/>
          <w:bCs/>
          <w:color w:val="000000"/>
          <w:sz w:val="24"/>
          <w:szCs w:val="24"/>
          <w:highlight w:val="none"/>
          <w:lang w:val="en-US" w:eastAsia="zh-CN"/>
        </w:rPr>
        <w:t>和缴纳社会保险的凭据复印件（依法免税的应提供相应文件说明</w:t>
      </w:r>
      <w:r>
        <w:rPr>
          <w:rFonts w:hint="eastAsia" w:cs="宋体"/>
          <w:b w:val="0"/>
          <w:bCs/>
          <w:color w:val="000000"/>
          <w:sz w:val="24"/>
          <w:szCs w:val="24"/>
          <w:highlight w:val="none"/>
          <w:lang w:val="en-US" w:eastAsia="zh-CN"/>
        </w:rPr>
        <w:t>，无欠税</w:t>
      </w:r>
      <w:r>
        <w:rPr>
          <w:rFonts w:hint="eastAsia" w:ascii="宋体" w:hAnsi="宋体" w:eastAsia="宋体" w:cs="宋体"/>
          <w:b w:val="0"/>
          <w:bCs/>
          <w:color w:val="000000"/>
          <w:sz w:val="24"/>
          <w:szCs w:val="24"/>
          <w:highlight w:val="none"/>
          <w:lang w:val="en-US" w:eastAsia="zh-CN"/>
        </w:rPr>
        <w:t>）；</w:t>
      </w:r>
    </w:p>
    <w:p w14:paraId="310B8275">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1.5、参加政府采购活动前三年内，在经营活动中没有重大违法记录；须提供书面声明</w:t>
      </w:r>
    </w:p>
    <w:p w14:paraId="54F83D67">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5F7E97CC">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我单位郑重声明： </w:t>
      </w:r>
    </w:p>
    <w:p w14:paraId="155ACC7C">
      <w:pPr>
        <w:pageBreakBefore w:val="0"/>
        <w:numPr>
          <w:ilvl w:val="0"/>
          <w:numId w:val="0"/>
        </w:numPr>
        <w:kinsoku/>
        <w:wordWrap/>
        <w:overflowPunct/>
        <w:topLinePunct w:val="0"/>
        <w:bidi w:val="0"/>
        <w:spacing w:beforeAutospacing="0" w:afterAutospacing="0" w:line="400" w:lineRule="exact"/>
        <w:ind w:firstLine="480" w:firstLineChars="200"/>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6844464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如我公司声明与实际不符，我公司将承担因此引起的一切后果。 </w:t>
      </w:r>
    </w:p>
    <w:p w14:paraId="3E40010E">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p>
    <w:p w14:paraId="50A78587">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2DE40668">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供应商法定代表人（或法定代表人授权代表）签字或盖章：</w:t>
      </w:r>
    </w:p>
    <w:p w14:paraId="0C7F89D1">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供应商名称（加盖公章）：</w:t>
      </w:r>
    </w:p>
    <w:p w14:paraId="2FAC5405">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日期：   年   月   日</w:t>
      </w:r>
    </w:p>
    <w:p w14:paraId="72C66C5C">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1.6、法律、行政法规规定的其他条件;</w:t>
      </w:r>
    </w:p>
    <w:p w14:paraId="3FF7D792">
      <w:pPr>
        <w:keepNext w:val="0"/>
        <w:keepLines w:val="0"/>
        <w:pageBreakBefore w:val="0"/>
        <w:widowControl w:val="0"/>
        <w:kinsoku/>
        <w:wordWrap/>
        <w:overflowPunct/>
        <w:topLinePunct w:val="0"/>
        <w:autoSpaceDE w:val="0"/>
        <w:autoSpaceDN w:val="0"/>
        <w:bidi w:val="0"/>
        <w:adjustRightInd/>
        <w:snapToGrid/>
        <w:spacing w:line="440" w:lineRule="exact"/>
        <w:ind w:firstLine="2160" w:firstLineChars="900"/>
        <w:jc w:val="both"/>
        <w:textAlignment w:val="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格式自拟</w:t>
      </w:r>
    </w:p>
    <w:p w14:paraId="0AAC7769">
      <w:pPr>
        <w:keepNext w:val="0"/>
        <w:keepLines w:val="0"/>
        <w:pageBreakBefore w:val="0"/>
        <w:widowControl w:val="0"/>
        <w:kinsoku/>
        <w:wordWrap/>
        <w:overflowPunct/>
        <w:topLinePunct w:val="0"/>
        <w:autoSpaceDE w:val="0"/>
        <w:autoSpaceDN w:val="0"/>
        <w:bidi w:val="0"/>
        <w:adjustRightInd/>
        <w:snapToGrid/>
        <w:spacing w:line="440" w:lineRule="exact"/>
        <w:ind w:firstLine="964" w:firstLineChars="400"/>
        <w:jc w:val="both"/>
        <w:textAlignment w:val="auto"/>
        <w:rPr>
          <w:rFonts w:hint="eastAsia" w:asciiTheme="majorEastAsia" w:hAnsiTheme="majorEastAsia" w:eastAsiaTheme="majorEastAsia" w:cstheme="majorEastAsia"/>
          <w:b/>
          <w:bCs/>
          <w:color w:val="auto"/>
          <w:sz w:val="24"/>
          <w:szCs w:val="24"/>
          <w:highlight w:val="none"/>
          <w:lang w:val="en-US" w:eastAsia="zh-CN"/>
        </w:rPr>
      </w:pPr>
    </w:p>
    <w:p w14:paraId="40A2D389">
      <w:pPr>
        <w:keepNext w:val="0"/>
        <w:keepLines w:val="0"/>
        <w:pageBreakBefore w:val="0"/>
        <w:widowControl w:val="0"/>
        <w:kinsoku/>
        <w:wordWrap/>
        <w:overflowPunct/>
        <w:topLinePunct w:val="0"/>
        <w:autoSpaceDE w:val="0"/>
        <w:autoSpaceDN w:val="0"/>
        <w:bidi w:val="0"/>
        <w:adjustRightInd/>
        <w:snapToGrid/>
        <w:spacing w:line="440" w:lineRule="exact"/>
        <w:ind w:firstLine="964" w:firstLineChars="400"/>
        <w:jc w:val="both"/>
        <w:textAlignment w:val="auto"/>
        <w:rPr>
          <w:rFonts w:hint="eastAsia" w:asciiTheme="majorEastAsia" w:hAnsiTheme="majorEastAsia" w:eastAsiaTheme="majorEastAsia" w:cstheme="majorEastAsia"/>
          <w:b/>
          <w:bCs/>
          <w:color w:val="auto"/>
          <w:sz w:val="24"/>
          <w:szCs w:val="24"/>
          <w:highlight w:val="none"/>
          <w:lang w:val="en-US" w:eastAsia="zh-CN"/>
        </w:rPr>
      </w:pPr>
    </w:p>
    <w:p w14:paraId="3CAE50B2">
      <w:pPr>
        <w:keepNext w:val="0"/>
        <w:keepLines w:val="0"/>
        <w:pageBreakBefore w:val="0"/>
        <w:widowControl w:val="0"/>
        <w:kinsoku/>
        <w:wordWrap/>
        <w:overflowPunct/>
        <w:topLinePunct w:val="0"/>
        <w:autoSpaceDE w:val="0"/>
        <w:autoSpaceDN w:val="0"/>
        <w:bidi w:val="0"/>
        <w:adjustRightInd/>
        <w:snapToGrid/>
        <w:spacing w:line="440" w:lineRule="exact"/>
        <w:ind w:firstLine="1687" w:firstLineChars="700"/>
        <w:jc w:val="both"/>
        <w:textAlignment w:val="auto"/>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2.落实政府采购政策需满足的</w:t>
      </w:r>
    </w:p>
    <w:p w14:paraId="31BC46BF">
      <w:pPr>
        <w:keepNext w:val="0"/>
        <w:keepLines w:val="0"/>
        <w:pageBreakBefore w:val="0"/>
        <w:widowControl w:val="0"/>
        <w:kinsoku/>
        <w:wordWrap/>
        <w:overflowPunct/>
        <w:topLinePunct w:val="0"/>
        <w:autoSpaceDE w:val="0"/>
        <w:autoSpaceDN w:val="0"/>
        <w:bidi w:val="0"/>
        <w:adjustRightInd/>
        <w:snapToGrid/>
        <w:spacing w:line="440" w:lineRule="exact"/>
        <w:ind w:firstLine="964" w:firstLineChars="400"/>
        <w:jc w:val="both"/>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2.1</w:t>
      </w:r>
      <w:r>
        <w:rPr>
          <w:rFonts w:hint="eastAsia" w:asciiTheme="majorEastAsia" w:hAnsiTheme="majorEastAsia" w:eastAsiaTheme="majorEastAsia" w:cstheme="majorEastAsia"/>
          <w:b/>
          <w:bCs/>
          <w:color w:val="auto"/>
          <w:sz w:val="24"/>
          <w:szCs w:val="24"/>
          <w:highlight w:val="none"/>
        </w:rPr>
        <w:t>中小企业声明函</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lang w:val="en-US" w:eastAsia="zh-CN"/>
        </w:rPr>
        <w:t>实质性条款</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rPr>
        <w:t xml:space="preserve"> </w:t>
      </w:r>
    </w:p>
    <w:p w14:paraId="49413EA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D49803B">
      <w:pPr>
        <w:pStyle w:val="18"/>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本公司（联合体）郑重声明，根据《政府采购促进中小企业发展管理办法》（财库〔2020〕46号）的规定，</w:t>
      </w:r>
      <w:r>
        <w:rPr>
          <w:rFonts w:hint="eastAsia" w:ascii="宋体" w:hAnsi="宋体" w:eastAsia="宋体" w:cs="宋体"/>
          <w:color w:val="auto"/>
          <w:spacing w:val="6"/>
          <w:kern w:val="0"/>
          <w:sz w:val="24"/>
          <w:szCs w:val="24"/>
          <w:highlight w:val="none"/>
          <w:u w:val="single"/>
          <w:lang w:val="zh-CN" w:eastAsia="zh-CN" w:bidi="zh-CN"/>
        </w:rPr>
        <w:t>本公司（联合体）参加（单位名称）的（项目名称）采购活动，工程的施工单位全部为符合政策要求的中小企业（或者：服务全部由符合政策要求的中小企业承接）。相关企业（含联合体中的中小企业、签订分包意向协议的中小企业）</w:t>
      </w:r>
      <w:r>
        <w:rPr>
          <w:rFonts w:hint="eastAsia" w:ascii="宋体" w:hAnsi="宋体" w:eastAsia="宋体" w:cs="宋体"/>
          <w:color w:val="auto"/>
          <w:spacing w:val="6"/>
          <w:kern w:val="0"/>
          <w:sz w:val="24"/>
          <w:szCs w:val="24"/>
          <w:highlight w:val="none"/>
          <w:lang w:val="zh-CN" w:eastAsia="zh-CN" w:bidi="zh-CN"/>
        </w:rPr>
        <w:t>的具体情况如下：</w:t>
      </w:r>
    </w:p>
    <w:p w14:paraId="3D537CCB">
      <w:pPr>
        <w:pStyle w:val="18"/>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u w:val="single"/>
          <w:lang w:val="zh-CN" w:eastAsia="zh-CN" w:bidi="zh-CN"/>
        </w:rPr>
      </w:pPr>
      <w:r>
        <w:rPr>
          <w:rFonts w:hint="eastAsia" w:ascii="宋体" w:hAnsi="宋体" w:eastAsia="宋体" w:cs="宋体"/>
          <w:color w:val="auto"/>
          <w:spacing w:val="6"/>
          <w:kern w:val="0"/>
          <w:sz w:val="24"/>
          <w:szCs w:val="24"/>
          <w:highlight w:val="none"/>
          <w:lang w:val="zh-CN" w:eastAsia="zh-CN" w:bidi="zh-CN"/>
        </w:rPr>
        <w:t>1.</w:t>
      </w:r>
      <w:r>
        <w:rPr>
          <w:rFonts w:hint="eastAsia" w:ascii="宋体" w:hAnsi="宋体" w:eastAsia="宋体" w:cs="宋体"/>
          <w:color w:val="auto"/>
          <w:spacing w:val="6"/>
          <w:kern w:val="0"/>
          <w:sz w:val="24"/>
          <w:szCs w:val="24"/>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468A92B8">
      <w:pPr>
        <w:pStyle w:val="18"/>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u w:val="single"/>
          <w:lang w:val="zh-CN" w:eastAsia="zh-CN" w:bidi="zh-CN"/>
        </w:rPr>
      </w:pPr>
      <w:r>
        <w:rPr>
          <w:rFonts w:hint="eastAsia" w:ascii="宋体" w:hAnsi="宋体" w:eastAsia="宋体" w:cs="宋体"/>
          <w:color w:val="auto"/>
          <w:spacing w:val="6"/>
          <w:kern w:val="0"/>
          <w:sz w:val="24"/>
          <w:szCs w:val="24"/>
          <w:highlight w:val="none"/>
          <w:lang w:val="zh-CN" w:eastAsia="zh-CN" w:bidi="zh-CN"/>
        </w:rPr>
        <w:t>2.</w:t>
      </w:r>
      <w:r>
        <w:rPr>
          <w:rFonts w:hint="eastAsia" w:ascii="宋体" w:hAnsi="宋体" w:eastAsia="宋体" w:cs="宋体"/>
          <w:color w:val="auto"/>
          <w:spacing w:val="6"/>
          <w:kern w:val="0"/>
          <w:sz w:val="24"/>
          <w:szCs w:val="24"/>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778CAC43">
      <w:pPr>
        <w:pStyle w:val="18"/>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w:t>
      </w:r>
    </w:p>
    <w:p w14:paraId="3F38944E">
      <w:pPr>
        <w:pStyle w:val="18"/>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以上企业，不属于大企业的分支机构，不存在控股股东为大企业的情形，也不存在与大企业的负责人为同一人的情形。</w:t>
      </w:r>
    </w:p>
    <w:p w14:paraId="1A824374">
      <w:pPr>
        <w:pStyle w:val="18"/>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本企业对上述声明内容的真实性负责。如有虚假，将依法承担相应责任。 </w:t>
      </w:r>
    </w:p>
    <w:p w14:paraId="73C0FE60">
      <w:pPr>
        <w:pStyle w:val="18"/>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企业名称（盖章）：</w:t>
      </w:r>
    </w:p>
    <w:p w14:paraId="0FDD88A0">
      <w:pPr>
        <w:pStyle w:val="18"/>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日期：</w:t>
      </w:r>
    </w:p>
    <w:p w14:paraId="398BA54B">
      <w:pPr>
        <w:pStyle w:val="2"/>
        <w:keepNext w:val="0"/>
        <w:keepLines w:val="0"/>
        <w:pageBreakBefore w:val="0"/>
        <w:numPr>
          <w:ilvl w:val="0"/>
          <w:numId w:val="0"/>
        </w:numPr>
        <w:kinsoku/>
        <w:wordWrap/>
        <w:overflowPunct/>
        <w:topLinePunct w:val="0"/>
        <w:autoSpaceDE/>
        <w:autoSpaceDN/>
        <w:bidi w:val="0"/>
        <w:adjustRightInd/>
        <w:snapToGrid/>
        <w:spacing w:before="92" w:line="320" w:lineRule="exact"/>
        <w:ind w:left="39" w:leftChars="0" w:right="61" w:rightChars="0"/>
        <w:textAlignment w:val="auto"/>
        <w:rPr>
          <w:rFonts w:hint="eastAsia" w:ascii="宋体" w:hAnsi="宋体" w:eastAsia="宋体" w:cs="宋体"/>
          <w:b/>
          <w:bCs/>
          <w:color w:val="auto"/>
          <w:sz w:val="18"/>
          <w:highlight w:val="none"/>
        </w:rPr>
      </w:pPr>
      <w:r>
        <w:rPr>
          <w:rFonts w:hint="eastAsia" w:ascii="宋体" w:hAnsi="宋体"/>
          <w:b/>
          <w:bCs/>
          <w:color w:val="auto"/>
          <w:sz w:val="18"/>
          <w:highlight w:val="none"/>
          <w:lang w:val="en-US" w:eastAsia="zh-CN"/>
        </w:rPr>
        <w:t>备注：1、</w:t>
      </w:r>
      <w:r>
        <w:rPr>
          <w:rFonts w:hint="eastAsia" w:ascii="宋体" w:hAnsi="宋体" w:eastAsia="宋体"/>
          <w:b/>
          <w:bCs/>
          <w:color w:val="auto"/>
          <w:sz w:val="18"/>
          <w:highlight w:val="none"/>
        </w:rPr>
        <w:t>从业人员、营业收入、资产总额填报上一年度数据</w:t>
      </w:r>
      <w:r>
        <w:rPr>
          <w:rFonts w:hint="eastAsia" w:ascii="宋体" w:hAnsi="宋体" w:eastAsia="宋体" w:cs="宋体"/>
          <w:b/>
          <w:bCs/>
          <w:color w:val="auto"/>
          <w:sz w:val="18"/>
          <w:highlight w:val="none"/>
        </w:rPr>
        <w:t>，无上一年数据的新成立企业</w:t>
      </w:r>
      <w:r>
        <w:rPr>
          <w:rFonts w:hint="eastAsia" w:ascii="宋体" w:hAnsi="宋体" w:eastAsia="宋体" w:cs="宋体"/>
          <w:b/>
          <w:bCs/>
          <w:color w:val="auto"/>
          <w:sz w:val="18"/>
          <w:highlight w:val="none"/>
          <w:lang w:val="en-US" w:eastAsia="zh-CN"/>
        </w:rPr>
        <w:t>根据目前现状填写</w:t>
      </w:r>
      <w:r>
        <w:rPr>
          <w:rFonts w:hint="eastAsia" w:ascii="宋体" w:hAnsi="宋体" w:eastAsia="宋体" w:cs="宋体"/>
          <w:b/>
          <w:bCs/>
          <w:color w:val="auto"/>
          <w:sz w:val="18"/>
          <w:highlight w:val="none"/>
          <w:lang w:eastAsia="zh-CN"/>
        </w:rPr>
        <w:t>。</w:t>
      </w:r>
    </w:p>
    <w:p w14:paraId="190B05E5">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300" w:right="0" w:rightChars="0"/>
        <w:jc w:val="both"/>
        <w:textAlignment w:val="auto"/>
        <w:rPr>
          <w:rFonts w:hint="eastAsia" w:ascii="宋体" w:hAnsi="宋体" w:eastAsia="宋体" w:cs="宋体"/>
          <w:b/>
          <w:bCs/>
          <w:color w:val="auto"/>
          <w:sz w:val="30"/>
          <w:szCs w:val="30"/>
          <w:highlight w:val="none"/>
          <w:lang w:val="en-US" w:eastAsia="zh-CN"/>
        </w:rPr>
      </w:pPr>
      <w:r>
        <w:rPr>
          <w:rFonts w:hint="eastAsia"/>
          <w:b/>
          <w:bCs/>
          <w:color w:val="auto"/>
          <w:sz w:val="18"/>
          <w:szCs w:val="22"/>
          <w:highlight w:val="none"/>
          <w:lang w:val="en-US" w:eastAsia="zh-CN"/>
        </w:rPr>
        <w:t>2、</w:t>
      </w:r>
      <w:r>
        <w:rPr>
          <w:rFonts w:hint="eastAsia" w:ascii="宋体" w:hAnsi="宋体" w:eastAsia="宋体"/>
          <w:b/>
          <w:bCs/>
          <w:color w:val="auto"/>
          <w:sz w:val="18"/>
          <w:szCs w:val="22"/>
          <w:highlight w:val="none"/>
          <w:lang w:val="en-US" w:eastAsia="zh-CN"/>
        </w:rPr>
        <w:t>投标人为中小企业时需提供本声明函，并完整填写从业人员、营业收入、资产总额等内容，否则评审时不能享受相应的价格扣除。</w:t>
      </w:r>
    </w:p>
    <w:p w14:paraId="6A4701BA">
      <w:pPr>
        <w:pStyle w:val="19"/>
        <w:rPr>
          <w:rFonts w:hint="eastAsia"/>
          <w:lang w:val="en-US" w:eastAsia="zh-CN"/>
        </w:rPr>
      </w:pPr>
    </w:p>
    <w:p w14:paraId="0218F845">
      <w:pPr>
        <w:spacing w:line="360" w:lineRule="auto"/>
        <w:jc w:val="center"/>
        <w:rPr>
          <w:rFonts w:ascii="仿宋_GB2312" w:hAnsi="仿宋_GB2312" w:eastAsia="仿宋_GB2312"/>
          <w:b/>
          <w:bCs/>
          <w:color w:val="auto"/>
          <w:sz w:val="32"/>
          <w:szCs w:val="32"/>
          <w:highlight w:val="none"/>
        </w:rPr>
      </w:pPr>
      <w:r>
        <w:rPr>
          <w:rFonts w:hint="eastAsia" w:asciiTheme="majorEastAsia" w:hAnsiTheme="majorEastAsia" w:eastAsiaTheme="majorEastAsia" w:cstheme="majorEastAsia"/>
          <w:b/>
          <w:bCs/>
          <w:color w:val="auto"/>
          <w:sz w:val="24"/>
          <w:szCs w:val="24"/>
          <w:highlight w:val="none"/>
          <w:lang w:val="en-US" w:eastAsia="zh-CN"/>
        </w:rPr>
        <w:t>2.2 残疾人福利性单位声明函（可选）</w:t>
      </w:r>
    </w:p>
    <w:p w14:paraId="41847C4B">
      <w:pPr>
        <w:spacing w:line="360" w:lineRule="auto"/>
        <w:rPr>
          <w:rFonts w:ascii="仿宋_GB2312" w:hAnsi="仿宋_GB2312" w:eastAsia="仿宋_GB2312"/>
          <w:b/>
          <w:bCs/>
          <w:color w:val="auto"/>
          <w:spacing w:val="6"/>
          <w:highlight w:val="none"/>
        </w:rPr>
      </w:pPr>
    </w:p>
    <w:p w14:paraId="23A526F1">
      <w:pPr>
        <w:spacing w:line="360" w:lineRule="auto"/>
        <w:ind w:firstLine="504" w:firstLineChars="200"/>
        <w:jc w:val="both"/>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本单位郑重声明，根据《财政部民政部中国残疾人联合会关于促进残疾人就业政府采购政策的通知》（财库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z w:val="24"/>
          <w:szCs w:val="24"/>
          <w:highlight w:val="none"/>
          <w:u w:val="single"/>
        </w:rPr>
        <w:t>XXXX</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z w:val="24"/>
          <w:szCs w:val="24"/>
          <w:highlight w:val="none"/>
          <w:u w:val="single"/>
        </w:rPr>
        <w:t>XXXX</w:t>
      </w:r>
      <w:r>
        <w:rPr>
          <w:rFonts w:hint="eastAsia" w:ascii="宋体" w:hAnsi="宋体" w:eastAsia="宋体" w:cs="宋体"/>
          <w:color w:val="auto"/>
          <w:spacing w:val="6"/>
          <w:sz w:val="24"/>
          <w:szCs w:val="24"/>
          <w:highlight w:val="none"/>
        </w:rPr>
        <w:t>项目采购活动由本单位承担工程。</w:t>
      </w:r>
    </w:p>
    <w:p w14:paraId="0B1537DA">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000D0720">
      <w:pPr>
        <w:spacing w:line="360" w:lineRule="auto"/>
        <w:rPr>
          <w:rFonts w:hint="eastAsia" w:ascii="宋体" w:hAnsi="宋体" w:eastAsia="宋体" w:cs="宋体"/>
          <w:color w:val="auto"/>
          <w:spacing w:val="6"/>
          <w:sz w:val="24"/>
          <w:szCs w:val="24"/>
          <w:highlight w:val="none"/>
        </w:rPr>
      </w:pPr>
    </w:p>
    <w:p w14:paraId="5E9336A2">
      <w:pPr>
        <w:spacing w:line="360" w:lineRule="auto"/>
        <w:rPr>
          <w:rFonts w:hint="eastAsia" w:ascii="宋体" w:hAnsi="宋体" w:eastAsia="宋体" w:cs="宋体"/>
          <w:color w:val="auto"/>
          <w:spacing w:val="6"/>
          <w:sz w:val="24"/>
          <w:szCs w:val="24"/>
          <w:highlight w:val="none"/>
        </w:rPr>
      </w:pPr>
    </w:p>
    <w:p w14:paraId="3805C3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供应商名称：XXXX（加盖公章）</w:t>
      </w:r>
    </w:p>
    <w:p w14:paraId="1CF81AF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日期：XXX年XXX月XXX日</w:t>
      </w:r>
    </w:p>
    <w:p w14:paraId="164254FD">
      <w:pPr>
        <w:spacing w:line="360" w:lineRule="auto"/>
        <w:ind w:firstLine="480" w:firstLineChars="200"/>
        <w:rPr>
          <w:rFonts w:hint="eastAsia" w:ascii="宋体" w:hAnsi="宋体" w:eastAsia="宋体" w:cs="宋体"/>
          <w:color w:val="auto"/>
          <w:sz w:val="24"/>
          <w:szCs w:val="24"/>
          <w:highlight w:val="none"/>
        </w:rPr>
      </w:pPr>
    </w:p>
    <w:p w14:paraId="347536E0">
      <w:pPr>
        <w:spacing w:line="360" w:lineRule="auto"/>
        <w:rPr>
          <w:rFonts w:hint="eastAsia" w:ascii="宋体" w:hAnsi="宋体" w:eastAsia="宋体" w:cs="宋体"/>
          <w:color w:val="auto"/>
          <w:sz w:val="24"/>
          <w:szCs w:val="24"/>
          <w:highlight w:val="none"/>
        </w:rPr>
      </w:pPr>
    </w:p>
    <w:p w14:paraId="64CE1B10">
      <w:pPr>
        <w:spacing w:line="360" w:lineRule="auto"/>
        <w:rPr>
          <w:rFonts w:hint="eastAsia" w:ascii="宋体" w:hAnsi="宋体" w:eastAsia="宋体" w:cs="宋体"/>
          <w:color w:val="auto"/>
          <w:sz w:val="24"/>
          <w:szCs w:val="24"/>
          <w:highlight w:val="none"/>
        </w:rPr>
      </w:pPr>
    </w:p>
    <w:p w14:paraId="308180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DE2DCA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14:paraId="77FC8E98">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14:paraId="023A7883">
      <w:pPr>
        <w:spacing w:line="360" w:lineRule="auto"/>
        <w:ind w:firstLine="431" w:firstLineChars="196"/>
        <w:outlineLvl w:val="1"/>
        <w:rPr>
          <w:rFonts w:ascii="仿宋_GB2312" w:hAnsi="仿宋_GB2312" w:eastAsia="仿宋_GB2312"/>
          <w:color w:val="auto"/>
          <w:highlight w:val="none"/>
        </w:rPr>
      </w:pPr>
    </w:p>
    <w:p w14:paraId="2233832C">
      <w:pPr>
        <w:spacing w:line="360" w:lineRule="auto"/>
        <w:rPr>
          <w:rFonts w:ascii="仿宋_GB2312" w:hAnsi="仿宋_GB2312" w:eastAsia="仿宋_GB2312"/>
          <w:b/>
          <w:bCs/>
          <w:color w:val="auto"/>
          <w:sz w:val="28"/>
          <w:szCs w:val="28"/>
          <w:highlight w:val="none"/>
        </w:rPr>
        <w:sectPr>
          <w:headerReference r:id="rId17" w:type="default"/>
          <w:footerReference r:id="rId18" w:type="default"/>
          <w:footerReference r:id="rId19" w:type="even"/>
          <w:pgSz w:w="11907" w:h="16840"/>
          <w:pgMar w:top="1134" w:right="1797" w:bottom="1134" w:left="1797" w:header="851" w:footer="992" w:gutter="0"/>
          <w:pgNumType w:fmt="decimal"/>
          <w:cols w:space="0" w:num="1"/>
          <w:rtlGutter w:val="0"/>
          <w:docGrid w:linePitch="312" w:charSpace="0"/>
        </w:sectPr>
      </w:pPr>
    </w:p>
    <w:p w14:paraId="79221634">
      <w:pPr>
        <w:spacing w:line="360" w:lineRule="auto"/>
        <w:jc w:val="center"/>
        <w:rPr>
          <w:rFonts w:hint="eastAsia" w:ascii="宋体" w:hAnsi="宋体" w:eastAsia="宋体" w:cs="宋体"/>
          <w:b/>
          <w:bCs/>
          <w:color w:val="auto"/>
          <w:sz w:val="30"/>
          <w:szCs w:val="30"/>
          <w:highlight w:val="none"/>
          <w:lang w:eastAsia="zh-CN"/>
        </w:rPr>
      </w:pPr>
      <w:r>
        <w:rPr>
          <w:rFonts w:hint="eastAsia" w:asciiTheme="majorEastAsia" w:hAnsiTheme="majorEastAsia" w:eastAsiaTheme="majorEastAsia" w:cstheme="majorEastAsia"/>
          <w:b/>
          <w:bCs/>
          <w:color w:val="auto"/>
          <w:sz w:val="24"/>
          <w:szCs w:val="24"/>
          <w:highlight w:val="none"/>
          <w:lang w:val="en-US" w:eastAsia="zh-CN"/>
        </w:rPr>
        <w:t>2.3监狱企业证明（可选）</w:t>
      </w:r>
    </w:p>
    <w:p w14:paraId="01F61BBD">
      <w:pPr>
        <w:spacing w:line="360" w:lineRule="auto"/>
        <w:jc w:val="center"/>
        <w:rPr>
          <w:rFonts w:ascii="仿宋_GB2312" w:hAnsi="仿宋_GB2312" w:eastAsia="仿宋_GB2312" w:cs="仿宋"/>
          <w:b/>
          <w:bCs/>
          <w:color w:val="auto"/>
          <w:sz w:val="32"/>
          <w:szCs w:val="32"/>
          <w:highlight w:val="none"/>
        </w:rPr>
      </w:pPr>
    </w:p>
    <w:p w14:paraId="6111C560">
      <w:pPr>
        <w:spacing w:line="360" w:lineRule="auto"/>
        <w:jc w:val="center"/>
        <w:rPr>
          <w:rFonts w:ascii="仿宋_GB2312" w:hAnsi="仿宋_GB2312" w:eastAsia="仿宋_GB2312" w:cs="仿宋"/>
          <w:b/>
          <w:bCs/>
          <w:color w:val="auto"/>
          <w:sz w:val="32"/>
          <w:szCs w:val="32"/>
          <w:highlight w:val="none"/>
        </w:rPr>
      </w:pPr>
    </w:p>
    <w:p w14:paraId="6F213AE3">
      <w:pPr>
        <w:spacing w:after="16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注：1.监狱企业参加政府采购活动时，应当提供由省级以上监狱管理局、戒毒管理局（含新疆生产建设兵团）出具的属于监狱企业的证明文件，并加盖单位公章。</w:t>
      </w:r>
    </w:p>
    <w:p w14:paraId="24D5D69F">
      <w:pPr>
        <w:spacing w:after="16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2.监狱企业视同小型、微型企业，享受预留份额、评审中价格扣除等政府采购促进中小企业发展的政府采购政策。监狱企业属于小型、微型企业的，不重复享受政策。</w:t>
      </w:r>
    </w:p>
    <w:p w14:paraId="64E691D7"/>
    <w:p w14:paraId="220723C7"/>
    <w:p w14:paraId="2531E62E"/>
    <w:p w14:paraId="6927AF6E"/>
    <w:p w14:paraId="4340776B">
      <w:pPr>
        <w:rPr>
          <w:rFonts w:hint="eastAsia" w:ascii="宋体" w:hAnsi="宋体" w:eastAsia="宋体" w:cs="宋体"/>
          <w:b w:val="0"/>
          <w:bCs w:val="0"/>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3.本项目的特定资格要求：</w:t>
      </w:r>
      <w:r>
        <w:rPr>
          <w:rFonts w:hint="eastAsia" w:asciiTheme="majorEastAsia" w:hAnsiTheme="majorEastAsia" w:eastAsiaTheme="majorEastAsia" w:cstheme="majorEastAsia"/>
          <w:b w:val="0"/>
          <w:bCs w:val="0"/>
          <w:color w:val="auto"/>
          <w:sz w:val="24"/>
          <w:szCs w:val="24"/>
          <w:highlight w:val="none"/>
          <w:lang w:val="en-US" w:eastAsia="zh-CN"/>
        </w:rPr>
        <w:t>(1)须具有有效的建筑工程施工总承包三级及以上资质、具有有效的安全生产许可证，并在人员、设备、资金等方面具有相应的施工能力；（2）项目负责人要求：应具备合格有效期内的建筑工程专业贰级以上（含）注册建造师执业资格、有效的安全生产考核合格证（B类），且未担任其他在施建设工程项目的项目负责人。</w:t>
      </w:r>
    </w:p>
    <w:p w14:paraId="7322E7AF">
      <w:pPr>
        <w:pageBreakBefore w:val="0"/>
        <w:widowControl/>
        <w:kinsoku/>
        <w:wordWrap/>
        <w:overflowPunct/>
        <w:topLinePunct w:val="0"/>
        <w:bidi w:val="0"/>
        <w:adjustRightInd w:val="0"/>
        <w:snapToGrid w:val="0"/>
        <w:spacing w:beforeAutospacing="0" w:afterAutospacing="0" w:line="400" w:lineRule="exact"/>
        <w:ind w:firstLine="460" w:firstLineChars="192"/>
        <w:jc w:val="center"/>
        <w:rPr>
          <w:rFonts w:hint="eastAsia" w:ascii="宋体" w:hAnsi="宋体" w:eastAsia="宋体" w:cs="宋体"/>
          <w:b/>
          <w:bCs/>
          <w:sz w:val="24"/>
          <w:szCs w:val="24"/>
          <w:lang w:val="en-US" w:eastAsia="zh-CN"/>
        </w:rPr>
      </w:pPr>
      <w:r>
        <w:rPr>
          <w:rFonts w:hint="eastAsia" w:ascii="宋体" w:hAnsi="宋体" w:eastAsia="宋体" w:cs="宋体"/>
          <w:sz w:val="24"/>
          <w:lang w:val="en-US" w:eastAsia="zh-CN"/>
        </w:rPr>
        <w:t>4.</w:t>
      </w:r>
      <w:r>
        <w:rPr>
          <w:rFonts w:hint="eastAsia" w:ascii="宋体" w:hAnsi="宋体" w:eastAsia="宋体" w:cs="宋体"/>
          <w:b/>
          <w:bCs/>
          <w:sz w:val="24"/>
          <w:szCs w:val="24"/>
          <w:lang w:val="en-US" w:eastAsia="zh-CN"/>
        </w:rPr>
        <w:t>投标保证金</w:t>
      </w:r>
      <w:r>
        <w:rPr>
          <w:rFonts w:hint="eastAsia" w:cs="宋体"/>
          <w:b/>
          <w:bCs/>
          <w:sz w:val="24"/>
          <w:szCs w:val="24"/>
          <w:lang w:val="en-US" w:eastAsia="zh-CN"/>
        </w:rPr>
        <w:t>汇款凭证</w:t>
      </w:r>
      <w:r>
        <w:rPr>
          <w:rFonts w:hint="eastAsia" w:ascii="宋体" w:hAnsi="宋体" w:eastAsia="宋体" w:cs="宋体"/>
          <w:b/>
          <w:bCs/>
          <w:sz w:val="24"/>
          <w:szCs w:val="24"/>
          <w:lang w:val="en-US" w:eastAsia="zh-CN"/>
        </w:rPr>
        <w:t>或保函</w:t>
      </w:r>
    </w:p>
    <w:p w14:paraId="01ACD1E4">
      <w:pPr>
        <w:pStyle w:val="4"/>
        <w:tabs>
          <w:tab w:val="left" w:pos="1080"/>
        </w:tabs>
        <w:ind w:left="3685" w:leftChars="0" w:hanging="3685" w:firstLineChars="0"/>
        <w:jc w:val="center"/>
        <w:rPr>
          <w:rFonts w:hint="eastAsia" w:asciiTheme="minorEastAsia" w:hAnsiTheme="minorEastAsia" w:eastAsiaTheme="minorEastAsia" w:cstheme="minorEastAsia"/>
          <w:kern w:val="0"/>
          <w:sz w:val="28"/>
          <w:szCs w:val="28"/>
          <w:highlight w:val="none"/>
        </w:rPr>
      </w:pPr>
      <w:r>
        <w:rPr>
          <w:rFonts w:hint="eastAsia" w:ascii="宋体" w:hAnsi="宋体" w:eastAsia="宋体" w:cs="宋体"/>
          <w:b/>
          <w:bCs/>
          <w:sz w:val="24"/>
          <w:szCs w:val="24"/>
          <w:lang w:val="en-US" w:eastAsia="zh-CN"/>
        </w:rPr>
        <w:t>5.委托书</w:t>
      </w:r>
    </w:p>
    <w:p w14:paraId="758A5F67">
      <w:pPr>
        <w:pStyle w:val="5"/>
        <w:rPr>
          <w:rFonts w:asciiTheme="minorEastAsia" w:hAnsiTheme="minorEastAsia" w:cstheme="minorEastAsia"/>
          <w:highlight w:val="none"/>
        </w:rPr>
      </w:pPr>
      <w:bookmarkStart w:id="519" w:name="_Toc14180"/>
      <w:r>
        <w:rPr>
          <w:rFonts w:hint="eastAsia" w:ascii="宋体" w:hAnsi="宋体" w:eastAsia="宋体" w:cs="宋体"/>
          <w:b/>
          <w:bCs/>
          <w:color w:val="000000"/>
          <w:kern w:val="2"/>
          <w:sz w:val="24"/>
          <w:szCs w:val="24"/>
          <w:lang w:val="en-US" w:eastAsia="zh-CN" w:bidi="ar-SA"/>
        </w:rPr>
        <w:t>5.1、法定授权人委托书</w:t>
      </w:r>
      <w:bookmarkEnd w:id="519"/>
    </w:p>
    <w:p w14:paraId="3348E660">
      <w:pPr>
        <w:adjustRightInd w:val="0"/>
        <w:snapToGrid w:val="0"/>
        <w:spacing w:line="360" w:lineRule="auto"/>
        <w:ind w:left="560" w:hanging="560" w:hangingChars="200"/>
        <w:rPr>
          <w:rFonts w:asciiTheme="minorEastAsia" w:hAnsiTheme="minorEastAsia" w:eastAsiaTheme="minorEastAsia" w:cstheme="minorEastAsia"/>
          <w:sz w:val="28"/>
          <w:szCs w:val="28"/>
          <w:highlight w:val="none"/>
        </w:rPr>
      </w:pPr>
    </w:p>
    <w:p w14:paraId="6E299092">
      <w:pPr>
        <w:pStyle w:val="10"/>
        <w:pageBreakBefore w:val="0"/>
        <w:kinsoku/>
        <w:wordWrap/>
        <w:overflowPunct/>
        <w:topLinePunct w:val="0"/>
        <w:bidi w:val="0"/>
        <w:spacing w:beforeAutospacing="0" w:afterAutospacing="0" w:line="400" w:lineRule="exact"/>
        <w:ind w:firstLine="643"/>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法定代表人身份证明（法定代表人投标提供）</w:t>
      </w:r>
    </w:p>
    <w:p w14:paraId="73CDA02B">
      <w:pPr>
        <w:pStyle w:val="4"/>
        <w:pageBreakBefore w:val="0"/>
        <w:tabs>
          <w:tab w:val="left" w:pos="1080"/>
        </w:tabs>
        <w:kinsoku/>
        <w:wordWrap/>
        <w:overflowPunct/>
        <w:topLinePunct w:val="0"/>
        <w:bidi w:val="0"/>
        <w:spacing w:before="0" w:beforeAutospacing="0" w:after="0" w:afterAutospacing="0" w:line="400" w:lineRule="exact"/>
        <w:ind w:left="700" w:leftChars="0" w:firstLine="0" w:firstLineChars="0"/>
        <w:jc w:val="center"/>
        <w:rPr>
          <w:rFonts w:hint="eastAsia" w:ascii="宋体" w:hAnsi="宋体" w:eastAsia="宋体" w:cs="宋体"/>
          <w:color w:val="000000"/>
          <w:sz w:val="24"/>
          <w:szCs w:val="24"/>
          <w:highlight w:val="none"/>
        </w:rPr>
      </w:pPr>
      <w:bookmarkStart w:id="520" w:name="_Toc251236133"/>
      <w:r>
        <w:rPr>
          <w:rFonts w:hint="eastAsia" w:ascii="宋体" w:hAnsi="宋体" w:eastAsia="宋体" w:cs="宋体"/>
          <w:color w:val="000000"/>
          <w:sz w:val="24"/>
          <w:szCs w:val="24"/>
          <w:highlight w:val="none"/>
        </w:rPr>
        <w:t>法定代表人证明书</w:t>
      </w:r>
      <w:bookmarkEnd w:id="520"/>
    </w:p>
    <w:p w14:paraId="59591B06">
      <w:pPr>
        <w:pageBreakBefore w:val="0"/>
        <w:kinsoku/>
        <w:wordWrap/>
        <w:overflowPunct/>
        <w:topLinePunct w:val="0"/>
        <w:bidi w:val="0"/>
        <w:spacing w:beforeAutospacing="0" w:afterAutospacing="0" w:line="400" w:lineRule="exact"/>
        <w:rPr>
          <w:rFonts w:hint="eastAsia" w:ascii="宋体" w:hAnsi="宋体" w:eastAsia="宋体" w:cs="宋体"/>
          <w:b/>
          <w:bCs/>
          <w:color w:val="000000"/>
          <w:sz w:val="24"/>
          <w:szCs w:val="24"/>
          <w:highlight w:val="none"/>
        </w:rPr>
      </w:pPr>
    </w:p>
    <w:p w14:paraId="1FBF616C">
      <w:pPr>
        <w:pageBreakBefore w:val="0"/>
        <w:tabs>
          <w:tab w:val="left" w:pos="900"/>
        </w:tabs>
        <w:kinsoku/>
        <w:wordWrap/>
        <w:overflowPunct/>
        <w:topLinePunct w:val="0"/>
        <w:bidi w:val="0"/>
        <w:spacing w:beforeAutospacing="0" w:afterAutospacing="0" w:line="400" w:lineRule="exact"/>
        <w:ind w:firstLine="840" w:firstLineChars="350"/>
        <w:rPr>
          <w:rFonts w:hint="eastAsia" w:ascii="宋体" w:hAnsi="宋体" w:eastAsia="宋体" w:cs="宋体"/>
          <w:sz w:val="24"/>
          <w:szCs w:val="24"/>
          <w:highlight w:val="none"/>
        </w:rPr>
      </w:pPr>
      <w:r>
        <w:rPr>
          <w:rFonts w:hint="eastAsia" w:ascii="宋体" w:hAnsi="宋体" w:eastAsia="宋体" w:cs="宋体"/>
          <w:sz w:val="24"/>
          <w:szCs w:val="24"/>
          <w:highlight w:val="none"/>
        </w:rPr>
        <w:t>（                  ）同志，现任我单位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职务，为法定代表人，特此证明。</w:t>
      </w:r>
    </w:p>
    <w:p w14:paraId="2E9013BB">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bl>
      <w:tblPr>
        <w:tblStyle w:val="20"/>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8"/>
        <w:gridCol w:w="3152"/>
      </w:tblGrid>
      <w:tr w14:paraId="1C37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8" w:type="dxa"/>
          </w:tcPr>
          <w:p w14:paraId="7A81870E">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营业执照(注册号)： </w:t>
            </w:r>
          </w:p>
        </w:tc>
        <w:tc>
          <w:tcPr>
            <w:tcW w:w="3152" w:type="dxa"/>
          </w:tcPr>
          <w:p w14:paraId="377092D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经济性质：</w:t>
            </w:r>
          </w:p>
        </w:tc>
      </w:tr>
      <w:tr w14:paraId="0B47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0" w:type="dxa"/>
            <w:gridSpan w:val="2"/>
          </w:tcPr>
          <w:p w14:paraId="774C1B5F">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r>
      <w:tr w14:paraId="7EE2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0" w:type="dxa"/>
            <w:gridSpan w:val="2"/>
          </w:tcPr>
          <w:p w14:paraId="20027DCA">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法定代表人身份证号：</w:t>
            </w:r>
          </w:p>
        </w:tc>
      </w:tr>
      <w:tr w14:paraId="2060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8" w:type="dxa"/>
          </w:tcPr>
          <w:p w14:paraId="1DDBAABC">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法定代表人年龄：</w:t>
            </w:r>
          </w:p>
        </w:tc>
        <w:tc>
          <w:tcPr>
            <w:tcW w:w="3152" w:type="dxa"/>
          </w:tcPr>
          <w:p w14:paraId="5444961F">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法定代表人性别：</w:t>
            </w:r>
          </w:p>
        </w:tc>
      </w:tr>
    </w:tbl>
    <w:p w14:paraId="6CC6993B">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29ADCD4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投标单位：（</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公章）</w:t>
      </w:r>
    </w:p>
    <w:p w14:paraId="6AFFDC3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有效日期：</w:t>
      </w:r>
    </w:p>
    <w:p w14:paraId="38EBBB5D">
      <w:pPr>
        <w:pageBreakBefore w:val="0"/>
        <w:kinsoku/>
        <w:wordWrap/>
        <w:overflowPunct/>
        <w:topLinePunct w:val="0"/>
        <w:bidi w:val="0"/>
        <w:spacing w:beforeAutospacing="0" w:afterAutospacing="0" w:line="400" w:lineRule="exact"/>
        <w:jc w:val="righ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xml:space="preserve"> 年   月   日</w:t>
      </w:r>
    </w:p>
    <w:p w14:paraId="508C746F">
      <w:pPr>
        <w:pStyle w:val="52"/>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77D512D1">
      <w:pPr>
        <w:pStyle w:val="52"/>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lang w:val="en-US" w:eastAsia="zh-CN"/>
        </w:rPr>
      </w:pPr>
      <w:bookmarkStart w:id="521" w:name="_Toc52165081"/>
      <w:bookmarkStart w:id="522" w:name="_Toc251236134"/>
      <w:bookmarkStart w:id="523" w:name="_Toc50737329"/>
      <w:bookmarkStart w:id="524" w:name="_Toc50737297"/>
      <w:bookmarkStart w:id="525" w:name="_Toc50736477"/>
    </w:p>
    <w:p w14:paraId="58F6AA29">
      <w:pPr>
        <w:pStyle w:val="52"/>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lang w:val="en-US" w:eastAsia="zh-CN"/>
        </w:rPr>
      </w:pPr>
    </w:p>
    <w:p w14:paraId="29D02206">
      <w:pPr>
        <w:pStyle w:val="52"/>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lang w:eastAsia="zh-CN"/>
        </w:rPr>
      </w:pPr>
      <w:r>
        <w:rPr>
          <w:rFonts w:hint="eastAsia" w:hAnsi="宋体" w:cs="宋体"/>
          <w:b/>
          <w:bCs/>
          <w:color w:val="000000"/>
          <w:kern w:val="2"/>
          <w:sz w:val="24"/>
          <w:szCs w:val="24"/>
          <w:highlight w:val="none"/>
          <w:lang w:val="en-US" w:eastAsia="zh-CN"/>
        </w:rPr>
        <w:t>5.2</w:t>
      </w:r>
      <w:r>
        <w:rPr>
          <w:rFonts w:hint="eastAsia" w:ascii="宋体" w:hAnsi="宋体" w:eastAsia="宋体" w:cs="宋体"/>
          <w:b/>
          <w:bCs/>
          <w:color w:val="000000"/>
          <w:kern w:val="2"/>
          <w:sz w:val="24"/>
          <w:szCs w:val="24"/>
          <w:highlight w:val="none"/>
          <w:lang w:val="en-US" w:eastAsia="zh-CN"/>
        </w:rPr>
        <w:t>、</w:t>
      </w:r>
      <w:r>
        <w:rPr>
          <w:rFonts w:hint="eastAsia" w:ascii="宋体" w:hAnsi="宋体" w:eastAsia="宋体" w:cs="宋体"/>
          <w:b/>
          <w:bCs/>
          <w:color w:val="000000"/>
          <w:kern w:val="2"/>
          <w:sz w:val="24"/>
          <w:szCs w:val="24"/>
          <w:highlight w:val="none"/>
        </w:rPr>
        <w:t>法定代表人授权委托书</w:t>
      </w:r>
      <w:bookmarkEnd w:id="521"/>
      <w:bookmarkEnd w:id="522"/>
      <w:bookmarkEnd w:id="523"/>
      <w:bookmarkEnd w:id="524"/>
      <w:bookmarkEnd w:id="525"/>
    </w:p>
    <w:p w14:paraId="779AA089">
      <w:pPr>
        <w:pStyle w:val="52"/>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rPr>
      </w:pPr>
    </w:p>
    <w:tbl>
      <w:tblPr>
        <w:tblStyle w:val="20"/>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2781"/>
        <w:gridCol w:w="2385"/>
        <w:gridCol w:w="1215"/>
      </w:tblGrid>
      <w:tr w14:paraId="7E15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536CD27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投标人（全称）</w:t>
            </w:r>
          </w:p>
        </w:tc>
        <w:tc>
          <w:tcPr>
            <w:tcW w:w="6381" w:type="dxa"/>
            <w:gridSpan w:val="3"/>
            <w:vAlign w:val="center"/>
          </w:tcPr>
          <w:p w14:paraId="36A38E1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64CC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45DBEF4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c>
          <w:tcPr>
            <w:tcW w:w="6381" w:type="dxa"/>
            <w:gridSpan w:val="3"/>
            <w:vAlign w:val="center"/>
          </w:tcPr>
          <w:p w14:paraId="4AC9A89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3F29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3F8DD2C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2781" w:type="dxa"/>
            <w:vAlign w:val="center"/>
          </w:tcPr>
          <w:p w14:paraId="6C88C99C">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7E7BD28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1215" w:type="dxa"/>
            <w:vAlign w:val="center"/>
          </w:tcPr>
          <w:p w14:paraId="6612C75B">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3C6D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1F6C20B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法人营业执照注册号</w:t>
            </w:r>
          </w:p>
        </w:tc>
        <w:tc>
          <w:tcPr>
            <w:tcW w:w="2781" w:type="dxa"/>
            <w:vAlign w:val="center"/>
          </w:tcPr>
          <w:p w14:paraId="705FEEE4">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1AA0A82C">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注册于（国家或地区）</w:t>
            </w:r>
          </w:p>
        </w:tc>
        <w:tc>
          <w:tcPr>
            <w:tcW w:w="1215" w:type="dxa"/>
            <w:vAlign w:val="center"/>
          </w:tcPr>
          <w:p w14:paraId="435A8046">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0EBE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24CDF11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w:t>
            </w:r>
          </w:p>
        </w:tc>
        <w:tc>
          <w:tcPr>
            <w:tcW w:w="2781" w:type="dxa"/>
            <w:vAlign w:val="center"/>
          </w:tcPr>
          <w:p w14:paraId="22997B72">
            <w:pPr>
              <w:pageBreakBefore w:val="0"/>
              <w:kinsoku/>
              <w:wordWrap/>
              <w:overflowPunct/>
              <w:topLinePunct w:val="0"/>
              <w:bidi w:val="0"/>
              <w:spacing w:beforeAutospacing="0" w:afterAutospacing="0" w:line="400" w:lineRule="exact"/>
              <w:ind w:right="105"/>
              <w:rPr>
                <w:rFonts w:hint="eastAsia" w:ascii="宋体" w:hAnsi="宋体" w:eastAsia="宋体" w:cs="宋体"/>
                <w:sz w:val="24"/>
                <w:szCs w:val="24"/>
                <w:highlight w:val="none"/>
              </w:rPr>
            </w:pPr>
          </w:p>
        </w:tc>
        <w:tc>
          <w:tcPr>
            <w:tcW w:w="2385" w:type="dxa"/>
            <w:vAlign w:val="center"/>
          </w:tcPr>
          <w:p w14:paraId="568B4CD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授权代表人性别</w:t>
            </w:r>
          </w:p>
        </w:tc>
        <w:tc>
          <w:tcPr>
            <w:tcW w:w="1215" w:type="dxa"/>
            <w:vAlign w:val="center"/>
          </w:tcPr>
          <w:p w14:paraId="000F8BFA">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3B92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0FD04494">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授权代表人身份证号</w:t>
            </w:r>
          </w:p>
        </w:tc>
        <w:tc>
          <w:tcPr>
            <w:tcW w:w="2781" w:type="dxa"/>
            <w:vAlign w:val="center"/>
          </w:tcPr>
          <w:p w14:paraId="69327A96">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51553D7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授权代表人职务</w:t>
            </w:r>
          </w:p>
        </w:tc>
        <w:tc>
          <w:tcPr>
            <w:tcW w:w="1215" w:type="dxa"/>
            <w:vAlign w:val="center"/>
          </w:tcPr>
          <w:p w14:paraId="0FE608A9">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698E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66C03890">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781" w:type="dxa"/>
            <w:vAlign w:val="center"/>
          </w:tcPr>
          <w:p w14:paraId="6013152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21906185">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1215" w:type="dxa"/>
            <w:vAlign w:val="center"/>
          </w:tcPr>
          <w:p w14:paraId="7161C3E5">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bl>
    <w:p w14:paraId="229FE56E">
      <w:pPr>
        <w:pageBreakBefore w:val="0"/>
        <w:kinsoku/>
        <w:wordWrap/>
        <w:overflowPunct/>
        <w:topLinePunct w:val="0"/>
        <w:bidi w:val="0"/>
        <w:spacing w:beforeAutospacing="0" w:afterAutospacing="0" w:line="400" w:lineRule="exact"/>
        <w:ind w:left="2" w:firstLine="460" w:firstLineChars="192"/>
        <w:rPr>
          <w:rFonts w:hint="eastAsia" w:ascii="宋体" w:hAnsi="宋体" w:eastAsia="宋体" w:cs="宋体"/>
          <w:color w:val="000000"/>
          <w:sz w:val="24"/>
          <w:szCs w:val="24"/>
          <w:highlight w:val="none"/>
        </w:rPr>
      </w:pPr>
    </w:p>
    <w:p w14:paraId="15BF7AB5">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兹委托（            ）全权代表我企业（公司）参与</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sz w:val="24"/>
          <w:szCs w:val="24"/>
          <w:highlight w:val="none"/>
        </w:rPr>
        <w:t>（</w:t>
      </w:r>
      <w:r>
        <w:rPr>
          <w:rFonts w:hint="eastAsia" w:cs="宋体"/>
          <w:sz w:val="24"/>
          <w:szCs w:val="24"/>
          <w:highlight w:val="none"/>
          <w:lang w:eastAsia="zh-CN"/>
        </w:rPr>
        <w:t>项目编号</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）的投标活动及签订合同，作为投标人代表以本公司的名义处理一切与之有关的事宜。（            ）以我企业（公司）名义所为的行为及签署的文件，我企业（公司）均予以认可。有关法律责任均由我企业（公司）承担。特此声明。</w:t>
      </w:r>
    </w:p>
    <w:p w14:paraId="08D75B03">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cs="宋体"/>
          <w:sz w:val="24"/>
          <w:szCs w:val="24"/>
          <w:highlight w:val="none"/>
          <w:lang w:val="en-US" w:eastAsia="zh-CN"/>
        </w:rPr>
        <w:t>投标</w:t>
      </w:r>
      <w:r>
        <w:rPr>
          <w:rFonts w:hint="eastAsia" w:ascii="宋体" w:hAnsi="宋体" w:eastAsia="宋体" w:cs="宋体"/>
          <w:sz w:val="24"/>
          <w:szCs w:val="24"/>
          <w:highlight w:val="none"/>
        </w:rPr>
        <w:t>有效期：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C8F8CBB">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签发日期：</w:t>
      </w:r>
      <w:r>
        <w:rPr>
          <w:rFonts w:hint="eastAsia" w:ascii="宋体" w:hAnsi="宋体" w:eastAsia="宋体" w:cs="宋体"/>
          <w:sz w:val="24"/>
          <w:szCs w:val="24"/>
          <w:highlight w:val="none"/>
          <w:u w:val="single"/>
        </w:rPr>
        <w:t xml:space="preserve">      年   月   日</w:t>
      </w:r>
      <w:r>
        <w:rPr>
          <w:rFonts w:hint="eastAsia" w:ascii="宋体" w:hAnsi="宋体" w:eastAsia="宋体" w:cs="宋体"/>
          <w:sz w:val="24"/>
          <w:szCs w:val="24"/>
          <w:highlight w:val="none"/>
        </w:rPr>
        <w:t>。</w:t>
      </w:r>
    </w:p>
    <w:p w14:paraId="1C1315F5">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投标单位（</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公章）：</w:t>
      </w:r>
    </w:p>
    <w:p w14:paraId="23D7F7B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2439035</wp:posOffset>
                </wp:positionH>
                <wp:positionV relativeFrom="paragraph">
                  <wp:posOffset>70485</wp:posOffset>
                </wp:positionV>
                <wp:extent cx="3485515" cy="1979295"/>
                <wp:effectExtent l="4445" t="4445" r="15240" b="12700"/>
                <wp:wrapNone/>
                <wp:docPr id="20" name="矩形 20"/>
                <wp:cNvGraphicFramePr/>
                <a:graphic xmlns:a="http://schemas.openxmlformats.org/drawingml/2006/main">
                  <a:graphicData uri="http://schemas.microsoft.com/office/word/2010/wordprocessingShape">
                    <wps:wsp>
                      <wps:cNvSpPr/>
                      <wps:spPr>
                        <a:xfrm>
                          <a:off x="0" y="0"/>
                          <a:ext cx="3485515" cy="19792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EC53D5">
                            <w:pPr>
                              <w:rPr>
                                <w:rFonts w:eastAsia="黑体"/>
                                <w:b/>
                                <w:sz w:val="30"/>
                              </w:rPr>
                            </w:pPr>
                          </w:p>
                          <w:p w14:paraId="4496069C">
                            <w:pPr>
                              <w:rPr>
                                <w:rFonts w:eastAsia="黑体"/>
                                <w:b/>
                                <w:sz w:val="30"/>
                              </w:rPr>
                            </w:pPr>
                          </w:p>
                          <w:p w14:paraId="499FC08A">
                            <w:pPr>
                              <w:jc w:val="center"/>
                              <w:rPr>
                                <w:rFonts w:ascii="宋体"/>
                                <w:b/>
                                <w:bCs/>
                                <w:szCs w:val="21"/>
                              </w:rPr>
                            </w:pPr>
                            <w:r>
                              <w:rPr>
                                <w:rFonts w:hint="eastAsia" w:ascii="宋体"/>
                                <w:b/>
                                <w:color w:val="000000"/>
                              </w:rPr>
                              <w:t>法人及授权代表</w:t>
                            </w:r>
                            <w:r>
                              <w:rPr>
                                <w:rFonts w:hint="eastAsia" w:ascii="宋体"/>
                                <w:b/>
                                <w:bCs/>
                                <w:color w:val="000000"/>
                                <w:szCs w:val="21"/>
                              </w:rPr>
                              <w:t>身份证</w:t>
                            </w:r>
                            <w:r>
                              <w:rPr>
                                <w:rFonts w:hint="eastAsia" w:ascii="宋体"/>
                                <w:b/>
                                <w:bCs/>
                                <w:color w:val="000000"/>
                                <w:szCs w:val="21"/>
                                <w:lang w:val="en-US" w:eastAsia="zh-CN"/>
                              </w:rPr>
                              <w:t>正反面</w:t>
                            </w:r>
                            <w:r>
                              <w:rPr>
                                <w:rFonts w:hint="eastAsia" w:ascii="宋体"/>
                                <w:b/>
                                <w:bCs/>
                                <w:color w:val="000000"/>
                                <w:szCs w:val="21"/>
                              </w:rPr>
                              <w:t>复印件粘贴处</w:t>
                            </w:r>
                          </w:p>
                        </w:txbxContent>
                      </wps:txbx>
                      <wps:bodyPr upright="1"/>
                    </wps:wsp>
                  </a:graphicData>
                </a:graphic>
              </wp:anchor>
            </w:drawing>
          </mc:Choice>
          <mc:Fallback>
            <w:pict>
              <v:rect id="_x0000_s1026" o:spid="_x0000_s1026" o:spt="1" style="position:absolute;left:0pt;margin-left:192.05pt;margin-top:5.55pt;height:155.85pt;width:274.45pt;z-index:251659264;mso-width-relative:page;mso-height-relative:page;" fillcolor="#FFFFFF" filled="t" stroked="t" coordsize="21600,21600" o:gfxdata="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RKZedcAAAAKAQAADwAAAAAAAAABACAAAAAiAAAAZHJzL2Rv&#10;d25yZXYueG1sUEsBAhQAFAAAAAgAh07iQLvERyoCAgAALAQAAA4AAAAAAAAAAQAgAAAAJgEAAGRy&#10;cy9lMm9Eb2MueG1sUEsFBgAAAAAGAAYAWQEAAJoFAAAAAA==&#10;">
                <v:fill on="t" focussize="0,0"/>
                <v:stroke color="#000000" joinstyle="miter"/>
                <v:imagedata o:title=""/>
                <o:lock v:ext="edit" aspectratio="f"/>
                <v:textbox>
                  <w:txbxContent>
                    <w:p w14:paraId="70EC53D5">
                      <w:pPr>
                        <w:rPr>
                          <w:rFonts w:eastAsia="黑体"/>
                          <w:b/>
                          <w:sz w:val="30"/>
                        </w:rPr>
                      </w:pPr>
                    </w:p>
                    <w:p w14:paraId="4496069C">
                      <w:pPr>
                        <w:rPr>
                          <w:rFonts w:eastAsia="黑体"/>
                          <w:b/>
                          <w:sz w:val="30"/>
                        </w:rPr>
                      </w:pPr>
                    </w:p>
                    <w:p w14:paraId="499FC08A">
                      <w:pPr>
                        <w:jc w:val="center"/>
                        <w:rPr>
                          <w:rFonts w:ascii="宋体"/>
                          <w:b/>
                          <w:bCs/>
                          <w:szCs w:val="21"/>
                        </w:rPr>
                      </w:pPr>
                      <w:r>
                        <w:rPr>
                          <w:rFonts w:hint="eastAsia" w:ascii="宋体"/>
                          <w:b/>
                          <w:color w:val="000000"/>
                        </w:rPr>
                        <w:t>法人及授权代表</w:t>
                      </w:r>
                      <w:r>
                        <w:rPr>
                          <w:rFonts w:hint="eastAsia" w:ascii="宋体"/>
                          <w:b/>
                          <w:bCs/>
                          <w:color w:val="000000"/>
                          <w:szCs w:val="21"/>
                        </w:rPr>
                        <w:t>身份证</w:t>
                      </w:r>
                      <w:r>
                        <w:rPr>
                          <w:rFonts w:hint="eastAsia" w:ascii="宋体"/>
                          <w:b/>
                          <w:bCs/>
                          <w:color w:val="000000"/>
                          <w:szCs w:val="21"/>
                          <w:lang w:val="en-US" w:eastAsia="zh-CN"/>
                        </w:rPr>
                        <w:t>正反面</w:t>
                      </w:r>
                      <w:r>
                        <w:rPr>
                          <w:rFonts w:hint="eastAsia" w:ascii="宋体"/>
                          <w:b/>
                          <w:bCs/>
                          <w:color w:val="000000"/>
                          <w:szCs w:val="21"/>
                        </w:rPr>
                        <w:t>复印件粘贴处</w:t>
                      </w:r>
                    </w:p>
                  </w:txbxContent>
                </v:textbox>
              </v:rect>
            </w:pict>
          </mc:Fallback>
        </mc:AlternateContent>
      </w:r>
    </w:p>
    <w:p w14:paraId="3DE857D6">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p>
    <w:p w14:paraId="7C30293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402D0C31">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授权代表人签字或盖章：</w:t>
      </w:r>
    </w:p>
    <w:p w14:paraId="6E2E8936">
      <w:pPr>
        <w:pStyle w:val="10"/>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07233730">
      <w:pPr>
        <w:pStyle w:val="10"/>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733003AD">
      <w:pPr>
        <w:pStyle w:val="10"/>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3D757446">
      <w:pPr>
        <w:pStyle w:val="10"/>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258FBABD">
      <w:pPr>
        <w:pStyle w:val="10"/>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424127F4">
      <w:pPr>
        <w:pStyle w:val="10"/>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23B55A59">
      <w:pPr>
        <w:pStyle w:val="10"/>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79CD3E64">
      <w:pPr>
        <w:pStyle w:val="10"/>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3086E45B">
      <w:pPr>
        <w:pStyle w:val="10"/>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7E3465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cs="宋体"/>
          <w:sz w:val="24"/>
          <w:szCs w:val="24"/>
          <w:lang w:val="en-US" w:eastAsia="zh-CN"/>
        </w:rPr>
        <w:t>6</w:t>
      </w:r>
      <w:r>
        <w:rPr>
          <w:rFonts w:hint="eastAsia" w:ascii="宋体" w:hAnsi="宋体" w:eastAsia="宋体" w:cs="宋体"/>
          <w:sz w:val="24"/>
          <w:szCs w:val="24"/>
          <w:lang w:val="en-US" w:eastAsia="zh-CN"/>
        </w:rPr>
        <w:t>投标人认为需要提交的其他资料</w:t>
      </w:r>
    </w:p>
    <w:p w14:paraId="6D556DEB">
      <w:pPr>
        <w:pStyle w:val="10"/>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11FA1983">
      <w:pPr>
        <w:pStyle w:val="10"/>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04AB38CA">
      <w:pPr>
        <w:pStyle w:val="10"/>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50B15308">
      <w:pPr>
        <w:pStyle w:val="10"/>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6DAF4E08">
      <w:pPr>
        <w:pStyle w:val="10"/>
        <w:pageBreakBefore w:val="0"/>
        <w:kinsoku/>
        <w:wordWrap/>
        <w:overflowPunct/>
        <w:topLinePunct w:val="0"/>
        <w:bidi w:val="0"/>
        <w:spacing w:beforeAutospacing="0" w:afterAutospacing="0" w:line="400" w:lineRule="exact"/>
        <w:ind w:firstLine="643"/>
        <w:jc w:val="left"/>
        <w:rPr>
          <w:rFonts w:hint="default"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二、报价文件</w:t>
      </w:r>
    </w:p>
    <w:p w14:paraId="441592D1">
      <w:pPr>
        <w:pStyle w:val="2"/>
        <w:spacing w:before="155" w:line="223" w:lineRule="auto"/>
        <w:ind w:left="4"/>
        <w:jc w:val="center"/>
        <w:rPr>
          <w:rFonts w:ascii="宋体"/>
          <w:spacing w:val="-5"/>
          <w:sz w:val="24"/>
          <w:szCs w:val="24"/>
        </w:rPr>
      </w:pPr>
      <w:r>
        <w:rPr>
          <w:rFonts w:hint="eastAsia" w:ascii="宋体"/>
          <w:spacing w:val="-5"/>
          <w:sz w:val="24"/>
          <w:szCs w:val="24"/>
          <w:lang w:val="en-US" w:eastAsia="zh-CN"/>
        </w:rPr>
        <w:t>1</w:t>
      </w:r>
      <w:r>
        <w:rPr>
          <w:rFonts w:ascii="宋体"/>
          <w:spacing w:val="-5"/>
          <w:sz w:val="24"/>
          <w:szCs w:val="24"/>
        </w:rPr>
        <w:t>响应书</w:t>
      </w:r>
    </w:p>
    <w:p w14:paraId="0272C060">
      <w:pPr>
        <w:pStyle w:val="2"/>
        <w:spacing w:before="155" w:line="223" w:lineRule="auto"/>
        <w:ind w:left="4"/>
        <w:rPr>
          <w:sz w:val="24"/>
          <w:szCs w:val="24"/>
        </w:rPr>
      </w:pPr>
      <w:r>
        <w:rPr>
          <w:spacing w:val="-5"/>
          <w:sz w:val="24"/>
          <w:szCs w:val="24"/>
        </w:rPr>
        <w:t>致（</w:t>
      </w:r>
      <w:r>
        <w:rPr>
          <w:rFonts w:hint="eastAsia"/>
          <w:spacing w:val="-5"/>
          <w:sz w:val="24"/>
          <w:szCs w:val="24"/>
          <w:lang w:eastAsia="zh-CN"/>
        </w:rPr>
        <w:t>采购人</w:t>
      </w:r>
      <w:r>
        <w:rPr>
          <w:sz w:val="24"/>
          <w:szCs w:val="24"/>
        </w:rPr>
        <w:t>）：</w:t>
      </w:r>
    </w:p>
    <w:p w14:paraId="70A2C54C">
      <w:pPr>
        <w:pStyle w:val="2"/>
        <w:spacing w:before="81" w:line="249" w:lineRule="auto"/>
        <w:ind w:right="2" w:firstLine="563"/>
        <w:rPr>
          <w:sz w:val="24"/>
          <w:szCs w:val="24"/>
        </w:rPr>
      </w:pPr>
      <w:r>
        <w:rPr>
          <w:spacing w:val="-1"/>
          <w:sz w:val="24"/>
          <w:szCs w:val="24"/>
        </w:rPr>
        <w:t>根据已收到的</w:t>
      </w:r>
      <w:r>
        <w:rPr>
          <w:spacing w:val="3"/>
          <w:sz w:val="24"/>
          <w:szCs w:val="24"/>
          <w:u w:val="single" w:color="auto"/>
        </w:rPr>
        <w:t xml:space="preserve">                     </w:t>
      </w:r>
      <w:r>
        <w:rPr>
          <w:spacing w:val="2"/>
          <w:sz w:val="24"/>
          <w:szCs w:val="24"/>
          <w:u w:val="single" w:color="auto"/>
        </w:rPr>
        <w:t xml:space="preserve">       </w:t>
      </w:r>
      <w:r>
        <w:rPr>
          <w:spacing w:val="-103"/>
          <w:sz w:val="24"/>
          <w:szCs w:val="24"/>
        </w:rPr>
        <w:t xml:space="preserve"> </w:t>
      </w:r>
      <w:r>
        <w:rPr>
          <w:spacing w:val="-1"/>
          <w:sz w:val="24"/>
          <w:szCs w:val="24"/>
        </w:rPr>
        <w:t>的磋商文件，我单位经考察</w:t>
      </w:r>
      <w:r>
        <w:rPr>
          <w:sz w:val="24"/>
          <w:szCs w:val="24"/>
        </w:rPr>
        <w:t xml:space="preserve"> </w:t>
      </w:r>
      <w:r>
        <w:rPr>
          <w:spacing w:val="-1"/>
          <w:sz w:val="24"/>
          <w:szCs w:val="24"/>
        </w:rPr>
        <w:t>现场并充分研究贵方的磋商文件后，我方提出以下承诺：</w:t>
      </w:r>
    </w:p>
    <w:p w14:paraId="2172C348">
      <w:pPr>
        <w:pStyle w:val="2"/>
        <w:spacing w:before="86" w:line="258" w:lineRule="auto"/>
        <w:ind w:right="2" w:firstLine="573"/>
        <w:rPr>
          <w:sz w:val="24"/>
          <w:szCs w:val="24"/>
        </w:rPr>
      </w:pPr>
      <w:r>
        <w:rPr>
          <w:spacing w:val="2"/>
          <w:sz w:val="24"/>
          <w:szCs w:val="24"/>
        </w:rPr>
        <w:t>1、我方愿以人民币（大写）</w:t>
      </w:r>
      <w:r>
        <w:rPr>
          <w:spacing w:val="2"/>
          <w:sz w:val="24"/>
          <w:szCs w:val="24"/>
          <w:u w:val="single" w:color="auto"/>
        </w:rPr>
        <w:t xml:space="preserve">         </w:t>
      </w:r>
      <w:r>
        <w:rPr>
          <w:spacing w:val="-107"/>
          <w:sz w:val="24"/>
          <w:szCs w:val="24"/>
        </w:rPr>
        <w:t xml:space="preserve"> </w:t>
      </w:r>
      <w:r>
        <w:rPr>
          <w:spacing w:val="2"/>
          <w:sz w:val="24"/>
          <w:szCs w:val="24"/>
        </w:rPr>
        <w:t>元(</w:t>
      </w:r>
      <w:r>
        <w:rPr>
          <w:rFonts w:ascii="宋体" w:hAnsi="宋体" w:eastAsia="宋体" w:cs="宋体"/>
          <w:spacing w:val="2"/>
          <w:sz w:val="24"/>
          <w:szCs w:val="24"/>
        </w:rPr>
        <w:t>¥</w:t>
      </w:r>
      <w:r>
        <w:rPr>
          <w:rFonts w:ascii="宋体" w:hAnsi="宋体" w:eastAsia="宋体" w:cs="宋体"/>
          <w:spacing w:val="-139"/>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92"/>
          <w:sz w:val="24"/>
          <w:szCs w:val="24"/>
        </w:rPr>
        <w:t xml:space="preserve"> </w:t>
      </w:r>
      <w:r>
        <w:rPr>
          <w:spacing w:val="2"/>
          <w:sz w:val="24"/>
          <w:szCs w:val="24"/>
        </w:rPr>
        <w:t>)</w:t>
      </w:r>
      <w:r>
        <w:rPr>
          <w:spacing w:val="57"/>
          <w:sz w:val="24"/>
          <w:szCs w:val="24"/>
        </w:rPr>
        <w:t xml:space="preserve"> </w:t>
      </w:r>
      <w:r>
        <w:rPr>
          <w:spacing w:val="2"/>
          <w:sz w:val="24"/>
          <w:szCs w:val="24"/>
        </w:rPr>
        <w:t>的磋商总报价</w:t>
      </w:r>
      <w:r>
        <w:rPr>
          <w:spacing w:val="-4"/>
          <w:sz w:val="24"/>
          <w:szCs w:val="24"/>
        </w:rPr>
        <w:t>（分项报价见已标价的工程量清单</w:t>
      </w:r>
      <w:r>
        <w:rPr>
          <w:spacing w:val="13"/>
          <w:sz w:val="24"/>
          <w:szCs w:val="24"/>
        </w:rPr>
        <w:t>），</w:t>
      </w:r>
      <w:r>
        <w:rPr>
          <w:rFonts w:hint="eastAsia"/>
          <w:spacing w:val="13"/>
          <w:sz w:val="24"/>
          <w:szCs w:val="24"/>
          <w:lang w:val="en-US" w:eastAsia="zh-CN"/>
        </w:rPr>
        <w:t>履约期限</w:t>
      </w:r>
      <w:r>
        <w:rPr>
          <w:spacing w:val="-4"/>
          <w:sz w:val="24"/>
          <w:szCs w:val="24"/>
          <w:u w:val="single" w:color="auto"/>
        </w:rPr>
        <w:t xml:space="preserve">          </w:t>
      </w:r>
      <w:r>
        <w:rPr>
          <w:spacing w:val="81"/>
          <w:sz w:val="24"/>
          <w:szCs w:val="24"/>
        </w:rPr>
        <w:t xml:space="preserve"> </w:t>
      </w:r>
      <w:r>
        <w:rPr>
          <w:spacing w:val="-4"/>
          <w:sz w:val="24"/>
          <w:szCs w:val="24"/>
        </w:rPr>
        <w:t>日历天，按上述磋商文</w:t>
      </w:r>
      <w:r>
        <w:rPr>
          <w:spacing w:val="-1"/>
          <w:sz w:val="24"/>
          <w:szCs w:val="24"/>
        </w:rPr>
        <w:t>件规定的条件和要求承包合同规定的全部工作，并承担相关的责任。</w:t>
      </w:r>
    </w:p>
    <w:p w14:paraId="4E50FD1F">
      <w:pPr>
        <w:pStyle w:val="2"/>
        <w:spacing w:before="84" w:line="250" w:lineRule="auto"/>
        <w:ind w:left="1" w:right="2" w:firstLine="555"/>
        <w:rPr>
          <w:sz w:val="24"/>
          <w:szCs w:val="24"/>
        </w:rPr>
      </w:pPr>
      <w:r>
        <w:rPr>
          <w:spacing w:val="-1"/>
          <w:sz w:val="24"/>
          <w:szCs w:val="24"/>
        </w:rPr>
        <w:t>2、一旦我方中标，我方保证按照所报的项目经理及项目管理班</w:t>
      </w:r>
      <w:r>
        <w:rPr>
          <w:spacing w:val="-2"/>
          <w:sz w:val="24"/>
          <w:szCs w:val="24"/>
        </w:rPr>
        <w:t>子承包上述</w:t>
      </w:r>
      <w:r>
        <w:rPr>
          <w:spacing w:val="-6"/>
          <w:sz w:val="24"/>
          <w:szCs w:val="24"/>
        </w:rPr>
        <w:t>项目；</w:t>
      </w:r>
    </w:p>
    <w:p w14:paraId="7F783CA4">
      <w:pPr>
        <w:pStyle w:val="2"/>
        <w:spacing w:before="81" w:line="249" w:lineRule="auto"/>
        <w:ind w:left="3" w:firstLine="556"/>
        <w:rPr>
          <w:sz w:val="24"/>
          <w:szCs w:val="24"/>
        </w:rPr>
      </w:pPr>
      <w:r>
        <w:rPr>
          <w:spacing w:val="-1"/>
          <w:sz w:val="24"/>
          <w:szCs w:val="24"/>
        </w:rPr>
        <w:t>3、一旦我方中标，我方保证在收到贵方发出的施工许可证后立</w:t>
      </w:r>
      <w:r>
        <w:rPr>
          <w:spacing w:val="-2"/>
          <w:sz w:val="24"/>
          <w:szCs w:val="24"/>
        </w:rPr>
        <w:t>即开工，并在我方承诺在合同约定的期限内竣工。</w:t>
      </w:r>
    </w:p>
    <w:p w14:paraId="03E8359C">
      <w:pPr>
        <w:pStyle w:val="2"/>
        <w:spacing w:before="85" w:line="222" w:lineRule="auto"/>
        <w:ind w:left="552"/>
        <w:rPr>
          <w:sz w:val="24"/>
          <w:szCs w:val="24"/>
        </w:rPr>
      </w:pPr>
      <w:r>
        <w:rPr>
          <w:sz w:val="24"/>
          <w:szCs w:val="24"/>
        </w:rPr>
        <w:t>4、如果我方中标，我方确保工程质量等级( 合</w:t>
      </w:r>
      <w:r>
        <w:rPr>
          <w:spacing w:val="-1"/>
          <w:sz w:val="24"/>
          <w:szCs w:val="24"/>
        </w:rPr>
        <w:t>格 )交付全部工程。</w:t>
      </w:r>
    </w:p>
    <w:p w14:paraId="0DDDC069">
      <w:pPr>
        <w:pStyle w:val="2"/>
        <w:spacing w:before="81" w:line="249" w:lineRule="auto"/>
        <w:ind w:left="3" w:firstLine="556"/>
        <w:rPr>
          <w:rFonts w:ascii="宋体"/>
          <w:spacing w:val="-2"/>
          <w:sz w:val="24"/>
          <w:szCs w:val="24"/>
        </w:rPr>
      </w:pPr>
      <w:r>
        <w:rPr>
          <w:rFonts w:ascii="宋体"/>
          <w:spacing w:val="-2"/>
          <w:sz w:val="24"/>
          <w:szCs w:val="24"/>
        </w:rPr>
        <w:t>5、我方同意按磋商文件的规定，本响应文件的有效期为开标日后60天。</w:t>
      </w:r>
    </w:p>
    <w:p w14:paraId="05A036ED">
      <w:pPr>
        <w:pStyle w:val="2"/>
        <w:spacing w:before="81" w:line="249" w:lineRule="auto"/>
        <w:ind w:left="3" w:firstLine="556"/>
        <w:rPr>
          <w:rFonts w:ascii="宋体"/>
          <w:spacing w:val="-2"/>
          <w:sz w:val="24"/>
          <w:szCs w:val="24"/>
        </w:rPr>
      </w:pPr>
      <w:r>
        <w:rPr>
          <w:rFonts w:ascii="宋体"/>
          <w:spacing w:val="-2"/>
          <w:sz w:val="24"/>
          <w:szCs w:val="24"/>
        </w:rPr>
        <w:t>6、如果我方中标，我方将按照磋商文件的规定，提交规定数额的银行保函作为本工程的履约保证金，并对此共同地和分别地承担责任。</w:t>
      </w:r>
    </w:p>
    <w:p w14:paraId="431C6110">
      <w:pPr>
        <w:pStyle w:val="2"/>
        <w:spacing w:before="81" w:line="249" w:lineRule="auto"/>
        <w:ind w:left="3" w:firstLine="556"/>
        <w:rPr>
          <w:rFonts w:ascii="宋体"/>
          <w:spacing w:val="-2"/>
          <w:sz w:val="24"/>
          <w:szCs w:val="24"/>
        </w:rPr>
      </w:pPr>
      <w:r>
        <w:rPr>
          <w:rFonts w:ascii="宋体"/>
          <w:spacing w:val="-2"/>
          <w:sz w:val="24"/>
          <w:szCs w:val="24"/>
        </w:rPr>
        <w:t>7、在签署合同协议书之前，你方的成交通知书和本响应文件将构成约束我们双方的契约。</w:t>
      </w:r>
    </w:p>
    <w:p w14:paraId="65CDA4AF">
      <w:pPr>
        <w:pStyle w:val="2"/>
        <w:spacing w:before="81" w:line="249" w:lineRule="auto"/>
        <w:ind w:left="3" w:firstLine="556"/>
        <w:rPr>
          <w:rFonts w:ascii="Arial"/>
          <w:sz w:val="24"/>
          <w:szCs w:val="24"/>
        </w:rPr>
      </w:pPr>
      <w:r>
        <w:rPr>
          <w:rFonts w:ascii="宋体"/>
          <w:spacing w:val="-2"/>
          <w:sz w:val="24"/>
          <w:szCs w:val="24"/>
        </w:rPr>
        <w:t>8、我方理解你们将不必接受你们所收到的最低标价或者其他任何响应文件的约束。</w:t>
      </w:r>
    </w:p>
    <w:p w14:paraId="0B4D5933">
      <w:pPr>
        <w:pStyle w:val="2"/>
        <w:spacing w:before="92" w:line="222" w:lineRule="auto"/>
        <w:ind w:left="3772"/>
        <w:rPr>
          <w:spacing w:val="2"/>
          <w:sz w:val="24"/>
          <w:szCs w:val="24"/>
        </w:rPr>
      </w:pPr>
    </w:p>
    <w:p w14:paraId="72147615">
      <w:pPr>
        <w:pStyle w:val="2"/>
        <w:spacing w:before="92" w:line="222" w:lineRule="auto"/>
        <w:ind w:left="3772"/>
        <w:rPr>
          <w:spacing w:val="2"/>
          <w:sz w:val="24"/>
          <w:szCs w:val="24"/>
        </w:rPr>
      </w:pPr>
    </w:p>
    <w:p w14:paraId="7C9273A3">
      <w:pPr>
        <w:pStyle w:val="2"/>
        <w:spacing w:before="92" w:line="222" w:lineRule="auto"/>
        <w:ind w:left="3772"/>
        <w:rPr>
          <w:spacing w:val="2"/>
          <w:sz w:val="24"/>
          <w:szCs w:val="24"/>
        </w:rPr>
      </w:pPr>
    </w:p>
    <w:p w14:paraId="25E1B651">
      <w:pPr>
        <w:pStyle w:val="2"/>
        <w:spacing w:before="92" w:line="222" w:lineRule="auto"/>
        <w:ind w:left="3772"/>
        <w:rPr>
          <w:spacing w:val="2"/>
          <w:sz w:val="24"/>
          <w:szCs w:val="24"/>
        </w:rPr>
      </w:pPr>
    </w:p>
    <w:p w14:paraId="0B3C5AD8">
      <w:pPr>
        <w:pStyle w:val="2"/>
        <w:spacing w:before="92" w:line="222" w:lineRule="auto"/>
        <w:ind w:left="3772"/>
        <w:rPr>
          <w:spacing w:val="2"/>
          <w:sz w:val="24"/>
          <w:szCs w:val="24"/>
        </w:rPr>
      </w:pPr>
    </w:p>
    <w:p w14:paraId="381AF920">
      <w:pPr>
        <w:pStyle w:val="2"/>
        <w:spacing w:before="92" w:line="222" w:lineRule="auto"/>
        <w:ind w:left="3772"/>
        <w:rPr>
          <w:spacing w:val="2"/>
          <w:sz w:val="24"/>
          <w:szCs w:val="24"/>
        </w:rPr>
      </w:pPr>
    </w:p>
    <w:p w14:paraId="2405B1B5">
      <w:pPr>
        <w:pStyle w:val="2"/>
        <w:spacing w:before="92" w:line="222" w:lineRule="auto"/>
        <w:ind w:left="3772"/>
        <w:rPr>
          <w:sz w:val="24"/>
          <w:szCs w:val="24"/>
        </w:rPr>
      </w:pPr>
      <w:r>
        <w:rPr>
          <w:spacing w:val="2"/>
          <w:sz w:val="24"/>
          <w:szCs w:val="24"/>
        </w:rPr>
        <w:t>供应商</w:t>
      </w:r>
      <w:r>
        <w:rPr>
          <w:spacing w:val="-18"/>
          <w:sz w:val="24"/>
          <w:szCs w:val="24"/>
        </w:rPr>
        <w:t>：</w:t>
      </w:r>
      <w:r>
        <w:rPr>
          <w:sz w:val="24"/>
          <w:szCs w:val="24"/>
          <w:u w:val="single" w:color="auto"/>
        </w:rPr>
        <w:t xml:space="preserve">                  </w:t>
      </w:r>
      <w:r>
        <w:rPr>
          <w:spacing w:val="-18"/>
          <w:sz w:val="24"/>
          <w:szCs w:val="24"/>
        </w:rPr>
        <w:t>（</w:t>
      </w:r>
      <w:r>
        <w:rPr>
          <w:spacing w:val="2"/>
          <w:sz w:val="24"/>
          <w:szCs w:val="24"/>
        </w:rPr>
        <w:t>盖单位章）</w:t>
      </w:r>
    </w:p>
    <w:p w14:paraId="1191ECD0">
      <w:pPr>
        <w:pStyle w:val="2"/>
        <w:spacing w:before="83" w:line="255" w:lineRule="auto"/>
        <w:ind w:left="3781" w:right="19" w:hanging="13"/>
        <w:rPr>
          <w:spacing w:val="-1"/>
          <w:sz w:val="24"/>
          <w:szCs w:val="24"/>
        </w:rPr>
      </w:pPr>
      <w:r>
        <w:rPr>
          <w:spacing w:val="-1"/>
          <w:sz w:val="24"/>
          <w:szCs w:val="24"/>
        </w:rPr>
        <w:t>法定代表人或其委托代理人</w:t>
      </w:r>
      <w:r>
        <w:rPr>
          <w:spacing w:val="-15"/>
          <w:sz w:val="24"/>
          <w:szCs w:val="24"/>
        </w:rPr>
        <w:t>：</w:t>
      </w:r>
      <w:r>
        <w:rPr>
          <w:sz w:val="24"/>
          <w:szCs w:val="24"/>
          <w:u w:val="single" w:color="auto"/>
        </w:rPr>
        <w:t xml:space="preserve">        </w:t>
      </w:r>
      <w:r>
        <w:rPr>
          <w:spacing w:val="-15"/>
          <w:sz w:val="24"/>
          <w:szCs w:val="24"/>
        </w:rPr>
        <w:t>（</w:t>
      </w:r>
      <w:r>
        <w:rPr>
          <w:spacing w:val="-1"/>
          <w:sz w:val="24"/>
          <w:szCs w:val="24"/>
        </w:rPr>
        <w:t>签字）</w:t>
      </w:r>
    </w:p>
    <w:p w14:paraId="1B81664B">
      <w:pPr>
        <w:pStyle w:val="2"/>
        <w:spacing w:before="83" w:line="255" w:lineRule="auto"/>
        <w:ind w:left="3781" w:right="19" w:hanging="13"/>
        <w:rPr>
          <w:sz w:val="24"/>
          <w:szCs w:val="24"/>
        </w:rPr>
      </w:pPr>
      <w:r>
        <w:rPr>
          <w:spacing w:val="-6"/>
          <w:sz w:val="24"/>
          <w:szCs w:val="24"/>
        </w:rPr>
        <w:t>地址：</w:t>
      </w:r>
    </w:p>
    <w:p w14:paraId="7CD435B6">
      <w:pPr>
        <w:pStyle w:val="2"/>
        <w:spacing w:before="67" w:line="420" w:lineRule="exact"/>
        <w:ind w:left="3811"/>
        <w:rPr>
          <w:sz w:val="24"/>
          <w:szCs w:val="24"/>
        </w:rPr>
      </w:pPr>
      <w:r>
        <w:rPr>
          <w:spacing w:val="-16"/>
          <w:position w:val="9"/>
          <w:sz w:val="24"/>
          <w:szCs w:val="24"/>
        </w:rPr>
        <w:t>电话：</w:t>
      </w:r>
    </w:p>
    <w:p w14:paraId="7E818AC9">
      <w:pPr>
        <w:pStyle w:val="2"/>
        <w:spacing w:before="82" w:line="222" w:lineRule="auto"/>
        <w:ind w:left="3801"/>
        <w:rPr>
          <w:sz w:val="24"/>
          <w:szCs w:val="24"/>
        </w:rPr>
      </w:pPr>
      <w:r>
        <w:rPr>
          <w:spacing w:val="-8"/>
          <w:sz w:val="24"/>
          <w:szCs w:val="24"/>
        </w:rPr>
        <w:t>邮政编码：</w:t>
      </w:r>
    </w:p>
    <w:p w14:paraId="150584EF">
      <w:pPr>
        <w:spacing w:line="303" w:lineRule="auto"/>
        <w:rPr>
          <w:rFonts w:ascii="Arial"/>
          <w:sz w:val="24"/>
          <w:szCs w:val="24"/>
        </w:rPr>
      </w:pPr>
    </w:p>
    <w:p w14:paraId="63B3557F">
      <w:pPr>
        <w:spacing w:line="304" w:lineRule="auto"/>
        <w:rPr>
          <w:rFonts w:ascii="Arial"/>
          <w:sz w:val="24"/>
          <w:szCs w:val="24"/>
        </w:rPr>
      </w:pPr>
    </w:p>
    <w:p w14:paraId="4F54DC6A">
      <w:pPr>
        <w:pStyle w:val="2"/>
        <w:tabs>
          <w:tab w:val="left" w:pos="4742"/>
        </w:tabs>
        <w:spacing w:before="91" w:line="223" w:lineRule="auto"/>
        <w:ind w:left="3761"/>
        <w:rPr>
          <w:sz w:val="24"/>
          <w:szCs w:val="24"/>
        </w:rPr>
      </w:pPr>
      <w:r>
        <w:rPr>
          <w:sz w:val="24"/>
          <w:szCs w:val="24"/>
          <w:u w:val="single" w:color="auto"/>
        </w:rPr>
        <w:tab/>
      </w:r>
      <w:r>
        <w:rPr>
          <w:spacing w:val="-115"/>
          <w:sz w:val="24"/>
          <w:szCs w:val="24"/>
        </w:rPr>
        <w:t xml:space="preserve"> </w:t>
      </w:r>
      <w:r>
        <w:rPr>
          <w:spacing w:val="-18"/>
          <w:sz w:val="24"/>
          <w:szCs w:val="24"/>
        </w:rPr>
        <w:t>年</w:t>
      </w:r>
      <w:r>
        <w:rPr>
          <w:spacing w:val="34"/>
          <w:sz w:val="24"/>
          <w:szCs w:val="24"/>
          <w:u w:val="single" w:color="auto"/>
        </w:rPr>
        <w:t xml:space="preserve">    </w:t>
      </w:r>
      <w:r>
        <w:rPr>
          <w:spacing w:val="-107"/>
          <w:sz w:val="24"/>
          <w:szCs w:val="24"/>
        </w:rPr>
        <w:t xml:space="preserve"> </w:t>
      </w:r>
      <w:r>
        <w:rPr>
          <w:spacing w:val="-18"/>
          <w:sz w:val="24"/>
          <w:szCs w:val="24"/>
        </w:rPr>
        <w:t>月</w:t>
      </w:r>
      <w:r>
        <w:rPr>
          <w:spacing w:val="34"/>
          <w:sz w:val="24"/>
          <w:szCs w:val="24"/>
          <w:u w:val="single" w:color="auto"/>
        </w:rPr>
        <w:t xml:space="preserve">    </w:t>
      </w:r>
      <w:r>
        <w:rPr>
          <w:spacing w:val="-60"/>
          <w:sz w:val="24"/>
          <w:szCs w:val="24"/>
        </w:rPr>
        <w:t xml:space="preserve"> </w:t>
      </w:r>
      <w:r>
        <w:rPr>
          <w:spacing w:val="-18"/>
          <w:sz w:val="24"/>
          <w:szCs w:val="24"/>
        </w:rPr>
        <w:t>日</w:t>
      </w:r>
    </w:p>
    <w:p w14:paraId="1328255A">
      <w:pPr>
        <w:spacing w:line="223" w:lineRule="auto"/>
        <w:rPr>
          <w:sz w:val="24"/>
          <w:szCs w:val="24"/>
        </w:rPr>
        <w:sectPr>
          <w:footerReference r:id="rId20" w:type="default"/>
          <w:pgSz w:w="11906" w:h="16839"/>
          <w:pgMar w:top="840" w:right="1132" w:bottom="1012" w:left="1150" w:header="0" w:footer="850" w:gutter="0"/>
          <w:pgNumType w:fmt="decimal"/>
          <w:cols w:space="720" w:num="1"/>
        </w:sectPr>
      </w:pPr>
    </w:p>
    <w:p w14:paraId="670758B4">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2.报价</w:t>
      </w:r>
      <w:r>
        <w:rPr>
          <w:rFonts w:hint="eastAsia" w:ascii="宋体" w:hAnsi="宋体" w:eastAsia="宋体" w:cs="宋体"/>
          <w:b/>
          <w:bCs/>
          <w:color w:val="auto"/>
          <w:sz w:val="30"/>
          <w:szCs w:val="30"/>
          <w:highlight w:val="none"/>
        </w:rPr>
        <w:t>一览表(首次报价表)</w:t>
      </w:r>
    </w:p>
    <w:p w14:paraId="22AFAB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D71C97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p>
    <w:p w14:paraId="6A6D08F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tbl>
      <w:tblPr>
        <w:tblStyle w:val="20"/>
        <w:tblW w:w="87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7"/>
        <w:gridCol w:w="2480"/>
        <w:gridCol w:w="883"/>
        <w:gridCol w:w="1247"/>
        <w:gridCol w:w="995"/>
        <w:gridCol w:w="1137"/>
        <w:gridCol w:w="1152"/>
      </w:tblGrid>
      <w:tr w14:paraId="02A71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897" w:type="dxa"/>
            <w:tcBorders>
              <w:top w:val="single" w:color="000000" w:sz="4" w:space="0"/>
              <w:left w:val="single" w:color="000000" w:sz="4" w:space="0"/>
              <w:bottom w:val="single" w:color="000000" w:sz="4" w:space="0"/>
              <w:right w:val="single" w:color="000000" w:sz="4" w:space="0"/>
            </w:tcBorders>
            <w:noWrap w:val="0"/>
            <w:vAlign w:val="center"/>
          </w:tcPr>
          <w:p w14:paraId="460575BC">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r>
              <w:rPr>
                <w:rFonts w:hint="eastAsia" w:ascii="宋体" w:hAnsi="Calibri" w:eastAsia="Calibri" w:cs="Calibri"/>
                <w:color w:val="000000"/>
                <w:spacing w:val="-3"/>
                <w:kern w:val="2"/>
                <w:sz w:val="24"/>
                <w:szCs w:val="24"/>
                <w:lang w:val="en-US" w:eastAsia="zh-CN" w:bidi="ar-SA"/>
              </w:rPr>
              <w:t>序号</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13B5C196">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r>
              <w:rPr>
                <w:rFonts w:hint="eastAsia" w:ascii="宋体" w:hAnsi="Calibri" w:eastAsia="Calibri" w:cs="Calibri"/>
                <w:color w:val="000000"/>
                <w:spacing w:val="-3"/>
                <w:kern w:val="2"/>
                <w:sz w:val="24"/>
                <w:szCs w:val="24"/>
                <w:lang w:val="en-US" w:eastAsia="zh-CN" w:bidi="ar-SA"/>
              </w:rPr>
              <w:t>供应商名称</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AE4C6D1">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r>
              <w:rPr>
                <w:rFonts w:hint="eastAsia" w:ascii="宋体" w:hAnsi="Calibri" w:eastAsia="Calibri" w:cs="Calibri"/>
                <w:color w:val="000000"/>
                <w:spacing w:val="-3"/>
                <w:kern w:val="2"/>
                <w:sz w:val="24"/>
                <w:szCs w:val="24"/>
                <w:lang w:val="en-US" w:eastAsia="zh-CN" w:bidi="ar-SA"/>
              </w:rPr>
              <w:t>报价（元）</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434A34BB">
            <w:pPr>
              <w:keepNext w:val="0"/>
              <w:keepLines w:val="0"/>
              <w:widowControl/>
              <w:suppressLineNumbers w:val="0"/>
              <w:jc w:val="center"/>
              <w:textAlignment w:val="center"/>
              <w:rPr>
                <w:rFonts w:hint="default" w:ascii="宋体" w:hAnsi="Calibri" w:eastAsia="Calibri" w:cs="Calibri"/>
                <w:color w:val="000000"/>
                <w:spacing w:val="-3"/>
                <w:kern w:val="2"/>
                <w:sz w:val="24"/>
                <w:szCs w:val="24"/>
                <w:lang w:val="en-US" w:eastAsia="zh-CN" w:bidi="ar-SA"/>
              </w:rPr>
            </w:pPr>
            <w:r>
              <w:rPr>
                <w:rFonts w:hint="eastAsia" w:cs="Calibri"/>
                <w:color w:val="000000"/>
                <w:spacing w:val="-3"/>
                <w:kern w:val="2"/>
                <w:sz w:val="24"/>
                <w:szCs w:val="24"/>
                <w:lang w:val="en-US" w:eastAsia="zh-CN" w:bidi="ar-SA"/>
              </w:rPr>
              <w:t>履约期限</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46A4465">
            <w:pPr>
              <w:keepNext w:val="0"/>
              <w:keepLines w:val="0"/>
              <w:widowControl/>
              <w:suppressLineNumbers w:val="0"/>
              <w:jc w:val="center"/>
              <w:textAlignment w:val="center"/>
              <w:rPr>
                <w:rFonts w:hint="default" w:ascii="宋体" w:hAnsi="Calibri" w:eastAsia="Calibri" w:cs="Calibri"/>
                <w:color w:val="000000"/>
                <w:spacing w:val="-3"/>
                <w:kern w:val="2"/>
                <w:sz w:val="24"/>
                <w:szCs w:val="24"/>
                <w:lang w:val="en-US" w:eastAsia="zh-CN" w:bidi="ar-SA"/>
              </w:rPr>
            </w:pPr>
            <w:r>
              <w:rPr>
                <w:rFonts w:hint="eastAsia" w:ascii="宋体" w:hAnsi="Calibri" w:eastAsia="Calibri" w:cs="Calibri"/>
                <w:color w:val="000000"/>
                <w:spacing w:val="-3"/>
                <w:kern w:val="2"/>
                <w:sz w:val="24"/>
                <w:szCs w:val="24"/>
                <w:lang w:val="en-US" w:eastAsia="zh-CN" w:bidi="ar-SA"/>
              </w:rPr>
              <w:t xml:space="preserve">项目负责人 </w:t>
            </w:r>
            <w:r>
              <w:rPr>
                <w:rFonts w:hint="eastAsia" w:ascii="宋体" w:cs="Calibri"/>
                <w:color w:val="000000"/>
                <w:spacing w:val="-3"/>
                <w:kern w:val="2"/>
                <w:sz w:val="24"/>
                <w:szCs w:val="24"/>
                <w:lang w:val="en-US" w:eastAsia="zh-CN" w:bidi="ar-SA"/>
              </w:rPr>
              <w:t>/证书编号</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16FECCCD">
            <w:pPr>
              <w:keepNext w:val="0"/>
              <w:keepLines w:val="0"/>
              <w:widowControl/>
              <w:suppressLineNumbers w:val="0"/>
              <w:jc w:val="center"/>
              <w:textAlignment w:val="center"/>
              <w:rPr>
                <w:rFonts w:hint="default" w:ascii="宋体" w:hAnsi="Calibri" w:eastAsia="Calibri" w:cs="Calibri"/>
                <w:color w:val="000000"/>
                <w:spacing w:val="-3"/>
                <w:kern w:val="2"/>
                <w:sz w:val="24"/>
                <w:szCs w:val="24"/>
                <w:lang w:val="en-US" w:eastAsia="zh-CN" w:bidi="ar-SA"/>
              </w:rPr>
            </w:pPr>
            <w:r>
              <w:rPr>
                <w:rFonts w:hint="eastAsia" w:ascii="宋体" w:cs="Calibri"/>
                <w:color w:val="000000"/>
                <w:spacing w:val="-3"/>
                <w:kern w:val="2"/>
                <w:sz w:val="24"/>
                <w:szCs w:val="24"/>
                <w:lang w:val="en-US" w:eastAsia="zh-CN" w:bidi="ar-SA"/>
              </w:rPr>
              <w:t>保证金缴纳方式</w:t>
            </w:r>
          </w:p>
        </w:tc>
        <w:tc>
          <w:tcPr>
            <w:tcW w:w="1152" w:type="dxa"/>
            <w:tcBorders>
              <w:top w:val="single" w:color="000000" w:sz="4" w:space="0"/>
              <w:left w:val="single" w:color="000000" w:sz="4" w:space="0"/>
              <w:bottom w:val="single" w:color="000000" w:sz="4" w:space="0"/>
              <w:right w:val="single" w:color="auto" w:sz="4" w:space="0"/>
            </w:tcBorders>
            <w:noWrap w:val="0"/>
            <w:vAlign w:val="center"/>
          </w:tcPr>
          <w:p w14:paraId="6DA97537">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r>
              <w:rPr>
                <w:rFonts w:hint="eastAsia" w:ascii="宋体" w:cs="Calibri"/>
                <w:color w:val="000000"/>
                <w:spacing w:val="-3"/>
                <w:kern w:val="2"/>
                <w:sz w:val="24"/>
                <w:szCs w:val="24"/>
                <w:lang w:val="en-US" w:eastAsia="zh-CN" w:bidi="ar-SA"/>
              </w:rPr>
              <w:t>备注</w:t>
            </w:r>
          </w:p>
        </w:tc>
      </w:tr>
      <w:tr w14:paraId="3251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97" w:type="dxa"/>
            <w:tcBorders>
              <w:top w:val="single" w:color="000000" w:sz="4" w:space="0"/>
              <w:left w:val="single" w:color="000000" w:sz="4" w:space="0"/>
              <w:bottom w:val="single" w:color="000000" w:sz="4" w:space="0"/>
              <w:right w:val="single" w:color="000000" w:sz="4" w:space="0"/>
            </w:tcBorders>
            <w:noWrap w:val="0"/>
            <w:vAlign w:val="center"/>
          </w:tcPr>
          <w:p w14:paraId="0091ABF4">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r>
              <w:rPr>
                <w:rFonts w:hint="eastAsia" w:ascii="宋体" w:hAnsi="Calibri" w:eastAsia="Calibri" w:cs="Calibri"/>
                <w:color w:val="000000"/>
                <w:spacing w:val="-3"/>
                <w:kern w:val="2"/>
                <w:sz w:val="24"/>
                <w:szCs w:val="24"/>
                <w:lang w:val="en-US" w:eastAsia="zh-CN" w:bidi="ar-SA"/>
              </w:rPr>
              <w:t>1</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47DFA515">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E83D51F">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06549296">
            <w:pPr>
              <w:jc w:val="center"/>
              <w:rPr>
                <w:rFonts w:hint="eastAsia" w:ascii="宋体" w:hAnsi="Calibri" w:eastAsia="Calibri" w:cs="Calibri"/>
                <w:color w:val="000000"/>
                <w:spacing w:val="-3"/>
                <w:kern w:val="2"/>
                <w:sz w:val="24"/>
                <w:szCs w:val="24"/>
                <w:lang w:val="en-US" w:eastAsia="zh-CN" w:bidi="ar-SA"/>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BEDF3B0">
            <w:pPr>
              <w:jc w:val="center"/>
              <w:rPr>
                <w:rFonts w:hint="eastAsia" w:ascii="宋体" w:hAnsi="Calibri" w:eastAsia="Calibri" w:cs="Calibri"/>
                <w:color w:val="000000"/>
                <w:spacing w:val="-3"/>
                <w:kern w:val="2"/>
                <w:sz w:val="24"/>
                <w:szCs w:val="24"/>
                <w:lang w:val="en-US" w:eastAsia="zh-CN" w:bidi="ar-SA"/>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268FE346">
            <w:pPr>
              <w:jc w:val="center"/>
              <w:rPr>
                <w:rFonts w:hint="eastAsia" w:ascii="宋体" w:hAnsi="Calibri" w:eastAsia="Calibri" w:cs="Calibri"/>
                <w:color w:val="000000"/>
                <w:spacing w:val="-3"/>
                <w:kern w:val="2"/>
                <w:sz w:val="24"/>
                <w:szCs w:val="24"/>
                <w:lang w:val="en-US" w:eastAsia="zh-CN" w:bidi="ar-SA"/>
              </w:rPr>
            </w:pPr>
          </w:p>
        </w:tc>
        <w:tc>
          <w:tcPr>
            <w:tcW w:w="1152" w:type="dxa"/>
            <w:tcBorders>
              <w:top w:val="single" w:color="000000" w:sz="4" w:space="0"/>
              <w:left w:val="single" w:color="000000" w:sz="4" w:space="0"/>
              <w:bottom w:val="single" w:color="000000" w:sz="4" w:space="0"/>
              <w:right w:val="single" w:color="auto" w:sz="4" w:space="0"/>
            </w:tcBorders>
            <w:noWrap w:val="0"/>
            <w:vAlign w:val="center"/>
          </w:tcPr>
          <w:p w14:paraId="5494D36C">
            <w:pPr>
              <w:jc w:val="center"/>
              <w:rPr>
                <w:rFonts w:hint="eastAsia" w:ascii="宋体" w:hAnsi="Calibri" w:eastAsia="Calibri" w:cs="Calibri"/>
                <w:color w:val="000000"/>
                <w:spacing w:val="-3"/>
                <w:kern w:val="2"/>
                <w:sz w:val="24"/>
                <w:szCs w:val="24"/>
                <w:lang w:val="en-US" w:eastAsia="zh-CN" w:bidi="ar-SA"/>
              </w:rPr>
            </w:pPr>
          </w:p>
        </w:tc>
      </w:tr>
      <w:tr w14:paraId="2C63B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791" w:type="dxa"/>
            <w:gridSpan w:val="7"/>
            <w:tcBorders>
              <w:top w:val="single" w:color="000000" w:sz="4" w:space="0"/>
              <w:left w:val="single" w:color="000000" w:sz="4" w:space="0"/>
              <w:bottom w:val="single" w:color="000000" w:sz="4" w:space="0"/>
              <w:right w:val="single" w:color="auto" w:sz="4" w:space="0"/>
            </w:tcBorders>
            <w:noWrap w:val="0"/>
            <w:vAlign w:val="center"/>
          </w:tcPr>
          <w:p w14:paraId="2219E666">
            <w:pPr>
              <w:jc w:val="center"/>
              <w:rPr>
                <w:rFonts w:hint="default" w:ascii="宋体" w:hAnsi="Calibri" w:eastAsia="Calibri" w:cs="Calibri"/>
                <w:color w:val="000000"/>
                <w:spacing w:val="-3"/>
                <w:kern w:val="2"/>
                <w:sz w:val="24"/>
                <w:szCs w:val="24"/>
                <w:lang w:val="en-US" w:eastAsia="zh-CN" w:bidi="ar-SA"/>
              </w:rPr>
            </w:pPr>
            <w:r>
              <w:rPr>
                <w:rFonts w:hint="eastAsia" w:ascii="宋体" w:cs="Calibri"/>
                <w:color w:val="000000"/>
                <w:spacing w:val="-3"/>
                <w:kern w:val="2"/>
                <w:sz w:val="24"/>
                <w:szCs w:val="24"/>
                <w:lang w:val="en-US" w:eastAsia="zh-CN" w:bidi="ar-SA"/>
              </w:rPr>
              <w:t>报价大写：</w:t>
            </w:r>
          </w:p>
        </w:tc>
      </w:tr>
    </w:tbl>
    <w:p w14:paraId="748C4E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99A039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p>
    <w:p w14:paraId="6A677C3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供应商须按要求填写所有信息。政采云填报必须与本格式一致，本表格式内容不得改动。 </w:t>
      </w:r>
    </w:p>
    <w:p w14:paraId="1E0DE72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val="en-US" w:eastAsia="zh-CN"/>
        </w:rPr>
        <w:t>总报价不得超出本项目</w:t>
      </w:r>
      <w:r>
        <w:rPr>
          <w:rFonts w:hint="eastAsia" w:cs="宋体"/>
          <w:color w:val="auto"/>
          <w:sz w:val="24"/>
          <w:szCs w:val="24"/>
          <w:highlight w:val="none"/>
          <w:lang w:val="en-US" w:eastAsia="zh-CN"/>
        </w:rPr>
        <w:t>最高限</w:t>
      </w:r>
      <w:r>
        <w:rPr>
          <w:rFonts w:hint="eastAsia" w:ascii="宋体" w:hAnsi="宋体" w:eastAsia="宋体" w:cs="宋体"/>
          <w:color w:val="auto"/>
          <w:sz w:val="24"/>
          <w:szCs w:val="24"/>
          <w:highlight w:val="none"/>
          <w:lang w:val="en-US" w:eastAsia="zh-CN"/>
        </w:rPr>
        <w:t>价，否则视作无效响应文件。</w:t>
      </w:r>
    </w:p>
    <w:p w14:paraId="118E9B4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14:paraId="62366B4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52E1A7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03995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B8500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E82E74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99DEC3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5AF3E8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509BDB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8C2924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DD660C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3A529D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B0BD4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FA3663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AB05DAF">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3. 标价的工程量清单</w:t>
      </w:r>
      <w:r>
        <w:rPr>
          <w:rFonts w:hint="eastAsia" w:ascii="宋体" w:hAnsi="宋体" w:eastAsia="宋体" w:cs="宋体"/>
          <w:b/>
          <w:bCs/>
          <w:color w:val="auto"/>
          <w:sz w:val="30"/>
          <w:szCs w:val="30"/>
          <w:highlight w:val="none"/>
        </w:rPr>
        <w:t xml:space="preserve"> </w:t>
      </w:r>
    </w:p>
    <w:p w14:paraId="36E97B0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4E48B21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p>
    <w:p w14:paraId="457114A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143BEBA0">
      <w:pPr>
        <w:pStyle w:val="9"/>
        <w:ind w:left="0" w:leftChars="0" w:firstLine="0" w:firstLineChars="0"/>
        <w:rPr>
          <w:rFonts w:hint="eastAsia" w:ascii="宋体" w:hAnsi="宋体" w:eastAsia="宋体" w:cs="宋体"/>
          <w:color w:val="auto"/>
          <w:sz w:val="24"/>
          <w:szCs w:val="24"/>
          <w:highlight w:val="none"/>
          <w:lang w:val="en-US" w:eastAsia="zh-CN"/>
        </w:rPr>
      </w:pPr>
    </w:p>
    <w:p w14:paraId="38E89BF5">
      <w:pPr>
        <w:pStyle w:val="9"/>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213F1B7A">
      <w:pPr>
        <w:rPr>
          <w:rFonts w:hint="eastAsia" w:ascii="宋体" w:hAnsi="宋体" w:eastAsia="宋体" w:cs="宋体"/>
          <w:color w:val="auto"/>
          <w:sz w:val="24"/>
          <w:szCs w:val="24"/>
          <w:highlight w:val="none"/>
        </w:rPr>
      </w:pPr>
    </w:p>
    <w:p w14:paraId="31954532">
      <w:pPr>
        <w:pStyle w:val="9"/>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22912F4A">
      <w:pPr>
        <w:pStyle w:val="9"/>
        <w:rPr>
          <w:rFonts w:hint="eastAsia" w:ascii="宋体" w:hAnsi="宋体" w:eastAsia="宋体" w:cs="宋体"/>
          <w:color w:val="auto"/>
          <w:sz w:val="24"/>
          <w:szCs w:val="24"/>
          <w:highlight w:val="none"/>
        </w:rPr>
      </w:pPr>
    </w:p>
    <w:p w14:paraId="02DDADF2">
      <w:pPr>
        <w:pStyle w:val="9"/>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59F7F7FC">
      <w:pPr>
        <w:rPr>
          <w:rFonts w:hint="eastAsia" w:ascii="宋体" w:hAnsi="宋体" w:eastAsia="宋体" w:cs="宋体"/>
          <w:color w:val="auto"/>
          <w:sz w:val="24"/>
          <w:szCs w:val="24"/>
          <w:highlight w:val="none"/>
        </w:rPr>
      </w:pPr>
    </w:p>
    <w:p w14:paraId="175A19C9">
      <w:pPr>
        <w:pStyle w:val="9"/>
        <w:rPr>
          <w:rFonts w:hint="eastAsia" w:ascii="宋体" w:hAnsi="宋体" w:eastAsia="宋体" w:cs="宋体"/>
          <w:color w:val="auto"/>
          <w:sz w:val="24"/>
          <w:szCs w:val="24"/>
          <w:highlight w:val="none"/>
        </w:rPr>
      </w:pPr>
    </w:p>
    <w:p w14:paraId="7F140C1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 </w:t>
      </w:r>
    </w:p>
    <w:p w14:paraId="70C4BF0E">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此表为《</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一览表(首次报价表)》的报价明细表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bidi="ar"/>
        </w:rPr>
        <w:t>具体内容及所需的表格，以</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文件的“附件</w:t>
      </w:r>
      <w:r>
        <w:rPr>
          <w:rFonts w:hint="eastAsia"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工程量清单”为准。</w:t>
      </w:r>
    </w:p>
    <w:p w14:paraId="0F419FFF">
      <w:pPr>
        <w:rPr>
          <w:rFonts w:hint="eastAsia" w:ascii="宋体" w:hAnsi="宋体" w:eastAsia="宋体" w:cs="宋体"/>
          <w:color w:val="auto"/>
          <w:sz w:val="24"/>
          <w:szCs w:val="24"/>
          <w:highlight w:val="none"/>
        </w:rPr>
      </w:pPr>
    </w:p>
    <w:p w14:paraId="7A58C757">
      <w:pPr>
        <w:pStyle w:val="9"/>
        <w:ind w:left="0" w:leftChars="0" w:firstLine="0" w:firstLineChars="0"/>
        <w:jc w:val="both"/>
        <w:rPr>
          <w:rFonts w:hint="eastAsia" w:ascii="宋体" w:hAnsi="宋体" w:eastAsia="宋体" w:cs="宋体"/>
          <w:color w:val="auto"/>
          <w:sz w:val="24"/>
          <w:szCs w:val="24"/>
          <w:highlight w:val="none"/>
        </w:rPr>
      </w:pPr>
      <w:r>
        <w:rPr>
          <w:rFonts w:hint="eastAsia" w:ascii="仿宋" w:hAnsi="仿宋" w:eastAsia="仿宋" w:cs="仿宋"/>
          <w:b w:val="0"/>
          <w:bCs w:val="0"/>
          <w:color w:val="auto"/>
          <w:kern w:val="2"/>
          <w:sz w:val="24"/>
          <w:szCs w:val="24"/>
          <w:u w:val="none"/>
          <w:lang w:val="en-US" w:eastAsia="zh-CN" w:bidi="ar-SA"/>
        </w:rPr>
        <w:t>2、</w:t>
      </w:r>
      <w:r>
        <w:rPr>
          <w:rFonts w:hint="eastAsia" w:ascii="宋体" w:hAnsi="宋体" w:eastAsia="宋体" w:cs="宋体"/>
          <w:color w:val="auto"/>
          <w:sz w:val="24"/>
          <w:szCs w:val="24"/>
          <w:highlight w:val="none"/>
          <w:lang w:val="en-US" w:eastAsia="zh-CN" w:bidi="zh-CN"/>
        </w:rPr>
        <w:t>本项目招磋商文件中投标总价单必须由投标单位注册造价工程师签字并盖专用章</w:t>
      </w:r>
    </w:p>
    <w:p w14:paraId="4E336BE4">
      <w:pPr>
        <w:rPr>
          <w:rFonts w:hint="eastAsia" w:ascii="宋体" w:hAnsi="宋体" w:eastAsia="宋体" w:cs="宋体"/>
          <w:color w:val="auto"/>
          <w:sz w:val="24"/>
          <w:szCs w:val="24"/>
          <w:highlight w:val="none"/>
        </w:rPr>
      </w:pPr>
    </w:p>
    <w:p w14:paraId="5C09E946">
      <w:pPr>
        <w:pStyle w:val="9"/>
        <w:rPr>
          <w:rFonts w:hint="eastAsia"/>
          <w:color w:val="auto"/>
          <w:highlight w:val="none"/>
        </w:rPr>
      </w:pPr>
    </w:p>
    <w:p w14:paraId="67B73E4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14:paraId="2E69449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BFAC935">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p>
    <w:p w14:paraId="66D97CB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0E2E13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4A6F3B3">
      <w:pPr>
        <w:pStyle w:val="8"/>
        <w:rPr>
          <w:rFonts w:hint="eastAsia" w:ascii="宋体" w:hAnsi="宋体" w:eastAsia="宋体" w:cs="宋体"/>
          <w:color w:val="auto"/>
          <w:sz w:val="24"/>
          <w:szCs w:val="24"/>
          <w:highlight w:val="none"/>
        </w:rPr>
      </w:pPr>
    </w:p>
    <w:p w14:paraId="676A8955">
      <w:pPr>
        <w:rPr>
          <w:rFonts w:hint="eastAsia" w:ascii="宋体" w:hAnsi="宋体" w:eastAsia="宋体" w:cs="宋体"/>
          <w:color w:val="auto"/>
          <w:sz w:val="24"/>
          <w:szCs w:val="24"/>
          <w:highlight w:val="none"/>
        </w:rPr>
      </w:pPr>
    </w:p>
    <w:p w14:paraId="2685D240">
      <w:pPr>
        <w:rPr>
          <w:rFonts w:hint="eastAsia" w:ascii="宋体" w:hAnsi="宋体" w:eastAsia="宋体" w:cs="宋体"/>
          <w:color w:val="auto"/>
          <w:sz w:val="24"/>
          <w:szCs w:val="24"/>
          <w:highlight w:val="none"/>
        </w:rPr>
      </w:pPr>
    </w:p>
    <w:p w14:paraId="6B85E56A">
      <w:pPr>
        <w:rPr>
          <w:rFonts w:hint="eastAsia" w:ascii="宋体" w:hAnsi="宋体" w:eastAsia="宋体" w:cs="宋体"/>
          <w:color w:val="auto"/>
          <w:sz w:val="24"/>
          <w:szCs w:val="24"/>
          <w:highlight w:val="none"/>
        </w:rPr>
      </w:pPr>
    </w:p>
    <w:p w14:paraId="0794D70D">
      <w:pPr>
        <w:rPr>
          <w:rFonts w:hint="eastAsia" w:ascii="宋体" w:hAnsi="宋体" w:eastAsia="宋体" w:cs="宋体"/>
          <w:color w:val="auto"/>
          <w:sz w:val="24"/>
          <w:szCs w:val="24"/>
          <w:highlight w:val="none"/>
        </w:rPr>
      </w:pPr>
    </w:p>
    <w:p w14:paraId="453D9AF7">
      <w:pPr>
        <w:rPr>
          <w:rFonts w:hint="eastAsia" w:ascii="宋体" w:hAnsi="宋体" w:eastAsia="宋体" w:cs="宋体"/>
          <w:color w:val="auto"/>
          <w:sz w:val="24"/>
          <w:szCs w:val="24"/>
          <w:highlight w:val="none"/>
        </w:rPr>
      </w:pPr>
    </w:p>
    <w:p w14:paraId="48A3A8C8">
      <w:pPr>
        <w:rPr>
          <w:rFonts w:hint="eastAsia" w:ascii="宋体" w:hAnsi="宋体" w:eastAsia="宋体" w:cs="宋体"/>
          <w:color w:val="auto"/>
          <w:sz w:val="24"/>
          <w:szCs w:val="24"/>
          <w:highlight w:val="none"/>
        </w:rPr>
      </w:pPr>
    </w:p>
    <w:p w14:paraId="4972A1AB">
      <w:pPr>
        <w:rPr>
          <w:rFonts w:hint="eastAsia" w:ascii="宋体" w:hAnsi="宋体" w:eastAsia="宋体" w:cs="宋体"/>
          <w:color w:val="auto"/>
          <w:sz w:val="24"/>
          <w:szCs w:val="24"/>
          <w:highlight w:val="none"/>
        </w:rPr>
      </w:pPr>
    </w:p>
    <w:p w14:paraId="518AC298">
      <w:pPr>
        <w:rPr>
          <w:rFonts w:hint="eastAsia" w:ascii="宋体" w:hAnsi="宋体" w:eastAsia="宋体" w:cs="宋体"/>
          <w:color w:val="auto"/>
          <w:sz w:val="24"/>
          <w:szCs w:val="24"/>
          <w:highlight w:val="none"/>
        </w:rPr>
      </w:pPr>
    </w:p>
    <w:p w14:paraId="1F315382">
      <w:pPr>
        <w:rPr>
          <w:rFonts w:hint="eastAsia" w:ascii="宋体" w:hAnsi="宋体" w:eastAsia="宋体" w:cs="宋体"/>
          <w:color w:val="auto"/>
          <w:sz w:val="24"/>
          <w:szCs w:val="24"/>
          <w:highlight w:val="none"/>
        </w:rPr>
      </w:pPr>
    </w:p>
    <w:p w14:paraId="643C2242">
      <w:pPr>
        <w:rPr>
          <w:rFonts w:hint="eastAsia" w:ascii="宋体" w:hAnsi="宋体" w:eastAsia="宋体" w:cs="宋体"/>
          <w:color w:val="auto"/>
          <w:sz w:val="24"/>
          <w:szCs w:val="24"/>
          <w:highlight w:val="none"/>
        </w:rPr>
      </w:pPr>
    </w:p>
    <w:p w14:paraId="6B93C396">
      <w:pPr>
        <w:rPr>
          <w:rFonts w:hint="eastAsia" w:ascii="宋体" w:hAnsi="宋体" w:eastAsia="宋体" w:cs="宋体"/>
          <w:color w:val="auto"/>
          <w:sz w:val="24"/>
          <w:szCs w:val="24"/>
          <w:highlight w:val="none"/>
        </w:rPr>
      </w:pPr>
    </w:p>
    <w:p w14:paraId="1968D158">
      <w:pPr>
        <w:rPr>
          <w:rFonts w:hint="eastAsia" w:ascii="宋体" w:hAnsi="宋体" w:eastAsia="宋体" w:cs="宋体"/>
          <w:color w:val="auto"/>
          <w:sz w:val="24"/>
          <w:szCs w:val="24"/>
          <w:highlight w:val="none"/>
        </w:rPr>
      </w:pPr>
    </w:p>
    <w:p w14:paraId="7FB64927">
      <w:pPr>
        <w:rPr>
          <w:rFonts w:hint="eastAsia" w:ascii="宋体" w:hAnsi="宋体" w:eastAsia="宋体" w:cs="宋体"/>
          <w:color w:val="auto"/>
          <w:sz w:val="24"/>
          <w:szCs w:val="24"/>
          <w:highlight w:val="none"/>
        </w:rPr>
      </w:pPr>
    </w:p>
    <w:p w14:paraId="08B18B28">
      <w:pPr>
        <w:rPr>
          <w:rFonts w:hint="eastAsia" w:ascii="宋体" w:hAnsi="宋体" w:eastAsia="宋体" w:cs="宋体"/>
          <w:color w:val="auto"/>
          <w:sz w:val="24"/>
          <w:szCs w:val="24"/>
          <w:highlight w:val="none"/>
        </w:rPr>
      </w:pPr>
    </w:p>
    <w:p w14:paraId="1E52318D">
      <w:pPr>
        <w:pStyle w:val="8"/>
        <w:rPr>
          <w:rFonts w:hint="eastAsia" w:ascii="宋体" w:hAnsi="宋体" w:eastAsia="宋体" w:cs="宋体"/>
          <w:color w:val="auto"/>
          <w:sz w:val="24"/>
          <w:szCs w:val="24"/>
          <w:highlight w:val="none"/>
        </w:rPr>
      </w:pPr>
    </w:p>
    <w:p w14:paraId="61E3E4B7">
      <w:pPr>
        <w:jc w:val="center"/>
        <w:rPr>
          <w:rFonts w:hint="eastAsia"/>
          <w:sz w:val="48"/>
          <w:szCs w:val="56"/>
          <w:lang w:val="en-US" w:eastAsia="zh-CN"/>
        </w:rPr>
      </w:pPr>
      <w:r>
        <w:rPr>
          <w:rFonts w:hint="eastAsia"/>
          <w:sz w:val="48"/>
          <w:szCs w:val="56"/>
          <w:lang w:val="en-US" w:eastAsia="zh-CN"/>
        </w:rPr>
        <w:t>投标总价单</w:t>
      </w:r>
    </w:p>
    <w:p w14:paraId="59B1DF4A">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投标总价：</w:t>
      </w:r>
      <w:r>
        <w:rPr>
          <w:rFonts w:hint="eastAsia"/>
          <w:sz w:val="24"/>
          <w:szCs w:val="32"/>
          <w:u w:val="single"/>
          <w:lang w:val="en-US" w:eastAsia="zh-CN"/>
        </w:rPr>
        <w:t xml:space="preserve">                                              </w:t>
      </w:r>
    </w:p>
    <w:p w14:paraId="5E4E4B77">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采购人：</w:t>
      </w:r>
      <w:r>
        <w:rPr>
          <w:rFonts w:hint="eastAsia"/>
          <w:sz w:val="24"/>
          <w:szCs w:val="32"/>
          <w:u w:val="single"/>
          <w:lang w:val="en-US" w:eastAsia="zh-CN"/>
        </w:rPr>
        <w:t xml:space="preserve">                                                 </w:t>
      </w:r>
    </w:p>
    <w:p w14:paraId="2F11F270">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工程名称：</w:t>
      </w:r>
      <w:r>
        <w:rPr>
          <w:rFonts w:hint="eastAsia"/>
          <w:sz w:val="24"/>
          <w:szCs w:val="32"/>
          <w:u w:val="single"/>
          <w:lang w:val="en-US" w:eastAsia="zh-CN"/>
        </w:rPr>
        <w:t xml:space="preserve">                                               </w:t>
      </w:r>
    </w:p>
    <w:p w14:paraId="4E818C10">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投标总价：（小写）</w:t>
      </w:r>
      <w:r>
        <w:rPr>
          <w:rFonts w:hint="eastAsia"/>
          <w:sz w:val="24"/>
          <w:szCs w:val="32"/>
          <w:u w:val="single"/>
          <w:lang w:val="en-US" w:eastAsia="zh-CN"/>
        </w:rPr>
        <w:t xml:space="preserve">                                        </w:t>
      </w:r>
    </w:p>
    <w:p w14:paraId="52EE99D1">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sz w:val="24"/>
          <w:szCs w:val="32"/>
          <w:u w:val="single"/>
          <w:lang w:val="en-US" w:eastAsia="zh-CN"/>
        </w:rPr>
      </w:pPr>
      <w:r>
        <w:rPr>
          <w:rFonts w:hint="eastAsia"/>
          <w:sz w:val="24"/>
          <w:szCs w:val="32"/>
          <w:lang w:val="en-US" w:eastAsia="zh-CN"/>
        </w:rPr>
        <w:t xml:space="preserve">             （大写） </w:t>
      </w:r>
      <w:r>
        <w:rPr>
          <w:rFonts w:hint="eastAsia"/>
          <w:sz w:val="24"/>
          <w:szCs w:val="32"/>
          <w:u w:val="single"/>
          <w:lang w:val="en-US" w:eastAsia="zh-CN"/>
        </w:rPr>
        <w:t xml:space="preserve">                                        </w:t>
      </w:r>
    </w:p>
    <w:p w14:paraId="24DC3132">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投标人：</w:t>
      </w:r>
      <w:r>
        <w:rPr>
          <w:rFonts w:hint="eastAsia"/>
          <w:sz w:val="24"/>
          <w:szCs w:val="32"/>
          <w:u w:val="single"/>
          <w:lang w:val="en-US" w:eastAsia="zh-CN"/>
        </w:rPr>
        <w:t xml:space="preserve">                                                 </w:t>
      </w:r>
    </w:p>
    <w:p w14:paraId="602E93A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（单位盖章）</w:t>
      </w:r>
    </w:p>
    <w:p w14:paraId="36C963BC">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法定代表人：</w:t>
      </w:r>
      <w:r>
        <w:rPr>
          <w:rFonts w:hint="eastAsia"/>
          <w:sz w:val="24"/>
          <w:szCs w:val="32"/>
          <w:u w:val="single"/>
          <w:lang w:val="en-US" w:eastAsia="zh-CN"/>
        </w:rPr>
        <w:t xml:space="preserve">                                             </w:t>
      </w:r>
    </w:p>
    <w:p w14:paraId="0B4E256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（盖章）</w:t>
      </w:r>
    </w:p>
    <w:p w14:paraId="7D59B866">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编制人：</w:t>
      </w:r>
      <w:r>
        <w:rPr>
          <w:rFonts w:hint="eastAsia"/>
          <w:sz w:val="24"/>
          <w:szCs w:val="32"/>
          <w:u w:val="single"/>
          <w:lang w:val="en-US" w:eastAsia="zh-CN"/>
        </w:rPr>
        <w:t xml:space="preserve">                                                  </w:t>
      </w:r>
    </w:p>
    <w:p w14:paraId="4D81BD9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（注册造价师盖专业章）</w:t>
      </w:r>
    </w:p>
    <w:p w14:paraId="76FD41A4">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sz w:val="24"/>
          <w:szCs w:val="32"/>
          <w:lang w:val="en-US" w:eastAsia="zh-CN"/>
        </w:rPr>
      </w:pPr>
    </w:p>
    <w:p w14:paraId="0334A75E">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sz w:val="24"/>
          <w:szCs w:val="32"/>
          <w:lang w:val="en-US" w:eastAsia="zh-CN"/>
        </w:rPr>
      </w:pPr>
    </w:p>
    <w:p w14:paraId="5D19DE9B">
      <w:pPr>
        <w:keepNext w:val="0"/>
        <w:keepLines w:val="0"/>
        <w:pageBreakBefore w:val="0"/>
        <w:widowControl w:val="0"/>
        <w:kinsoku/>
        <w:wordWrap/>
        <w:overflowPunct/>
        <w:topLinePunct w:val="0"/>
        <w:autoSpaceDE/>
        <w:autoSpaceDN/>
        <w:bidi w:val="0"/>
        <w:adjustRightInd/>
        <w:snapToGrid/>
        <w:spacing w:line="700" w:lineRule="exact"/>
        <w:ind w:firstLine="240" w:firstLineChars="100"/>
        <w:textAlignment w:val="auto"/>
        <w:rPr>
          <w:rFonts w:hint="default"/>
          <w:sz w:val="24"/>
          <w:szCs w:val="32"/>
          <w:lang w:val="en-US" w:eastAsia="zh-CN"/>
        </w:rPr>
      </w:pPr>
      <w:r>
        <w:rPr>
          <w:rFonts w:hint="eastAsia"/>
          <w:sz w:val="24"/>
          <w:szCs w:val="32"/>
          <w:lang w:val="en-US" w:eastAsia="zh-CN"/>
        </w:rPr>
        <w:t>时间：   年   月    日</w:t>
      </w:r>
    </w:p>
    <w:p w14:paraId="717C4CD9">
      <w:pPr>
        <w:pStyle w:val="8"/>
        <w:rPr>
          <w:rFonts w:hint="eastAsia"/>
        </w:rPr>
        <w:sectPr>
          <w:headerReference r:id="rId21" w:type="default"/>
          <w:pgSz w:w="11910" w:h="16840"/>
          <w:pgMar w:top="1134" w:right="1531" w:bottom="1134" w:left="1531" w:header="670" w:footer="1041" w:gutter="0"/>
          <w:pgNumType w:fmt="decimal"/>
          <w:cols w:space="0" w:num="1"/>
          <w:rtlGutter w:val="0"/>
          <w:docGrid w:linePitch="1" w:charSpace="0"/>
        </w:sectPr>
      </w:pPr>
    </w:p>
    <w:p w14:paraId="720BC44B">
      <w:pPr>
        <w:pStyle w:val="10"/>
        <w:pageBreakBefore w:val="0"/>
        <w:kinsoku/>
        <w:wordWrap/>
        <w:overflowPunct/>
        <w:topLinePunct w:val="0"/>
        <w:bidi w:val="0"/>
        <w:spacing w:beforeAutospacing="0" w:afterAutospacing="0" w:line="400" w:lineRule="exact"/>
        <w:ind w:firstLine="643"/>
        <w:jc w:val="left"/>
        <w:rPr>
          <w:rFonts w:hint="default"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三、商务技术响应文件</w:t>
      </w:r>
    </w:p>
    <w:p w14:paraId="59B3A922">
      <w:pPr>
        <w:pStyle w:val="2"/>
        <w:spacing w:before="188" w:line="228" w:lineRule="auto"/>
        <w:ind w:left="2198" w:firstLine="480" w:firstLineChars="200"/>
        <w:rPr>
          <w:rFonts w:hint="eastAsia" w:ascii="宋体" w:hAnsi="宋体" w:eastAsia="宋体" w:cs="宋体"/>
          <w:i w:val="0"/>
          <w:iCs w:val="0"/>
          <w:caps w:val="0"/>
          <w:spacing w:val="0"/>
          <w:kern w:val="0"/>
          <w:sz w:val="24"/>
          <w:szCs w:val="24"/>
          <w:highlight w:val="none"/>
          <w:lang w:val="en-US" w:eastAsia="zh-CN" w:bidi="ar"/>
        </w:rPr>
      </w:pPr>
      <w:r>
        <w:rPr>
          <w:rFonts w:hint="eastAsia" w:ascii="宋体" w:hAnsi="宋体" w:eastAsia="宋体" w:cs="宋体"/>
          <w:i w:val="0"/>
          <w:iCs w:val="0"/>
          <w:caps w:val="0"/>
          <w:spacing w:val="0"/>
          <w:kern w:val="0"/>
          <w:sz w:val="24"/>
          <w:szCs w:val="24"/>
          <w:highlight w:val="none"/>
          <w:lang w:val="en-US" w:eastAsia="zh-CN" w:bidi="ar"/>
        </w:rPr>
        <w:t>1</w:t>
      </w:r>
      <w:r>
        <w:rPr>
          <w:rFonts w:hint="eastAsia" w:cs="宋体"/>
          <w:i w:val="0"/>
          <w:iCs w:val="0"/>
          <w:caps w:val="0"/>
          <w:spacing w:val="0"/>
          <w:kern w:val="0"/>
          <w:sz w:val="24"/>
          <w:szCs w:val="24"/>
          <w:highlight w:val="none"/>
          <w:lang w:val="en-US" w:eastAsia="zh-CN" w:bidi="ar"/>
        </w:rPr>
        <w:t>、</w:t>
      </w:r>
      <w:r>
        <w:rPr>
          <w:rFonts w:hint="eastAsia" w:asciiTheme="minorEastAsia" w:hAnsiTheme="minorEastAsia" w:eastAsiaTheme="minorEastAsia" w:cstheme="minorEastAsia"/>
          <w:lang w:val="en-US" w:eastAsia="zh-CN"/>
        </w:rPr>
        <w:t>企业近三年</w:t>
      </w:r>
      <w:r>
        <w:rPr>
          <w:rFonts w:hint="eastAsia" w:ascii="宋体" w:hAnsi="宋体" w:eastAsia="宋体" w:cs="宋体"/>
          <w:i w:val="0"/>
          <w:iCs w:val="0"/>
          <w:caps w:val="0"/>
          <w:spacing w:val="0"/>
          <w:kern w:val="0"/>
          <w:sz w:val="24"/>
          <w:szCs w:val="24"/>
          <w:highlight w:val="none"/>
          <w:lang w:val="en-US" w:eastAsia="zh-CN" w:bidi="ar"/>
        </w:rPr>
        <w:t>类似项目情况表</w:t>
      </w:r>
    </w:p>
    <w:p w14:paraId="1FCF58BD">
      <w:pPr>
        <w:spacing w:line="121" w:lineRule="exact"/>
        <w:rPr>
          <w:sz w:val="24"/>
          <w:szCs w:val="24"/>
          <w:highlight w:val="none"/>
        </w:rPr>
      </w:pPr>
    </w:p>
    <w:tbl>
      <w:tblPr>
        <w:tblStyle w:val="56"/>
        <w:tblW w:w="9077" w:type="dxa"/>
        <w:tblInd w:w="2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6663"/>
      </w:tblGrid>
      <w:tr w14:paraId="2ECD9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414" w:type="dxa"/>
            <w:noWrap w:val="0"/>
            <w:vAlign w:val="top"/>
          </w:tcPr>
          <w:p w14:paraId="05B3547D">
            <w:pPr>
              <w:pStyle w:val="55"/>
              <w:spacing w:before="122" w:line="222" w:lineRule="auto"/>
              <w:ind w:left="665"/>
              <w:rPr>
                <w:sz w:val="24"/>
                <w:szCs w:val="24"/>
                <w:highlight w:val="none"/>
              </w:rPr>
            </w:pPr>
            <w:r>
              <w:rPr>
                <w:spacing w:val="-5"/>
                <w:sz w:val="24"/>
                <w:szCs w:val="24"/>
                <w:highlight w:val="none"/>
              </w:rPr>
              <w:t>项目名称</w:t>
            </w:r>
          </w:p>
        </w:tc>
        <w:tc>
          <w:tcPr>
            <w:tcW w:w="6663" w:type="dxa"/>
            <w:noWrap w:val="0"/>
            <w:vAlign w:val="top"/>
          </w:tcPr>
          <w:p w14:paraId="107F62D0">
            <w:pPr>
              <w:rPr>
                <w:rFonts w:ascii="Arial"/>
                <w:sz w:val="24"/>
                <w:szCs w:val="24"/>
                <w:highlight w:val="none"/>
              </w:rPr>
            </w:pPr>
          </w:p>
        </w:tc>
      </w:tr>
      <w:tr w14:paraId="4C746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14" w:type="dxa"/>
            <w:noWrap w:val="0"/>
            <w:vAlign w:val="top"/>
          </w:tcPr>
          <w:p w14:paraId="7A928370">
            <w:pPr>
              <w:pStyle w:val="55"/>
              <w:spacing w:before="142" w:line="220" w:lineRule="auto"/>
              <w:ind w:left="523"/>
              <w:rPr>
                <w:sz w:val="24"/>
                <w:szCs w:val="24"/>
                <w:highlight w:val="none"/>
              </w:rPr>
            </w:pPr>
            <w:r>
              <w:rPr>
                <w:spacing w:val="-4"/>
                <w:sz w:val="24"/>
                <w:szCs w:val="24"/>
                <w:highlight w:val="none"/>
              </w:rPr>
              <w:t>项目所在地</w:t>
            </w:r>
          </w:p>
        </w:tc>
        <w:tc>
          <w:tcPr>
            <w:tcW w:w="6663" w:type="dxa"/>
            <w:noWrap w:val="0"/>
            <w:vAlign w:val="top"/>
          </w:tcPr>
          <w:p w14:paraId="38F6B2C5">
            <w:pPr>
              <w:rPr>
                <w:rFonts w:ascii="Arial"/>
                <w:sz w:val="24"/>
                <w:szCs w:val="24"/>
                <w:highlight w:val="none"/>
              </w:rPr>
            </w:pPr>
          </w:p>
        </w:tc>
      </w:tr>
      <w:tr w14:paraId="4E377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noWrap w:val="0"/>
            <w:vAlign w:val="top"/>
          </w:tcPr>
          <w:p w14:paraId="54023194">
            <w:pPr>
              <w:pStyle w:val="55"/>
              <w:spacing w:before="180" w:line="222" w:lineRule="auto"/>
              <w:ind w:left="530"/>
              <w:rPr>
                <w:sz w:val="24"/>
                <w:szCs w:val="24"/>
                <w:highlight w:val="none"/>
              </w:rPr>
            </w:pPr>
            <w:r>
              <w:rPr>
                <w:spacing w:val="-5"/>
                <w:sz w:val="24"/>
                <w:szCs w:val="24"/>
                <w:highlight w:val="none"/>
              </w:rPr>
              <w:t>发包人名称</w:t>
            </w:r>
          </w:p>
        </w:tc>
        <w:tc>
          <w:tcPr>
            <w:tcW w:w="6663" w:type="dxa"/>
            <w:noWrap w:val="0"/>
            <w:vAlign w:val="top"/>
          </w:tcPr>
          <w:p w14:paraId="245A4A9A">
            <w:pPr>
              <w:rPr>
                <w:rFonts w:ascii="Arial"/>
                <w:sz w:val="24"/>
                <w:szCs w:val="24"/>
                <w:highlight w:val="none"/>
              </w:rPr>
            </w:pPr>
          </w:p>
        </w:tc>
      </w:tr>
      <w:tr w14:paraId="300AA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noWrap w:val="0"/>
            <w:vAlign w:val="top"/>
          </w:tcPr>
          <w:p w14:paraId="6505E09D">
            <w:pPr>
              <w:pStyle w:val="55"/>
              <w:spacing w:before="182" w:line="224" w:lineRule="auto"/>
              <w:ind w:left="530"/>
              <w:rPr>
                <w:sz w:val="24"/>
                <w:szCs w:val="24"/>
                <w:highlight w:val="none"/>
              </w:rPr>
            </w:pPr>
            <w:r>
              <w:rPr>
                <w:spacing w:val="-5"/>
                <w:sz w:val="24"/>
                <w:szCs w:val="24"/>
                <w:highlight w:val="none"/>
              </w:rPr>
              <w:t>发包人地址</w:t>
            </w:r>
          </w:p>
        </w:tc>
        <w:tc>
          <w:tcPr>
            <w:tcW w:w="6663" w:type="dxa"/>
            <w:noWrap w:val="0"/>
            <w:vAlign w:val="top"/>
          </w:tcPr>
          <w:p w14:paraId="0F81BD37">
            <w:pPr>
              <w:rPr>
                <w:rFonts w:ascii="Arial"/>
                <w:sz w:val="24"/>
                <w:szCs w:val="24"/>
                <w:highlight w:val="none"/>
              </w:rPr>
            </w:pPr>
          </w:p>
        </w:tc>
      </w:tr>
      <w:tr w14:paraId="54D8F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414" w:type="dxa"/>
            <w:noWrap w:val="0"/>
            <w:vAlign w:val="top"/>
          </w:tcPr>
          <w:p w14:paraId="3D753EAD">
            <w:pPr>
              <w:pStyle w:val="55"/>
              <w:spacing w:before="49" w:line="219" w:lineRule="auto"/>
              <w:ind w:left="972" w:right="222" w:hanging="721"/>
              <w:rPr>
                <w:sz w:val="24"/>
                <w:szCs w:val="24"/>
                <w:highlight w:val="none"/>
              </w:rPr>
            </w:pPr>
            <w:r>
              <w:rPr>
                <w:spacing w:val="-4"/>
                <w:sz w:val="24"/>
                <w:szCs w:val="24"/>
                <w:highlight w:val="none"/>
              </w:rPr>
              <w:t>发包人联系人及</w:t>
            </w:r>
            <w:r>
              <w:rPr>
                <w:spacing w:val="1"/>
                <w:sz w:val="24"/>
                <w:szCs w:val="24"/>
                <w:highlight w:val="none"/>
              </w:rPr>
              <w:t xml:space="preserve"> </w:t>
            </w:r>
            <w:r>
              <w:rPr>
                <w:spacing w:val="-24"/>
                <w:sz w:val="24"/>
                <w:szCs w:val="24"/>
                <w:highlight w:val="none"/>
              </w:rPr>
              <w:t>电话</w:t>
            </w:r>
          </w:p>
        </w:tc>
        <w:tc>
          <w:tcPr>
            <w:tcW w:w="6663" w:type="dxa"/>
            <w:noWrap w:val="0"/>
            <w:vAlign w:val="top"/>
          </w:tcPr>
          <w:p w14:paraId="1271E3C0">
            <w:pPr>
              <w:rPr>
                <w:rFonts w:ascii="Arial"/>
                <w:sz w:val="24"/>
                <w:szCs w:val="24"/>
                <w:highlight w:val="none"/>
              </w:rPr>
            </w:pPr>
          </w:p>
        </w:tc>
      </w:tr>
      <w:tr w14:paraId="61B45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noWrap w:val="0"/>
            <w:vAlign w:val="top"/>
          </w:tcPr>
          <w:p w14:paraId="5FB8CDF0">
            <w:pPr>
              <w:pStyle w:val="55"/>
              <w:spacing w:before="181" w:line="223" w:lineRule="auto"/>
              <w:ind w:left="671"/>
              <w:rPr>
                <w:sz w:val="24"/>
                <w:szCs w:val="24"/>
                <w:highlight w:val="none"/>
              </w:rPr>
            </w:pPr>
            <w:r>
              <w:rPr>
                <w:spacing w:val="-7"/>
                <w:sz w:val="24"/>
                <w:szCs w:val="24"/>
                <w:highlight w:val="none"/>
              </w:rPr>
              <w:t>合同价格</w:t>
            </w:r>
          </w:p>
        </w:tc>
        <w:tc>
          <w:tcPr>
            <w:tcW w:w="6663" w:type="dxa"/>
            <w:noWrap w:val="0"/>
            <w:vAlign w:val="top"/>
          </w:tcPr>
          <w:p w14:paraId="04B6777F">
            <w:pPr>
              <w:rPr>
                <w:rFonts w:ascii="Arial"/>
                <w:sz w:val="24"/>
                <w:szCs w:val="24"/>
                <w:highlight w:val="none"/>
              </w:rPr>
            </w:pPr>
          </w:p>
        </w:tc>
      </w:tr>
      <w:tr w14:paraId="4971C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noWrap w:val="0"/>
            <w:vAlign w:val="top"/>
          </w:tcPr>
          <w:p w14:paraId="10D992AF">
            <w:pPr>
              <w:pStyle w:val="55"/>
              <w:spacing w:before="181" w:line="223" w:lineRule="auto"/>
              <w:ind w:left="663"/>
              <w:rPr>
                <w:sz w:val="24"/>
                <w:szCs w:val="24"/>
                <w:highlight w:val="none"/>
              </w:rPr>
            </w:pPr>
            <w:r>
              <w:rPr>
                <w:spacing w:val="-5"/>
                <w:sz w:val="24"/>
                <w:szCs w:val="24"/>
                <w:highlight w:val="none"/>
              </w:rPr>
              <w:t>开工日期</w:t>
            </w:r>
          </w:p>
        </w:tc>
        <w:tc>
          <w:tcPr>
            <w:tcW w:w="6663" w:type="dxa"/>
            <w:noWrap w:val="0"/>
            <w:vAlign w:val="top"/>
          </w:tcPr>
          <w:p w14:paraId="209BE56E">
            <w:pPr>
              <w:rPr>
                <w:rFonts w:ascii="Arial"/>
                <w:sz w:val="24"/>
                <w:szCs w:val="24"/>
                <w:highlight w:val="none"/>
              </w:rPr>
            </w:pPr>
          </w:p>
        </w:tc>
      </w:tr>
      <w:tr w14:paraId="49D2A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noWrap w:val="0"/>
            <w:vAlign w:val="top"/>
          </w:tcPr>
          <w:p w14:paraId="35436BF9">
            <w:pPr>
              <w:pStyle w:val="55"/>
              <w:spacing w:before="182" w:line="224" w:lineRule="auto"/>
              <w:ind w:left="666"/>
              <w:rPr>
                <w:sz w:val="24"/>
                <w:szCs w:val="24"/>
                <w:highlight w:val="none"/>
              </w:rPr>
            </w:pPr>
            <w:r>
              <w:rPr>
                <w:spacing w:val="-5"/>
                <w:sz w:val="24"/>
                <w:szCs w:val="24"/>
                <w:highlight w:val="none"/>
              </w:rPr>
              <w:t>竣工日期</w:t>
            </w:r>
          </w:p>
        </w:tc>
        <w:tc>
          <w:tcPr>
            <w:tcW w:w="6663" w:type="dxa"/>
            <w:noWrap w:val="0"/>
            <w:vAlign w:val="top"/>
          </w:tcPr>
          <w:p w14:paraId="00C66070">
            <w:pPr>
              <w:rPr>
                <w:rFonts w:ascii="Arial"/>
                <w:sz w:val="24"/>
                <w:szCs w:val="24"/>
                <w:highlight w:val="none"/>
              </w:rPr>
            </w:pPr>
          </w:p>
        </w:tc>
      </w:tr>
      <w:tr w14:paraId="03E02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noWrap w:val="0"/>
            <w:vAlign w:val="top"/>
          </w:tcPr>
          <w:p w14:paraId="1C6A3634">
            <w:pPr>
              <w:pStyle w:val="55"/>
              <w:spacing w:before="182" w:line="221" w:lineRule="auto"/>
              <w:ind w:left="522"/>
              <w:rPr>
                <w:sz w:val="24"/>
                <w:szCs w:val="24"/>
                <w:highlight w:val="none"/>
              </w:rPr>
            </w:pPr>
            <w:r>
              <w:rPr>
                <w:spacing w:val="-4"/>
                <w:sz w:val="24"/>
                <w:szCs w:val="24"/>
                <w:highlight w:val="none"/>
              </w:rPr>
              <w:t>承担的工作</w:t>
            </w:r>
          </w:p>
        </w:tc>
        <w:tc>
          <w:tcPr>
            <w:tcW w:w="6663" w:type="dxa"/>
            <w:noWrap w:val="0"/>
            <w:vAlign w:val="top"/>
          </w:tcPr>
          <w:p w14:paraId="3C9E8B60">
            <w:pPr>
              <w:rPr>
                <w:rFonts w:ascii="Arial"/>
                <w:sz w:val="24"/>
                <w:szCs w:val="24"/>
                <w:highlight w:val="none"/>
              </w:rPr>
            </w:pPr>
          </w:p>
        </w:tc>
      </w:tr>
      <w:tr w14:paraId="64CB0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noWrap w:val="0"/>
            <w:vAlign w:val="top"/>
          </w:tcPr>
          <w:p w14:paraId="3C8A2769">
            <w:pPr>
              <w:pStyle w:val="55"/>
              <w:spacing w:before="182" w:line="224" w:lineRule="auto"/>
              <w:ind w:left="670"/>
              <w:rPr>
                <w:sz w:val="24"/>
                <w:szCs w:val="24"/>
                <w:highlight w:val="none"/>
              </w:rPr>
            </w:pPr>
            <w:r>
              <w:rPr>
                <w:spacing w:val="-7"/>
                <w:sz w:val="24"/>
                <w:szCs w:val="24"/>
                <w:highlight w:val="none"/>
              </w:rPr>
              <w:t>工程质量</w:t>
            </w:r>
          </w:p>
        </w:tc>
        <w:tc>
          <w:tcPr>
            <w:tcW w:w="6663" w:type="dxa"/>
            <w:noWrap w:val="0"/>
            <w:vAlign w:val="top"/>
          </w:tcPr>
          <w:p w14:paraId="5495349A">
            <w:pPr>
              <w:rPr>
                <w:rFonts w:ascii="Arial"/>
                <w:sz w:val="24"/>
                <w:szCs w:val="24"/>
                <w:highlight w:val="none"/>
              </w:rPr>
            </w:pPr>
          </w:p>
        </w:tc>
      </w:tr>
      <w:tr w14:paraId="694D2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noWrap w:val="0"/>
            <w:vAlign w:val="top"/>
          </w:tcPr>
          <w:p w14:paraId="0A1E5C0E">
            <w:pPr>
              <w:pStyle w:val="55"/>
              <w:spacing w:before="182" w:line="224" w:lineRule="auto"/>
              <w:ind w:left="665"/>
              <w:rPr>
                <w:sz w:val="24"/>
                <w:szCs w:val="24"/>
                <w:highlight w:val="none"/>
              </w:rPr>
            </w:pPr>
            <w:r>
              <w:rPr>
                <w:spacing w:val="-5"/>
                <w:sz w:val="24"/>
                <w:szCs w:val="24"/>
                <w:highlight w:val="none"/>
              </w:rPr>
              <w:t>项目经理</w:t>
            </w:r>
          </w:p>
        </w:tc>
        <w:tc>
          <w:tcPr>
            <w:tcW w:w="6663" w:type="dxa"/>
            <w:noWrap w:val="0"/>
            <w:vAlign w:val="top"/>
          </w:tcPr>
          <w:p w14:paraId="38948B16">
            <w:pPr>
              <w:rPr>
                <w:rFonts w:ascii="Arial"/>
                <w:sz w:val="24"/>
                <w:szCs w:val="24"/>
                <w:highlight w:val="none"/>
              </w:rPr>
            </w:pPr>
          </w:p>
        </w:tc>
      </w:tr>
      <w:tr w14:paraId="7F110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noWrap w:val="0"/>
            <w:vAlign w:val="top"/>
          </w:tcPr>
          <w:p w14:paraId="6CA50FCC">
            <w:pPr>
              <w:pStyle w:val="55"/>
              <w:spacing w:before="181" w:line="223" w:lineRule="auto"/>
              <w:ind w:left="523"/>
              <w:rPr>
                <w:sz w:val="24"/>
                <w:szCs w:val="24"/>
                <w:highlight w:val="none"/>
              </w:rPr>
            </w:pPr>
            <w:r>
              <w:rPr>
                <w:spacing w:val="-4"/>
                <w:sz w:val="24"/>
                <w:szCs w:val="24"/>
                <w:highlight w:val="none"/>
              </w:rPr>
              <w:t>技术负责人</w:t>
            </w:r>
          </w:p>
        </w:tc>
        <w:tc>
          <w:tcPr>
            <w:tcW w:w="6663" w:type="dxa"/>
            <w:noWrap w:val="0"/>
            <w:vAlign w:val="top"/>
          </w:tcPr>
          <w:p w14:paraId="0C69C4F3">
            <w:pPr>
              <w:rPr>
                <w:rFonts w:ascii="Arial"/>
                <w:sz w:val="24"/>
                <w:szCs w:val="24"/>
                <w:highlight w:val="none"/>
              </w:rPr>
            </w:pPr>
          </w:p>
        </w:tc>
      </w:tr>
      <w:tr w14:paraId="3FA64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414" w:type="dxa"/>
            <w:noWrap w:val="0"/>
            <w:vAlign w:val="top"/>
          </w:tcPr>
          <w:p w14:paraId="2C5687A5">
            <w:pPr>
              <w:pStyle w:val="55"/>
              <w:spacing w:before="49" w:line="219" w:lineRule="auto"/>
              <w:ind w:left="973" w:right="222" w:hanging="717"/>
              <w:rPr>
                <w:sz w:val="24"/>
                <w:szCs w:val="24"/>
                <w:highlight w:val="none"/>
              </w:rPr>
            </w:pPr>
            <w:r>
              <w:rPr>
                <w:spacing w:val="-5"/>
                <w:sz w:val="24"/>
                <w:szCs w:val="24"/>
                <w:highlight w:val="none"/>
              </w:rPr>
              <w:t>总监理工程师及</w:t>
            </w:r>
            <w:r>
              <w:rPr>
                <w:spacing w:val="4"/>
                <w:sz w:val="24"/>
                <w:szCs w:val="24"/>
                <w:highlight w:val="none"/>
              </w:rPr>
              <w:t xml:space="preserve"> </w:t>
            </w:r>
            <w:r>
              <w:rPr>
                <w:spacing w:val="-24"/>
                <w:sz w:val="24"/>
                <w:szCs w:val="24"/>
                <w:highlight w:val="none"/>
              </w:rPr>
              <w:t>电话</w:t>
            </w:r>
          </w:p>
        </w:tc>
        <w:tc>
          <w:tcPr>
            <w:tcW w:w="6663" w:type="dxa"/>
            <w:noWrap w:val="0"/>
            <w:vAlign w:val="top"/>
          </w:tcPr>
          <w:p w14:paraId="77A796B4">
            <w:pPr>
              <w:rPr>
                <w:rFonts w:ascii="Arial"/>
                <w:sz w:val="24"/>
                <w:szCs w:val="24"/>
                <w:highlight w:val="none"/>
              </w:rPr>
            </w:pPr>
          </w:p>
        </w:tc>
      </w:tr>
      <w:tr w14:paraId="32A66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2414" w:type="dxa"/>
            <w:noWrap w:val="0"/>
            <w:vAlign w:val="top"/>
          </w:tcPr>
          <w:p w14:paraId="498E8895">
            <w:pPr>
              <w:spacing w:line="296" w:lineRule="auto"/>
              <w:rPr>
                <w:rFonts w:ascii="Arial"/>
                <w:sz w:val="24"/>
                <w:szCs w:val="24"/>
                <w:highlight w:val="none"/>
              </w:rPr>
            </w:pPr>
          </w:p>
          <w:p w14:paraId="06505554">
            <w:pPr>
              <w:pStyle w:val="55"/>
              <w:spacing w:before="91" w:line="224" w:lineRule="auto"/>
              <w:ind w:left="665"/>
              <w:rPr>
                <w:sz w:val="24"/>
                <w:szCs w:val="24"/>
                <w:highlight w:val="none"/>
              </w:rPr>
            </w:pPr>
            <w:r>
              <w:rPr>
                <w:spacing w:val="-5"/>
                <w:sz w:val="24"/>
                <w:szCs w:val="24"/>
                <w:highlight w:val="none"/>
              </w:rPr>
              <w:t>项目描述</w:t>
            </w:r>
          </w:p>
        </w:tc>
        <w:tc>
          <w:tcPr>
            <w:tcW w:w="6663" w:type="dxa"/>
            <w:noWrap w:val="0"/>
            <w:vAlign w:val="top"/>
          </w:tcPr>
          <w:p w14:paraId="0D91CA4C">
            <w:pPr>
              <w:rPr>
                <w:rFonts w:ascii="Arial"/>
                <w:sz w:val="24"/>
                <w:szCs w:val="24"/>
                <w:highlight w:val="none"/>
              </w:rPr>
            </w:pPr>
          </w:p>
        </w:tc>
      </w:tr>
      <w:tr w14:paraId="0D262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4" w:type="dxa"/>
            <w:noWrap w:val="0"/>
            <w:vAlign w:val="top"/>
          </w:tcPr>
          <w:p w14:paraId="54370754">
            <w:pPr>
              <w:pStyle w:val="55"/>
              <w:spacing w:before="185" w:line="225" w:lineRule="auto"/>
              <w:ind w:left="944"/>
              <w:rPr>
                <w:sz w:val="24"/>
                <w:szCs w:val="24"/>
                <w:highlight w:val="none"/>
              </w:rPr>
            </w:pPr>
            <w:r>
              <w:rPr>
                <w:spacing w:val="-10"/>
                <w:sz w:val="24"/>
                <w:szCs w:val="24"/>
                <w:highlight w:val="none"/>
              </w:rPr>
              <w:t>备注</w:t>
            </w:r>
          </w:p>
        </w:tc>
        <w:tc>
          <w:tcPr>
            <w:tcW w:w="6663" w:type="dxa"/>
            <w:noWrap w:val="0"/>
            <w:vAlign w:val="top"/>
          </w:tcPr>
          <w:p w14:paraId="13E639BF">
            <w:pPr>
              <w:rPr>
                <w:rFonts w:ascii="Arial"/>
                <w:sz w:val="24"/>
                <w:szCs w:val="24"/>
                <w:highlight w:val="none"/>
              </w:rPr>
            </w:pPr>
          </w:p>
        </w:tc>
      </w:tr>
    </w:tbl>
    <w:p w14:paraId="32E4FDB5">
      <w:pPr>
        <w:pStyle w:val="2"/>
        <w:spacing w:before="112" w:line="224" w:lineRule="auto"/>
        <w:rPr>
          <w:sz w:val="24"/>
          <w:szCs w:val="24"/>
          <w:highlight w:val="none"/>
        </w:rPr>
      </w:pPr>
      <w:r>
        <w:rPr>
          <w:spacing w:val="-1"/>
          <w:sz w:val="24"/>
          <w:szCs w:val="24"/>
          <w:highlight w:val="none"/>
        </w:rPr>
        <w:t>备注：1、类似项目指</w:t>
      </w:r>
      <w:r>
        <w:rPr>
          <w:spacing w:val="-1"/>
          <w:sz w:val="24"/>
          <w:szCs w:val="24"/>
          <w:highlight w:val="none"/>
          <w:u w:val="single" w:color="auto"/>
        </w:rPr>
        <w:t xml:space="preserve">         </w:t>
      </w:r>
      <w:r>
        <w:rPr>
          <w:spacing w:val="-2"/>
          <w:sz w:val="24"/>
          <w:szCs w:val="24"/>
          <w:highlight w:val="none"/>
          <w:u w:val="single" w:color="auto"/>
        </w:rPr>
        <w:t xml:space="preserve">           </w:t>
      </w:r>
      <w:r>
        <w:rPr>
          <w:spacing w:val="-113"/>
          <w:sz w:val="24"/>
          <w:szCs w:val="24"/>
          <w:highlight w:val="none"/>
        </w:rPr>
        <w:t xml:space="preserve"> </w:t>
      </w:r>
      <w:r>
        <w:rPr>
          <w:spacing w:val="-2"/>
          <w:sz w:val="24"/>
          <w:szCs w:val="24"/>
          <w:highlight w:val="none"/>
        </w:rPr>
        <w:t>工程。</w:t>
      </w:r>
    </w:p>
    <w:p w14:paraId="5FB99BDD">
      <w:pPr>
        <w:pStyle w:val="2"/>
        <w:spacing w:before="100" w:line="221" w:lineRule="auto"/>
        <w:jc w:val="left"/>
        <w:rPr>
          <w:sz w:val="24"/>
          <w:szCs w:val="24"/>
          <w:highlight w:val="none"/>
        </w:rPr>
      </w:pPr>
      <w:r>
        <w:rPr>
          <w:spacing w:val="2"/>
          <w:sz w:val="24"/>
          <w:szCs w:val="24"/>
          <w:highlight w:val="none"/>
        </w:rPr>
        <w:t>2、</w:t>
      </w:r>
      <w:r>
        <w:rPr>
          <w:rFonts w:hint="eastAsia"/>
          <w:spacing w:val="2"/>
          <w:sz w:val="24"/>
          <w:szCs w:val="24"/>
          <w:highlight w:val="none"/>
          <w:lang w:val="en-US" w:eastAsia="zh-CN"/>
        </w:rPr>
        <w:t>依据评标办法将相关材料附在</w:t>
      </w:r>
      <w:r>
        <w:rPr>
          <w:spacing w:val="2"/>
          <w:sz w:val="24"/>
          <w:szCs w:val="24"/>
          <w:highlight w:val="none"/>
        </w:rPr>
        <w:t>本表后，每张表格只填写一个项目，并</w:t>
      </w:r>
      <w:r>
        <w:rPr>
          <w:spacing w:val="1"/>
          <w:sz w:val="24"/>
          <w:szCs w:val="24"/>
          <w:highlight w:val="none"/>
        </w:rPr>
        <w:t>标明序</w:t>
      </w:r>
      <w:r>
        <w:rPr>
          <w:spacing w:val="-13"/>
          <w:sz w:val="24"/>
          <w:szCs w:val="24"/>
          <w:highlight w:val="none"/>
        </w:rPr>
        <w:t>号。</w:t>
      </w:r>
    </w:p>
    <w:p w14:paraId="4998005E">
      <w:pPr>
        <w:spacing w:line="224" w:lineRule="auto"/>
        <w:rPr>
          <w:sz w:val="24"/>
          <w:szCs w:val="24"/>
          <w:highlight w:val="none"/>
        </w:rPr>
        <w:sectPr>
          <w:footerReference r:id="rId22" w:type="default"/>
          <w:pgSz w:w="11906" w:h="16839"/>
          <w:pgMar w:top="400" w:right="1319" w:bottom="1012" w:left="1153" w:header="0" w:footer="850" w:gutter="0"/>
          <w:pgNumType w:fmt="decimal"/>
          <w:cols w:space="720" w:num="1"/>
        </w:sectPr>
      </w:pPr>
    </w:p>
    <w:p w14:paraId="0E7FC307">
      <w:pPr>
        <w:pStyle w:val="2"/>
        <w:spacing w:before="247" w:line="226" w:lineRule="auto"/>
        <w:ind w:left="3561"/>
        <w:rPr>
          <w:sz w:val="24"/>
          <w:szCs w:val="24"/>
        </w:rPr>
      </w:pPr>
      <w:r>
        <w:rPr>
          <w:spacing w:val="7"/>
          <w:sz w:val="24"/>
          <w:szCs w:val="24"/>
        </w:rPr>
        <w:t>项目经理简历表</w:t>
      </w:r>
    </w:p>
    <w:p w14:paraId="0F310645">
      <w:pPr>
        <w:pStyle w:val="2"/>
        <w:spacing w:before="160" w:line="249" w:lineRule="auto"/>
        <w:ind w:right="163" w:firstLine="562"/>
        <w:rPr>
          <w:sz w:val="24"/>
          <w:szCs w:val="24"/>
        </w:rPr>
      </w:pPr>
      <w:r>
        <w:rPr>
          <w:spacing w:val="-2"/>
          <w:sz w:val="24"/>
          <w:szCs w:val="24"/>
        </w:rPr>
        <w:t>项目经理应附建造师执业资格证书、注册证书、安全生产考核合格</w:t>
      </w:r>
      <w:r>
        <w:rPr>
          <w:spacing w:val="-3"/>
          <w:sz w:val="24"/>
          <w:szCs w:val="24"/>
        </w:rPr>
        <w:t>证书、</w:t>
      </w:r>
      <w:r>
        <w:rPr>
          <w:sz w:val="24"/>
          <w:szCs w:val="24"/>
        </w:rPr>
        <w:t xml:space="preserve"> </w:t>
      </w:r>
      <w:r>
        <w:rPr>
          <w:spacing w:val="-3"/>
          <w:sz w:val="24"/>
          <w:szCs w:val="24"/>
        </w:rPr>
        <w:t>身份证、学历证。类似项</w:t>
      </w:r>
      <w:r>
        <w:rPr>
          <w:spacing w:val="-5"/>
          <w:sz w:val="24"/>
          <w:szCs w:val="24"/>
        </w:rPr>
        <w:t>目限于以经理身份参与的项目。</w:t>
      </w:r>
    </w:p>
    <w:tbl>
      <w:tblPr>
        <w:tblStyle w:val="56"/>
        <w:tblW w:w="9016" w:type="dxa"/>
        <w:tblInd w:w="2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2"/>
        <w:gridCol w:w="211"/>
        <w:gridCol w:w="1034"/>
        <w:gridCol w:w="1140"/>
        <w:gridCol w:w="760"/>
        <w:gridCol w:w="507"/>
        <w:gridCol w:w="1447"/>
        <w:gridCol w:w="395"/>
        <w:gridCol w:w="2130"/>
      </w:tblGrid>
      <w:tr w14:paraId="1EEF3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603" w:type="dxa"/>
            <w:gridSpan w:val="2"/>
            <w:noWrap w:val="0"/>
            <w:vAlign w:val="top"/>
          </w:tcPr>
          <w:p w14:paraId="64ECBB45">
            <w:pPr>
              <w:pStyle w:val="55"/>
              <w:spacing w:before="175" w:line="225" w:lineRule="auto"/>
              <w:ind w:left="397"/>
              <w:rPr>
                <w:sz w:val="24"/>
                <w:szCs w:val="24"/>
              </w:rPr>
            </w:pPr>
            <w:r>
              <w:rPr>
                <w:spacing w:val="-9"/>
                <w:sz w:val="24"/>
                <w:szCs w:val="24"/>
              </w:rPr>
              <w:t>姓</w:t>
            </w:r>
            <w:r>
              <w:rPr>
                <w:spacing w:val="8"/>
                <w:sz w:val="24"/>
                <w:szCs w:val="24"/>
              </w:rPr>
              <w:t xml:space="preserve">  </w:t>
            </w:r>
            <w:r>
              <w:rPr>
                <w:spacing w:val="-9"/>
                <w:sz w:val="24"/>
                <w:szCs w:val="24"/>
              </w:rPr>
              <w:t>名</w:t>
            </w:r>
          </w:p>
        </w:tc>
        <w:tc>
          <w:tcPr>
            <w:tcW w:w="1034" w:type="dxa"/>
            <w:noWrap w:val="0"/>
            <w:vAlign w:val="top"/>
          </w:tcPr>
          <w:p w14:paraId="62DB47F8">
            <w:pPr>
              <w:rPr>
                <w:rFonts w:ascii="Arial"/>
                <w:sz w:val="24"/>
                <w:szCs w:val="24"/>
              </w:rPr>
            </w:pPr>
          </w:p>
        </w:tc>
        <w:tc>
          <w:tcPr>
            <w:tcW w:w="1140" w:type="dxa"/>
            <w:noWrap w:val="0"/>
            <w:vAlign w:val="top"/>
          </w:tcPr>
          <w:p w14:paraId="500F7E40">
            <w:pPr>
              <w:pStyle w:val="55"/>
              <w:spacing w:before="175" w:line="223" w:lineRule="auto"/>
              <w:ind w:left="171"/>
              <w:rPr>
                <w:sz w:val="24"/>
                <w:szCs w:val="24"/>
              </w:rPr>
            </w:pPr>
            <w:r>
              <w:rPr>
                <w:spacing w:val="-12"/>
                <w:sz w:val="24"/>
                <w:szCs w:val="24"/>
              </w:rPr>
              <w:t>年</w:t>
            </w:r>
            <w:r>
              <w:rPr>
                <w:spacing w:val="7"/>
                <w:sz w:val="24"/>
                <w:szCs w:val="24"/>
              </w:rPr>
              <w:t xml:space="preserve">  </w:t>
            </w:r>
            <w:r>
              <w:rPr>
                <w:spacing w:val="-12"/>
                <w:sz w:val="24"/>
                <w:szCs w:val="24"/>
              </w:rPr>
              <w:t>龄</w:t>
            </w:r>
          </w:p>
        </w:tc>
        <w:tc>
          <w:tcPr>
            <w:tcW w:w="1267" w:type="dxa"/>
            <w:gridSpan w:val="2"/>
            <w:noWrap w:val="0"/>
            <w:vAlign w:val="top"/>
          </w:tcPr>
          <w:p w14:paraId="714195D1">
            <w:pPr>
              <w:rPr>
                <w:rFonts w:ascii="Arial"/>
                <w:sz w:val="24"/>
                <w:szCs w:val="24"/>
              </w:rPr>
            </w:pPr>
          </w:p>
        </w:tc>
        <w:tc>
          <w:tcPr>
            <w:tcW w:w="1842" w:type="dxa"/>
            <w:gridSpan w:val="2"/>
            <w:noWrap w:val="0"/>
            <w:vAlign w:val="top"/>
          </w:tcPr>
          <w:p w14:paraId="4B9CBE28">
            <w:pPr>
              <w:pStyle w:val="55"/>
              <w:spacing w:before="175" w:line="224" w:lineRule="auto"/>
              <w:ind w:left="669"/>
              <w:rPr>
                <w:sz w:val="24"/>
                <w:szCs w:val="24"/>
              </w:rPr>
            </w:pPr>
            <w:r>
              <w:rPr>
                <w:spacing w:val="-15"/>
                <w:sz w:val="24"/>
                <w:szCs w:val="24"/>
              </w:rPr>
              <w:t>学历</w:t>
            </w:r>
          </w:p>
        </w:tc>
        <w:tc>
          <w:tcPr>
            <w:tcW w:w="2130" w:type="dxa"/>
            <w:noWrap w:val="0"/>
            <w:vAlign w:val="top"/>
          </w:tcPr>
          <w:p w14:paraId="4D4C1EAC">
            <w:pPr>
              <w:rPr>
                <w:rFonts w:ascii="Arial"/>
                <w:sz w:val="24"/>
                <w:szCs w:val="24"/>
              </w:rPr>
            </w:pPr>
          </w:p>
        </w:tc>
      </w:tr>
      <w:tr w14:paraId="03C7F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603" w:type="dxa"/>
            <w:gridSpan w:val="2"/>
            <w:noWrap w:val="0"/>
            <w:vAlign w:val="top"/>
          </w:tcPr>
          <w:p w14:paraId="0CF4EAD6">
            <w:pPr>
              <w:spacing w:line="391" w:lineRule="auto"/>
              <w:rPr>
                <w:rFonts w:ascii="Arial"/>
                <w:sz w:val="24"/>
                <w:szCs w:val="24"/>
              </w:rPr>
            </w:pPr>
          </w:p>
          <w:p w14:paraId="1E56A0B2">
            <w:pPr>
              <w:pStyle w:val="55"/>
              <w:spacing w:before="91" w:line="222" w:lineRule="auto"/>
              <w:ind w:left="396"/>
              <w:rPr>
                <w:sz w:val="24"/>
                <w:szCs w:val="24"/>
              </w:rPr>
            </w:pPr>
            <w:r>
              <w:rPr>
                <w:spacing w:val="-9"/>
                <w:sz w:val="24"/>
                <w:szCs w:val="24"/>
              </w:rPr>
              <w:t>职</w:t>
            </w:r>
            <w:r>
              <w:rPr>
                <w:spacing w:val="8"/>
                <w:sz w:val="24"/>
                <w:szCs w:val="24"/>
              </w:rPr>
              <w:t xml:space="preserve">  </w:t>
            </w:r>
            <w:r>
              <w:rPr>
                <w:spacing w:val="-9"/>
                <w:sz w:val="24"/>
                <w:szCs w:val="24"/>
              </w:rPr>
              <w:t>称</w:t>
            </w:r>
          </w:p>
        </w:tc>
        <w:tc>
          <w:tcPr>
            <w:tcW w:w="1034" w:type="dxa"/>
            <w:noWrap w:val="0"/>
            <w:vAlign w:val="top"/>
          </w:tcPr>
          <w:p w14:paraId="3C514783">
            <w:pPr>
              <w:rPr>
                <w:rFonts w:ascii="Arial"/>
                <w:sz w:val="24"/>
                <w:szCs w:val="24"/>
              </w:rPr>
            </w:pPr>
          </w:p>
        </w:tc>
        <w:tc>
          <w:tcPr>
            <w:tcW w:w="1140" w:type="dxa"/>
            <w:noWrap w:val="0"/>
            <w:vAlign w:val="top"/>
          </w:tcPr>
          <w:p w14:paraId="6ECC976B">
            <w:pPr>
              <w:spacing w:line="391" w:lineRule="auto"/>
              <w:rPr>
                <w:rFonts w:ascii="Arial"/>
                <w:sz w:val="24"/>
                <w:szCs w:val="24"/>
              </w:rPr>
            </w:pPr>
          </w:p>
          <w:p w14:paraId="3B56CB3D">
            <w:pPr>
              <w:pStyle w:val="55"/>
              <w:spacing w:before="91" w:line="224" w:lineRule="auto"/>
              <w:ind w:left="164"/>
              <w:rPr>
                <w:sz w:val="24"/>
                <w:szCs w:val="24"/>
              </w:rPr>
            </w:pPr>
            <w:r>
              <w:rPr>
                <w:spacing w:val="-9"/>
                <w:sz w:val="24"/>
                <w:szCs w:val="24"/>
              </w:rPr>
              <w:t>职</w:t>
            </w:r>
            <w:r>
              <w:rPr>
                <w:spacing w:val="12"/>
                <w:sz w:val="24"/>
                <w:szCs w:val="24"/>
              </w:rPr>
              <w:t xml:space="preserve">  </w:t>
            </w:r>
            <w:r>
              <w:rPr>
                <w:spacing w:val="-9"/>
                <w:sz w:val="24"/>
                <w:szCs w:val="24"/>
              </w:rPr>
              <w:t>务</w:t>
            </w:r>
          </w:p>
        </w:tc>
        <w:tc>
          <w:tcPr>
            <w:tcW w:w="1267" w:type="dxa"/>
            <w:gridSpan w:val="2"/>
            <w:noWrap w:val="0"/>
            <w:vAlign w:val="top"/>
          </w:tcPr>
          <w:p w14:paraId="2D435020">
            <w:pPr>
              <w:rPr>
                <w:rFonts w:ascii="Arial"/>
                <w:sz w:val="24"/>
                <w:szCs w:val="24"/>
              </w:rPr>
            </w:pPr>
          </w:p>
        </w:tc>
        <w:tc>
          <w:tcPr>
            <w:tcW w:w="1842" w:type="dxa"/>
            <w:gridSpan w:val="2"/>
            <w:noWrap w:val="0"/>
            <w:vAlign w:val="top"/>
          </w:tcPr>
          <w:p w14:paraId="71121309">
            <w:pPr>
              <w:pStyle w:val="55"/>
              <w:spacing w:before="173" w:line="624" w:lineRule="exact"/>
              <w:ind w:left="237"/>
              <w:rPr>
                <w:sz w:val="24"/>
                <w:szCs w:val="24"/>
              </w:rPr>
            </w:pPr>
            <w:r>
              <w:rPr>
                <w:spacing w:val="-4"/>
                <w:position w:val="26"/>
                <w:sz w:val="24"/>
                <w:szCs w:val="24"/>
              </w:rPr>
              <w:t>拟在本工程</w:t>
            </w:r>
          </w:p>
          <w:p w14:paraId="2F20FFAB">
            <w:pPr>
              <w:pStyle w:val="55"/>
              <w:spacing w:before="1" w:line="223" w:lineRule="auto"/>
              <w:ind w:left="657"/>
              <w:rPr>
                <w:sz w:val="24"/>
                <w:szCs w:val="24"/>
              </w:rPr>
            </w:pPr>
            <w:r>
              <w:rPr>
                <w:spacing w:val="-9"/>
                <w:sz w:val="24"/>
                <w:szCs w:val="24"/>
              </w:rPr>
              <w:t>任职</w:t>
            </w:r>
          </w:p>
        </w:tc>
        <w:tc>
          <w:tcPr>
            <w:tcW w:w="2130" w:type="dxa"/>
            <w:noWrap w:val="0"/>
            <w:vAlign w:val="top"/>
          </w:tcPr>
          <w:p w14:paraId="7358B998">
            <w:pPr>
              <w:spacing w:line="392" w:lineRule="auto"/>
              <w:rPr>
                <w:rFonts w:ascii="Arial"/>
                <w:sz w:val="24"/>
                <w:szCs w:val="24"/>
              </w:rPr>
            </w:pPr>
          </w:p>
          <w:p w14:paraId="2BF26345">
            <w:pPr>
              <w:pStyle w:val="55"/>
              <w:spacing w:before="91" w:line="224" w:lineRule="auto"/>
              <w:ind w:left="523"/>
              <w:rPr>
                <w:sz w:val="24"/>
                <w:szCs w:val="24"/>
              </w:rPr>
            </w:pPr>
            <w:r>
              <w:rPr>
                <w:spacing w:val="-5"/>
                <w:sz w:val="24"/>
                <w:szCs w:val="24"/>
              </w:rPr>
              <w:t>项目经理</w:t>
            </w:r>
          </w:p>
        </w:tc>
      </w:tr>
      <w:tr w14:paraId="0C08C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777" w:type="dxa"/>
            <w:gridSpan w:val="4"/>
            <w:noWrap w:val="0"/>
            <w:vAlign w:val="top"/>
          </w:tcPr>
          <w:p w14:paraId="45AA1CC3">
            <w:pPr>
              <w:pStyle w:val="55"/>
              <w:spacing w:before="174" w:line="223" w:lineRule="auto"/>
              <w:ind w:left="134"/>
              <w:rPr>
                <w:sz w:val="24"/>
                <w:szCs w:val="24"/>
              </w:rPr>
            </w:pPr>
            <w:r>
              <w:rPr>
                <w:spacing w:val="-3"/>
                <w:sz w:val="24"/>
                <w:szCs w:val="24"/>
              </w:rPr>
              <w:t>注册建造师执业资格等级</w:t>
            </w:r>
          </w:p>
        </w:tc>
        <w:tc>
          <w:tcPr>
            <w:tcW w:w="760" w:type="dxa"/>
            <w:noWrap w:val="0"/>
            <w:vAlign w:val="top"/>
          </w:tcPr>
          <w:p w14:paraId="1606A7A0">
            <w:pPr>
              <w:pStyle w:val="55"/>
              <w:spacing w:before="174" w:line="224" w:lineRule="auto"/>
              <w:ind w:left="260"/>
              <w:rPr>
                <w:sz w:val="24"/>
                <w:szCs w:val="24"/>
              </w:rPr>
            </w:pPr>
            <w:r>
              <w:rPr>
                <w:sz w:val="24"/>
                <w:szCs w:val="24"/>
              </w:rPr>
              <w:t>级</w:t>
            </w:r>
          </w:p>
        </w:tc>
        <w:tc>
          <w:tcPr>
            <w:tcW w:w="1954" w:type="dxa"/>
            <w:gridSpan w:val="2"/>
            <w:noWrap w:val="0"/>
            <w:vAlign w:val="top"/>
          </w:tcPr>
          <w:p w14:paraId="48D6233B">
            <w:pPr>
              <w:pStyle w:val="55"/>
              <w:spacing w:before="174" w:line="223" w:lineRule="auto"/>
              <w:ind w:left="293"/>
              <w:rPr>
                <w:sz w:val="24"/>
                <w:szCs w:val="24"/>
              </w:rPr>
            </w:pPr>
            <w:r>
              <w:rPr>
                <w:spacing w:val="-4"/>
                <w:sz w:val="24"/>
                <w:szCs w:val="24"/>
              </w:rPr>
              <w:t>建造师专业</w:t>
            </w:r>
          </w:p>
        </w:tc>
        <w:tc>
          <w:tcPr>
            <w:tcW w:w="2525" w:type="dxa"/>
            <w:gridSpan w:val="2"/>
            <w:noWrap w:val="0"/>
            <w:vAlign w:val="top"/>
          </w:tcPr>
          <w:p w14:paraId="54D4F5E5">
            <w:pPr>
              <w:rPr>
                <w:rFonts w:ascii="Arial"/>
                <w:sz w:val="24"/>
                <w:szCs w:val="24"/>
              </w:rPr>
            </w:pPr>
          </w:p>
        </w:tc>
      </w:tr>
      <w:tr w14:paraId="28C7A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777" w:type="dxa"/>
            <w:gridSpan w:val="4"/>
            <w:noWrap w:val="0"/>
            <w:vAlign w:val="top"/>
          </w:tcPr>
          <w:p w14:paraId="48A4BDAA">
            <w:pPr>
              <w:pStyle w:val="55"/>
              <w:spacing w:before="173" w:line="223" w:lineRule="auto"/>
              <w:ind w:left="129"/>
              <w:rPr>
                <w:sz w:val="24"/>
                <w:szCs w:val="24"/>
              </w:rPr>
            </w:pPr>
            <w:r>
              <w:rPr>
                <w:spacing w:val="-3"/>
                <w:sz w:val="24"/>
                <w:szCs w:val="24"/>
              </w:rPr>
              <w:t>安全生产考核合格证书</w:t>
            </w:r>
          </w:p>
        </w:tc>
        <w:tc>
          <w:tcPr>
            <w:tcW w:w="5239" w:type="dxa"/>
            <w:gridSpan w:val="5"/>
            <w:noWrap w:val="0"/>
            <w:vAlign w:val="top"/>
          </w:tcPr>
          <w:p w14:paraId="449E1040">
            <w:pPr>
              <w:rPr>
                <w:rFonts w:ascii="Arial"/>
                <w:sz w:val="24"/>
                <w:szCs w:val="24"/>
              </w:rPr>
            </w:pPr>
          </w:p>
        </w:tc>
      </w:tr>
      <w:tr w14:paraId="75735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92" w:type="dxa"/>
            <w:noWrap w:val="0"/>
            <w:vAlign w:val="top"/>
          </w:tcPr>
          <w:p w14:paraId="16B3FF18">
            <w:pPr>
              <w:pStyle w:val="55"/>
              <w:spacing w:before="172" w:line="222" w:lineRule="auto"/>
              <w:ind w:left="157"/>
              <w:rPr>
                <w:sz w:val="24"/>
                <w:szCs w:val="24"/>
              </w:rPr>
            </w:pPr>
            <w:r>
              <w:rPr>
                <w:spacing w:val="-6"/>
                <w:sz w:val="24"/>
                <w:szCs w:val="24"/>
              </w:rPr>
              <w:t>毕业学校</w:t>
            </w:r>
          </w:p>
        </w:tc>
        <w:tc>
          <w:tcPr>
            <w:tcW w:w="7624" w:type="dxa"/>
            <w:gridSpan w:val="8"/>
            <w:noWrap w:val="0"/>
            <w:vAlign w:val="top"/>
          </w:tcPr>
          <w:p w14:paraId="1CD4C797">
            <w:pPr>
              <w:pStyle w:val="55"/>
              <w:spacing w:before="172" w:line="222" w:lineRule="auto"/>
              <w:ind w:left="612"/>
              <w:rPr>
                <w:sz w:val="24"/>
                <w:szCs w:val="24"/>
              </w:rPr>
            </w:pPr>
            <w:r>
              <w:rPr>
                <w:spacing w:val="-10"/>
                <w:sz w:val="24"/>
                <w:szCs w:val="24"/>
              </w:rPr>
              <w:t>年毕业于</w:t>
            </w:r>
            <w:r>
              <w:rPr>
                <w:spacing w:val="2"/>
                <w:sz w:val="24"/>
                <w:szCs w:val="24"/>
              </w:rPr>
              <w:t xml:space="preserve">                  </w:t>
            </w:r>
            <w:r>
              <w:rPr>
                <w:spacing w:val="-10"/>
                <w:sz w:val="24"/>
                <w:szCs w:val="24"/>
              </w:rPr>
              <w:t>学校</w:t>
            </w:r>
            <w:r>
              <w:rPr>
                <w:spacing w:val="1"/>
                <w:sz w:val="24"/>
                <w:szCs w:val="24"/>
              </w:rPr>
              <w:t xml:space="preserve">            </w:t>
            </w:r>
            <w:r>
              <w:rPr>
                <w:spacing w:val="-10"/>
                <w:sz w:val="24"/>
                <w:szCs w:val="24"/>
              </w:rPr>
              <w:t>专业</w:t>
            </w:r>
          </w:p>
        </w:tc>
      </w:tr>
      <w:tr w14:paraId="2BA6E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016" w:type="dxa"/>
            <w:gridSpan w:val="9"/>
            <w:noWrap w:val="0"/>
            <w:vAlign w:val="top"/>
          </w:tcPr>
          <w:p w14:paraId="15ABA1C1">
            <w:pPr>
              <w:pStyle w:val="55"/>
              <w:spacing w:before="172" w:line="221" w:lineRule="auto"/>
              <w:ind w:left="3691"/>
              <w:rPr>
                <w:sz w:val="24"/>
                <w:szCs w:val="24"/>
              </w:rPr>
            </w:pPr>
            <w:r>
              <w:rPr>
                <w:spacing w:val="-5"/>
                <w:sz w:val="24"/>
                <w:szCs w:val="24"/>
              </w:rPr>
              <w:t>主要工作经历</w:t>
            </w:r>
          </w:p>
        </w:tc>
      </w:tr>
      <w:tr w14:paraId="5A9DD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92" w:type="dxa"/>
            <w:noWrap w:val="0"/>
            <w:vAlign w:val="top"/>
          </w:tcPr>
          <w:p w14:paraId="316171DA">
            <w:pPr>
              <w:pStyle w:val="55"/>
              <w:spacing w:before="172" w:line="224" w:lineRule="auto"/>
              <w:ind w:left="312"/>
              <w:rPr>
                <w:sz w:val="24"/>
                <w:szCs w:val="24"/>
              </w:rPr>
            </w:pPr>
            <w:r>
              <w:rPr>
                <w:spacing w:val="-19"/>
                <w:sz w:val="24"/>
                <w:szCs w:val="24"/>
              </w:rPr>
              <w:t>时</w:t>
            </w:r>
            <w:r>
              <w:rPr>
                <w:spacing w:val="21"/>
                <w:sz w:val="24"/>
                <w:szCs w:val="24"/>
              </w:rPr>
              <w:t xml:space="preserve">  </w:t>
            </w:r>
            <w:r>
              <w:rPr>
                <w:spacing w:val="-19"/>
                <w:sz w:val="24"/>
                <w:szCs w:val="24"/>
              </w:rPr>
              <w:t>间</w:t>
            </w:r>
          </w:p>
        </w:tc>
        <w:tc>
          <w:tcPr>
            <w:tcW w:w="3145" w:type="dxa"/>
            <w:gridSpan w:val="4"/>
            <w:noWrap w:val="0"/>
            <w:vAlign w:val="top"/>
          </w:tcPr>
          <w:p w14:paraId="4FB5FEEF">
            <w:pPr>
              <w:pStyle w:val="55"/>
              <w:spacing w:before="171" w:line="222" w:lineRule="auto"/>
              <w:ind w:left="193"/>
              <w:rPr>
                <w:sz w:val="24"/>
                <w:szCs w:val="24"/>
              </w:rPr>
            </w:pPr>
            <w:r>
              <w:rPr>
                <w:spacing w:val="-3"/>
                <w:sz w:val="24"/>
                <w:szCs w:val="24"/>
              </w:rPr>
              <w:t>参加过的类似项目名称</w:t>
            </w:r>
          </w:p>
        </w:tc>
        <w:tc>
          <w:tcPr>
            <w:tcW w:w="1954" w:type="dxa"/>
            <w:gridSpan w:val="2"/>
            <w:noWrap w:val="0"/>
            <w:vAlign w:val="top"/>
          </w:tcPr>
          <w:p w14:paraId="2F71D058">
            <w:pPr>
              <w:pStyle w:val="55"/>
              <w:spacing w:before="172" w:line="223" w:lineRule="auto"/>
              <w:ind w:left="161"/>
              <w:rPr>
                <w:sz w:val="24"/>
                <w:szCs w:val="24"/>
              </w:rPr>
            </w:pPr>
            <w:r>
              <w:rPr>
                <w:spacing w:val="-4"/>
                <w:sz w:val="24"/>
                <w:szCs w:val="24"/>
              </w:rPr>
              <w:t>工程概况说明</w:t>
            </w:r>
          </w:p>
        </w:tc>
        <w:tc>
          <w:tcPr>
            <w:tcW w:w="2525" w:type="dxa"/>
            <w:gridSpan w:val="2"/>
            <w:noWrap w:val="0"/>
            <w:vAlign w:val="top"/>
          </w:tcPr>
          <w:p w14:paraId="549DF180">
            <w:pPr>
              <w:pStyle w:val="55"/>
              <w:spacing w:before="172" w:line="224" w:lineRule="auto"/>
              <w:ind w:left="166"/>
              <w:rPr>
                <w:sz w:val="24"/>
                <w:szCs w:val="24"/>
              </w:rPr>
            </w:pPr>
            <w:r>
              <w:rPr>
                <w:spacing w:val="-4"/>
                <w:sz w:val="24"/>
                <w:szCs w:val="24"/>
              </w:rPr>
              <w:t>发包人及联系电话</w:t>
            </w:r>
          </w:p>
        </w:tc>
      </w:tr>
      <w:tr w14:paraId="1DCF4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2" w:type="dxa"/>
            <w:noWrap w:val="0"/>
            <w:vAlign w:val="top"/>
          </w:tcPr>
          <w:p w14:paraId="12D7F64D">
            <w:pPr>
              <w:rPr>
                <w:rFonts w:ascii="Arial"/>
                <w:sz w:val="24"/>
                <w:szCs w:val="24"/>
              </w:rPr>
            </w:pPr>
          </w:p>
        </w:tc>
        <w:tc>
          <w:tcPr>
            <w:tcW w:w="3145" w:type="dxa"/>
            <w:gridSpan w:val="4"/>
            <w:noWrap w:val="0"/>
            <w:vAlign w:val="top"/>
          </w:tcPr>
          <w:p w14:paraId="7998A47F">
            <w:pPr>
              <w:rPr>
                <w:rFonts w:ascii="Arial"/>
                <w:sz w:val="24"/>
                <w:szCs w:val="24"/>
              </w:rPr>
            </w:pPr>
          </w:p>
        </w:tc>
        <w:tc>
          <w:tcPr>
            <w:tcW w:w="1954" w:type="dxa"/>
            <w:gridSpan w:val="2"/>
            <w:noWrap w:val="0"/>
            <w:vAlign w:val="top"/>
          </w:tcPr>
          <w:p w14:paraId="4A94BCCB">
            <w:pPr>
              <w:rPr>
                <w:rFonts w:ascii="Arial"/>
                <w:sz w:val="24"/>
                <w:szCs w:val="24"/>
              </w:rPr>
            </w:pPr>
          </w:p>
        </w:tc>
        <w:tc>
          <w:tcPr>
            <w:tcW w:w="2525" w:type="dxa"/>
            <w:gridSpan w:val="2"/>
            <w:noWrap w:val="0"/>
            <w:vAlign w:val="top"/>
          </w:tcPr>
          <w:p w14:paraId="49C14719">
            <w:pPr>
              <w:rPr>
                <w:rFonts w:ascii="Arial"/>
                <w:sz w:val="24"/>
                <w:szCs w:val="24"/>
              </w:rPr>
            </w:pPr>
          </w:p>
        </w:tc>
      </w:tr>
      <w:tr w14:paraId="77DCC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2" w:type="dxa"/>
            <w:noWrap w:val="0"/>
            <w:vAlign w:val="top"/>
          </w:tcPr>
          <w:p w14:paraId="4E0C11FD">
            <w:pPr>
              <w:rPr>
                <w:rFonts w:ascii="Arial"/>
                <w:sz w:val="24"/>
                <w:szCs w:val="24"/>
              </w:rPr>
            </w:pPr>
          </w:p>
        </w:tc>
        <w:tc>
          <w:tcPr>
            <w:tcW w:w="3145" w:type="dxa"/>
            <w:gridSpan w:val="4"/>
            <w:noWrap w:val="0"/>
            <w:vAlign w:val="top"/>
          </w:tcPr>
          <w:p w14:paraId="7D0B55DB">
            <w:pPr>
              <w:rPr>
                <w:rFonts w:ascii="Arial"/>
                <w:sz w:val="24"/>
                <w:szCs w:val="24"/>
              </w:rPr>
            </w:pPr>
          </w:p>
        </w:tc>
        <w:tc>
          <w:tcPr>
            <w:tcW w:w="1954" w:type="dxa"/>
            <w:gridSpan w:val="2"/>
            <w:noWrap w:val="0"/>
            <w:vAlign w:val="top"/>
          </w:tcPr>
          <w:p w14:paraId="5AD87AE6">
            <w:pPr>
              <w:rPr>
                <w:rFonts w:ascii="Arial"/>
                <w:sz w:val="24"/>
                <w:szCs w:val="24"/>
              </w:rPr>
            </w:pPr>
          </w:p>
        </w:tc>
        <w:tc>
          <w:tcPr>
            <w:tcW w:w="2525" w:type="dxa"/>
            <w:gridSpan w:val="2"/>
            <w:noWrap w:val="0"/>
            <w:vAlign w:val="top"/>
          </w:tcPr>
          <w:p w14:paraId="0CAECB30">
            <w:pPr>
              <w:rPr>
                <w:rFonts w:ascii="Arial"/>
                <w:sz w:val="24"/>
                <w:szCs w:val="24"/>
              </w:rPr>
            </w:pPr>
          </w:p>
        </w:tc>
      </w:tr>
      <w:tr w14:paraId="5B8F2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2" w:type="dxa"/>
            <w:noWrap w:val="0"/>
            <w:vAlign w:val="top"/>
          </w:tcPr>
          <w:p w14:paraId="2E358520">
            <w:pPr>
              <w:rPr>
                <w:rFonts w:ascii="Arial"/>
                <w:sz w:val="24"/>
                <w:szCs w:val="24"/>
              </w:rPr>
            </w:pPr>
          </w:p>
        </w:tc>
        <w:tc>
          <w:tcPr>
            <w:tcW w:w="3145" w:type="dxa"/>
            <w:gridSpan w:val="4"/>
            <w:noWrap w:val="0"/>
            <w:vAlign w:val="top"/>
          </w:tcPr>
          <w:p w14:paraId="070A829D">
            <w:pPr>
              <w:rPr>
                <w:rFonts w:ascii="Arial"/>
                <w:sz w:val="24"/>
                <w:szCs w:val="24"/>
              </w:rPr>
            </w:pPr>
          </w:p>
        </w:tc>
        <w:tc>
          <w:tcPr>
            <w:tcW w:w="1954" w:type="dxa"/>
            <w:gridSpan w:val="2"/>
            <w:noWrap w:val="0"/>
            <w:vAlign w:val="top"/>
          </w:tcPr>
          <w:p w14:paraId="153C459C">
            <w:pPr>
              <w:rPr>
                <w:rFonts w:ascii="Arial"/>
                <w:sz w:val="24"/>
                <w:szCs w:val="24"/>
              </w:rPr>
            </w:pPr>
          </w:p>
        </w:tc>
        <w:tc>
          <w:tcPr>
            <w:tcW w:w="2525" w:type="dxa"/>
            <w:gridSpan w:val="2"/>
            <w:noWrap w:val="0"/>
            <w:vAlign w:val="top"/>
          </w:tcPr>
          <w:p w14:paraId="3260C0F0">
            <w:pPr>
              <w:rPr>
                <w:rFonts w:ascii="Arial"/>
                <w:sz w:val="24"/>
                <w:szCs w:val="24"/>
              </w:rPr>
            </w:pPr>
          </w:p>
        </w:tc>
      </w:tr>
      <w:tr w14:paraId="04A80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392" w:type="dxa"/>
            <w:noWrap w:val="0"/>
            <w:vAlign w:val="top"/>
          </w:tcPr>
          <w:p w14:paraId="37873F1E">
            <w:pPr>
              <w:rPr>
                <w:rFonts w:ascii="Arial"/>
                <w:sz w:val="24"/>
                <w:szCs w:val="24"/>
              </w:rPr>
            </w:pPr>
          </w:p>
        </w:tc>
        <w:tc>
          <w:tcPr>
            <w:tcW w:w="3145" w:type="dxa"/>
            <w:gridSpan w:val="4"/>
            <w:noWrap w:val="0"/>
            <w:vAlign w:val="top"/>
          </w:tcPr>
          <w:p w14:paraId="20D04B88">
            <w:pPr>
              <w:rPr>
                <w:rFonts w:ascii="Arial"/>
                <w:sz w:val="24"/>
                <w:szCs w:val="24"/>
              </w:rPr>
            </w:pPr>
          </w:p>
        </w:tc>
        <w:tc>
          <w:tcPr>
            <w:tcW w:w="1954" w:type="dxa"/>
            <w:gridSpan w:val="2"/>
            <w:noWrap w:val="0"/>
            <w:vAlign w:val="top"/>
          </w:tcPr>
          <w:p w14:paraId="3E5D4ECE">
            <w:pPr>
              <w:rPr>
                <w:rFonts w:ascii="Arial"/>
                <w:sz w:val="24"/>
                <w:szCs w:val="24"/>
              </w:rPr>
            </w:pPr>
          </w:p>
        </w:tc>
        <w:tc>
          <w:tcPr>
            <w:tcW w:w="2525" w:type="dxa"/>
            <w:gridSpan w:val="2"/>
            <w:noWrap w:val="0"/>
            <w:vAlign w:val="top"/>
          </w:tcPr>
          <w:p w14:paraId="5BFFBA6A">
            <w:pPr>
              <w:rPr>
                <w:rFonts w:ascii="Arial"/>
                <w:sz w:val="24"/>
                <w:szCs w:val="24"/>
              </w:rPr>
            </w:pPr>
          </w:p>
        </w:tc>
      </w:tr>
    </w:tbl>
    <w:p w14:paraId="07545F89">
      <w:pPr>
        <w:pStyle w:val="2"/>
        <w:spacing w:before="175" w:line="411" w:lineRule="auto"/>
        <w:ind w:right="163" w:firstLine="7"/>
        <w:jc w:val="both"/>
        <w:rPr>
          <w:spacing w:val="-3"/>
          <w:sz w:val="24"/>
          <w:szCs w:val="24"/>
        </w:rPr>
      </w:pPr>
      <w:r>
        <w:rPr>
          <w:spacing w:val="-2"/>
          <w:sz w:val="24"/>
          <w:szCs w:val="24"/>
        </w:rPr>
        <w:t>注：项目经理应附建造师执业资格证书、注册证书、安全生产考核合</w:t>
      </w:r>
      <w:r>
        <w:rPr>
          <w:spacing w:val="-3"/>
          <w:sz w:val="24"/>
          <w:szCs w:val="24"/>
        </w:rPr>
        <w:t>格证书、</w:t>
      </w:r>
      <w:r>
        <w:rPr>
          <w:sz w:val="24"/>
          <w:szCs w:val="24"/>
        </w:rPr>
        <w:t xml:space="preserve"> </w:t>
      </w:r>
      <w:r>
        <w:rPr>
          <w:spacing w:val="-2"/>
          <w:sz w:val="24"/>
          <w:szCs w:val="24"/>
        </w:rPr>
        <w:t>身份证</w:t>
      </w:r>
      <w:r>
        <w:rPr>
          <w:spacing w:val="-2"/>
          <w:sz w:val="24"/>
          <w:szCs w:val="24"/>
          <w:highlight w:val="none"/>
        </w:rPr>
        <w:t>、学历</w:t>
      </w:r>
      <w:r>
        <w:rPr>
          <w:spacing w:val="-2"/>
          <w:sz w:val="24"/>
          <w:szCs w:val="24"/>
        </w:rPr>
        <w:t>证书、</w:t>
      </w:r>
      <w:r>
        <w:rPr>
          <w:rFonts w:hint="eastAsia"/>
          <w:spacing w:val="-2"/>
          <w:sz w:val="24"/>
          <w:szCs w:val="24"/>
          <w:lang w:val="en-US" w:eastAsia="zh-CN"/>
        </w:rPr>
        <w:t>近三个月任意一个月</w:t>
      </w:r>
      <w:r>
        <w:rPr>
          <w:spacing w:val="-3"/>
          <w:sz w:val="24"/>
          <w:szCs w:val="24"/>
        </w:rPr>
        <w:t>的社保证明等复印件以及未担任其他在施建设工程项目项目经理的承诺。</w:t>
      </w:r>
    </w:p>
    <w:p w14:paraId="47F553FA">
      <w:pPr>
        <w:pStyle w:val="2"/>
        <w:spacing w:before="175" w:line="411" w:lineRule="auto"/>
        <w:ind w:right="163" w:firstLine="7"/>
        <w:jc w:val="both"/>
        <w:rPr>
          <w:spacing w:val="-3"/>
          <w:sz w:val="24"/>
          <w:szCs w:val="24"/>
        </w:rPr>
      </w:pPr>
    </w:p>
    <w:p w14:paraId="4F3789E4">
      <w:pPr>
        <w:pStyle w:val="2"/>
        <w:spacing w:before="175" w:line="411" w:lineRule="auto"/>
        <w:ind w:right="163" w:firstLine="7"/>
        <w:jc w:val="both"/>
        <w:rPr>
          <w:spacing w:val="-3"/>
          <w:sz w:val="24"/>
          <w:szCs w:val="24"/>
        </w:rPr>
      </w:pPr>
    </w:p>
    <w:p w14:paraId="5A0FF742">
      <w:pPr>
        <w:pStyle w:val="2"/>
        <w:spacing w:before="175" w:line="411" w:lineRule="auto"/>
        <w:ind w:right="163" w:firstLine="7"/>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4"/>
          <w:lang w:val="en-US" w:eastAsia="zh-CN"/>
        </w:rPr>
        <w:t>2.</w:t>
      </w:r>
      <w:r>
        <w:rPr>
          <w:rFonts w:hint="eastAsia" w:asciiTheme="minorEastAsia" w:hAnsiTheme="minorEastAsia" w:eastAsiaTheme="minorEastAsia" w:cstheme="minorEastAsia"/>
          <w:spacing w:val="-4"/>
        </w:rPr>
        <w:t>其他主要人</w:t>
      </w:r>
      <w:r>
        <w:rPr>
          <w:rFonts w:hint="eastAsia" w:asciiTheme="minorEastAsia" w:hAnsiTheme="minorEastAsia" w:eastAsiaTheme="minorEastAsia" w:cstheme="minorEastAsia"/>
          <w:spacing w:val="-7"/>
        </w:rPr>
        <w:t>员配置情况</w:t>
      </w:r>
      <w:r>
        <w:rPr>
          <w:rFonts w:hint="eastAsia" w:asciiTheme="minorEastAsia" w:hAnsiTheme="minorEastAsia" w:eastAsiaTheme="minorEastAsia" w:cstheme="minorEastAsia"/>
          <w:spacing w:val="-7"/>
          <w:lang w:eastAsia="zh-CN"/>
        </w:rPr>
        <w:t>：</w:t>
      </w:r>
    </w:p>
    <w:p w14:paraId="4E3C585B">
      <w:pPr>
        <w:spacing w:line="364" w:lineRule="exact"/>
        <w:ind w:right="-2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kern w:val="2"/>
          <w:sz w:val="32"/>
          <w:szCs w:val="32"/>
          <w:highlight w:val="none"/>
          <w:lang w:val="en-US" w:eastAsia="zh-CN" w:bidi="ar-SA"/>
        </w:rPr>
        <w:t>拟投入项目组成人员简历表</w:t>
      </w:r>
    </w:p>
    <w:p w14:paraId="6C95E638">
      <w:pPr>
        <w:spacing w:before="7" w:line="40" w:lineRule="exact"/>
        <w:rPr>
          <w:rFonts w:asciiTheme="minorEastAsia" w:hAnsiTheme="minorEastAsia" w:eastAsiaTheme="minorEastAsia" w:cstheme="minorEastAsia"/>
          <w:sz w:val="4"/>
          <w:szCs w:val="4"/>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175"/>
        <w:gridCol w:w="1147"/>
        <w:gridCol w:w="1176"/>
        <w:gridCol w:w="1176"/>
        <w:gridCol w:w="1150"/>
        <w:gridCol w:w="1176"/>
        <w:gridCol w:w="1144"/>
      </w:tblGrid>
      <w:tr w14:paraId="2E41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73" w:type="dxa"/>
            <w:vAlign w:val="center"/>
          </w:tcPr>
          <w:p w14:paraId="7D0BCB3E">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p>
        </w:tc>
        <w:tc>
          <w:tcPr>
            <w:tcW w:w="1175" w:type="dxa"/>
            <w:vAlign w:val="center"/>
          </w:tcPr>
          <w:p w14:paraId="4E3CD269">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身份证号码</w:t>
            </w:r>
          </w:p>
        </w:tc>
        <w:tc>
          <w:tcPr>
            <w:tcW w:w="1147" w:type="dxa"/>
            <w:vAlign w:val="center"/>
          </w:tcPr>
          <w:p w14:paraId="4BCCD38C">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性别</w:t>
            </w:r>
          </w:p>
        </w:tc>
        <w:tc>
          <w:tcPr>
            <w:tcW w:w="1176" w:type="dxa"/>
            <w:vAlign w:val="center"/>
          </w:tcPr>
          <w:p w14:paraId="5884D488">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职称</w:t>
            </w:r>
          </w:p>
        </w:tc>
        <w:tc>
          <w:tcPr>
            <w:tcW w:w="1176" w:type="dxa"/>
            <w:vAlign w:val="center"/>
          </w:tcPr>
          <w:p w14:paraId="74C23D1E">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学历</w:t>
            </w:r>
          </w:p>
        </w:tc>
        <w:tc>
          <w:tcPr>
            <w:tcW w:w="1150" w:type="dxa"/>
            <w:vAlign w:val="center"/>
          </w:tcPr>
          <w:p w14:paraId="66EECC64">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专业</w:t>
            </w:r>
          </w:p>
        </w:tc>
        <w:tc>
          <w:tcPr>
            <w:tcW w:w="1176" w:type="dxa"/>
            <w:vAlign w:val="center"/>
          </w:tcPr>
          <w:p w14:paraId="5D83FCA8">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从事工作年限</w:t>
            </w:r>
          </w:p>
        </w:tc>
        <w:tc>
          <w:tcPr>
            <w:tcW w:w="1144" w:type="dxa"/>
          </w:tcPr>
          <w:p w14:paraId="35A7AF08">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14:paraId="21B4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0ADFA1D9">
            <w:pPr>
              <w:rPr>
                <w:rFonts w:asciiTheme="minorEastAsia" w:hAnsiTheme="minorEastAsia" w:eastAsiaTheme="minorEastAsia" w:cstheme="minorEastAsia"/>
                <w:sz w:val="24"/>
                <w:szCs w:val="24"/>
                <w:highlight w:val="none"/>
              </w:rPr>
            </w:pPr>
          </w:p>
        </w:tc>
        <w:tc>
          <w:tcPr>
            <w:tcW w:w="1175" w:type="dxa"/>
          </w:tcPr>
          <w:p w14:paraId="7962A630">
            <w:pPr>
              <w:rPr>
                <w:rFonts w:asciiTheme="minorEastAsia" w:hAnsiTheme="minorEastAsia" w:eastAsiaTheme="minorEastAsia" w:cstheme="minorEastAsia"/>
                <w:sz w:val="24"/>
                <w:szCs w:val="24"/>
                <w:highlight w:val="none"/>
              </w:rPr>
            </w:pPr>
          </w:p>
        </w:tc>
        <w:tc>
          <w:tcPr>
            <w:tcW w:w="1147" w:type="dxa"/>
          </w:tcPr>
          <w:p w14:paraId="0B72E00A">
            <w:pPr>
              <w:rPr>
                <w:rFonts w:asciiTheme="minorEastAsia" w:hAnsiTheme="minorEastAsia" w:eastAsiaTheme="minorEastAsia" w:cstheme="minorEastAsia"/>
                <w:sz w:val="24"/>
                <w:szCs w:val="24"/>
                <w:highlight w:val="none"/>
              </w:rPr>
            </w:pPr>
          </w:p>
        </w:tc>
        <w:tc>
          <w:tcPr>
            <w:tcW w:w="1176" w:type="dxa"/>
          </w:tcPr>
          <w:p w14:paraId="3FC702DB">
            <w:pPr>
              <w:rPr>
                <w:rFonts w:asciiTheme="minorEastAsia" w:hAnsiTheme="minorEastAsia" w:eastAsiaTheme="minorEastAsia" w:cstheme="minorEastAsia"/>
                <w:sz w:val="24"/>
                <w:szCs w:val="24"/>
                <w:highlight w:val="none"/>
              </w:rPr>
            </w:pPr>
          </w:p>
        </w:tc>
        <w:tc>
          <w:tcPr>
            <w:tcW w:w="1176" w:type="dxa"/>
          </w:tcPr>
          <w:p w14:paraId="1E110965">
            <w:pPr>
              <w:rPr>
                <w:rFonts w:asciiTheme="minorEastAsia" w:hAnsiTheme="minorEastAsia" w:eastAsiaTheme="minorEastAsia" w:cstheme="minorEastAsia"/>
                <w:sz w:val="24"/>
                <w:szCs w:val="24"/>
                <w:highlight w:val="none"/>
              </w:rPr>
            </w:pPr>
          </w:p>
        </w:tc>
        <w:tc>
          <w:tcPr>
            <w:tcW w:w="1150" w:type="dxa"/>
          </w:tcPr>
          <w:p w14:paraId="0AC77052">
            <w:pPr>
              <w:rPr>
                <w:rFonts w:asciiTheme="minorEastAsia" w:hAnsiTheme="minorEastAsia" w:eastAsiaTheme="minorEastAsia" w:cstheme="minorEastAsia"/>
                <w:sz w:val="24"/>
                <w:szCs w:val="24"/>
                <w:highlight w:val="none"/>
              </w:rPr>
            </w:pPr>
          </w:p>
        </w:tc>
        <w:tc>
          <w:tcPr>
            <w:tcW w:w="1176" w:type="dxa"/>
          </w:tcPr>
          <w:p w14:paraId="514C6EF4">
            <w:pPr>
              <w:rPr>
                <w:rFonts w:asciiTheme="minorEastAsia" w:hAnsiTheme="minorEastAsia" w:eastAsiaTheme="minorEastAsia" w:cstheme="minorEastAsia"/>
                <w:sz w:val="24"/>
                <w:szCs w:val="24"/>
                <w:highlight w:val="none"/>
              </w:rPr>
            </w:pPr>
          </w:p>
        </w:tc>
        <w:tc>
          <w:tcPr>
            <w:tcW w:w="1144" w:type="dxa"/>
          </w:tcPr>
          <w:p w14:paraId="36087E10">
            <w:pPr>
              <w:rPr>
                <w:rFonts w:asciiTheme="minorEastAsia" w:hAnsiTheme="minorEastAsia" w:eastAsiaTheme="minorEastAsia" w:cstheme="minorEastAsia"/>
                <w:sz w:val="24"/>
                <w:szCs w:val="24"/>
                <w:highlight w:val="none"/>
              </w:rPr>
            </w:pPr>
          </w:p>
        </w:tc>
      </w:tr>
      <w:tr w14:paraId="5138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5F084DE9">
            <w:pPr>
              <w:rPr>
                <w:rFonts w:asciiTheme="minorEastAsia" w:hAnsiTheme="minorEastAsia" w:eastAsiaTheme="minorEastAsia" w:cstheme="minorEastAsia"/>
                <w:sz w:val="24"/>
                <w:szCs w:val="24"/>
                <w:highlight w:val="none"/>
              </w:rPr>
            </w:pPr>
          </w:p>
        </w:tc>
        <w:tc>
          <w:tcPr>
            <w:tcW w:w="1175" w:type="dxa"/>
          </w:tcPr>
          <w:p w14:paraId="2CBF20E8">
            <w:pPr>
              <w:rPr>
                <w:rFonts w:asciiTheme="minorEastAsia" w:hAnsiTheme="minorEastAsia" w:eastAsiaTheme="minorEastAsia" w:cstheme="minorEastAsia"/>
                <w:sz w:val="24"/>
                <w:szCs w:val="24"/>
                <w:highlight w:val="none"/>
              </w:rPr>
            </w:pPr>
          </w:p>
        </w:tc>
        <w:tc>
          <w:tcPr>
            <w:tcW w:w="1147" w:type="dxa"/>
          </w:tcPr>
          <w:p w14:paraId="59832D65">
            <w:pPr>
              <w:rPr>
                <w:rFonts w:asciiTheme="minorEastAsia" w:hAnsiTheme="minorEastAsia" w:eastAsiaTheme="minorEastAsia" w:cstheme="minorEastAsia"/>
                <w:sz w:val="24"/>
                <w:szCs w:val="24"/>
                <w:highlight w:val="none"/>
              </w:rPr>
            </w:pPr>
          </w:p>
        </w:tc>
        <w:tc>
          <w:tcPr>
            <w:tcW w:w="1176" w:type="dxa"/>
          </w:tcPr>
          <w:p w14:paraId="699B4963">
            <w:pPr>
              <w:rPr>
                <w:rFonts w:asciiTheme="minorEastAsia" w:hAnsiTheme="minorEastAsia" w:eastAsiaTheme="minorEastAsia" w:cstheme="minorEastAsia"/>
                <w:sz w:val="24"/>
                <w:szCs w:val="24"/>
                <w:highlight w:val="none"/>
              </w:rPr>
            </w:pPr>
          </w:p>
        </w:tc>
        <w:tc>
          <w:tcPr>
            <w:tcW w:w="1176" w:type="dxa"/>
          </w:tcPr>
          <w:p w14:paraId="5FFCC35D">
            <w:pPr>
              <w:rPr>
                <w:rFonts w:asciiTheme="minorEastAsia" w:hAnsiTheme="minorEastAsia" w:eastAsiaTheme="minorEastAsia" w:cstheme="minorEastAsia"/>
                <w:sz w:val="24"/>
                <w:szCs w:val="24"/>
                <w:highlight w:val="none"/>
              </w:rPr>
            </w:pPr>
          </w:p>
        </w:tc>
        <w:tc>
          <w:tcPr>
            <w:tcW w:w="1150" w:type="dxa"/>
          </w:tcPr>
          <w:p w14:paraId="45666648">
            <w:pPr>
              <w:rPr>
                <w:rFonts w:asciiTheme="minorEastAsia" w:hAnsiTheme="minorEastAsia" w:eastAsiaTheme="minorEastAsia" w:cstheme="minorEastAsia"/>
                <w:sz w:val="24"/>
                <w:szCs w:val="24"/>
                <w:highlight w:val="none"/>
              </w:rPr>
            </w:pPr>
          </w:p>
        </w:tc>
        <w:tc>
          <w:tcPr>
            <w:tcW w:w="1176" w:type="dxa"/>
          </w:tcPr>
          <w:p w14:paraId="49795393">
            <w:pPr>
              <w:rPr>
                <w:rFonts w:asciiTheme="minorEastAsia" w:hAnsiTheme="minorEastAsia" w:eastAsiaTheme="minorEastAsia" w:cstheme="minorEastAsia"/>
                <w:sz w:val="24"/>
                <w:szCs w:val="24"/>
                <w:highlight w:val="none"/>
              </w:rPr>
            </w:pPr>
          </w:p>
        </w:tc>
        <w:tc>
          <w:tcPr>
            <w:tcW w:w="1144" w:type="dxa"/>
          </w:tcPr>
          <w:p w14:paraId="4D879699">
            <w:pPr>
              <w:rPr>
                <w:rFonts w:asciiTheme="minorEastAsia" w:hAnsiTheme="minorEastAsia" w:eastAsiaTheme="minorEastAsia" w:cstheme="minorEastAsia"/>
                <w:sz w:val="24"/>
                <w:szCs w:val="24"/>
                <w:highlight w:val="none"/>
              </w:rPr>
            </w:pPr>
          </w:p>
        </w:tc>
      </w:tr>
      <w:tr w14:paraId="0DD1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3BB76410">
            <w:pPr>
              <w:rPr>
                <w:rFonts w:asciiTheme="minorEastAsia" w:hAnsiTheme="minorEastAsia" w:eastAsiaTheme="minorEastAsia" w:cstheme="minorEastAsia"/>
                <w:sz w:val="24"/>
                <w:szCs w:val="24"/>
                <w:highlight w:val="none"/>
              </w:rPr>
            </w:pPr>
          </w:p>
        </w:tc>
        <w:tc>
          <w:tcPr>
            <w:tcW w:w="1175" w:type="dxa"/>
          </w:tcPr>
          <w:p w14:paraId="473031BF">
            <w:pPr>
              <w:rPr>
                <w:rFonts w:asciiTheme="minorEastAsia" w:hAnsiTheme="minorEastAsia" w:eastAsiaTheme="minorEastAsia" w:cstheme="minorEastAsia"/>
                <w:sz w:val="24"/>
                <w:szCs w:val="24"/>
                <w:highlight w:val="none"/>
              </w:rPr>
            </w:pPr>
          </w:p>
        </w:tc>
        <w:tc>
          <w:tcPr>
            <w:tcW w:w="1147" w:type="dxa"/>
          </w:tcPr>
          <w:p w14:paraId="03C370F3">
            <w:pPr>
              <w:rPr>
                <w:rFonts w:asciiTheme="minorEastAsia" w:hAnsiTheme="minorEastAsia" w:eastAsiaTheme="minorEastAsia" w:cstheme="minorEastAsia"/>
                <w:sz w:val="24"/>
                <w:szCs w:val="24"/>
                <w:highlight w:val="none"/>
              </w:rPr>
            </w:pPr>
          </w:p>
        </w:tc>
        <w:tc>
          <w:tcPr>
            <w:tcW w:w="1176" w:type="dxa"/>
          </w:tcPr>
          <w:p w14:paraId="6226994D">
            <w:pPr>
              <w:rPr>
                <w:rFonts w:asciiTheme="minorEastAsia" w:hAnsiTheme="minorEastAsia" w:eastAsiaTheme="minorEastAsia" w:cstheme="minorEastAsia"/>
                <w:sz w:val="24"/>
                <w:szCs w:val="24"/>
                <w:highlight w:val="none"/>
              </w:rPr>
            </w:pPr>
          </w:p>
        </w:tc>
        <w:tc>
          <w:tcPr>
            <w:tcW w:w="1176" w:type="dxa"/>
          </w:tcPr>
          <w:p w14:paraId="7779B2BA">
            <w:pPr>
              <w:rPr>
                <w:rFonts w:asciiTheme="minorEastAsia" w:hAnsiTheme="minorEastAsia" w:eastAsiaTheme="minorEastAsia" w:cstheme="minorEastAsia"/>
                <w:sz w:val="24"/>
                <w:szCs w:val="24"/>
                <w:highlight w:val="none"/>
              </w:rPr>
            </w:pPr>
          </w:p>
        </w:tc>
        <w:tc>
          <w:tcPr>
            <w:tcW w:w="1150" w:type="dxa"/>
          </w:tcPr>
          <w:p w14:paraId="0C0BE7C9">
            <w:pPr>
              <w:rPr>
                <w:rFonts w:asciiTheme="minorEastAsia" w:hAnsiTheme="minorEastAsia" w:eastAsiaTheme="minorEastAsia" w:cstheme="minorEastAsia"/>
                <w:sz w:val="24"/>
                <w:szCs w:val="24"/>
                <w:highlight w:val="none"/>
              </w:rPr>
            </w:pPr>
          </w:p>
        </w:tc>
        <w:tc>
          <w:tcPr>
            <w:tcW w:w="1176" w:type="dxa"/>
          </w:tcPr>
          <w:p w14:paraId="2A1F7496">
            <w:pPr>
              <w:rPr>
                <w:rFonts w:asciiTheme="minorEastAsia" w:hAnsiTheme="minorEastAsia" w:eastAsiaTheme="minorEastAsia" w:cstheme="minorEastAsia"/>
                <w:sz w:val="24"/>
                <w:szCs w:val="24"/>
                <w:highlight w:val="none"/>
              </w:rPr>
            </w:pPr>
          </w:p>
        </w:tc>
        <w:tc>
          <w:tcPr>
            <w:tcW w:w="1144" w:type="dxa"/>
          </w:tcPr>
          <w:p w14:paraId="576DB844">
            <w:pPr>
              <w:rPr>
                <w:rFonts w:asciiTheme="minorEastAsia" w:hAnsiTheme="minorEastAsia" w:eastAsiaTheme="minorEastAsia" w:cstheme="minorEastAsia"/>
                <w:sz w:val="24"/>
                <w:szCs w:val="24"/>
                <w:highlight w:val="none"/>
              </w:rPr>
            </w:pPr>
          </w:p>
        </w:tc>
      </w:tr>
      <w:tr w14:paraId="6845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11057249">
            <w:pPr>
              <w:rPr>
                <w:rFonts w:asciiTheme="minorEastAsia" w:hAnsiTheme="minorEastAsia" w:eastAsiaTheme="minorEastAsia" w:cstheme="minorEastAsia"/>
                <w:sz w:val="24"/>
                <w:szCs w:val="24"/>
                <w:highlight w:val="none"/>
              </w:rPr>
            </w:pPr>
          </w:p>
        </w:tc>
        <w:tc>
          <w:tcPr>
            <w:tcW w:w="1175" w:type="dxa"/>
          </w:tcPr>
          <w:p w14:paraId="5E55738C">
            <w:pPr>
              <w:rPr>
                <w:rFonts w:asciiTheme="minorEastAsia" w:hAnsiTheme="minorEastAsia" w:eastAsiaTheme="minorEastAsia" w:cstheme="minorEastAsia"/>
                <w:sz w:val="24"/>
                <w:szCs w:val="24"/>
                <w:highlight w:val="none"/>
              </w:rPr>
            </w:pPr>
          </w:p>
        </w:tc>
        <w:tc>
          <w:tcPr>
            <w:tcW w:w="1147" w:type="dxa"/>
          </w:tcPr>
          <w:p w14:paraId="13FA03B4">
            <w:pPr>
              <w:rPr>
                <w:rFonts w:asciiTheme="minorEastAsia" w:hAnsiTheme="minorEastAsia" w:eastAsiaTheme="minorEastAsia" w:cstheme="minorEastAsia"/>
                <w:sz w:val="24"/>
                <w:szCs w:val="24"/>
                <w:highlight w:val="none"/>
              </w:rPr>
            </w:pPr>
          </w:p>
        </w:tc>
        <w:tc>
          <w:tcPr>
            <w:tcW w:w="1176" w:type="dxa"/>
          </w:tcPr>
          <w:p w14:paraId="41CB7545">
            <w:pPr>
              <w:rPr>
                <w:rFonts w:asciiTheme="minorEastAsia" w:hAnsiTheme="minorEastAsia" w:eastAsiaTheme="minorEastAsia" w:cstheme="minorEastAsia"/>
                <w:sz w:val="24"/>
                <w:szCs w:val="24"/>
                <w:highlight w:val="none"/>
              </w:rPr>
            </w:pPr>
          </w:p>
        </w:tc>
        <w:tc>
          <w:tcPr>
            <w:tcW w:w="1176" w:type="dxa"/>
          </w:tcPr>
          <w:p w14:paraId="4ED0BE28">
            <w:pPr>
              <w:rPr>
                <w:rFonts w:asciiTheme="minorEastAsia" w:hAnsiTheme="minorEastAsia" w:eastAsiaTheme="minorEastAsia" w:cstheme="minorEastAsia"/>
                <w:sz w:val="24"/>
                <w:szCs w:val="24"/>
                <w:highlight w:val="none"/>
              </w:rPr>
            </w:pPr>
          </w:p>
        </w:tc>
        <w:tc>
          <w:tcPr>
            <w:tcW w:w="1150" w:type="dxa"/>
          </w:tcPr>
          <w:p w14:paraId="3CDB6EEE">
            <w:pPr>
              <w:rPr>
                <w:rFonts w:asciiTheme="minorEastAsia" w:hAnsiTheme="minorEastAsia" w:eastAsiaTheme="minorEastAsia" w:cstheme="minorEastAsia"/>
                <w:sz w:val="24"/>
                <w:szCs w:val="24"/>
                <w:highlight w:val="none"/>
              </w:rPr>
            </w:pPr>
          </w:p>
        </w:tc>
        <w:tc>
          <w:tcPr>
            <w:tcW w:w="1176" w:type="dxa"/>
          </w:tcPr>
          <w:p w14:paraId="31F238A6">
            <w:pPr>
              <w:rPr>
                <w:rFonts w:asciiTheme="minorEastAsia" w:hAnsiTheme="minorEastAsia" w:eastAsiaTheme="minorEastAsia" w:cstheme="minorEastAsia"/>
                <w:sz w:val="24"/>
                <w:szCs w:val="24"/>
                <w:highlight w:val="none"/>
              </w:rPr>
            </w:pPr>
          </w:p>
        </w:tc>
        <w:tc>
          <w:tcPr>
            <w:tcW w:w="1144" w:type="dxa"/>
          </w:tcPr>
          <w:p w14:paraId="53866756">
            <w:pPr>
              <w:rPr>
                <w:rFonts w:asciiTheme="minorEastAsia" w:hAnsiTheme="minorEastAsia" w:eastAsiaTheme="minorEastAsia" w:cstheme="minorEastAsia"/>
                <w:sz w:val="24"/>
                <w:szCs w:val="24"/>
                <w:highlight w:val="none"/>
              </w:rPr>
            </w:pPr>
          </w:p>
        </w:tc>
      </w:tr>
      <w:tr w14:paraId="7061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395773B8">
            <w:pPr>
              <w:rPr>
                <w:rFonts w:asciiTheme="minorEastAsia" w:hAnsiTheme="minorEastAsia" w:eastAsiaTheme="minorEastAsia" w:cstheme="minorEastAsia"/>
                <w:sz w:val="24"/>
                <w:szCs w:val="24"/>
                <w:highlight w:val="none"/>
              </w:rPr>
            </w:pPr>
          </w:p>
        </w:tc>
        <w:tc>
          <w:tcPr>
            <w:tcW w:w="1175" w:type="dxa"/>
          </w:tcPr>
          <w:p w14:paraId="7EDF36AD">
            <w:pPr>
              <w:rPr>
                <w:rFonts w:asciiTheme="minorEastAsia" w:hAnsiTheme="minorEastAsia" w:eastAsiaTheme="minorEastAsia" w:cstheme="minorEastAsia"/>
                <w:sz w:val="24"/>
                <w:szCs w:val="24"/>
                <w:highlight w:val="none"/>
              </w:rPr>
            </w:pPr>
          </w:p>
        </w:tc>
        <w:tc>
          <w:tcPr>
            <w:tcW w:w="1147" w:type="dxa"/>
          </w:tcPr>
          <w:p w14:paraId="2E2DBFB3">
            <w:pPr>
              <w:rPr>
                <w:rFonts w:asciiTheme="minorEastAsia" w:hAnsiTheme="minorEastAsia" w:eastAsiaTheme="minorEastAsia" w:cstheme="minorEastAsia"/>
                <w:sz w:val="24"/>
                <w:szCs w:val="24"/>
                <w:highlight w:val="none"/>
              </w:rPr>
            </w:pPr>
          </w:p>
        </w:tc>
        <w:tc>
          <w:tcPr>
            <w:tcW w:w="1176" w:type="dxa"/>
          </w:tcPr>
          <w:p w14:paraId="1C78D5DF">
            <w:pPr>
              <w:rPr>
                <w:rFonts w:asciiTheme="minorEastAsia" w:hAnsiTheme="minorEastAsia" w:eastAsiaTheme="minorEastAsia" w:cstheme="minorEastAsia"/>
                <w:sz w:val="24"/>
                <w:szCs w:val="24"/>
                <w:highlight w:val="none"/>
              </w:rPr>
            </w:pPr>
          </w:p>
        </w:tc>
        <w:tc>
          <w:tcPr>
            <w:tcW w:w="1176" w:type="dxa"/>
          </w:tcPr>
          <w:p w14:paraId="77348A32">
            <w:pPr>
              <w:rPr>
                <w:rFonts w:asciiTheme="minorEastAsia" w:hAnsiTheme="minorEastAsia" w:eastAsiaTheme="minorEastAsia" w:cstheme="minorEastAsia"/>
                <w:sz w:val="24"/>
                <w:szCs w:val="24"/>
                <w:highlight w:val="none"/>
              </w:rPr>
            </w:pPr>
          </w:p>
        </w:tc>
        <w:tc>
          <w:tcPr>
            <w:tcW w:w="1150" w:type="dxa"/>
          </w:tcPr>
          <w:p w14:paraId="1E6DA20D">
            <w:pPr>
              <w:rPr>
                <w:rFonts w:asciiTheme="minorEastAsia" w:hAnsiTheme="minorEastAsia" w:eastAsiaTheme="minorEastAsia" w:cstheme="minorEastAsia"/>
                <w:sz w:val="24"/>
                <w:szCs w:val="24"/>
                <w:highlight w:val="none"/>
              </w:rPr>
            </w:pPr>
          </w:p>
        </w:tc>
        <w:tc>
          <w:tcPr>
            <w:tcW w:w="1176" w:type="dxa"/>
          </w:tcPr>
          <w:p w14:paraId="728F9074">
            <w:pPr>
              <w:rPr>
                <w:rFonts w:asciiTheme="minorEastAsia" w:hAnsiTheme="minorEastAsia" w:eastAsiaTheme="minorEastAsia" w:cstheme="minorEastAsia"/>
                <w:sz w:val="24"/>
                <w:szCs w:val="24"/>
                <w:highlight w:val="none"/>
              </w:rPr>
            </w:pPr>
          </w:p>
        </w:tc>
        <w:tc>
          <w:tcPr>
            <w:tcW w:w="1144" w:type="dxa"/>
          </w:tcPr>
          <w:p w14:paraId="6E12B517">
            <w:pPr>
              <w:rPr>
                <w:rFonts w:asciiTheme="minorEastAsia" w:hAnsiTheme="minorEastAsia" w:eastAsiaTheme="minorEastAsia" w:cstheme="minorEastAsia"/>
                <w:sz w:val="24"/>
                <w:szCs w:val="24"/>
                <w:highlight w:val="none"/>
              </w:rPr>
            </w:pPr>
          </w:p>
        </w:tc>
      </w:tr>
      <w:tr w14:paraId="11DF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3782F339">
            <w:pPr>
              <w:rPr>
                <w:rFonts w:asciiTheme="minorEastAsia" w:hAnsiTheme="minorEastAsia" w:eastAsiaTheme="minorEastAsia" w:cstheme="minorEastAsia"/>
                <w:sz w:val="24"/>
                <w:szCs w:val="24"/>
                <w:highlight w:val="none"/>
              </w:rPr>
            </w:pPr>
          </w:p>
        </w:tc>
        <w:tc>
          <w:tcPr>
            <w:tcW w:w="1175" w:type="dxa"/>
          </w:tcPr>
          <w:p w14:paraId="679BE5CC">
            <w:pPr>
              <w:rPr>
                <w:rFonts w:asciiTheme="minorEastAsia" w:hAnsiTheme="minorEastAsia" w:eastAsiaTheme="minorEastAsia" w:cstheme="minorEastAsia"/>
                <w:sz w:val="24"/>
                <w:szCs w:val="24"/>
                <w:highlight w:val="none"/>
              </w:rPr>
            </w:pPr>
          </w:p>
        </w:tc>
        <w:tc>
          <w:tcPr>
            <w:tcW w:w="1147" w:type="dxa"/>
          </w:tcPr>
          <w:p w14:paraId="7D5EE514">
            <w:pPr>
              <w:rPr>
                <w:rFonts w:asciiTheme="minorEastAsia" w:hAnsiTheme="minorEastAsia" w:eastAsiaTheme="minorEastAsia" w:cstheme="minorEastAsia"/>
                <w:sz w:val="24"/>
                <w:szCs w:val="24"/>
                <w:highlight w:val="none"/>
              </w:rPr>
            </w:pPr>
          </w:p>
        </w:tc>
        <w:tc>
          <w:tcPr>
            <w:tcW w:w="1176" w:type="dxa"/>
          </w:tcPr>
          <w:p w14:paraId="6EFC1589">
            <w:pPr>
              <w:rPr>
                <w:rFonts w:asciiTheme="minorEastAsia" w:hAnsiTheme="minorEastAsia" w:eastAsiaTheme="minorEastAsia" w:cstheme="minorEastAsia"/>
                <w:sz w:val="24"/>
                <w:szCs w:val="24"/>
                <w:highlight w:val="none"/>
              </w:rPr>
            </w:pPr>
          </w:p>
        </w:tc>
        <w:tc>
          <w:tcPr>
            <w:tcW w:w="1176" w:type="dxa"/>
          </w:tcPr>
          <w:p w14:paraId="518E438B">
            <w:pPr>
              <w:rPr>
                <w:rFonts w:asciiTheme="minorEastAsia" w:hAnsiTheme="minorEastAsia" w:eastAsiaTheme="minorEastAsia" w:cstheme="minorEastAsia"/>
                <w:sz w:val="24"/>
                <w:szCs w:val="24"/>
                <w:highlight w:val="none"/>
              </w:rPr>
            </w:pPr>
          </w:p>
        </w:tc>
        <w:tc>
          <w:tcPr>
            <w:tcW w:w="1150" w:type="dxa"/>
          </w:tcPr>
          <w:p w14:paraId="0852FCB8">
            <w:pPr>
              <w:rPr>
                <w:rFonts w:asciiTheme="minorEastAsia" w:hAnsiTheme="minorEastAsia" w:eastAsiaTheme="minorEastAsia" w:cstheme="minorEastAsia"/>
                <w:sz w:val="24"/>
                <w:szCs w:val="24"/>
                <w:highlight w:val="none"/>
              </w:rPr>
            </w:pPr>
          </w:p>
        </w:tc>
        <w:tc>
          <w:tcPr>
            <w:tcW w:w="1176" w:type="dxa"/>
          </w:tcPr>
          <w:p w14:paraId="0E790724">
            <w:pPr>
              <w:rPr>
                <w:rFonts w:asciiTheme="minorEastAsia" w:hAnsiTheme="minorEastAsia" w:eastAsiaTheme="minorEastAsia" w:cstheme="minorEastAsia"/>
                <w:sz w:val="24"/>
                <w:szCs w:val="24"/>
                <w:highlight w:val="none"/>
              </w:rPr>
            </w:pPr>
          </w:p>
        </w:tc>
        <w:tc>
          <w:tcPr>
            <w:tcW w:w="1144" w:type="dxa"/>
          </w:tcPr>
          <w:p w14:paraId="05A2C45C">
            <w:pPr>
              <w:rPr>
                <w:rFonts w:asciiTheme="minorEastAsia" w:hAnsiTheme="minorEastAsia" w:eastAsiaTheme="minorEastAsia" w:cstheme="minorEastAsia"/>
                <w:sz w:val="24"/>
                <w:szCs w:val="24"/>
                <w:highlight w:val="none"/>
              </w:rPr>
            </w:pPr>
          </w:p>
        </w:tc>
      </w:tr>
      <w:tr w14:paraId="27DB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73" w:type="dxa"/>
          </w:tcPr>
          <w:p w14:paraId="0DE7E545">
            <w:pPr>
              <w:rPr>
                <w:rFonts w:asciiTheme="minorEastAsia" w:hAnsiTheme="minorEastAsia" w:eastAsiaTheme="minorEastAsia" w:cstheme="minorEastAsia"/>
                <w:sz w:val="24"/>
                <w:szCs w:val="24"/>
                <w:highlight w:val="none"/>
              </w:rPr>
            </w:pPr>
          </w:p>
        </w:tc>
        <w:tc>
          <w:tcPr>
            <w:tcW w:w="1175" w:type="dxa"/>
          </w:tcPr>
          <w:p w14:paraId="48988031">
            <w:pPr>
              <w:rPr>
                <w:rFonts w:asciiTheme="minorEastAsia" w:hAnsiTheme="minorEastAsia" w:eastAsiaTheme="minorEastAsia" w:cstheme="minorEastAsia"/>
                <w:sz w:val="24"/>
                <w:szCs w:val="24"/>
                <w:highlight w:val="none"/>
              </w:rPr>
            </w:pPr>
          </w:p>
        </w:tc>
        <w:tc>
          <w:tcPr>
            <w:tcW w:w="1147" w:type="dxa"/>
          </w:tcPr>
          <w:p w14:paraId="279B5DE7">
            <w:pPr>
              <w:rPr>
                <w:rFonts w:asciiTheme="minorEastAsia" w:hAnsiTheme="minorEastAsia" w:eastAsiaTheme="minorEastAsia" w:cstheme="minorEastAsia"/>
                <w:sz w:val="24"/>
                <w:szCs w:val="24"/>
                <w:highlight w:val="none"/>
              </w:rPr>
            </w:pPr>
          </w:p>
        </w:tc>
        <w:tc>
          <w:tcPr>
            <w:tcW w:w="1176" w:type="dxa"/>
          </w:tcPr>
          <w:p w14:paraId="3DC3507B">
            <w:pPr>
              <w:rPr>
                <w:rFonts w:asciiTheme="minorEastAsia" w:hAnsiTheme="minorEastAsia" w:eastAsiaTheme="minorEastAsia" w:cstheme="minorEastAsia"/>
                <w:sz w:val="24"/>
                <w:szCs w:val="24"/>
                <w:highlight w:val="none"/>
              </w:rPr>
            </w:pPr>
          </w:p>
        </w:tc>
        <w:tc>
          <w:tcPr>
            <w:tcW w:w="1176" w:type="dxa"/>
          </w:tcPr>
          <w:p w14:paraId="67B4AA0E">
            <w:pPr>
              <w:rPr>
                <w:rFonts w:asciiTheme="minorEastAsia" w:hAnsiTheme="minorEastAsia" w:eastAsiaTheme="minorEastAsia" w:cstheme="minorEastAsia"/>
                <w:sz w:val="24"/>
                <w:szCs w:val="24"/>
                <w:highlight w:val="none"/>
              </w:rPr>
            </w:pPr>
          </w:p>
        </w:tc>
        <w:tc>
          <w:tcPr>
            <w:tcW w:w="1150" w:type="dxa"/>
          </w:tcPr>
          <w:p w14:paraId="4B0A2EC9">
            <w:pPr>
              <w:rPr>
                <w:rFonts w:asciiTheme="minorEastAsia" w:hAnsiTheme="minorEastAsia" w:eastAsiaTheme="minorEastAsia" w:cstheme="minorEastAsia"/>
                <w:sz w:val="24"/>
                <w:szCs w:val="24"/>
                <w:highlight w:val="none"/>
              </w:rPr>
            </w:pPr>
          </w:p>
        </w:tc>
        <w:tc>
          <w:tcPr>
            <w:tcW w:w="1176" w:type="dxa"/>
          </w:tcPr>
          <w:p w14:paraId="4381078F">
            <w:pPr>
              <w:rPr>
                <w:rFonts w:asciiTheme="minorEastAsia" w:hAnsiTheme="minorEastAsia" w:eastAsiaTheme="minorEastAsia" w:cstheme="minorEastAsia"/>
                <w:sz w:val="24"/>
                <w:szCs w:val="24"/>
                <w:highlight w:val="none"/>
              </w:rPr>
            </w:pPr>
          </w:p>
        </w:tc>
        <w:tc>
          <w:tcPr>
            <w:tcW w:w="1144" w:type="dxa"/>
          </w:tcPr>
          <w:p w14:paraId="14D53D12">
            <w:pPr>
              <w:rPr>
                <w:rFonts w:asciiTheme="minorEastAsia" w:hAnsiTheme="minorEastAsia" w:eastAsiaTheme="minorEastAsia" w:cstheme="minorEastAsia"/>
                <w:sz w:val="24"/>
                <w:szCs w:val="24"/>
                <w:highlight w:val="none"/>
              </w:rPr>
            </w:pPr>
          </w:p>
        </w:tc>
      </w:tr>
    </w:tbl>
    <w:p w14:paraId="7AC379A1">
      <w:pPr>
        <w:spacing w:line="457"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注：后附相关证件（书）</w:t>
      </w:r>
    </w:p>
    <w:p w14:paraId="57F8935C">
      <w:pPr>
        <w:spacing w:line="457" w:lineRule="auto"/>
        <w:rPr>
          <w:rFonts w:hint="eastAsia" w:asciiTheme="minorEastAsia" w:hAnsiTheme="minorEastAsia" w:eastAsiaTheme="minorEastAsia" w:cstheme="minorEastAsia"/>
          <w:spacing w:val="-10"/>
        </w:rPr>
      </w:pPr>
      <w:r>
        <w:rPr>
          <w:rFonts w:hint="eastAsia" w:ascii="宋体" w:hAnsi="宋体" w:eastAsia="宋体" w:cs="宋体"/>
          <w:i w:val="0"/>
          <w:iCs w:val="0"/>
          <w:caps w:val="0"/>
          <w:spacing w:val="0"/>
          <w:kern w:val="0"/>
          <w:sz w:val="24"/>
          <w:szCs w:val="24"/>
          <w:highlight w:val="none"/>
          <w:lang w:val="en-US" w:eastAsia="zh-CN" w:bidi="ar"/>
        </w:rPr>
        <w:t>3</w:t>
      </w:r>
      <w:r>
        <w:rPr>
          <w:rFonts w:hint="eastAsia" w:asciiTheme="minorEastAsia" w:hAnsiTheme="minorEastAsia" w:eastAsiaTheme="minorEastAsia" w:cstheme="minorEastAsia"/>
          <w:spacing w:val="-5"/>
        </w:rPr>
        <w:t>不随意更换</w:t>
      </w:r>
      <w:r>
        <w:rPr>
          <w:rFonts w:hint="eastAsia" w:asciiTheme="minorEastAsia" w:hAnsiTheme="minorEastAsia" w:eastAsiaTheme="minorEastAsia" w:cstheme="minorEastAsia"/>
          <w:spacing w:val="-4"/>
        </w:rPr>
        <w:t>项目经理、技术负责人</w:t>
      </w:r>
      <w:r>
        <w:rPr>
          <w:rFonts w:hint="eastAsia" w:asciiTheme="minorEastAsia" w:hAnsiTheme="minorEastAsia" w:eastAsiaTheme="minorEastAsia" w:cstheme="minorEastAsia"/>
          <w:spacing w:val="25"/>
        </w:rPr>
        <w:t>及“五大</w:t>
      </w:r>
      <w:r>
        <w:rPr>
          <w:rFonts w:hint="eastAsia" w:asciiTheme="minorEastAsia" w:hAnsiTheme="minorEastAsia" w:eastAsiaTheme="minorEastAsia" w:cstheme="minorEastAsia"/>
          <w:spacing w:val="-10"/>
        </w:rPr>
        <w:t>员</w:t>
      </w:r>
      <w:r>
        <w:rPr>
          <w:rFonts w:hint="eastAsia" w:asciiTheme="minorEastAsia" w:hAnsiTheme="minorEastAsia" w:eastAsiaTheme="minorEastAsia" w:cstheme="minorEastAsia"/>
          <w:spacing w:val="-88"/>
        </w:rPr>
        <w:t xml:space="preserve"> </w:t>
      </w:r>
      <w:r>
        <w:rPr>
          <w:rFonts w:hint="eastAsia" w:asciiTheme="minorEastAsia" w:hAnsiTheme="minorEastAsia" w:eastAsiaTheme="minorEastAsia" w:cstheme="minorEastAsia"/>
          <w:spacing w:val="-10"/>
        </w:rPr>
        <w:t>”的承诺</w:t>
      </w:r>
    </w:p>
    <w:p w14:paraId="60A8A6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4施工工期保证措施</w:t>
      </w:r>
    </w:p>
    <w:p w14:paraId="191E74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5质量管理及质量保证措施</w:t>
      </w:r>
    </w:p>
    <w:p w14:paraId="7D7E8B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6施工安全及文明施工措施</w:t>
      </w:r>
    </w:p>
    <w:p w14:paraId="1AB0A06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7.材料需用量计划</w:t>
      </w:r>
    </w:p>
    <w:p w14:paraId="355D977B">
      <w:pPr>
        <w:pStyle w:val="9"/>
        <w:rPr>
          <w:rFonts w:hint="eastAsia" w:ascii="宋体" w:hAnsi="宋体" w:eastAsia="宋体" w:cs="宋体"/>
          <w:color w:val="auto"/>
          <w:sz w:val="24"/>
          <w:szCs w:val="24"/>
          <w:highlight w:val="none"/>
          <w:lang w:val="en-US" w:eastAsia="zh-CN"/>
        </w:rPr>
      </w:pPr>
    </w:p>
    <w:p w14:paraId="2158FE05">
      <w:pPr>
        <w:rPr>
          <w:rFonts w:hint="eastAsia"/>
          <w:color w:val="auto"/>
          <w:highlight w:val="none"/>
          <w:lang w:val="en-US" w:eastAsia="zh-CN"/>
        </w:rPr>
      </w:pPr>
    </w:p>
    <w:p w14:paraId="5862E0F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w:t>
      </w:r>
      <w:r>
        <w:rPr>
          <w:rFonts w:hint="eastAsia" w:cs="宋体"/>
          <w:color w:val="auto"/>
          <w:sz w:val="24"/>
          <w:szCs w:val="24"/>
          <w:highlight w:val="none"/>
          <w:lang w:val="en-US" w:eastAsia="zh-CN"/>
        </w:rPr>
        <w:t>第七部分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提供相应证明材料。</w:t>
      </w:r>
    </w:p>
    <w:p w14:paraId="774C1DEC">
      <w:pPr>
        <w:pStyle w:val="68"/>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341" w:firstLineChars="100"/>
        <w:jc w:val="center"/>
        <w:textAlignment w:val="auto"/>
        <w:rPr>
          <w:rFonts w:hint="eastAsia" w:ascii="Arial Black" w:hAnsi="Arial Black" w:eastAsia="宋体" w:cs="Times New Roman"/>
          <w:b/>
          <w:bCs/>
          <w:color w:val="auto"/>
          <w:spacing w:val="-3"/>
          <w:kern w:val="2"/>
          <w:sz w:val="22"/>
          <w:szCs w:val="22"/>
          <w:lang w:val="en-US" w:eastAsia="zh-CN" w:bidi="ar-SA"/>
        </w:rPr>
      </w:pPr>
      <w:r>
        <w:rPr>
          <w:rFonts w:hint="eastAsia" w:asciiTheme="minorEastAsia" w:hAnsiTheme="minorEastAsia" w:eastAsiaTheme="minorEastAsia" w:cstheme="minorEastAsia"/>
          <w:spacing w:val="-10"/>
          <w:lang w:val="en-US" w:eastAsia="zh-CN"/>
        </w:rPr>
        <w:t>8</w:t>
      </w:r>
      <w:r>
        <w:rPr>
          <w:rFonts w:hint="eastAsia" w:ascii="Arial Black" w:hAnsi="Arial Black" w:eastAsia="宋体" w:cs="Times New Roman"/>
          <w:b/>
          <w:bCs/>
          <w:color w:val="auto"/>
          <w:spacing w:val="-3"/>
          <w:kern w:val="2"/>
          <w:sz w:val="22"/>
          <w:szCs w:val="22"/>
          <w:lang w:val="en-US" w:eastAsia="zh-CN" w:bidi="ar-SA"/>
        </w:rPr>
        <w:t>商务偏离表</w:t>
      </w:r>
    </w:p>
    <w:tbl>
      <w:tblPr>
        <w:tblStyle w:val="20"/>
        <w:tblpPr w:leftFromText="180" w:rightFromText="180" w:vertAnchor="text" w:horzAnchor="page" w:tblpX="2185"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093"/>
        <w:gridCol w:w="2827"/>
        <w:gridCol w:w="1590"/>
        <w:gridCol w:w="870"/>
      </w:tblGrid>
      <w:tr w14:paraId="0828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820" w:type="dxa"/>
            <w:vAlign w:val="center"/>
          </w:tcPr>
          <w:p w14:paraId="322D098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093" w:type="dxa"/>
            <w:vAlign w:val="center"/>
          </w:tcPr>
          <w:p w14:paraId="3CE597FE">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招标</w:t>
            </w:r>
            <w:r>
              <w:rPr>
                <w:rFonts w:hint="eastAsia" w:ascii="宋体" w:hAnsi="宋体" w:eastAsia="宋体" w:cs="宋体"/>
                <w:color w:val="000000"/>
                <w:sz w:val="24"/>
                <w:szCs w:val="24"/>
                <w:highlight w:val="none"/>
                <w:lang w:val="en-US" w:eastAsia="zh-CN"/>
              </w:rPr>
              <w:t>要求</w:t>
            </w:r>
          </w:p>
        </w:tc>
        <w:tc>
          <w:tcPr>
            <w:tcW w:w="2827" w:type="dxa"/>
            <w:vAlign w:val="center"/>
          </w:tcPr>
          <w:p w14:paraId="333E7090">
            <w:pPr>
              <w:pageBreakBefore w:val="0"/>
              <w:kinsoku/>
              <w:wordWrap/>
              <w:overflowPunct/>
              <w:topLinePunct w:val="0"/>
              <w:bidi w:val="0"/>
              <w:adjustRightInd w:val="0"/>
              <w:snapToGrid w:val="0"/>
              <w:spacing w:beforeAutospacing="0" w:afterAutospacing="0" w:line="400" w:lineRule="exact"/>
              <w:jc w:val="center"/>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供应商的响应内容</w:t>
            </w:r>
          </w:p>
        </w:tc>
        <w:tc>
          <w:tcPr>
            <w:tcW w:w="1590" w:type="dxa"/>
            <w:vAlign w:val="center"/>
          </w:tcPr>
          <w:p w14:paraId="34AAC14F">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偏离</w:t>
            </w:r>
          </w:p>
        </w:tc>
        <w:tc>
          <w:tcPr>
            <w:tcW w:w="870" w:type="dxa"/>
            <w:vAlign w:val="center"/>
          </w:tcPr>
          <w:p w14:paraId="57C4401C">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w:t>
            </w:r>
          </w:p>
        </w:tc>
      </w:tr>
      <w:tr w14:paraId="7C15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820" w:type="dxa"/>
            <w:vAlign w:val="center"/>
          </w:tcPr>
          <w:p w14:paraId="4756E2D3">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093" w:type="dxa"/>
            <w:vAlign w:val="center"/>
          </w:tcPr>
          <w:p w14:paraId="1E7DF73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827" w:type="dxa"/>
            <w:vAlign w:val="center"/>
          </w:tcPr>
          <w:p w14:paraId="152AF46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73A01DB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17DE0131">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2576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20" w:type="dxa"/>
            <w:vAlign w:val="center"/>
          </w:tcPr>
          <w:p w14:paraId="67ED2F50">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093" w:type="dxa"/>
            <w:vAlign w:val="center"/>
          </w:tcPr>
          <w:p w14:paraId="336F09D8">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827" w:type="dxa"/>
            <w:vAlign w:val="center"/>
          </w:tcPr>
          <w:p w14:paraId="1615F19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3ED8665B">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7F550D36">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691B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20" w:type="dxa"/>
            <w:vAlign w:val="center"/>
          </w:tcPr>
          <w:p w14:paraId="4D93F79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093" w:type="dxa"/>
            <w:vAlign w:val="center"/>
          </w:tcPr>
          <w:p w14:paraId="13D284DD">
            <w:pPr>
              <w:pageBreakBefore w:val="0"/>
              <w:kinsoku/>
              <w:wordWrap/>
              <w:overflowPunct/>
              <w:topLinePunct w:val="0"/>
              <w:bidi w:val="0"/>
              <w:adjustRightInd w:val="0"/>
              <w:snapToGrid w:val="0"/>
              <w:spacing w:beforeAutospacing="0" w:afterAutospacing="0" w:line="400" w:lineRule="exact"/>
              <w:jc w:val="center"/>
              <w:rPr>
                <w:rFonts w:hint="default" w:ascii="宋体" w:hAnsi="宋体" w:eastAsia="宋体" w:cs="宋体"/>
                <w:color w:val="000000"/>
                <w:sz w:val="24"/>
                <w:szCs w:val="24"/>
                <w:highlight w:val="none"/>
                <w:lang w:val="en-US" w:eastAsia="zh-CN"/>
              </w:rPr>
            </w:pPr>
          </w:p>
        </w:tc>
        <w:tc>
          <w:tcPr>
            <w:tcW w:w="2827" w:type="dxa"/>
            <w:vAlign w:val="center"/>
          </w:tcPr>
          <w:p w14:paraId="39E01BF7">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0423F8F6">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2EBF4814">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6839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820" w:type="dxa"/>
            <w:vAlign w:val="center"/>
          </w:tcPr>
          <w:p w14:paraId="1154785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w:t>
            </w:r>
          </w:p>
        </w:tc>
        <w:tc>
          <w:tcPr>
            <w:tcW w:w="2093" w:type="dxa"/>
            <w:vAlign w:val="center"/>
          </w:tcPr>
          <w:p w14:paraId="30A1642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827" w:type="dxa"/>
            <w:vAlign w:val="center"/>
          </w:tcPr>
          <w:p w14:paraId="6498D950">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3C86B09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2605CB1F">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2E7B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820" w:type="dxa"/>
            <w:vAlign w:val="center"/>
          </w:tcPr>
          <w:p w14:paraId="3D74C9C5">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2093" w:type="dxa"/>
            <w:vAlign w:val="center"/>
          </w:tcPr>
          <w:p w14:paraId="1F496238">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p>
        </w:tc>
        <w:tc>
          <w:tcPr>
            <w:tcW w:w="2827" w:type="dxa"/>
            <w:vAlign w:val="center"/>
          </w:tcPr>
          <w:p w14:paraId="04F6ACF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0655039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186B7B3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4CC3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820" w:type="dxa"/>
            <w:vAlign w:val="center"/>
          </w:tcPr>
          <w:p w14:paraId="6BCBAB6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p>
        </w:tc>
        <w:tc>
          <w:tcPr>
            <w:tcW w:w="2093" w:type="dxa"/>
            <w:vAlign w:val="center"/>
          </w:tcPr>
          <w:p w14:paraId="5BFBB03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p>
        </w:tc>
        <w:tc>
          <w:tcPr>
            <w:tcW w:w="2827" w:type="dxa"/>
            <w:vAlign w:val="center"/>
          </w:tcPr>
          <w:p w14:paraId="456DFDAC">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3731BAD3">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p>
        </w:tc>
        <w:tc>
          <w:tcPr>
            <w:tcW w:w="870" w:type="dxa"/>
            <w:vAlign w:val="center"/>
          </w:tcPr>
          <w:p w14:paraId="30FB35FD">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bl>
    <w:p w14:paraId="7ED6E7D9">
      <w:pPr>
        <w:pStyle w:val="68"/>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b/>
          <w:bCs/>
          <w:color w:val="auto"/>
          <w:spacing w:val="-3"/>
          <w:kern w:val="2"/>
          <w:sz w:val="18"/>
          <w:szCs w:val="18"/>
          <w:lang w:val="en-US" w:eastAsia="zh-CN" w:bidi="ar-SA"/>
        </w:rPr>
      </w:pPr>
      <w:r>
        <w:rPr>
          <w:rFonts w:hint="eastAsia" w:ascii="宋体" w:hAnsi="宋体" w:eastAsia="宋体" w:cs="宋体"/>
          <w:b w:val="0"/>
          <w:bCs w:val="0"/>
          <w:color w:val="auto"/>
          <w:spacing w:val="-3"/>
          <w:kern w:val="2"/>
          <w:sz w:val="18"/>
          <w:szCs w:val="18"/>
          <w:lang w:val="en-US" w:eastAsia="zh-CN" w:bidi="ar-SA"/>
        </w:rPr>
        <w:t>注1.“</w:t>
      </w:r>
      <w:r>
        <w:rPr>
          <w:rFonts w:hint="eastAsia" w:ascii="宋体" w:eastAsia="宋体" w:cs="宋体"/>
          <w:b w:val="0"/>
          <w:bCs w:val="0"/>
          <w:color w:val="auto"/>
          <w:spacing w:val="-3"/>
          <w:kern w:val="2"/>
          <w:sz w:val="18"/>
          <w:szCs w:val="18"/>
          <w:lang w:val="en-US" w:eastAsia="zh-CN" w:bidi="ar-SA"/>
        </w:rPr>
        <w:t>供应商</w:t>
      </w:r>
      <w:r>
        <w:rPr>
          <w:rFonts w:hint="eastAsia" w:ascii="宋体" w:hAnsi="宋体" w:eastAsia="宋体" w:cs="宋体"/>
          <w:b w:val="0"/>
          <w:bCs w:val="0"/>
          <w:color w:val="auto"/>
          <w:spacing w:val="-3"/>
          <w:kern w:val="2"/>
          <w:sz w:val="18"/>
          <w:szCs w:val="18"/>
          <w:lang w:val="en-US" w:eastAsia="zh-CN" w:bidi="ar-SA"/>
        </w:rPr>
        <w:t>的响应内容”栏填写</w:t>
      </w:r>
      <w:r>
        <w:rPr>
          <w:rFonts w:hint="eastAsia" w:ascii="宋体" w:eastAsia="宋体" w:cs="宋体"/>
          <w:b w:val="0"/>
          <w:bCs w:val="0"/>
          <w:color w:val="auto"/>
          <w:spacing w:val="-3"/>
          <w:kern w:val="2"/>
          <w:sz w:val="18"/>
          <w:szCs w:val="18"/>
          <w:lang w:val="en-US" w:eastAsia="zh-CN" w:bidi="ar-SA"/>
        </w:rPr>
        <w:t>供应商</w:t>
      </w:r>
      <w:r>
        <w:rPr>
          <w:rFonts w:hint="eastAsia" w:ascii="宋体" w:hAnsi="宋体" w:eastAsia="宋体" w:cs="宋体"/>
          <w:b w:val="0"/>
          <w:bCs w:val="0"/>
          <w:color w:val="auto"/>
          <w:spacing w:val="-3"/>
          <w:kern w:val="2"/>
          <w:sz w:val="18"/>
          <w:szCs w:val="18"/>
          <w:lang w:val="en-US" w:eastAsia="zh-CN" w:bidi="ar-SA"/>
        </w:rPr>
        <w:t>对</w:t>
      </w:r>
      <w:r>
        <w:rPr>
          <w:rFonts w:hint="eastAsia" w:ascii="宋体" w:eastAsia="宋体" w:cs="宋体"/>
          <w:b w:val="0"/>
          <w:bCs w:val="0"/>
          <w:color w:val="auto"/>
          <w:spacing w:val="-3"/>
          <w:kern w:val="2"/>
          <w:sz w:val="18"/>
          <w:szCs w:val="18"/>
          <w:lang w:val="en-US" w:eastAsia="zh-CN" w:bidi="ar-SA"/>
        </w:rPr>
        <w:t>磋商</w:t>
      </w:r>
      <w:r>
        <w:rPr>
          <w:rFonts w:hint="eastAsia" w:ascii="宋体" w:hAnsi="宋体" w:eastAsia="宋体" w:cs="宋体"/>
          <w:b w:val="0"/>
          <w:bCs w:val="0"/>
          <w:color w:val="auto"/>
          <w:spacing w:val="-3"/>
          <w:kern w:val="2"/>
          <w:sz w:val="18"/>
          <w:szCs w:val="18"/>
          <w:lang w:val="en-US" w:eastAsia="zh-CN" w:bidi="ar-SA"/>
        </w:rPr>
        <w:t>文件提出的</w:t>
      </w:r>
      <w:r>
        <w:rPr>
          <w:rFonts w:hint="eastAsia" w:ascii="宋体" w:hAnsi="宋体" w:eastAsia="宋体" w:cs="宋体"/>
          <w:b/>
          <w:bCs/>
          <w:color w:val="auto"/>
          <w:spacing w:val="-3"/>
          <w:kern w:val="2"/>
          <w:sz w:val="18"/>
          <w:szCs w:val="18"/>
          <w:lang w:val="en-US" w:eastAsia="zh-CN" w:bidi="ar-SA"/>
        </w:rPr>
        <w:t>商务条款</w:t>
      </w:r>
      <w:r>
        <w:rPr>
          <w:rFonts w:hint="eastAsia" w:ascii="宋体" w:hAnsi="宋体" w:eastAsia="宋体" w:cs="宋体"/>
          <w:b w:val="0"/>
          <w:bCs w:val="0"/>
          <w:color w:val="auto"/>
          <w:spacing w:val="-3"/>
          <w:kern w:val="2"/>
          <w:sz w:val="18"/>
          <w:szCs w:val="18"/>
          <w:lang w:val="en-US" w:eastAsia="zh-CN" w:bidi="ar-SA"/>
        </w:rPr>
        <w:t>作出的明确响应，并列明具体响应数值或内容。2.“响应情况”栏应据实填写“响应”、“正偏离”或“负偏离”。3“说明”栏可填写偏离情况的具体说明及索引。4.对</w:t>
      </w:r>
      <w:r>
        <w:rPr>
          <w:rFonts w:hint="eastAsia" w:ascii="宋体" w:eastAsia="宋体" w:cs="宋体"/>
          <w:b w:val="0"/>
          <w:bCs w:val="0"/>
          <w:color w:val="auto"/>
          <w:spacing w:val="-3"/>
          <w:kern w:val="2"/>
          <w:sz w:val="18"/>
          <w:szCs w:val="18"/>
          <w:lang w:val="en-US" w:eastAsia="zh-CN" w:bidi="ar-SA"/>
        </w:rPr>
        <w:t>磋商</w:t>
      </w:r>
      <w:r>
        <w:rPr>
          <w:rFonts w:hint="eastAsia" w:ascii="宋体" w:hAnsi="宋体" w:eastAsia="宋体" w:cs="宋体"/>
          <w:b w:val="0"/>
          <w:bCs w:val="0"/>
          <w:color w:val="auto"/>
          <w:spacing w:val="-3"/>
          <w:kern w:val="2"/>
          <w:sz w:val="18"/>
          <w:szCs w:val="18"/>
          <w:lang w:val="en-US" w:eastAsia="zh-CN" w:bidi="ar-SA"/>
        </w:rPr>
        <w:t>文件中的所有商务要求，除本表所列明的所有偏离外，均视作供应商已对之理解和响应。</w:t>
      </w:r>
    </w:p>
    <w:p w14:paraId="3FA6C8B1">
      <w:pPr>
        <w:spacing w:line="457" w:lineRule="auto"/>
        <w:rPr>
          <w:rFonts w:hint="default" w:asciiTheme="minorEastAsia" w:hAnsiTheme="minorEastAsia" w:eastAsiaTheme="minorEastAsia" w:cstheme="minorEastAsia"/>
          <w:spacing w:val="-10"/>
          <w:lang w:val="en-US" w:eastAsia="zh-CN"/>
        </w:rPr>
      </w:pPr>
    </w:p>
    <w:p w14:paraId="5F64074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b/>
          <w:bCs/>
          <w:color w:val="auto"/>
          <w:sz w:val="36"/>
          <w:szCs w:val="36"/>
          <w:highlight w:val="none"/>
          <w:lang w:val="en-US" w:eastAsia="zh-CN"/>
        </w:rPr>
      </w:pPr>
      <w:r>
        <w:rPr>
          <w:rFonts w:hint="eastAsia"/>
          <w:b/>
          <w:bCs/>
          <w:color w:val="auto"/>
          <w:sz w:val="36"/>
          <w:szCs w:val="36"/>
          <w:highlight w:val="none"/>
          <w:lang w:val="en-US" w:eastAsia="zh-CN"/>
        </w:rPr>
        <w:t>9.供应商认为需要提供的其他资料</w:t>
      </w:r>
    </w:p>
    <w:p w14:paraId="0C7E02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71932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85341A0">
      <w:pPr>
        <w:keepNext w:val="0"/>
        <w:keepLines w:val="0"/>
        <w:widowControl/>
        <w:suppressLineNumbers w:val="0"/>
        <w:jc w:val="left"/>
        <w:rPr>
          <w:color w:val="auto"/>
          <w:highlight w:val="none"/>
        </w:rPr>
      </w:pPr>
      <w:r>
        <w:rPr>
          <w:rFonts w:hint="eastAsia" w:ascii="宋体" w:hAnsi="宋体" w:eastAsia="宋体" w:cs="宋体"/>
          <w:b/>
          <w:bCs/>
          <w:color w:val="auto"/>
          <w:kern w:val="0"/>
          <w:sz w:val="28"/>
          <w:szCs w:val="28"/>
          <w:highlight w:val="none"/>
          <w:lang w:val="en-US" w:eastAsia="zh-CN" w:bidi="ar"/>
        </w:rPr>
        <w:t xml:space="preserve"> </w:t>
      </w:r>
    </w:p>
    <w:p w14:paraId="09479524">
      <w:pPr>
        <w:keepNext w:val="0"/>
        <w:keepLines w:val="0"/>
        <w:widowControl/>
        <w:suppressLineNumbers w:val="0"/>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供应商认为需要提供的其他证明文件或图片、文字说明等其他资料。 </w:t>
      </w:r>
    </w:p>
    <w:p w14:paraId="5FFAB743">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注：本项内容由供应商根据本磋商文件的内容自行决定。 </w:t>
      </w:r>
    </w:p>
    <w:p w14:paraId="25254F4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2793C89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33CE42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BA57898">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3078EF0C">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1F4758C1">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供应商法定代表人（或法定代表人授权代表）签字或签章： </w:t>
      </w:r>
    </w:p>
    <w:p w14:paraId="33D8CBAA">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供应商名称（盖公章）： </w:t>
      </w:r>
    </w:p>
    <w:p w14:paraId="0FD07FF6">
      <w:pPr>
        <w:pStyle w:val="10"/>
        <w:pageBreakBefore w:val="0"/>
        <w:kinsoku/>
        <w:wordWrap/>
        <w:overflowPunct/>
        <w:topLinePunct w:val="0"/>
        <w:bidi w:val="0"/>
        <w:spacing w:beforeAutospacing="0" w:afterAutospacing="0" w:line="400" w:lineRule="exact"/>
        <w:ind w:firstLine="643"/>
        <w:jc w:val="center"/>
        <w:rPr>
          <w:rFonts w:hint="eastAsia" w:ascii="宋体" w:hAnsi="宋体" w:cs="宋体"/>
          <w:b/>
          <w:color w:val="000000"/>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日期： 年 月 日</w:t>
      </w:r>
    </w:p>
    <w:p w14:paraId="3374C887">
      <w:pPr>
        <w:pStyle w:val="10"/>
        <w:pageBreakBefore w:val="0"/>
        <w:kinsoku/>
        <w:wordWrap/>
        <w:overflowPunct/>
        <w:topLinePunct w:val="0"/>
        <w:bidi w:val="0"/>
        <w:spacing w:beforeAutospacing="0" w:afterAutospacing="0" w:line="400" w:lineRule="exact"/>
        <w:ind w:firstLine="643"/>
        <w:jc w:val="center"/>
        <w:rPr>
          <w:rFonts w:hint="eastAsia" w:ascii="宋体" w:hAnsi="宋体" w:cs="宋体"/>
          <w:b/>
          <w:bCs w:val="0"/>
          <w:color w:val="000000"/>
          <w:sz w:val="24"/>
          <w:szCs w:val="24"/>
          <w:highlight w:val="none"/>
          <w:lang w:val="en-US" w:eastAsia="zh-CN"/>
        </w:rPr>
      </w:pPr>
    </w:p>
    <w:p w14:paraId="43C04B8F">
      <w:pPr>
        <w:rPr>
          <w:rFonts w:hint="default" w:ascii="宋体" w:hAnsi="宋体" w:eastAsia="宋体" w:cs="宋体"/>
          <w:sz w:val="24"/>
          <w:lang w:val="en-US" w:eastAsia="zh-CN"/>
        </w:rPr>
      </w:pPr>
    </w:p>
    <w:p w14:paraId="4A367986"/>
    <w:p w14:paraId="06779B4D"/>
    <w:sectPr>
      <w:headerReference r:id="rId23" w:type="default"/>
      <w:footerReference r:id="rId24" w:type="default"/>
      <w:pgSz w:w="11910" w:h="16840"/>
      <w:pgMar w:top="1134" w:right="1531" w:bottom="1134" w:left="1531" w:header="670" w:footer="1041" w:gutter="0"/>
      <w:pgNumType w:fmt="decimal"/>
      <w:cols w:space="0" w:num="1"/>
      <w:rtlGutter w:val="0"/>
      <w:docGrid w:linePitch="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D4FD8F0-EA2C-4620-A0CE-DD51AF840E0B}"/>
  </w:font>
  <w:font w:name="黑体">
    <w:panose1 w:val="02010609060101010101"/>
    <w:charset w:val="86"/>
    <w:family w:val="auto"/>
    <w:pitch w:val="default"/>
    <w:sig w:usb0="800002BF" w:usb1="38CF7CFA" w:usb2="00000016" w:usb3="00000000" w:csb0="00040001" w:csb1="00000000"/>
    <w:embedRegular r:id="rId2" w:fontKey="{85639879-A238-45B5-A53A-F87A29956977}"/>
  </w:font>
  <w:font w:name="Courier New">
    <w:panose1 w:val="02070309020205020404"/>
    <w:charset w:val="01"/>
    <w:family w:val="modern"/>
    <w:pitch w:val="default"/>
    <w:sig w:usb0="E0002EFF" w:usb1="C0007843" w:usb2="00000009" w:usb3="00000000" w:csb0="400001FF" w:csb1="FFFF0000"/>
    <w:embedRegular r:id="rId3" w:fontKey="{3F7A620A-AD55-4B35-B289-4DB07CCFFD1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8C49A6DC-8291-47FF-B0DC-5466100CECAA}"/>
  </w:font>
  <w:font w:name="微软雅黑">
    <w:panose1 w:val="020B0503020204020204"/>
    <w:charset w:val="86"/>
    <w:family w:val="swiss"/>
    <w:pitch w:val="default"/>
    <w:sig w:usb0="80000287" w:usb1="2ACF3C50" w:usb2="00000016" w:usb3="00000000" w:csb0="0004001F" w:csb1="00000000"/>
    <w:embedRegular r:id="rId5" w:fontKey="{DAB3A26D-EA17-4A45-8CCB-ECE4D3CCFE27}"/>
  </w:font>
  <w:font w:name="仿宋_GB2312">
    <w:panose1 w:val="02010609030101010101"/>
    <w:charset w:val="86"/>
    <w:family w:val="auto"/>
    <w:pitch w:val="default"/>
    <w:sig w:usb0="00000001" w:usb1="080E0000" w:usb2="00000000" w:usb3="00000000" w:csb0="00040000" w:csb1="00000000"/>
    <w:embedRegular r:id="rId6" w:fontKey="{708D0336-4139-4403-87AD-B56A8A91B81E}"/>
  </w:font>
  <w:font w:name="Garamond">
    <w:panose1 w:val="02020502050306020203"/>
    <w:charset w:val="00"/>
    <w:family w:val="roman"/>
    <w:pitch w:val="default"/>
    <w:sig w:usb0="00000000" w:usb1="00000000" w:usb2="00000000" w:usb3="00000000" w:csb0="0000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urier">
    <w:panose1 w:val="02060409020205020404"/>
    <w:charset w:val="00"/>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7" w:fontKey="{3A7102E1-1E02-4CFB-8D88-3D624B63BC2A}"/>
  </w:font>
  <w:font w:name="Adobe 仿宋 Std R">
    <w:altName w:val="微软雅黑"/>
    <w:panose1 w:val="00000000000000000000"/>
    <w:charset w:val="7A"/>
    <w:family w:val="roman"/>
    <w:pitch w:val="default"/>
    <w:sig w:usb0="00000000" w:usb1="00000000" w:usb2="00000016" w:usb3="00000000" w:csb0="00060007" w:csb1="00000000"/>
  </w:font>
  <w:font w:name="Arial Black">
    <w:panose1 w:val="020B0A04020102020204"/>
    <w:charset w:val="00"/>
    <w:family w:val="swiss"/>
    <w:pitch w:val="default"/>
    <w:sig w:usb0="A00002AF" w:usb1="400078FB" w:usb2="00000000" w:usb3="00000000" w:csb0="6000009F" w:csb1="DFD70000"/>
    <w:embedRegular r:id="rId8" w:fontKey="{BBC40F69-EFFF-4CF4-BB18-AFFB4884E3BA}"/>
  </w:font>
  <w:font w:name="WPSEMBED1">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99BE1">
    <w:pPr>
      <w:pStyle w:val="14"/>
      <w:ind w:right="36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8BD7D">
                          <w:pPr>
                            <w:pStyle w:val="1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4C8BD7D">
                    <w:pPr>
                      <w:pStyle w:val="14"/>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posOffset>2535555</wp:posOffset>
              </wp:positionH>
              <wp:positionV relativeFrom="paragraph">
                <wp:posOffset>0</wp:posOffset>
              </wp:positionV>
              <wp:extent cx="114935" cy="15303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14:paraId="55A9534F"/>
                      </w:txbxContent>
                    </wps:txbx>
                    <wps:bodyPr wrap="none" lIns="0" tIns="0" rIns="0" bIns="0" upright="1">
                      <a:spAutoFit/>
                    </wps:bodyPr>
                  </wps:wsp>
                </a:graphicData>
              </a:graphic>
            </wp:anchor>
          </w:drawing>
        </mc:Choice>
        <mc:Fallback>
          <w:pict>
            <v:shape id="_x0000_s1026" o:spid="_x0000_s1026" o:spt="202" type="#_x0000_t202" style="position:absolute;left:0pt;margin-left:199.65pt;margin-top:0pt;height:12.05pt;width:9.05pt;mso-position-horizontal-relative:margin;mso-wrap-style:none;z-index:251665408;mso-width-relative:page;mso-height-relative:page;" filled="f" stroked="f" coordsize="21600,21600" o:gfxdata="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BKzybXAAAABwEAAA8AAAAAAAAAAQAg&#10;AAAAIgAAAGRycy9kb3ducmV2LnhtbFBLAQIUABQAAAAIAIdO4kBWvlH41gEAAKMDAAAOAAAAAAAA&#10;AAEAIAAAACYBAABkcnMvZTJvRG9jLnhtbFBLBQYAAAAABgAGAFkBAABuBQAAAAA=&#10;">
              <v:fill on="f" focussize="0,0"/>
              <v:stroke on="f" weight="1.25pt"/>
              <v:imagedata o:title=""/>
              <o:lock v:ext="edit" aspectratio="f"/>
              <v:textbox inset="0mm,0mm,0mm,0mm" style="mso-fit-shape-to-text:t;">
                <w:txbxContent>
                  <w:p w14:paraId="55A9534F"/>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F0AE1">
                          <w:pPr>
                            <w:pStyle w:val="14"/>
                            <w:rPr>
                              <w:rFonts w:hint="default" w:eastAsia="宋体"/>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BBF0AE1">
                    <w:pPr>
                      <w:pStyle w:val="14"/>
                      <w:rPr>
                        <w:rFonts w:hint="default" w:eastAsia="宋体"/>
                        <w:lang w:val="en-US" w:eastAsia="zh-CN"/>
                      </w:rPr>
                    </w:pPr>
                    <w:r>
                      <w:rPr>
                        <w:rFonts w:hint="eastAsia"/>
                        <w:lang w:val="en-US" w:eastAsia="zh-CN"/>
                      </w:rPr>
                      <w:t>1</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B801A">
    <w:pPr>
      <w:spacing w:line="176" w:lineRule="auto"/>
      <w:ind w:left="47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515193">
                          <w:pPr>
                            <w:pStyle w:val="14"/>
                          </w:pPr>
                          <w:r>
                            <w:fldChar w:fldCharType="begin"/>
                          </w:r>
                          <w:r>
                            <w:instrText xml:space="preserve"> PAGE  \* MERGEFORMAT </w:instrText>
                          </w:r>
                          <w:r>
                            <w:fldChar w:fldCharType="separate"/>
                          </w:r>
                          <w:r>
                            <w:t>72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7Fqco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dvKXHc4sTPP3+cfz2eH74T&#10;9KFAfYAa8+4CZqbhvR9wbWY/oDPzHlS0+YuMCMZR3tNFXjkkIvKj1XK1qjAkMDZfEJ89PQ8R0gfp&#10;LclGQyPOr8jKj58gjalzSq7m/K02pszQuL8ciJk9LPc+9pitNOyGidDOtyfk0+PoG+pw0ykxHx0q&#10;m7dkNuJs7GbjEKLed2WNcj0I7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m7FqcoBAACbAwAADgAAAAAAAAABACAAAAAeAQAAZHJzL2Uyb0Rv&#10;Yy54bWxQSwUGAAAAAAYABgBZAQAAWgUAAAAA&#10;">
              <v:fill on="f" focussize="0,0"/>
              <v:stroke on="f"/>
              <v:imagedata o:title=""/>
              <o:lock v:ext="edit" aspectratio="f"/>
              <v:textbox inset="0mm,0mm,0mm,0mm" style="mso-fit-shape-to-text:t;">
                <w:txbxContent>
                  <w:p w14:paraId="0A515193">
                    <w:pPr>
                      <w:pStyle w:val="14"/>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BFB81">
    <w:pPr>
      <w:pStyle w:val="14"/>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C480B">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19C480B">
                    <w:pPr>
                      <w:pStyle w:val="14"/>
                    </w:pPr>
                    <w:r>
                      <w:fldChar w:fldCharType="begin"/>
                    </w:r>
                    <w:r>
                      <w:instrText xml:space="preserve"> PAGE  \* MERGEFORMAT </w:instrText>
                    </w:r>
                    <w:r>
                      <w:fldChar w:fldCharType="separate"/>
                    </w:r>
                    <w:r>
                      <w:t>62</w:t>
                    </w:r>
                    <w:r>
                      <w:fldChar w:fldCharType="end"/>
                    </w:r>
                  </w:p>
                </w:txbxContent>
              </v:textbox>
            </v:shape>
          </w:pict>
        </mc:Fallback>
      </mc:AlternateContent>
    </w:r>
  </w:p>
  <w:p w14:paraId="08E2AB6A">
    <w:pPr>
      <w:pStyle w:val="14"/>
      <w:jc w:val="center"/>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9B301">
    <w:pPr>
      <w:pStyle w:val="14"/>
      <w:framePr w:wrap="around" w:vAnchor="text" w:hAnchor="margin" w:xAlign="center" w:y="1"/>
      <w:rPr>
        <w:rStyle w:val="24"/>
      </w:rPr>
    </w:pPr>
    <w:r>
      <w:fldChar w:fldCharType="begin"/>
    </w:r>
    <w:r>
      <w:rPr>
        <w:rStyle w:val="24"/>
      </w:rPr>
      <w:instrText xml:space="preserve">PAGE  </w:instrText>
    </w:r>
    <w:r>
      <w:fldChar w:fldCharType="end"/>
    </w:r>
  </w:p>
  <w:p w14:paraId="7E29AF90">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488B7">
    <w:pPr>
      <w:pStyle w:val="14"/>
      <w:tabs>
        <w:tab w:val="center" w:pos="4479"/>
        <w:tab w:val="clear" w:pos="4153"/>
      </w:tabs>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FABFA">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CDFABFA">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7E89C">
                          <w:pPr>
                            <w:pStyle w:val="14"/>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2C7E89C">
                    <w:pPr>
                      <w:pStyle w:val="14"/>
                      <w:rPr>
                        <w:rFonts w:hint="default" w:eastAsia="宋体"/>
                        <w:lang w:val="en-US" w:eastAsia="zh-CN"/>
                      </w:rPr>
                    </w:pP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5303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14:paraId="1A5DD4AC"/>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6432;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rs9lPUAAAAAwEAAA8AAAAAAAAAAQAgAAAA&#10;IgAAAGRycy9kb3ducmV2LnhtbFBLAQIUABQAAAAIAIdO4kAYy/2Z1gEAAKMDAAAOAAAAAAAAAAEA&#10;IAAAACMBAABkcnMvZTJvRG9jLnhtbFBLBQYAAAAABgAGAFkBAABrBQAAAAA=&#10;">
              <v:fill on="f" focussize="0,0"/>
              <v:stroke on="f" weight="1.25pt"/>
              <v:imagedata o:title=""/>
              <o:lock v:ext="edit" aspectratio="f"/>
              <v:textbox inset="0mm,0mm,0mm,0mm" style="mso-fit-shape-to-text:t;">
                <w:txbxContent>
                  <w:p w14:paraId="1A5DD4AC"/>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61DA">
    <w:pPr>
      <w:pStyle w:val="2"/>
      <w:spacing w:line="14" w:lineRule="auto"/>
      <w:rPr>
        <w:sz w:val="20"/>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35A7D">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7335A7D">
                    <w:pPr>
                      <w:pStyle w:val="14"/>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3236595</wp:posOffset>
              </wp:positionH>
              <wp:positionV relativeFrom="page">
                <wp:posOffset>9891395</wp:posOffset>
              </wp:positionV>
              <wp:extent cx="1088390" cy="1524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088390" cy="152400"/>
                      </a:xfrm>
                      <a:prstGeom prst="rect">
                        <a:avLst/>
                      </a:prstGeom>
                      <a:noFill/>
                      <a:ln>
                        <a:noFill/>
                      </a:ln>
                    </wps:spPr>
                    <wps:txbx>
                      <w:txbxContent>
                        <w:p w14:paraId="18AD1F3E"/>
                      </w:txbxContent>
                    </wps:txbx>
                    <wps:bodyPr lIns="0" tIns="0" rIns="0" bIns="0" upright="1"/>
                  </wps:wsp>
                </a:graphicData>
              </a:graphic>
            </wp:anchor>
          </w:drawing>
        </mc:Choice>
        <mc:Fallback>
          <w:pict>
            <v:shape id="_x0000_s1026" o:spid="_x0000_s1026" o:spt="202" type="#_x0000_t202" style="position:absolute;left:0pt;margin-left:254.85pt;margin-top:778.85pt;height:12pt;width:85.7pt;mso-position-horizontal-relative:page;mso-position-vertical-relative:page;z-index:-251650048;mso-width-relative:page;mso-height-relative:page;" filled="f" stroked="f" coordsize="21600,21600" o:gfxdata="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067VQ2gAAAA0BAAAPAAAAAAAAAAEAIAAAACIAAABkcnMvZG93bnJldi54bWxQ&#10;SwECFAAUAAAACACHTuJANoP5ELwBAAB0AwAADgAAAAAAAAABACAAAAApAQAAZHJzL2Uyb0RvYy54&#10;bWxQSwUGAAAAAAYABgBZAQAAVwUAAAAA&#10;">
              <v:fill on="f" focussize="0,0"/>
              <v:stroke on="f"/>
              <v:imagedata o:title=""/>
              <o:lock v:ext="edit" aspectratio="f"/>
              <v:textbox inset="0mm,0mm,0mm,0mm">
                <w:txbxContent>
                  <w:p w14:paraId="18AD1F3E"/>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7048">
    <w:pPr>
      <w:spacing w:line="176" w:lineRule="auto"/>
      <w:ind w:left="48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156AE">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26156AE">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16895">
    <w:pPr>
      <w:pStyle w:val="14"/>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8860D">
                          <w:pPr>
                            <w:pStyle w:val="1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978860D">
                    <w:pPr>
                      <w:pStyle w:val="1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4B4C2">
    <w:pPr>
      <w:pStyle w:val="14"/>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C56A1">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80C56A1">
                    <w:pPr>
                      <w:pStyle w:val="14"/>
                    </w:pPr>
                    <w:r>
                      <w:fldChar w:fldCharType="begin"/>
                    </w:r>
                    <w:r>
                      <w:instrText xml:space="preserve"> PAGE  \* MERGEFORMAT </w:instrText>
                    </w:r>
                    <w:r>
                      <w:fldChar w:fldCharType="separate"/>
                    </w:r>
                    <w:r>
                      <w:t>62</w:t>
                    </w:r>
                    <w:r>
                      <w:fldChar w:fldCharType="end"/>
                    </w:r>
                  </w:p>
                </w:txbxContent>
              </v:textbox>
            </v:shape>
          </w:pict>
        </mc:Fallback>
      </mc:AlternateContent>
    </w:r>
  </w:p>
  <w:p w14:paraId="4E989DD1">
    <w:pPr>
      <w:pStyle w:val="14"/>
      <w:jc w:val="center"/>
      <w:rPr>
        <w:rFonts w:asci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75334">
    <w:pPr>
      <w:pStyle w:val="14"/>
      <w:framePr w:wrap="around" w:vAnchor="text" w:hAnchor="margin" w:xAlign="center" w:y="1"/>
      <w:rPr>
        <w:rStyle w:val="24"/>
      </w:rPr>
    </w:pPr>
    <w:r>
      <w:fldChar w:fldCharType="begin"/>
    </w:r>
    <w:r>
      <w:rPr>
        <w:rStyle w:val="24"/>
      </w:rPr>
      <w:instrText xml:space="preserve"> PAGE </w:instrText>
    </w:r>
    <w:r>
      <w:fldChar w:fldCharType="end"/>
    </w:r>
  </w:p>
  <w:p w14:paraId="3D685452">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D863">
    <w:pPr>
      <w:spacing w:line="176" w:lineRule="auto"/>
      <w:ind w:left="47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CCCCE4">
                          <w:pPr>
                            <w:pStyle w:val="14"/>
                          </w:pPr>
                          <w:r>
                            <w:fldChar w:fldCharType="begin"/>
                          </w:r>
                          <w:r>
                            <w:instrText xml:space="preserve"> PAGE  \* MERGEFORMAT </w:instrText>
                          </w:r>
                          <w:r>
                            <w:fldChar w:fldCharType="separate"/>
                          </w:r>
                          <w:r>
                            <w:t>67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wyWM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OwyWMoBAACbAwAADgAAAAAAAAABACAAAAAeAQAAZHJzL2Uyb0Rv&#10;Yy54bWxQSwUGAAAAAAYABgBZAQAAWgUAAAAA&#10;">
              <v:fill on="f" focussize="0,0"/>
              <v:stroke on="f"/>
              <v:imagedata o:title=""/>
              <o:lock v:ext="edit" aspectratio="f"/>
              <v:textbox inset="0mm,0mm,0mm,0mm" style="mso-fit-shape-to-text:t;">
                <w:txbxContent>
                  <w:p w14:paraId="4ECCCCE4">
                    <w:pPr>
                      <w:pStyle w:val="1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F68E7">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C5AA9">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68584">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2CFCA">
    <w:pPr>
      <w:pStyle w:val="2"/>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2FD5BB51"/>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1072;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nzKt/LsBAAB0AwAADgAAAAAAAAABACAAAAAnAQAAZHJzL2Uyb0RvYy54bWxQ&#10;SwUGAAAAAAYABgBZAQAAVAUAAAAA&#10;">
              <v:fill on="f" focussize="0,0"/>
              <v:stroke on="f"/>
              <v:imagedata o:title=""/>
              <o:lock v:ext="edit" aspectratio="f"/>
              <v:textbox inset="0mm,0mm,0mm,0mm">
                <w:txbxContent>
                  <w:p w14:paraId="2FD5BB51"/>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F11BF">
    <w:pPr>
      <w:pStyle w:val="2"/>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a:effectLst/>
                    </wps:spPr>
                    <wps:txbx>
                      <w:txbxContent>
                        <w:p w14:paraId="33B5D5A7">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3120;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qHs52AAAAAkBAAAPAAAAAAAAAAEAIAAAACIAAABkcnMvZG93bnJldi54bWxQ&#10;SwECFAAUAAAACACHTuJAgbVPxL4BAACCAwAADgAAAAAAAAABACAAAAAnAQAAZHJzL2Uyb0RvYy54&#10;bWxQSwUGAAAAAAYABgBZAQAAVwUAAAAA&#10;">
              <v:fill on="f" focussize="0,0"/>
              <v:stroke on="f"/>
              <v:imagedata o:title=""/>
              <o:lock v:ext="edit" aspectratio="f"/>
              <v:textbox inset="0mm,0mm,0mm,0mm">
                <w:txbxContent>
                  <w:p w14:paraId="33B5D5A7">
                    <w:pPr>
                      <w:rPr>
                        <w:rFonts w:hint="eastAsia"/>
                        <w:lang w:eastAsia="zh-CN"/>
                      </w:rPr>
                    </w:pP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a:effectLst/>
                    </wps:spPr>
                    <wps:txbx>
                      <w:txbxContent>
                        <w:p w14:paraId="44205FB5"/>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2096;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KrmlA2AAAAAoBAAAPAAAAAAAAAAEAIAAAACIAAABkcnMvZG93bnJldi54bWxQ&#10;SwECFAAUAAAACACHTuJAzDwivr4BAACCAwAADgAAAAAAAAABACAAAAAnAQAAZHJzL2Uyb0RvYy54&#10;bWxQSwUGAAAAAAYABgBZAQAAVwUAAAAA&#10;">
              <v:fill on="f" focussize="0,0"/>
              <v:stroke on="f"/>
              <v:imagedata o:title=""/>
              <o:lock v:ext="edit" aspectratio="f"/>
              <v:textbox inset="0mm,0mm,0mm,0mm">
                <w:txbxContent>
                  <w:p w14:paraId="44205FB5"/>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1A02E">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3CCCC24E"/>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7216;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Rib/FrsBAAB0AwAADgAAAAAAAAABACAAAAAnAQAAZHJzL2Uyb0RvYy54bWxQ&#10;SwUGAAAAAAYABgBZAQAAVAUAAAAA&#10;">
              <v:fill on="f" focussize="0,0"/>
              <v:stroke on="f"/>
              <v:imagedata o:title=""/>
              <o:lock v:ext="edit" aspectratio="f"/>
              <v:textbox inset="0mm,0mm,0mm,0mm">
                <w:txbxContent>
                  <w:p w14:paraId="3CCCC24E"/>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9321">
    <w:pPr>
      <w:pStyle w:val="15"/>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7F894">
    <w:pPr>
      <w:pStyle w:val="2"/>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22ABD36B"/>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209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euJOH7sBAAB0AwAADgAAAAAAAAABACAAAAAnAQAAZHJzL2Uyb0RvYy54bWxQ&#10;SwUGAAAAAAYABgBZAQAAVAUAAAAA&#10;">
              <v:fill on="f" focussize="0,0"/>
              <v:stroke on="f"/>
              <v:imagedata o:title=""/>
              <o:lock v:ext="edit" aspectratio="f"/>
              <v:textbox inset="0mm,0mm,0mm,0mm">
                <w:txbxContent>
                  <w:p w14:paraId="22ABD36B"/>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2A887990"/>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107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ImIbF7sBAAB0AwAADgAAAAAAAAABACAAAAAnAQAAZHJzL2Uyb0RvYy54bWxQ&#10;SwUGAAAAAAYABgBZAQAAVAUAAAAA&#10;">
              <v:fill on="f" focussize="0,0"/>
              <v:stroke on="f"/>
              <v:imagedata o:title=""/>
              <o:lock v:ext="edit" aspectratio="f"/>
              <v:textbox inset="0mm,0mm,0mm,0mm">
                <w:txbxContent>
                  <w:p w14:paraId="2A887990"/>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CF011">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6E413B35">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6192;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ah7OdgAAAAJAQAADwAAAAAAAAABACAAAAAiAAAAZHJzL2Rvd25yZXYueG1sUEsB&#10;AhQAFAAAAAgAh07iQDPZKQq8AQAAdAMAAA4AAAAAAAAAAQAgAAAAJwEAAGRycy9lMm9Eb2MueG1s&#10;UEsFBgAAAAAGAAYAWQEAAFUFAAAAAA==&#10;">
              <v:fill on="f" focussize="0,0"/>
              <v:stroke on="f"/>
              <v:imagedata o:title=""/>
              <o:lock v:ext="edit" aspectratio="f"/>
              <v:textbox inset="0mm,0mm,0mm,0mm">
                <w:txbxContent>
                  <w:p w14:paraId="6E413B35">
                    <w:pPr>
                      <w:rPr>
                        <w:rFonts w:hint="eastAsia"/>
                        <w:lang w:eastAsia="zh-CN"/>
                      </w:rPr>
                    </w:pP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6352DCC0">
                          <w:pPr>
                            <w:pStyle w:val="2"/>
                            <w:spacing w:line="251" w:lineRule="exact"/>
                            <w:ind w:left="20"/>
                          </w:pPr>
                        </w:p>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5168;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pnwQ8LsBAAB0AwAADgAAAAAAAAABACAAAAAnAQAAZHJzL2Uyb0RvYy54bWxQ&#10;SwUGAAAAAAYABgBZAQAAVAUAAAAA&#10;">
              <v:fill on="f" focussize="0,0"/>
              <v:stroke on="f"/>
              <v:imagedata o:title=""/>
              <o:lock v:ext="edit" aspectratio="f"/>
              <v:textbox inset="0mm,0mm,0mm,0mm">
                <w:txbxContent>
                  <w:p w14:paraId="6352DCC0">
                    <w:pPr>
                      <w:pStyle w:val="2"/>
                      <w:spacing w:line="251" w:lineRule="exact"/>
                      <w:ind w:left="2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E1102"/>
    <w:multiLevelType w:val="singleLevel"/>
    <w:tmpl w:val="968E1102"/>
    <w:lvl w:ilvl="0" w:tentative="0">
      <w:start w:val="2"/>
      <w:numFmt w:val="chineseCounting"/>
      <w:suff w:val="nothing"/>
      <w:lvlText w:val="（%1）"/>
      <w:lvlJc w:val="left"/>
      <w:rPr>
        <w:rFonts w:hint="eastAsia"/>
      </w:rPr>
    </w:lvl>
  </w:abstractNum>
  <w:abstractNum w:abstractNumId="1">
    <w:nsid w:val="C00C9C33"/>
    <w:multiLevelType w:val="singleLevel"/>
    <w:tmpl w:val="C00C9C33"/>
    <w:lvl w:ilvl="0" w:tentative="0">
      <w:start w:val="1"/>
      <w:numFmt w:val="chineseCounting"/>
      <w:suff w:val="nothing"/>
      <w:lvlText w:val="%1、"/>
      <w:lvlJc w:val="left"/>
      <w:rPr>
        <w:rFonts w:hint="eastAsia"/>
      </w:rPr>
    </w:lvl>
  </w:abstractNum>
  <w:abstractNum w:abstractNumId="2">
    <w:nsid w:val="10078ABF"/>
    <w:multiLevelType w:val="singleLevel"/>
    <w:tmpl w:val="10078ABF"/>
    <w:lvl w:ilvl="0" w:tentative="0">
      <w:start w:val="4"/>
      <w:numFmt w:val="chineseCounting"/>
      <w:suff w:val="space"/>
      <w:lvlText w:val="第%1部分"/>
      <w:lvlJc w:val="left"/>
      <w:rPr>
        <w:rFonts w:hint="eastAsia"/>
      </w:rPr>
    </w:lvl>
  </w:abstractNum>
  <w:abstractNum w:abstractNumId="3">
    <w:nsid w:val="166B6D96"/>
    <w:multiLevelType w:val="singleLevel"/>
    <w:tmpl w:val="166B6D96"/>
    <w:lvl w:ilvl="0" w:tentative="0">
      <w:start w:val="1"/>
      <w:numFmt w:val="chineseCounting"/>
      <w:suff w:val="nothing"/>
      <w:lvlText w:val="（%1）"/>
      <w:lvlJc w:val="left"/>
      <w:rPr>
        <w:rFonts w:hint="eastAsia"/>
      </w:rPr>
    </w:lvl>
  </w:abstractNum>
  <w:abstractNum w:abstractNumId="4">
    <w:nsid w:val="2F5B17AE"/>
    <w:multiLevelType w:val="singleLevel"/>
    <w:tmpl w:val="2F5B17AE"/>
    <w:lvl w:ilvl="0" w:tentative="0">
      <w:start w:val="1"/>
      <w:numFmt w:val="decimal"/>
      <w:lvlText w:val="%1."/>
      <w:lvlJc w:val="left"/>
      <w:pPr>
        <w:tabs>
          <w:tab w:val="left" w:pos="312"/>
        </w:tabs>
      </w:pPr>
    </w:lvl>
  </w:abstractNum>
  <w:abstractNum w:abstractNumId="5">
    <w:nsid w:val="3D55D76B"/>
    <w:multiLevelType w:val="singleLevel"/>
    <w:tmpl w:val="3D55D76B"/>
    <w:lvl w:ilvl="0" w:tentative="0">
      <w:start w:val="1"/>
      <w:numFmt w:val="chineseCounting"/>
      <w:suff w:val="space"/>
      <w:lvlText w:val="第%1章"/>
      <w:lvlJc w:val="left"/>
      <w:rPr>
        <w:rFonts w:hint="eastAsia"/>
      </w:rPr>
    </w:lvl>
  </w:abstractNum>
  <w:abstractNum w:abstractNumId="6">
    <w:nsid w:val="68FC6059"/>
    <w:multiLevelType w:val="singleLevel"/>
    <w:tmpl w:val="68FC6059"/>
    <w:lvl w:ilvl="0" w:tentative="0">
      <w:start w:val="5"/>
      <w:numFmt w:val="chineseCounting"/>
      <w:suff w:val="space"/>
      <w:lvlText w:val="%1、"/>
      <w:lvlJc w:val="left"/>
      <w:rPr>
        <w:rFonts w:hint="eastAsia"/>
      </w:rPr>
    </w:lvl>
  </w:abstractNum>
  <w:num w:numId="1">
    <w:abstractNumId w:val="5"/>
  </w:num>
  <w:num w:numId="2">
    <w:abstractNumId w:val="3"/>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000000"/>
    <w:rsid w:val="00082185"/>
    <w:rsid w:val="00092509"/>
    <w:rsid w:val="000B7DB2"/>
    <w:rsid w:val="0015223C"/>
    <w:rsid w:val="001D6501"/>
    <w:rsid w:val="002235CA"/>
    <w:rsid w:val="00265E98"/>
    <w:rsid w:val="00286F66"/>
    <w:rsid w:val="00460EDD"/>
    <w:rsid w:val="004E773E"/>
    <w:rsid w:val="00584EE4"/>
    <w:rsid w:val="005D6E36"/>
    <w:rsid w:val="00655C7F"/>
    <w:rsid w:val="0079583F"/>
    <w:rsid w:val="007C0F2D"/>
    <w:rsid w:val="00906967"/>
    <w:rsid w:val="00A21A66"/>
    <w:rsid w:val="00A81D22"/>
    <w:rsid w:val="00B24BB6"/>
    <w:rsid w:val="00B52D29"/>
    <w:rsid w:val="00B62819"/>
    <w:rsid w:val="00BF186E"/>
    <w:rsid w:val="00C91C98"/>
    <w:rsid w:val="00DA4B91"/>
    <w:rsid w:val="00E02D21"/>
    <w:rsid w:val="00F26BE8"/>
    <w:rsid w:val="00F8365B"/>
    <w:rsid w:val="00FC206D"/>
    <w:rsid w:val="01052BEB"/>
    <w:rsid w:val="010A29DC"/>
    <w:rsid w:val="010F4EFF"/>
    <w:rsid w:val="01140146"/>
    <w:rsid w:val="012704F5"/>
    <w:rsid w:val="01275B88"/>
    <w:rsid w:val="013B0DE8"/>
    <w:rsid w:val="015A57AA"/>
    <w:rsid w:val="01657CDA"/>
    <w:rsid w:val="01802C9E"/>
    <w:rsid w:val="0199766D"/>
    <w:rsid w:val="019F0A8C"/>
    <w:rsid w:val="01A72B23"/>
    <w:rsid w:val="01A97D30"/>
    <w:rsid w:val="01AD0BB8"/>
    <w:rsid w:val="01B237A8"/>
    <w:rsid w:val="01B36BD0"/>
    <w:rsid w:val="01B446F6"/>
    <w:rsid w:val="01BB09CB"/>
    <w:rsid w:val="01BC39A2"/>
    <w:rsid w:val="01C25065"/>
    <w:rsid w:val="01C42B8B"/>
    <w:rsid w:val="01C56903"/>
    <w:rsid w:val="01C63438"/>
    <w:rsid w:val="01C7267B"/>
    <w:rsid w:val="01CC1A40"/>
    <w:rsid w:val="01DB7ED5"/>
    <w:rsid w:val="01DE409E"/>
    <w:rsid w:val="01E21263"/>
    <w:rsid w:val="01E65414"/>
    <w:rsid w:val="01F3521E"/>
    <w:rsid w:val="01F65FA9"/>
    <w:rsid w:val="01FF3C6A"/>
    <w:rsid w:val="02012E78"/>
    <w:rsid w:val="021A2CC9"/>
    <w:rsid w:val="021C29C7"/>
    <w:rsid w:val="02277B3E"/>
    <w:rsid w:val="02380E83"/>
    <w:rsid w:val="02397C41"/>
    <w:rsid w:val="023A6EAE"/>
    <w:rsid w:val="02476461"/>
    <w:rsid w:val="024C2B81"/>
    <w:rsid w:val="025018CE"/>
    <w:rsid w:val="0255083C"/>
    <w:rsid w:val="02673100"/>
    <w:rsid w:val="026F56AC"/>
    <w:rsid w:val="027E6E6D"/>
    <w:rsid w:val="027F2F56"/>
    <w:rsid w:val="028429F3"/>
    <w:rsid w:val="02922A98"/>
    <w:rsid w:val="029E2AB3"/>
    <w:rsid w:val="029F4A63"/>
    <w:rsid w:val="02A12ECC"/>
    <w:rsid w:val="02AA5533"/>
    <w:rsid w:val="02BC2F91"/>
    <w:rsid w:val="02C40969"/>
    <w:rsid w:val="02C6389C"/>
    <w:rsid w:val="02C80459"/>
    <w:rsid w:val="02DC5CB3"/>
    <w:rsid w:val="03015719"/>
    <w:rsid w:val="0303579F"/>
    <w:rsid w:val="0307783A"/>
    <w:rsid w:val="031D766C"/>
    <w:rsid w:val="032338E1"/>
    <w:rsid w:val="03314FB5"/>
    <w:rsid w:val="03345B70"/>
    <w:rsid w:val="03394EB3"/>
    <w:rsid w:val="03411FB9"/>
    <w:rsid w:val="034D4D51"/>
    <w:rsid w:val="03521CBA"/>
    <w:rsid w:val="035531F3"/>
    <w:rsid w:val="03561F09"/>
    <w:rsid w:val="03600EDC"/>
    <w:rsid w:val="037264B7"/>
    <w:rsid w:val="0374413D"/>
    <w:rsid w:val="037B196F"/>
    <w:rsid w:val="03874574"/>
    <w:rsid w:val="039736D3"/>
    <w:rsid w:val="03A34A22"/>
    <w:rsid w:val="03AA4CBA"/>
    <w:rsid w:val="03BD3D36"/>
    <w:rsid w:val="04030EC3"/>
    <w:rsid w:val="04187EF1"/>
    <w:rsid w:val="041F28ED"/>
    <w:rsid w:val="04253689"/>
    <w:rsid w:val="042B5143"/>
    <w:rsid w:val="042E1A95"/>
    <w:rsid w:val="0433526B"/>
    <w:rsid w:val="04335DA6"/>
    <w:rsid w:val="04390031"/>
    <w:rsid w:val="043D74D7"/>
    <w:rsid w:val="04477832"/>
    <w:rsid w:val="04486DF4"/>
    <w:rsid w:val="0458580D"/>
    <w:rsid w:val="045905E0"/>
    <w:rsid w:val="045F4DED"/>
    <w:rsid w:val="04714B20"/>
    <w:rsid w:val="04781A0B"/>
    <w:rsid w:val="047F723D"/>
    <w:rsid w:val="04802553"/>
    <w:rsid w:val="04815948"/>
    <w:rsid w:val="04854128"/>
    <w:rsid w:val="048C5A1D"/>
    <w:rsid w:val="049031F8"/>
    <w:rsid w:val="04963562"/>
    <w:rsid w:val="04A077F1"/>
    <w:rsid w:val="04AB0032"/>
    <w:rsid w:val="04AC145E"/>
    <w:rsid w:val="04B36EE7"/>
    <w:rsid w:val="04B74C29"/>
    <w:rsid w:val="04BC2297"/>
    <w:rsid w:val="04C64E6C"/>
    <w:rsid w:val="04C66C1A"/>
    <w:rsid w:val="04CF2673"/>
    <w:rsid w:val="04D94D69"/>
    <w:rsid w:val="04DC0AA0"/>
    <w:rsid w:val="04DC34A1"/>
    <w:rsid w:val="04E34662"/>
    <w:rsid w:val="04E62E18"/>
    <w:rsid w:val="04EB5A6E"/>
    <w:rsid w:val="04F16EF3"/>
    <w:rsid w:val="05151950"/>
    <w:rsid w:val="051D19FB"/>
    <w:rsid w:val="05346DD3"/>
    <w:rsid w:val="053718C6"/>
    <w:rsid w:val="054D1796"/>
    <w:rsid w:val="05634C69"/>
    <w:rsid w:val="05691B27"/>
    <w:rsid w:val="056B1570"/>
    <w:rsid w:val="05757C03"/>
    <w:rsid w:val="05A217DD"/>
    <w:rsid w:val="05A351AD"/>
    <w:rsid w:val="05A502AD"/>
    <w:rsid w:val="05A50F26"/>
    <w:rsid w:val="05B23DFE"/>
    <w:rsid w:val="05B57C30"/>
    <w:rsid w:val="05B90175"/>
    <w:rsid w:val="05BB1A9E"/>
    <w:rsid w:val="05BD4F8F"/>
    <w:rsid w:val="05C1471D"/>
    <w:rsid w:val="05DA380E"/>
    <w:rsid w:val="05E00652"/>
    <w:rsid w:val="05F20275"/>
    <w:rsid w:val="05F6195E"/>
    <w:rsid w:val="05FB58E4"/>
    <w:rsid w:val="06060AA7"/>
    <w:rsid w:val="06147E59"/>
    <w:rsid w:val="0616772D"/>
    <w:rsid w:val="061906A3"/>
    <w:rsid w:val="061A14F7"/>
    <w:rsid w:val="062260D2"/>
    <w:rsid w:val="06304C93"/>
    <w:rsid w:val="06344057"/>
    <w:rsid w:val="063539E9"/>
    <w:rsid w:val="063B7B7F"/>
    <w:rsid w:val="063D115E"/>
    <w:rsid w:val="064A2E72"/>
    <w:rsid w:val="06546E1C"/>
    <w:rsid w:val="065564A8"/>
    <w:rsid w:val="06595D01"/>
    <w:rsid w:val="06707752"/>
    <w:rsid w:val="06707908"/>
    <w:rsid w:val="06735AF3"/>
    <w:rsid w:val="06764670"/>
    <w:rsid w:val="06774D69"/>
    <w:rsid w:val="068A6A28"/>
    <w:rsid w:val="068D6BD2"/>
    <w:rsid w:val="06A64F55"/>
    <w:rsid w:val="06B01054"/>
    <w:rsid w:val="06B225CD"/>
    <w:rsid w:val="06B238FA"/>
    <w:rsid w:val="06B56F46"/>
    <w:rsid w:val="06B66DD1"/>
    <w:rsid w:val="06CC603E"/>
    <w:rsid w:val="06D03D80"/>
    <w:rsid w:val="06D53145"/>
    <w:rsid w:val="06E174A3"/>
    <w:rsid w:val="06F35C7C"/>
    <w:rsid w:val="06F8666A"/>
    <w:rsid w:val="0701092B"/>
    <w:rsid w:val="070C0865"/>
    <w:rsid w:val="071271C7"/>
    <w:rsid w:val="071836A4"/>
    <w:rsid w:val="07267E44"/>
    <w:rsid w:val="07354E8A"/>
    <w:rsid w:val="073B2573"/>
    <w:rsid w:val="073D5C7F"/>
    <w:rsid w:val="073E6F3C"/>
    <w:rsid w:val="07401BC0"/>
    <w:rsid w:val="07585B24"/>
    <w:rsid w:val="075A0111"/>
    <w:rsid w:val="076512BF"/>
    <w:rsid w:val="076B041E"/>
    <w:rsid w:val="077237F0"/>
    <w:rsid w:val="07726BE5"/>
    <w:rsid w:val="0776534E"/>
    <w:rsid w:val="077946F5"/>
    <w:rsid w:val="0781151E"/>
    <w:rsid w:val="07964D17"/>
    <w:rsid w:val="07967E0E"/>
    <w:rsid w:val="0797489E"/>
    <w:rsid w:val="079923C4"/>
    <w:rsid w:val="07B13BB2"/>
    <w:rsid w:val="07B6484E"/>
    <w:rsid w:val="07BB5CE1"/>
    <w:rsid w:val="07C63AEF"/>
    <w:rsid w:val="07C92C47"/>
    <w:rsid w:val="07D36C9F"/>
    <w:rsid w:val="07F12200"/>
    <w:rsid w:val="07F95559"/>
    <w:rsid w:val="07FC7C73"/>
    <w:rsid w:val="08057A5A"/>
    <w:rsid w:val="08122176"/>
    <w:rsid w:val="082750D8"/>
    <w:rsid w:val="083802A9"/>
    <w:rsid w:val="083E11BD"/>
    <w:rsid w:val="083E7A3A"/>
    <w:rsid w:val="0840356C"/>
    <w:rsid w:val="08420AFA"/>
    <w:rsid w:val="08431AA4"/>
    <w:rsid w:val="08465CCC"/>
    <w:rsid w:val="085414A0"/>
    <w:rsid w:val="085D27D6"/>
    <w:rsid w:val="08607386"/>
    <w:rsid w:val="086A3D60"/>
    <w:rsid w:val="08761107"/>
    <w:rsid w:val="0878022B"/>
    <w:rsid w:val="08823A87"/>
    <w:rsid w:val="089F76E9"/>
    <w:rsid w:val="08A220F9"/>
    <w:rsid w:val="08A917A9"/>
    <w:rsid w:val="08AE6343"/>
    <w:rsid w:val="08B65A87"/>
    <w:rsid w:val="08BA0970"/>
    <w:rsid w:val="08CF1E16"/>
    <w:rsid w:val="08D2262C"/>
    <w:rsid w:val="08DF64FD"/>
    <w:rsid w:val="08E75201"/>
    <w:rsid w:val="08F0070A"/>
    <w:rsid w:val="08F6004E"/>
    <w:rsid w:val="08FD4BD5"/>
    <w:rsid w:val="08FF201E"/>
    <w:rsid w:val="09036E6D"/>
    <w:rsid w:val="090709EE"/>
    <w:rsid w:val="09072556"/>
    <w:rsid w:val="09160835"/>
    <w:rsid w:val="091627B4"/>
    <w:rsid w:val="09175C96"/>
    <w:rsid w:val="094C3466"/>
    <w:rsid w:val="095742E5"/>
    <w:rsid w:val="095E0675"/>
    <w:rsid w:val="096168DE"/>
    <w:rsid w:val="09664528"/>
    <w:rsid w:val="096A04BC"/>
    <w:rsid w:val="09A06F3D"/>
    <w:rsid w:val="09B31CB9"/>
    <w:rsid w:val="09DE5F99"/>
    <w:rsid w:val="09E0585C"/>
    <w:rsid w:val="09E71B0D"/>
    <w:rsid w:val="09EC23D5"/>
    <w:rsid w:val="09EC2923"/>
    <w:rsid w:val="09EC6100"/>
    <w:rsid w:val="09F47D86"/>
    <w:rsid w:val="0A0A57FB"/>
    <w:rsid w:val="0A133CD2"/>
    <w:rsid w:val="0A1A760F"/>
    <w:rsid w:val="0A261F09"/>
    <w:rsid w:val="0A2A37A7"/>
    <w:rsid w:val="0A314B36"/>
    <w:rsid w:val="0A3F06D3"/>
    <w:rsid w:val="0A430D0D"/>
    <w:rsid w:val="0A436837"/>
    <w:rsid w:val="0A48619C"/>
    <w:rsid w:val="0A540824"/>
    <w:rsid w:val="0A5627EE"/>
    <w:rsid w:val="0A690FE3"/>
    <w:rsid w:val="0A6F38B0"/>
    <w:rsid w:val="0A7333A0"/>
    <w:rsid w:val="0A8C7FBE"/>
    <w:rsid w:val="0AA34D2A"/>
    <w:rsid w:val="0AAA44D8"/>
    <w:rsid w:val="0AAC78F4"/>
    <w:rsid w:val="0AB5060E"/>
    <w:rsid w:val="0AC63129"/>
    <w:rsid w:val="0AD7590D"/>
    <w:rsid w:val="0ADF3B2F"/>
    <w:rsid w:val="0AE147AE"/>
    <w:rsid w:val="0AE4173B"/>
    <w:rsid w:val="0AE41BA8"/>
    <w:rsid w:val="0AEC344C"/>
    <w:rsid w:val="0B006B17"/>
    <w:rsid w:val="0B085689"/>
    <w:rsid w:val="0B0E0664"/>
    <w:rsid w:val="0B0F299D"/>
    <w:rsid w:val="0B3443DF"/>
    <w:rsid w:val="0B387E5F"/>
    <w:rsid w:val="0B397676"/>
    <w:rsid w:val="0B40739E"/>
    <w:rsid w:val="0B460A68"/>
    <w:rsid w:val="0B482EAB"/>
    <w:rsid w:val="0B4B7B71"/>
    <w:rsid w:val="0B561090"/>
    <w:rsid w:val="0B5A084B"/>
    <w:rsid w:val="0B5F3925"/>
    <w:rsid w:val="0B64718D"/>
    <w:rsid w:val="0B667E81"/>
    <w:rsid w:val="0B684711"/>
    <w:rsid w:val="0B705B32"/>
    <w:rsid w:val="0B721DFD"/>
    <w:rsid w:val="0B73741B"/>
    <w:rsid w:val="0B7476CC"/>
    <w:rsid w:val="0B7D4C0D"/>
    <w:rsid w:val="0B7F622A"/>
    <w:rsid w:val="0B84338B"/>
    <w:rsid w:val="0B851AE6"/>
    <w:rsid w:val="0B971310"/>
    <w:rsid w:val="0B996E37"/>
    <w:rsid w:val="0BAB2C6B"/>
    <w:rsid w:val="0BB01070"/>
    <w:rsid w:val="0BB11ECA"/>
    <w:rsid w:val="0BBB2B6B"/>
    <w:rsid w:val="0BC76569"/>
    <w:rsid w:val="0BD47E6F"/>
    <w:rsid w:val="0BD6109F"/>
    <w:rsid w:val="0BDF05C2"/>
    <w:rsid w:val="0BFA003D"/>
    <w:rsid w:val="0BFC1F10"/>
    <w:rsid w:val="0BFE4B3A"/>
    <w:rsid w:val="0C142961"/>
    <w:rsid w:val="0C1E0271"/>
    <w:rsid w:val="0C1E5797"/>
    <w:rsid w:val="0C2E444A"/>
    <w:rsid w:val="0C321039"/>
    <w:rsid w:val="0C392E6B"/>
    <w:rsid w:val="0C437518"/>
    <w:rsid w:val="0C646F22"/>
    <w:rsid w:val="0C684A5B"/>
    <w:rsid w:val="0C6A5728"/>
    <w:rsid w:val="0C733E10"/>
    <w:rsid w:val="0C990DB5"/>
    <w:rsid w:val="0C9A3825"/>
    <w:rsid w:val="0CA43CE5"/>
    <w:rsid w:val="0CAE6912"/>
    <w:rsid w:val="0CB16402"/>
    <w:rsid w:val="0CB97065"/>
    <w:rsid w:val="0CC25F19"/>
    <w:rsid w:val="0CC31C91"/>
    <w:rsid w:val="0CC53C5B"/>
    <w:rsid w:val="0CCA74C4"/>
    <w:rsid w:val="0CD01864"/>
    <w:rsid w:val="0CD520F0"/>
    <w:rsid w:val="0CDB522D"/>
    <w:rsid w:val="0CE42333"/>
    <w:rsid w:val="0CE560AB"/>
    <w:rsid w:val="0CF34325"/>
    <w:rsid w:val="0CF462EF"/>
    <w:rsid w:val="0CFF587E"/>
    <w:rsid w:val="0D115134"/>
    <w:rsid w:val="0D19439F"/>
    <w:rsid w:val="0D197199"/>
    <w:rsid w:val="0D200E92"/>
    <w:rsid w:val="0D29243C"/>
    <w:rsid w:val="0D3A1F53"/>
    <w:rsid w:val="0D5509C8"/>
    <w:rsid w:val="0D646FD0"/>
    <w:rsid w:val="0D742730"/>
    <w:rsid w:val="0D8038E0"/>
    <w:rsid w:val="0D957835"/>
    <w:rsid w:val="0D993335"/>
    <w:rsid w:val="0DA1474E"/>
    <w:rsid w:val="0DB53CD0"/>
    <w:rsid w:val="0DB80411"/>
    <w:rsid w:val="0DC702B4"/>
    <w:rsid w:val="0DD164B1"/>
    <w:rsid w:val="0DD664A8"/>
    <w:rsid w:val="0DDB6EB4"/>
    <w:rsid w:val="0DDD3F20"/>
    <w:rsid w:val="0DDE0C5B"/>
    <w:rsid w:val="0DE105E0"/>
    <w:rsid w:val="0DE16873"/>
    <w:rsid w:val="0DE85E53"/>
    <w:rsid w:val="0DEA1BCB"/>
    <w:rsid w:val="0DED346A"/>
    <w:rsid w:val="0DEE649A"/>
    <w:rsid w:val="0DEF5BD8"/>
    <w:rsid w:val="0DFA5954"/>
    <w:rsid w:val="0DFC07C5"/>
    <w:rsid w:val="0DFE11D3"/>
    <w:rsid w:val="0E056A05"/>
    <w:rsid w:val="0E090A68"/>
    <w:rsid w:val="0E1B6F89"/>
    <w:rsid w:val="0E1C0BB0"/>
    <w:rsid w:val="0E2622F8"/>
    <w:rsid w:val="0E3A76D7"/>
    <w:rsid w:val="0E461AE8"/>
    <w:rsid w:val="0E4B0190"/>
    <w:rsid w:val="0E5434E9"/>
    <w:rsid w:val="0E555731"/>
    <w:rsid w:val="0E5700C1"/>
    <w:rsid w:val="0E6360AE"/>
    <w:rsid w:val="0E682AF0"/>
    <w:rsid w:val="0E6B438E"/>
    <w:rsid w:val="0E6F3E7F"/>
    <w:rsid w:val="0E975183"/>
    <w:rsid w:val="0EA578A0"/>
    <w:rsid w:val="0EA87BA9"/>
    <w:rsid w:val="0EAB73B7"/>
    <w:rsid w:val="0EC06C77"/>
    <w:rsid w:val="0ECF1BBF"/>
    <w:rsid w:val="0ED4462A"/>
    <w:rsid w:val="0EDB32C2"/>
    <w:rsid w:val="0EDF6FFF"/>
    <w:rsid w:val="0EE934BB"/>
    <w:rsid w:val="0EF8535A"/>
    <w:rsid w:val="0F0F7410"/>
    <w:rsid w:val="0F1756DE"/>
    <w:rsid w:val="0F182B40"/>
    <w:rsid w:val="0F1F58A5"/>
    <w:rsid w:val="0F246858"/>
    <w:rsid w:val="0F3330FE"/>
    <w:rsid w:val="0F340C24"/>
    <w:rsid w:val="0F360E40"/>
    <w:rsid w:val="0F476BAA"/>
    <w:rsid w:val="0F5B3692"/>
    <w:rsid w:val="0F683902"/>
    <w:rsid w:val="0F696B20"/>
    <w:rsid w:val="0F7202A9"/>
    <w:rsid w:val="0F735BF1"/>
    <w:rsid w:val="0F7A3F46"/>
    <w:rsid w:val="0F873B4A"/>
    <w:rsid w:val="0F8A773F"/>
    <w:rsid w:val="0FA26AF6"/>
    <w:rsid w:val="0FA44814"/>
    <w:rsid w:val="0FA65982"/>
    <w:rsid w:val="0FB002FE"/>
    <w:rsid w:val="0FBE77CA"/>
    <w:rsid w:val="0FC14EC7"/>
    <w:rsid w:val="0FC662AD"/>
    <w:rsid w:val="0FCD238F"/>
    <w:rsid w:val="0FD32213"/>
    <w:rsid w:val="0FD665BD"/>
    <w:rsid w:val="0FD7474F"/>
    <w:rsid w:val="0FD947AA"/>
    <w:rsid w:val="0FDD12BC"/>
    <w:rsid w:val="0FDE750E"/>
    <w:rsid w:val="0FEE3376"/>
    <w:rsid w:val="0FF40AC1"/>
    <w:rsid w:val="100B407B"/>
    <w:rsid w:val="10130B2C"/>
    <w:rsid w:val="101744CC"/>
    <w:rsid w:val="101918CB"/>
    <w:rsid w:val="10196798"/>
    <w:rsid w:val="101A42BE"/>
    <w:rsid w:val="101D03EC"/>
    <w:rsid w:val="101F063D"/>
    <w:rsid w:val="102B0279"/>
    <w:rsid w:val="1033518C"/>
    <w:rsid w:val="103B1BF6"/>
    <w:rsid w:val="104322BF"/>
    <w:rsid w:val="10452AC2"/>
    <w:rsid w:val="104C66F9"/>
    <w:rsid w:val="10651960"/>
    <w:rsid w:val="10675755"/>
    <w:rsid w:val="106D43EE"/>
    <w:rsid w:val="10725EA8"/>
    <w:rsid w:val="10832CF8"/>
    <w:rsid w:val="109220A6"/>
    <w:rsid w:val="10A057E3"/>
    <w:rsid w:val="10A560DD"/>
    <w:rsid w:val="10A63015"/>
    <w:rsid w:val="10B14C22"/>
    <w:rsid w:val="10C304B2"/>
    <w:rsid w:val="10C5247C"/>
    <w:rsid w:val="10C77FA2"/>
    <w:rsid w:val="10C97BB0"/>
    <w:rsid w:val="10ED61CF"/>
    <w:rsid w:val="10F350A1"/>
    <w:rsid w:val="10F867B5"/>
    <w:rsid w:val="11041F12"/>
    <w:rsid w:val="110E0877"/>
    <w:rsid w:val="112E0021"/>
    <w:rsid w:val="113349F9"/>
    <w:rsid w:val="1134315E"/>
    <w:rsid w:val="114535BD"/>
    <w:rsid w:val="11567578"/>
    <w:rsid w:val="1160654C"/>
    <w:rsid w:val="11712F94"/>
    <w:rsid w:val="117973F2"/>
    <w:rsid w:val="11844488"/>
    <w:rsid w:val="118F2EA3"/>
    <w:rsid w:val="11AD363C"/>
    <w:rsid w:val="11B438D4"/>
    <w:rsid w:val="11C42512"/>
    <w:rsid w:val="11C646FD"/>
    <w:rsid w:val="11C664AC"/>
    <w:rsid w:val="11CB205D"/>
    <w:rsid w:val="11CF5C40"/>
    <w:rsid w:val="11D17C89"/>
    <w:rsid w:val="11D24983"/>
    <w:rsid w:val="11E22BBA"/>
    <w:rsid w:val="11E60D6E"/>
    <w:rsid w:val="11EB455B"/>
    <w:rsid w:val="11F34CE7"/>
    <w:rsid w:val="11F744EE"/>
    <w:rsid w:val="11FC011F"/>
    <w:rsid w:val="120668A8"/>
    <w:rsid w:val="120951C1"/>
    <w:rsid w:val="12174F59"/>
    <w:rsid w:val="121C431D"/>
    <w:rsid w:val="122961D3"/>
    <w:rsid w:val="122B3CDA"/>
    <w:rsid w:val="123A016F"/>
    <w:rsid w:val="123E4294"/>
    <w:rsid w:val="12425DA3"/>
    <w:rsid w:val="124318AA"/>
    <w:rsid w:val="124473D0"/>
    <w:rsid w:val="124D44D7"/>
    <w:rsid w:val="124D7FD1"/>
    <w:rsid w:val="125406D3"/>
    <w:rsid w:val="12564F25"/>
    <w:rsid w:val="126179CF"/>
    <w:rsid w:val="12704669"/>
    <w:rsid w:val="12746430"/>
    <w:rsid w:val="12942106"/>
    <w:rsid w:val="12973749"/>
    <w:rsid w:val="129F0AAB"/>
    <w:rsid w:val="12A21CDF"/>
    <w:rsid w:val="12A51D70"/>
    <w:rsid w:val="12A7253B"/>
    <w:rsid w:val="12A90848"/>
    <w:rsid w:val="12B44556"/>
    <w:rsid w:val="12B46304"/>
    <w:rsid w:val="12CA3D79"/>
    <w:rsid w:val="12CB18A0"/>
    <w:rsid w:val="12D02B74"/>
    <w:rsid w:val="12D47D70"/>
    <w:rsid w:val="12E319F0"/>
    <w:rsid w:val="12E45CE5"/>
    <w:rsid w:val="12E6610F"/>
    <w:rsid w:val="12E82452"/>
    <w:rsid w:val="12F947F6"/>
    <w:rsid w:val="12FC2D17"/>
    <w:rsid w:val="1306003F"/>
    <w:rsid w:val="131814E4"/>
    <w:rsid w:val="131D2882"/>
    <w:rsid w:val="132A2A6A"/>
    <w:rsid w:val="132F4B0D"/>
    <w:rsid w:val="13370CE3"/>
    <w:rsid w:val="133B47E7"/>
    <w:rsid w:val="133C2C8E"/>
    <w:rsid w:val="1343350F"/>
    <w:rsid w:val="13586E4A"/>
    <w:rsid w:val="13637D2A"/>
    <w:rsid w:val="13665051"/>
    <w:rsid w:val="136D1943"/>
    <w:rsid w:val="13782D35"/>
    <w:rsid w:val="137F2DB6"/>
    <w:rsid w:val="13830445"/>
    <w:rsid w:val="138A5483"/>
    <w:rsid w:val="13A04ADA"/>
    <w:rsid w:val="13A41DB9"/>
    <w:rsid w:val="13A50343"/>
    <w:rsid w:val="13A75119"/>
    <w:rsid w:val="13A8055F"/>
    <w:rsid w:val="13A947E6"/>
    <w:rsid w:val="13B127AE"/>
    <w:rsid w:val="13C77B3E"/>
    <w:rsid w:val="13DC21E9"/>
    <w:rsid w:val="13E636CA"/>
    <w:rsid w:val="13EE4B21"/>
    <w:rsid w:val="13F55502"/>
    <w:rsid w:val="13F56BD4"/>
    <w:rsid w:val="13FB5FCE"/>
    <w:rsid w:val="14013E3D"/>
    <w:rsid w:val="1403612A"/>
    <w:rsid w:val="14050323"/>
    <w:rsid w:val="141310A4"/>
    <w:rsid w:val="142859F2"/>
    <w:rsid w:val="14302302"/>
    <w:rsid w:val="1455586C"/>
    <w:rsid w:val="146143A3"/>
    <w:rsid w:val="148D3668"/>
    <w:rsid w:val="14922675"/>
    <w:rsid w:val="149B4E68"/>
    <w:rsid w:val="149D24D2"/>
    <w:rsid w:val="14D94748"/>
    <w:rsid w:val="14EB3016"/>
    <w:rsid w:val="14F11A91"/>
    <w:rsid w:val="150177FB"/>
    <w:rsid w:val="15054238"/>
    <w:rsid w:val="150B3871"/>
    <w:rsid w:val="150D43F1"/>
    <w:rsid w:val="15101EBC"/>
    <w:rsid w:val="1516245E"/>
    <w:rsid w:val="151B1DC7"/>
    <w:rsid w:val="15214850"/>
    <w:rsid w:val="152A4FA3"/>
    <w:rsid w:val="152F63E2"/>
    <w:rsid w:val="153876C0"/>
    <w:rsid w:val="15455939"/>
    <w:rsid w:val="155E2E9F"/>
    <w:rsid w:val="156E3637"/>
    <w:rsid w:val="15791F29"/>
    <w:rsid w:val="157B6A9C"/>
    <w:rsid w:val="157E709D"/>
    <w:rsid w:val="15806971"/>
    <w:rsid w:val="158E72E0"/>
    <w:rsid w:val="15995C85"/>
    <w:rsid w:val="15A20FDE"/>
    <w:rsid w:val="15A21D2D"/>
    <w:rsid w:val="15C22611"/>
    <w:rsid w:val="15C70A44"/>
    <w:rsid w:val="15D0259F"/>
    <w:rsid w:val="15D44723"/>
    <w:rsid w:val="15D53161"/>
    <w:rsid w:val="15DB4978"/>
    <w:rsid w:val="15E960C6"/>
    <w:rsid w:val="15FA2BC8"/>
    <w:rsid w:val="15FD7867"/>
    <w:rsid w:val="16070E41"/>
    <w:rsid w:val="16090798"/>
    <w:rsid w:val="160D6A7E"/>
    <w:rsid w:val="160E4620"/>
    <w:rsid w:val="16157A01"/>
    <w:rsid w:val="1626576B"/>
    <w:rsid w:val="162B6996"/>
    <w:rsid w:val="162C7FB8"/>
    <w:rsid w:val="163C1C7F"/>
    <w:rsid w:val="16452C82"/>
    <w:rsid w:val="164976AB"/>
    <w:rsid w:val="164D0F49"/>
    <w:rsid w:val="164F5113"/>
    <w:rsid w:val="16552777"/>
    <w:rsid w:val="165703C5"/>
    <w:rsid w:val="165B1BDF"/>
    <w:rsid w:val="165B2F3A"/>
    <w:rsid w:val="165E67CE"/>
    <w:rsid w:val="16663DB9"/>
    <w:rsid w:val="16667696"/>
    <w:rsid w:val="16747C94"/>
    <w:rsid w:val="167E55A7"/>
    <w:rsid w:val="168D7598"/>
    <w:rsid w:val="168D7D9B"/>
    <w:rsid w:val="16B07251"/>
    <w:rsid w:val="16B70AB9"/>
    <w:rsid w:val="16BB694C"/>
    <w:rsid w:val="16C84A74"/>
    <w:rsid w:val="16CB3B19"/>
    <w:rsid w:val="16DA0303"/>
    <w:rsid w:val="16DB6903"/>
    <w:rsid w:val="16DF75DF"/>
    <w:rsid w:val="16E573D4"/>
    <w:rsid w:val="16E96798"/>
    <w:rsid w:val="1700420E"/>
    <w:rsid w:val="170E3E60"/>
    <w:rsid w:val="17107A6F"/>
    <w:rsid w:val="173018D4"/>
    <w:rsid w:val="173D75F4"/>
    <w:rsid w:val="17407CA5"/>
    <w:rsid w:val="174722BD"/>
    <w:rsid w:val="17475592"/>
    <w:rsid w:val="17526B24"/>
    <w:rsid w:val="17616D14"/>
    <w:rsid w:val="176906DA"/>
    <w:rsid w:val="176E61B1"/>
    <w:rsid w:val="178642C9"/>
    <w:rsid w:val="178D3846"/>
    <w:rsid w:val="17A607B9"/>
    <w:rsid w:val="17B279C5"/>
    <w:rsid w:val="17B96D57"/>
    <w:rsid w:val="17BC521D"/>
    <w:rsid w:val="17BF5E29"/>
    <w:rsid w:val="17C40390"/>
    <w:rsid w:val="17D529A7"/>
    <w:rsid w:val="17F36543"/>
    <w:rsid w:val="17F6116D"/>
    <w:rsid w:val="18175F69"/>
    <w:rsid w:val="183879D7"/>
    <w:rsid w:val="1839691D"/>
    <w:rsid w:val="183D3240"/>
    <w:rsid w:val="183F0D66"/>
    <w:rsid w:val="184867AE"/>
    <w:rsid w:val="18491BE4"/>
    <w:rsid w:val="18615A30"/>
    <w:rsid w:val="1869476C"/>
    <w:rsid w:val="186B1B5B"/>
    <w:rsid w:val="187F70FF"/>
    <w:rsid w:val="18803922"/>
    <w:rsid w:val="188067E8"/>
    <w:rsid w:val="1881312C"/>
    <w:rsid w:val="18876000"/>
    <w:rsid w:val="188B535B"/>
    <w:rsid w:val="188D7D23"/>
    <w:rsid w:val="188E5849"/>
    <w:rsid w:val="18A1557C"/>
    <w:rsid w:val="18A24C56"/>
    <w:rsid w:val="18A575F7"/>
    <w:rsid w:val="18A706B9"/>
    <w:rsid w:val="18A75CFC"/>
    <w:rsid w:val="18AD0A0F"/>
    <w:rsid w:val="18AF6F04"/>
    <w:rsid w:val="18C75010"/>
    <w:rsid w:val="18DA283C"/>
    <w:rsid w:val="18DB660E"/>
    <w:rsid w:val="18DF60A5"/>
    <w:rsid w:val="18ED431E"/>
    <w:rsid w:val="18FD7E22"/>
    <w:rsid w:val="190F7A28"/>
    <w:rsid w:val="19202945"/>
    <w:rsid w:val="192A63E1"/>
    <w:rsid w:val="192D0BBE"/>
    <w:rsid w:val="193006AE"/>
    <w:rsid w:val="195025C6"/>
    <w:rsid w:val="19643CB5"/>
    <w:rsid w:val="196640D0"/>
    <w:rsid w:val="196B2ACF"/>
    <w:rsid w:val="196C71BF"/>
    <w:rsid w:val="197762DD"/>
    <w:rsid w:val="197902A7"/>
    <w:rsid w:val="19810F0A"/>
    <w:rsid w:val="198F7ACB"/>
    <w:rsid w:val="19940C3D"/>
    <w:rsid w:val="199436A0"/>
    <w:rsid w:val="19AB6542"/>
    <w:rsid w:val="19B968F6"/>
    <w:rsid w:val="19D35A3A"/>
    <w:rsid w:val="19D40979"/>
    <w:rsid w:val="19D674A8"/>
    <w:rsid w:val="19DD0836"/>
    <w:rsid w:val="19E241C1"/>
    <w:rsid w:val="19E27BFB"/>
    <w:rsid w:val="19E65789"/>
    <w:rsid w:val="19EE2A43"/>
    <w:rsid w:val="19EF0454"/>
    <w:rsid w:val="19F37AC0"/>
    <w:rsid w:val="19F90A68"/>
    <w:rsid w:val="19FB6BA4"/>
    <w:rsid w:val="1A0933D9"/>
    <w:rsid w:val="1A1021E7"/>
    <w:rsid w:val="1A162D24"/>
    <w:rsid w:val="1A174BE2"/>
    <w:rsid w:val="1A2778AC"/>
    <w:rsid w:val="1A3266E5"/>
    <w:rsid w:val="1A457830"/>
    <w:rsid w:val="1A473F02"/>
    <w:rsid w:val="1A5F2FF9"/>
    <w:rsid w:val="1A6E76E0"/>
    <w:rsid w:val="1A7740EA"/>
    <w:rsid w:val="1A7D5B75"/>
    <w:rsid w:val="1A7F18ED"/>
    <w:rsid w:val="1A8B64E4"/>
    <w:rsid w:val="1A963400"/>
    <w:rsid w:val="1A9D2F62"/>
    <w:rsid w:val="1A9F3D3E"/>
    <w:rsid w:val="1AA357DF"/>
    <w:rsid w:val="1AAA49AC"/>
    <w:rsid w:val="1AAE3F81"/>
    <w:rsid w:val="1AB377E9"/>
    <w:rsid w:val="1AE84512"/>
    <w:rsid w:val="1AE87581"/>
    <w:rsid w:val="1AFF2903"/>
    <w:rsid w:val="1B135931"/>
    <w:rsid w:val="1B1805B2"/>
    <w:rsid w:val="1B1E5751"/>
    <w:rsid w:val="1B25202A"/>
    <w:rsid w:val="1B2A59D4"/>
    <w:rsid w:val="1B2B737F"/>
    <w:rsid w:val="1B3741AC"/>
    <w:rsid w:val="1B401D7A"/>
    <w:rsid w:val="1B425BD7"/>
    <w:rsid w:val="1B462E07"/>
    <w:rsid w:val="1B5468D6"/>
    <w:rsid w:val="1B556F15"/>
    <w:rsid w:val="1B62397B"/>
    <w:rsid w:val="1B6D5BEA"/>
    <w:rsid w:val="1B7538EE"/>
    <w:rsid w:val="1B860A5A"/>
    <w:rsid w:val="1BA333BA"/>
    <w:rsid w:val="1BA84E74"/>
    <w:rsid w:val="1BE3448B"/>
    <w:rsid w:val="1BF34341"/>
    <w:rsid w:val="1C0F0A4F"/>
    <w:rsid w:val="1C255AA5"/>
    <w:rsid w:val="1C333A07"/>
    <w:rsid w:val="1C3E5C55"/>
    <w:rsid w:val="1C58705C"/>
    <w:rsid w:val="1C5B1EE6"/>
    <w:rsid w:val="1C60574F"/>
    <w:rsid w:val="1C6E5776"/>
    <w:rsid w:val="1C7D00AF"/>
    <w:rsid w:val="1C807CA2"/>
    <w:rsid w:val="1C890801"/>
    <w:rsid w:val="1C8A3CC9"/>
    <w:rsid w:val="1C8B50F3"/>
    <w:rsid w:val="1C8C20A0"/>
    <w:rsid w:val="1C9172AC"/>
    <w:rsid w:val="1C940F54"/>
    <w:rsid w:val="1C981374"/>
    <w:rsid w:val="1C9A47BD"/>
    <w:rsid w:val="1CAA6909"/>
    <w:rsid w:val="1CBC0BD7"/>
    <w:rsid w:val="1CBC49E7"/>
    <w:rsid w:val="1CBD04AB"/>
    <w:rsid w:val="1CBD34DD"/>
    <w:rsid w:val="1CBF36E0"/>
    <w:rsid w:val="1CC45CDD"/>
    <w:rsid w:val="1CD35ABE"/>
    <w:rsid w:val="1CD50AFC"/>
    <w:rsid w:val="1CDD0B4D"/>
    <w:rsid w:val="1CF245F9"/>
    <w:rsid w:val="1CF827B6"/>
    <w:rsid w:val="1D0D3A6E"/>
    <w:rsid w:val="1D152095"/>
    <w:rsid w:val="1D2A34AD"/>
    <w:rsid w:val="1D3616DE"/>
    <w:rsid w:val="1D3A341D"/>
    <w:rsid w:val="1D615880"/>
    <w:rsid w:val="1D65063C"/>
    <w:rsid w:val="1D65301C"/>
    <w:rsid w:val="1D6E17A5"/>
    <w:rsid w:val="1D6F5C49"/>
    <w:rsid w:val="1D755B79"/>
    <w:rsid w:val="1D7A639C"/>
    <w:rsid w:val="1D7D6213"/>
    <w:rsid w:val="1D807D15"/>
    <w:rsid w:val="1D8316F5"/>
    <w:rsid w:val="1D940A38"/>
    <w:rsid w:val="1DB251AA"/>
    <w:rsid w:val="1DB30D23"/>
    <w:rsid w:val="1DB414DB"/>
    <w:rsid w:val="1DBF2E37"/>
    <w:rsid w:val="1DC35F95"/>
    <w:rsid w:val="1DCC0440"/>
    <w:rsid w:val="1DD005F3"/>
    <w:rsid w:val="1DF32F8C"/>
    <w:rsid w:val="1E0839A8"/>
    <w:rsid w:val="1E0D29FC"/>
    <w:rsid w:val="1E54775C"/>
    <w:rsid w:val="1E5B152D"/>
    <w:rsid w:val="1E687019"/>
    <w:rsid w:val="1E6A3B55"/>
    <w:rsid w:val="1E754291"/>
    <w:rsid w:val="1E7558D1"/>
    <w:rsid w:val="1E7D6144"/>
    <w:rsid w:val="1E913EE8"/>
    <w:rsid w:val="1E9B67FD"/>
    <w:rsid w:val="1EB0458E"/>
    <w:rsid w:val="1EB53B30"/>
    <w:rsid w:val="1EC41FC5"/>
    <w:rsid w:val="1EDD6794"/>
    <w:rsid w:val="1EE52434"/>
    <w:rsid w:val="1EE52A42"/>
    <w:rsid w:val="1EE95587"/>
    <w:rsid w:val="1F0942B3"/>
    <w:rsid w:val="1F0960BD"/>
    <w:rsid w:val="1F0C4279"/>
    <w:rsid w:val="1F0F3C1E"/>
    <w:rsid w:val="1F1545CE"/>
    <w:rsid w:val="1F221709"/>
    <w:rsid w:val="1F242A63"/>
    <w:rsid w:val="1F35015D"/>
    <w:rsid w:val="1F3802BD"/>
    <w:rsid w:val="1F43738D"/>
    <w:rsid w:val="1F51312D"/>
    <w:rsid w:val="1F5B4119"/>
    <w:rsid w:val="1F5C044F"/>
    <w:rsid w:val="1F602B3B"/>
    <w:rsid w:val="1F616A4A"/>
    <w:rsid w:val="1F6E6A1B"/>
    <w:rsid w:val="1F775289"/>
    <w:rsid w:val="1F8751BA"/>
    <w:rsid w:val="1F934DDE"/>
    <w:rsid w:val="1FA21DE0"/>
    <w:rsid w:val="1FAA11BB"/>
    <w:rsid w:val="1FB262C1"/>
    <w:rsid w:val="1FBE0C9C"/>
    <w:rsid w:val="1FC5594A"/>
    <w:rsid w:val="1FC5779C"/>
    <w:rsid w:val="1FC658C9"/>
    <w:rsid w:val="1FDB75C6"/>
    <w:rsid w:val="1FDF6D29"/>
    <w:rsid w:val="1FE86AA5"/>
    <w:rsid w:val="1FF70178"/>
    <w:rsid w:val="201204B5"/>
    <w:rsid w:val="2022125E"/>
    <w:rsid w:val="20250841"/>
    <w:rsid w:val="20295BFF"/>
    <w:rsid w:val="203D202F"/>
    <w:rsid w:val="204204F5"/>
    <w:rsid w:val="20453D48"/>
    <w:rsid w:val="20476D9D"/>
    <w:rsid w:val="204E3AFA"/>
    <w:rsid w:val="204F3B10"/>
    <w:rsid w:val="20582A63"/>
    <w:rsid w:val="20597EB3"/>
    <w:rsid w:val="208A4B48"/>
    <w:rsid w:val="208A63D5"/>
    <w:rsid w:val="208D377B"/>
    <w:rsid w:val="209634ED"/>
    <w:rsid w:val="209B0B03"/>
    <w:rsid w:val="20A268F0"/>
    <w:rsid w:val="20BA367F"/>
    <w:rsid w:val="20BE2B36"/>
    <w:rsid w:val="20C66F34"/>
    <w:rsid w:val="20D364EF"/>
    <w:rsid w:val="20D40166"/>
    <w:rsid w:val="20D93EFA"/>
    <w:rsid w:val="20E26732"/>
    <w:rsid w:val="20F052F3"/>
    <w:rsid w:val="21027314"/>
    <w:rsid w:val="21042B4C"/>
    <w:rsid w:val="210743EB"/>
    <w:rsid w:val="211803A6"/>
    <w:rsid w:val="21191CC6"/>
    <w:rsid w:val="211E2172"/>
    <w:rsid w:val="2120368E"/>
    <w:rsid w:val="21260D15"/>
    <w:rsid w:val="212B5596"/>
    <w:rsid w:val="213351E0"/>
    <w:rsid w:val="213827F6"/>
    <w:rsid w:val="2152200F"/>
    <w:rsid w:val="21562C7C"/>
    <w:rsid w:val="21625AFD"/>
    <w:rsid w:val="216A16BA"/>
    <w:rsid w:val="216D06F2"/>
    <w:rsid w:val="216D47FE"/>
    <w:rsid w:val="2178448A"/>
    <w:rsid w:val="21852F37"/>
    <w:rsid w:val="218625F5"/>
    <w:rsid w:val="218847E3"/>
    <w:rsid w:val="218872DA"/>
    <w:rsid w:val="218A3047"/>
    <w:rsid w:val="218C5659"/>
    <w:rsid w:val="21A729A7"/>
    <w:rsid w:val="21AC2EBA"/>
    <w:rsid w:val="21B67509"/>
    <w:rsid w:val="21D50045"/>
    <w:rsid w:val="21D569EF"/>
    <w:rsid w:val="21E00BD6"/>
    <w:rsid w:val="21E23A88"/>
    <w:rsid w:val="21E94084"/>
    <w:rsid w:val="21F032CF"/>
    <w:rsid w:val="21F20677"/>
    <w:rsid w:val="21F92CFC"/>
    <w:rsid w:val="220C594D"/>
    <w:rsid w:val="222521E6"/>
    <w:rsid w:val="222F0AD7"/>
    <w:rsid w:val="22353CCB"/>
    <w:rsid w:val="224F0636"/>
    <w:rsid w:val="2250591D"/>
    <w:rsid w:val="225278E7"/>
    <w:rsid w:val="225673D8"/>
    <w:rsid w:val="22854F87"/>
    <w:rsid w:val="228850B7"/>
    <w:rsid w:val="228928AA"/>
    <w:rsid w:val="22A136A4"/>
    <w:rsid w:val="22A2109D"/>
    <w:rsid w:val="22A46395"/>
    <w:rsid w:val="22AD02C3"/>
    <w:rsid w:val="22AD2D70"/>
    <w:rsid w:val="22AD4C06"/>
    <w:rsid w:val="22BB6B16"/>
    <w:rsid w:val="22BF54A3"/>
    <w:rsid w:val="22C629FC"/>
    <w:rsid w:val="22CD4172"/>
    <w:rsid w:val="22D622C7"/>
    <w:rsid w:val="22D629CA"/>
    <w:rsid w:val="22D7047E"/>
    <w:rsid w:val="22EC3898"/>
    <w:rsid w:val="22FD5AA5"/>
    <w:rsid w:val="23007343"/>
    <w:rsid w:val="2322550C"/>
    <w:rsid w:val="23336A07"/>
    <w:rsid w:val="23566FBD"/>
    <w:rsid w:val="2359387E"/>
    <w:rsid w:val="23612282"/>
    <w:rsid w:val="23677E76"/>
    <w:rsid w:val="239301B8"/>
    <w:rsid w:val="239406FE"/>
    <w:rsid w:val="23A15A2A"/>
    <w:rsid w:val="23A57662"/>
    <w:rsid w:val="23A93537"/>
    <w:rsid w:val="23C16AD3"/>
    <w:rsid w:val="23C44815"/>
    <w:rsid w:val="23CB5346"/>
    <w:rsid w:val="23CC6936"/>
    <w:rsid w:val="23DE5C34"/>
    <w:rsid w:val="23E66539"/>
    <w:rsid w:val="23E91248"/>
    <w:rsid w:val="23EA7531"/>
    <w:rsid w:val="23EB1259"/>
    <w:rsid w:val="24262DDA"/>
    <w:rsid w:val="243472A5"/>
    <w:rsid w:val="24440291"/>
    <w:rsid w:val="244D480A"/>
    <w:rsid w:val="24561810"/>
    <w:rsid w:val="245A2A83"/>
    <w:rsid w:val="245E3385"/>
    <w:rsid w:val="246519F2"/>
    <w:rsid w:val="24910720"/>
    <w:rsid w:val="24922AD7"/>
    <w:rsid w:val="24AD2733"/>
    <w:rsid w:val="24BD6CC4"/>
    <w:rsid w:val="24BE4D5C"/>
    <w:rsid w:val="24C6321B"/>
    <w:rsid w:val="24C77539"/>
    <w:rsid w:val="24C968FF"/>
    <w:rsid w:val="24CC0DB6"/>
    <w:rsid w:val="24CC4C52"/>
    <w:rsid w:val="24CD76F9"/>
    <w:rsid w:val="24D4056B"/>
    <w:rsid w:val="24D467CB"/>
    <w:rsid w:val="24D92020"/>
    <w:rsid w:val="24DC1868"/>
    <w:rsid w:val="24DD11D5"/>
    <w:rsid w:val="24E214E5"/>
    <w:rsid w:val="24E74595"/>
    <w:rsid w:val="2502577D"/>
    <w:rsid w:val="250B4FC2"/>
    <w:rsid w:val="250E5D48"/>
    <w:rsid w:val="251C753A"/>
    <w:rsid w:val="251E5686"/>
    <w:rsid w:val="252A06A8"/>
    <w:rsid w:val="25416C61"/>
    <w:rsid w:val="2549505A"/>
    <w:rsid w:val="25561959"/>
    <w:rsid w:val="25643BBA"/>
    <w:rsid w:val="256911D0"/>
    <w:rsid w:val="257139A1"/>
    <w:rsid w:val="257629DE"/>
    <w:rsid w:val="25891872"/>
    <w:rsid w:val="258B4A59"/>
    <w:rsid w:val="25904372"/>
    <w:rsid w:val="25932412"/>
    <w:rsid w:val="25A14E0E"/>
    <w:rsid w:val="25A22934"/>
    <w:rsid w:val="25A92037"/>
    <w:rsid w:val="25AC4869"/>
    <w:rsid w:val="25AF7916"/>
    <w:rsid w:val="25B6018D"/>
    <w:rsid w:val="25BB6185"/>
    <w:rsid w:val="25C64874"/>
    <w:rsid w:val="25C805EC"/>
    <w:rsid w:val="25CB28DB"/>
    <w:rsid w:val="25D11374"/>
    <w:rsid w:val="25D246D4"/>
    <w:rsid w:val="25E35426"/>
    <w:rsid w:val="25E652E2"/>
    <w:rsid w:val="25FF3590"/>
    <w:rsid w:val="260357AC"/>
    <w:rsid w:val="26086C3B"/>
    <w:rsid w:val="260B672B"/>
    <w:rsid w:val="26105AEF"/>
    <w:rsid w:val="2610789E"/>
    <w:rsid w:val="26136E77"/>
    <w:rsid w:val="26246161"/>
    <w:rsid w:val="26252385"/>
    <w:rsid w:val="263521FC"/>
    <w:rsid w:val="263537A8"/>
    <w:rsid w:val="26396195"/>
    <w:rsid w:val="263D0A01"/>
    <w:rsid w:val="264973C7"/>
    <w:rsid w:val="26535483"/>
    <w:rsid w:val="265C2AE3"/>
    <w:rsid w:val="266D2C13"/>
    <w:rsid w:val="26794CD9"/>
    <w:rsid w:val="267F0C45"/>
    <w:rsid w:val="26887D7C"/>
    <w:rsid w:val="268D7140"/>
    <w:rsid w:val="268E17FC"/>
    <w:rsid w:val="26901ED6"/>
    <w:rsid w:val="26924756"/>
    <w:rsid w:val="2694227D"/>
    <w:rsid w:val="26AC1C2D"/>
    <w:rsid w:val="26C30DB4"/>
    <w:rsid w:val="26CC6975"/>
    <w:rsid w:val="26CF59AB"/>
    <w:rsid w:val="26D329F4"/>
    <w:rsid w:val="26D40F41"/>
    <w:rsid w:val="26EA6341"/>
    <w:rsid w:val="27001741"/>
    <w:rsid w:val="271D04C4"/>
    <w:rsid w:val="27204934"/>
    <w:rsid w:val="272A498F"/>
    <w:rsid w:val="27321A96"/>
    <w:rsid w:val="27363334"/>
    <w:rsid w:val="274C2C9A"/>
    <w:rsid w:val="276F4A98"/>
    <w:rsid w:val="277D71B5"/>
    <w:rsid w:val="277F1439"/>
    <w:rsid w:val="27820665"/>
    <w:rsid w:val="279810BC"/>
    <w:rsid w:val="279B38AB"/>
    <w:rsid w:val="279C2D49"/>
    <w:rsid w:val="27A95FEA"/>
    <w:rsid w:val="27AF22E7"/>
    <w:rsid w:val="27CF123F"/>
    <w:rsid w:val="27D019DA"/>
    <w:rsid w:val="27E83FCC"/>
    <w:rsid w:val="27F12988"/>
    <w:rsid w:val="28004179"/>
    <w:rsid w:val="28063286"/>
    <w:rsid w:val="28100562"/>
    <w:rsid w:val="28123DA1"/>
    <w:rsid w:val="28132417"/>
    <w:rsid w:val="28237D5C"/>
    <w:rsid w:val="282C4737"/>
    <w:rsid w:val="282D04C8"/>
    <w:rsid w:val="28334B09"/>
    <w:rsid w:val="28341F69"/>
    <w:rsid w:val="28342BC9"/>
    <w:rsid w:val="283D593F"/>
    <w:rsid w:val="283D6944"/>
    <w:rsid w:val="28426737"/>
    <w:rsid w:val="286A466A"/>
    <w:rsid w:val="286A598B"/>
    <w:rsid w:val="28700E51"/>
    <w:rsid w:val="28702875"/>
    <w:rsid w:val="287C56BE"/>
    <w:rsid w:val="2884619D"/>
    <w:rsid w:val="28874D02"/>
    <w:rsid w:val="288A3814"/>
    <w:rsid w:val="289C366A"/>
    <w:rsid w:val="28B616CA"/>
    <w:rsid w:val="28C370BC"/>
    <w:rsid w:val="28CB21A2"/>
    <w:rsid w:val="28EF5261"/>
    <w:rsid w:val="28F24ED1"/>
    <w:rsid w:val="28FA7D08"/>
    <w:rsid w:val="29000280"/>
    <w:rsid w:val="29080516"/>
    <w:rsid w:val="290A3CD5"/>
    <w:rsid w:val="29136553"/>
    <w:rsid w:val="29241437"/>
    <w:rsid w:val="292518B2"/>
    <w:rsid w:val="2927562A"/>
    <w:rsid w:val="293F1838"/>
    <w:rsid w:val="294039D2"/>
    <w:rsid w:val="2940493E"/>
    <w:rsid w:val="29502E5A"/>
    <w:rsid w:val="29567CBD"/>
    <w:rsid w:val="295757E3"/>
    <w:rsid w:val="295C6C72"/>
    <w:rsid w:val="29655320"/>
    <w:rsid w:val="29670025"/>
    <w:rsid w:val="2977326A"/>
    <w:rsid w:val="297A76C4"/>
    <w:rsid w:val="29853DEE"/>
    <w:rsid w:val="2989519F"/>
    <w:rsid w:val="2996455E"/>
    <w:rsid w:val="29A15975"/>
    <w:rsid w:val="29A922F1"/>
    <w:rsid w:val="29BA010B"/>
    <w:rsid w:val="29BB5D72"/>
    <w:rsid w:val="29C76E0D"/>
    <w:rsid w:val="29C968BF"/>
    <w:rsid w:val="29CA4207"/>
    <w:rsid w:val="29D64538"/>
    <w:rsid w:val="29DB20A0"/>
    <w:rsid w:val="29E11C7D"/>
    <w:rsid w:val="29E55DC8"/>
    <w:rsid w:val="29F14AF4"/>
    <w:rsid w:val="29F770DD"/>
    <w:rsid w:val="29FC6AB7"/>
    <w:rsid w:val="2A045C55"/>
    <w:rsid w:val="2A1262DA"/>
    <w:rsid w:val="2A141EEF"/>
    <w:rsid w:val="2A190AA4"/>
    <w:rsid w:val="2A1E2567"/>
    <w:rsid w:val="2A282DB1"/>
    <w:rsid w:val="2A375D41"/>
    <w:rsid w:val="2A457487"/>
    <w:rsid w:val="2A4B5348"/>
    <w:rsid w:val="2A64606A"/>
    <w:rsid w:val="2A6B7798"/>
    <w:rsid w:val="2A6D401C"/>
    <w:rsid w:val="2A7538D0"/>
    <w:rsid w:val="2A87476C"/>
    <w:rsid w:val="2A914EE7"/>
    <w:rsid w:val="2A96180B"/>
    <w:rsid w:val="2A9C3B5D"/>
    <w:rsid w:val="2AB00660"/>
    <w:rsid w:val="2ABE3801"/>
    <w:rsid w:val="2AD73080"/>
    <w:rsid w:val="2AD96DF8"/>
    <w:rsid w:val="2ADA2CD5"/>
    <w:rsid w:val="2ADF3CE2"/>
    <w:rsid w:val="2AF05EF0"/>
    <w:rsid w:val="2AF8771E"/>
    <w:rsid w:val="2B0175C8"/>
    <w:rsid w:val="2B027BD8"/>
    <w:rsid w:val="2B0C0F7B"/>
    <w:rsid w:val="2B114BA4"/>
    <w:rsid w:val="2B12230A"/>
    <w:rsid w:val="2B2251B9"/>
    <w:rsid w:val="2B243C3F"/>
    <w:rsid w:val="2B2E419E"/>
    <w:rsid w:val="2B396C5B"/>
    <w:rsid w:val="2B3B6C3E"/>
    <w:rsid w:val="2B3E6C5B"/>
    <w:rsid w:val="2B4E3C62"/>
    <w:rsid w:val="2B5029F7"/>
    <w:rsid w:val="2B5215A8"/>
    <w:rsid w:val="2B5953D5"/>
    <w:rsid w:val="2B5D1EB0"/>
    <w:rsid w:val="2B613648"/>
    <w:rsid w:val="2B620B9B"/>
    <w:rsid w:val="2B7D7783"/>
    <w:rsid w:val="2B896C48"/>
    <w:rsid w:val="2B8C3E6A"/>
    <w:rsid w:val="2B970537"/>
    <w:rsid w:val="2B97311C"/>
    <w:rsid w:val="2B9952AB"/>
    <w:rsid w:val="2B9B40AD"/>
    <w:rsid w:val="2B9C2452"/>
    <w:rsid w:val="2BA006EC"/>
    <w:rsid w:val="2BA21A80"/>
    <w:rsid w:val="2BA718D6"/>
    <w:rsid w:val="2BB12452"/>
    <w:rsid w:val="2BB14068"/>
    <w:rsid w:val="2BBD2276"/>
    <w:rsid w:val="2BC10346"/>
    <w:rsid w:val="2BC13F57"/>
    <w:rsid w:val="2BC929C8"/>
    <w:rsid w:val="2BEF5160"/>
    <w:rsid w:val="2C056896"/>
    <w:rsid w:val="2C4B71C7"/>
    <w:rsid w:val="2C5C366B"/>
    <w:rsid w:val="2C637E83"/>
    <w:rsid w:val="2C6426F1"/>
    <w:rsid w:val="2C6470D6"/>
    <w:rsid w:val="2C671545"/>
    <w:rsid w:val="2C723BD5"/>
    <w:rsid w:val="2C78134A"/>
    <w:rsid w:val="2C7C109E"/>
    <w:rsid w:val="2C8044FE"/>
    <w:rsid w:val="2C8C3B52"/>
    <w:rsid w:val="2C9840B4"/>
    <w:rsid w:val="2CA72D41"/>
    <w:rsid w:val="2CB35427"/>
    <w:rsid w:val="2CB46496"/>
    <w:rsid w:val="2CB9668D"/>
    <w:rsid w:val="2CBA4A07"/>
    <w:rsid w:val="2CC15482"/>
    <w:rsid w:val="2CC74102"/>
    <w:rsid w:val="2CC96292"/>
    <w:rsid w:val="2CD77367"/>
    <w:rsid w:val="2CD848D8"/>
    <w:rsid w:val="2CDA29B3"/>
    <w:rsid w:val="2CEB696E"/>
    <w:rsid w:val="2CED6B8B"/>
    <w:rsid w:val="2D095047"/>
    <w:rsid w:val="2D1074CC"/>
    <w:rsid w:val="2D147D79"/>
    <w:rsid w:val="2D183F3B"/>
    <w:rsid w:val="2D1D47A5"/>
    <w:rsid w:val="2D233DAE"/>
    <w:rsid w:val="2D3C773F"/>
    <w:rsid w:val="2D417641"/>
    <w:rsid w:val="2D486857"/>
    <w:rsid w:val="2D4A5D8B"/>
    <w:rsid w:val="2D4C45A1"/>
    <w:rsid w:val="2D55028C"/>
    <w:rsid w:val="2D57771E"/>
    <w:rsid w:val="2D594220"/>
    <w:rsid w:val="2D5E7941"/>
    <w:rsid w:val="2D6173D3"/>
    <w:rsid w:val="2D6E52E4"/>
    <w:rsid w:val="2D9D50A1"/>
    <w:rsid w:val="2DB56D45"/>
    <w:rsid w:val="2DB933F0"/>
    <w:rsid w:val="2DC25921"/>
    <w:rsid w:val="2DC662C7"/>
    <w:rsid w:val="2DCD054A"/>
    <w:rsid w:val="2DCD48CC"/>
    <w:rsid w:val="2DDC528E"/>
    <w:rsid w:val="2DE105B7"/>
    <w:rsid w:val="2DE955A4"/>
    <w:rsid w:val="2DEC5BA7"/>
    <w:rsid w:val="2E00644A"/>
    <w:rsid w:val="2E163EBF"/>
    <w:rsid w:val="2E165C6D"/>
    <w:rsid w:val="2E1F51D1"/>
    <w:rsid w:val="2E264D44"/>
    <w:rsid w:val="2E3B51C6"/>
    <w:rsid w:val="2E3D1B0D"/>
    <w:rsid w:val="2E5D564A"/>
    <w:rsid w:val="2E66596B"/>
    <w:rsid w:val="2E725599"/>
    <w:rsid w:val="2E8E2F84"/>
    <w:rsid w:val="2E94741A"/>
    <w:rsid w:val="2E980D78"/>
    <w:rsid w:val="2EAE5EA6"/>
    <w:rsid w:val="2EBD258D"/>
    <w:rsid w:val="2EC55694"/>
    <w:rsid w:val="2ED26038"/>
    <w:rsid w:val="2EDA199F"/>
    <w:rsid w:val="2EDE3AB9"/>
    <w:rsid w:val="2EE541E3"/>
    <w:rsid w:val="2EE82738"/>
    <w:rsid w:val="2EF20488"/>
    <w:rsid w:val="2EF6443C"/>
    <w:rsid w:val="2EF865E7"/>
    <w:rsid w:val="2EFA48E6"/>
    <w:rsid w:val="2F0245FB"/>
    <w:rsid w:val="2F062DC8"/>
    <w:rsid w:val="2F1E7104"/>
    <w:rsid w:val="2F210D6D"/>
    <w:rsid w:val="2F3445FD"/>
    <w:rsid w:val="2F370591"/>
    <w:rsid w:val="2F384D99"/>
    <w:rsid w:val="2F3F6EC9"/>
    <w:rsid w:val="2F460C75"/>
    <w:rsid w:val="2F6166D8"/>
    <w:rsid w:val="2F6F3887"/>
    <w:rsid w:val="2F7215C9"/>
    <w:rsid w:val="2F794B22"/>
    <w:rsid w:val="2F7A2842"/>
    <w:rsid w:val="2F7D1AFE"/>
    <w:rsid w:val="2F8A6913"/>
    <w:rsid w:val="2F9666D5"/>
    <w:rsid w:val="2F994DA8"/>
    <w:rsid w:val="2FA17D86"/>
    <w:rsid w:val="2FC531BC"/>
    <w:rsid w:val="2FCC3367"/>
    <w:rsid w:val="2FCD67FF"/>
    <w:rsid w:val="301D6290"/>
    <w:rsid w:val="30316D8E"/>
    <w:rsid w:val="303F76FD"/>
    <w:rsid w:val="3046098A"/>
    <w:rsid w:val="30466D45"/>
    <w:rsid w:val="30585BF6"/>
    <w:rsid w:val="305D7B83"/>
    <w:rsid w:val="30696528"/>
    <w:rsid w:val="306A63AC"/>
    <w:rsid w:val="30744ECD"/>
    <w:rsid w:val="307B7C0B"/>
    <w:rsid w:val="307E06D4"/>
    <w:rsid w:val="30AA08EF"/>
    <w:rsid w:val="30AA49AD"/>
    <w:rsid w:val="30AF4D9B"/>
    <w:rsid w:val="30B604B5"/>
    <w:rsid w:val="30C164BB"/>
    <w:rsid w:val="30C5120B"/>
    <w:rsid w:val="30D009FB"/>
    <w:rsid w:val="30D46A2B"/>
    <w:rsid w:val="30EF6ABD"/>
    <w:rsid w:val="30F3703E"/>
    <w:rsid w:val="310B518B"/>
    <w:rsid w:val="310B6F5E"/>
    <w:rsid w:val="31197BCE"/>
    <w:rsid w:val="31327BBC"/>
    <w:rsid w:val="313F09DB"/>
    <w:rsid w:val="314E57F8"/>
    <w:rsid w:val="31531F49"/>
    <w:rsid w:val="31714677"/>
    <w:rsid w:val="317701A2"/>
    <w:rsid w:val="318C7F18"/>
    <w:rsid w:val="319054C4"/>
    <w:rsid w:val="3193190E"/>
    <w:rsid w:val="319959BA"/>
    <w:rsid w:val="319A375A"/>
    <w:rsid w:val="31A1229A"/>
    <w:rsid w:val="31AB40A0"/>
    <w:rsid w:val="31B03840"/>
    <w:rsid w:val="31C3610C"/>
    <w:rsid w:val="31C6519A"/>
    <w:rsid w:val="31CD5F5D"/>
    <w:rsid w:val="31EA2753"/>
    <w:rsid w:val="31F369F1"/>
    <w:rsid w:val="31F661EA"/>
    <w:rsid w:val="32086C90"/>
    <w:rsid w:val="32096434"/>
    <w:rsid w:val="321769EE"/>
    <w:rsid w:val="32180206"/>
    <w:rsid w:val="32230959"/>
    <w:rsid w:val="32380BAE"/>
    <w:rsid w:val="323D57AC"/>
    <w:rsid w:val="326071AE"/>
    <w:rsid w:val="3268508C"/>
    <w:rsid w:val="32747048"/>
    <w:rsid w:val="32750DD6"/>
    <w:rsid w:val="3275127F"/>
    <w:rsid w:val="32843928"/>
    <w:rsid w:val="32847649"/>
    <w:rsid w:val="328F3A80"/>
    <w:rsid w:val="32A060A9"/>
    <w:rsid w:val="32A25D21"/>
    <w:rsid w:val="32AD19F6"/>
    <w:rsid w:val="32AE7C54"/>
    <w:rsid w:val="32C1089D"/>
    <w:rsid w:val="32CD0517"/>
    <w:rsid w:val="32CD4003"/>
    <w:rsid w:val="32CE4D68"/>
    <w:rsid w:val="32D44088"/>
    <w:rsid w:val="32D63C1D"/>
    <w:rsid w:val="32DE2C7F"/>
    <w:rsid w:val="32DF2AD1"/>
    <w:rsid w:val="32E26351"/>
    <w:rsid w:val="32EB591A"/>
    <w:rsid w:val="32EF1395"/>
    <w:rsid w:val="33114C55"/>
    <w:rsid w:val="33146D34"/>
    <w:rsid w:val="333450F4"/>
    <w:rsid w:val="333948D8"/>
    <w:rsid w:val="333B38C4"/>
    <w:rsid w:val="334A7AF9"/>
    <w:rsid w:val="334B63B9"/>
    <w:rsid w:val="335E433E"/>
    <w:rsid w:val="336F7299"/>
    <w:rsid w:val="33722D11"/>
    <w:rsid w:val="33780B7D"/>
    <w:rsid w:val="337C6572"/>
    <w:rsid w:val="337C76E9"/>
    <w:rsid w:val="33A23C03"/>
    <w:rsid w:val="33A978E7"/>
    <w:rsid w:val="33AA0994"/>
    <w:rsid w:val="33B201E6"/>
    <w:rsid w:val="33BB77BD"/>
    <w:rsid w:val="33D91C17"/>
    <w:rsid w:val="33DC1707"/>
    <w:rsid w:val="33DF4544"/>
    <w:rsid w:val="33E04D53"/>
    <w:rsid w:val="33E5680D"/>
    <w:rsid w:val="33F1366C"/>
    <w:rsid w:val="33FC6915"/>
    <w:rsid w:val="340842AA"/>
    <w:rsid w:val="34173AF7"/>
    <w:rsid w:val="341A2462"/>
    <w:rsid w:val="341D5FA7"/>
    <w:rsid w:val="342A402B"/>
    <w:rsid w:val="34316F99"/>
    <w:rsid w:val="344057F2"/>
    <w:rsid w:val="344E1E9C"/>
    <w:rsid w:val="34532913"/>
    <w:rsid w:val="34560914"/>
    <w:rsid w:val="345B262C"/>
    <w:rsid w:val="345C31CC"/>
    <w:rsid w:val="34777446"/>
    <w:rsid w:val="347E7C30"/>
    <w:rsid w:val="348144F0"/>
    <w:rsid w:val="348953EB"/>
    <w:rsid w:val="348D3C27"/>
    <w:rsid w:val="348E0C53"/>
    <w:rsid w:val="349439BA"/>
    <w:rsid w:val="34A16844"/>
    <w:rsid w:val="34A2025B"/>
    <w:rsid w:val="34B17E94"/>
    <w:rsid w:val="34CC3529"/>
    <w:rsid w:val="34E1239D"/>
    <w:rsid w:val="350A7F97"/>
    <w:rsid w:val="350C1B78"/>
    <w:rsid w:val="351D0610"/>
    <w:rsid w:val="35234E2B"/>
    <w:rsid w:val="35364743"/>
    <w:rsid w:val="354E03E2"/>
    <w:rsid w:val="3566572C"/>
    <w:rsid w:val="35671771"/>
    <w:rsid w:val="35735BFE"/>
    <w:rsid w:val="357D24BC"/>
    <w:rsid w:val="35832C49"/>
    <w:rsid w:val="358B5193"/>
    <w:rsid w:val="35A34C73"/>
    <w:rsid w:val="35AF4BCA"/>
    <w:rsid w:val="35AF7A0E"/>
    <w:rsid w:val="35B31528"/>
    <w:rsid w:val="35BB4EC7"/>
    <w:rsid w:val="35BF6BEA"/>
    <w:rsid w:val="35C05896"/>
    <w:rsid w:val="35CE6467"/>
    <w:rsid w:val="35D74A1E"/>
    <w:rsid w:val="35DA1C76"/>
    <w:rsid w:val="35DE1766"/>
    <w:rsid w:val="36032F7B"/>
    <w:rsid w:val="36146F36"/>
    <w:rsid w:val="36162CAE"/>
    <w:rsid w:val="361D3F72"/>
    <w:rsid w:val="362A5559"/>
    <w:rsid w:val="362C089A"/>
    <w:rsid w:val="362F1FC2"/>
    <w:rsid w:val="36394BEF"/>
    <w:rsid w:val="3639699D"/>
    <w:rsid w:val="36527A5E"/>
    <w:rsid w:val="365928D2"/>
    <w:rsid w:val="365979C0"/>
    <w:rsid w:val="36605D09"/>
    <w:rsid w:val="36783969"/>
    <w:rsid w:val="367E5B21"/>
    <w:rsid w:val="3681431A"/>
    <w:rsid w:val="36873BAC"/>
    <w:rsid w:val="36883480"/>
    <w:rsid w:val="36A42101"/>
    <w:rsid w:val="36AA1648"/>
    <w:rsid w:val="36BD195D"/>
    <w:rsid w:val="36C56376"/>
    <w:rsid w:val="36DF0319"/>
    <w:rsid w:val="36EB6901"/>
    <w:rsid w:val="36FD79CA"/>
    <w:rsid w:val="3721531B"/>
    <w:rsid w:val="372F7F47"/>
    <w:rsid w:val="373553B6"/>
    <w:rsid w:val="37384221"/>
    <w:rsid w:val="37386C54"/>
    <w:rsid w:val="373A29CC"/>
    <w:rsid w:val="374101FF"/>
    <w:rsid w:val="37465815"/>
    <w:rsid w:val="37466EB1"/>
    <w:rsid w:val="374B4BD9"/>
    <w:rsid w:val="37533A8E"/>
    <w:rsid w:val="375C6DE7"/>
    <w:rsid w:val="37637E81"/>
    <w:rsid w:val="37691503"/>
    <w:rsid w:val="376E1C50"/>
    <w:rsid w:val="377243F9"/>
    <w:rsid w:val="37751C56"/>
    <w:rsid w:val="37767A90"/>
    <w:rsid w:val="3778356C"/>
    <w:rsid w:val="377C7CB3"/>
    <w:rsid w:val="37865C12"/>
    <w:rsid w:val="37931EDE"/>
    <w:rsid w:val="37945CB7"/>
    <w:rsid w:val="37962D89"/>
    <w:rsid w:val="37A367C3"/>
    <w:rsid w:val="37A565BA"/>
    <w:rsid w:val="37BA43A1"/>
    <w:rsid w:val="37BB3CBF"/>
    <w:rsid w:val="37CB7AC8"/>
    <w:rsid w:val="37EA2644"/>
    <w:rsid w:val="37EA5A2E"/>
    <w:rsid w:val="37FC4126"/>
    <w:rsid w:val="3800556D"/>
    <w:rsid w:val="3801798E"/>
    <w:rsid w:val="38305B7D"/>
    <w:rsid w:val="383250E7"/>
    <w:rsid w:val="383B4C4E"/>
    <w:rsid w:val="38482EC7"/>
    <w:rsid w:val="385178A7"/>
    <w:rsid w:val="38602906"/>
    <w:rsid w:val="38684865"/>
    <w:rsid w:val="38690043"/>
    <w:rsid w:val="386F33DE"/>
    <w:rsid w:val="387E56CB"/>
    <w:rsid w:val="38A72689"/>
    <w:rsid w:val="38B65561"/>
    <w:rsid w:val="38C93326"/>
    <w:rsid w:val="38CC0810"/>
    <w:rsid w:val="38CD3EB4"/>
    <w:rsid w:val="38D1259E"/>
    <w:rsid w:val="38F11738"/>
    <w:rsid w:val="38F27A29"/>
    <w:rsid w:val="390607A4"/>
    <w:rsid w:val="390A6409"/>
    <w:rsid w:val="391478AF"/>
    <w:rsid w:val="39283E9C"/>
    <w:rsid w:val="392B4CC2"/>
    <w:rsid w:val="392C3443"/>
    <w:rsid w:val="39307BB7"/>
    <w:rsid w:val="39322AC2"/>
    <w:rsid w:val="39395293"/>
    <w:rsid w:val="39423DBA"/>
    <w:rsid w:val="39452125"/>
    <w:rsid w:val="395104A1"/>
    <w:rsid w:val="395E172B"/>
    <w:rsid w:val="395E6A65"/>
    <w:rsid w:val="39783C80"/>
    <w:rsid w:val="39810D86"/>
    <w:rsid w:val="39A42A1E"/>
    <w:rsid w:val="39A95F2D"/>
    <w:rsid w:val="39AB2FFD"/>
    <w:rsid w:val="39AB7BB1"/>
    <w:rsid w:val="39AE6F4B"/>
    <w:rsid w:val="39C67435"/>
    <w:rsid w:val="39D445BF"/>
    <w:rsid w:val="39D93FBE"/>
    <w:rsid w:val="39E03BCC"/>
    <w:rsid w:val="3A071B65"/>
    <w:rsid w:val="3A1922C0"/>
    <w:rsid w:val="3A1F234D"/>
    <w:rsid w:val="3A2E4DC8"/>
    <w:rsid w:val="3A386EB0"/>
    <w:rsid w:val="3A405B16"/>
    <w:rsid w:val="3A48135C"/>
    <w:rsid w:val="3A742699"/>
    <w:rsid w:val="3A8242BD"/>
    <w:rsid w:val="3AA97735"/>
    <w:rsid w:val="3AD0311D"/>
    <w:rsid w:val="3AD66EB0"/>
    <w:rsid w:val="3ADE3FB6"/>
    <w:rsid w:val="3AE7148B"/>
    <w:rsid w:val="3B082DE1"/>
    <w:rsid w:val="3B0A1D66"/>
    <w:rsid w:val="3B1874C8"/>
    <w:rsid w:val="3B1D430B"/>
    <w:rsid w:val="3B1F0465"/>
    <w:rsid w:val="3B365BA1"/>
    <w:rsid w:val="3B3D33BB"/>
    <w:rsid w:val="3B3E51B9"/>
    <w:rsid w:val="3B412635"/>
    <w:rsid w:val="3B4200A1"/>
    <w:rsid w:val="3B497BE3"/>
    <w:rsid w:val="3B587CED"/>
    <w:rsid w:val="3B6E533A"/>
    <w:rsid w:val="3B7D31C1"/>
    <w:rsid w:val="3B8E1539"/>
    <w:rsid w:val="3B9017EB"/>
    <w:rsid w:val="3BA174BE"/>
    <w:rsid w:val="3BAB3438"/>
    <w:rsid w:val="3BAC19BF"/>
    <w:rsid w:val="3BB4439D"/>
    <w:rsid w:val="3BB536CB"/>
    <w:rsid w:val="3BC36E9D"/>
    <w:rsid w:val="3BDB6E6E"/>
    <w:rsid w:val="3BE7032B"/>
    <w:rsid w:val="3BE759A6"/>
    <w:rsid w:val="3BEE0229"/>
    <w:rsid w:val="3BF50822"/>
    <w:rsid w:val="3BFD56A0"/>
    <w:rsid w:val="3C045F61"/>
    <w:rsid w:val="3C167BDD"/>
    <w:rsid w:val="3C1A2B8D"/>
    <w:rsid w:val="3C202EE7"/>
    <w:rsid w:val="3C291261"/>
    <w:rsid w:val="3C3F0A85"/>
    <w:rsid w:val="3C557447"/>
    <w:rsid w:val="3C6373B8"/>
    <w:rsid w:val="3C6F136A"/>
    <w:rsid w:val="3C6F4254"/>
    <w:rsid w:val="3C7E6A56"/>
    <w:rsid w:val="3C8D359E"/>
    <w:rsid w:val="3C926889"/>
    <w:rsid w:val="3C9506A5"/>
    <w:rsid w:val="3CA02CAD"/>
    <w:rsid w:val="3CA52FDE"/>
    <w:rsid w:val="3CA87FC1"/>
    <w:rsid w:val="3CB27B2D"/>
    <w:rsid w:val="3CBE0051"/>
    <w:rsid w:val="3CC35212"/>
    <w:rsid w:val="3CC549B2"/>
    <w:rsid w:val="3CD230C6"/>
    <w:rsid w:val="3CDE0024"/>
    <w:rsid w:val="3CE33B06"/>
    <w:rsid w:val="3CEB09D4"/>
    <w:rsid w:val="3CEC5F7B"/>
    <w:rsid w:val="3CF0423F"/>
    <w:rsid w:val="3D080A88"/>
    <w:rsid w:val="3D18555E"/>
    <w:rsid w:val="3D1912D6"/>
    <w:rsid w:val="3D197C5D"/>
    <w:rsid w:val="3D321D80"/>
    <w:rsid w:val="3D347271"/>
    <w:rsid w:val="3D53179E"/>
    <w:rsid w:val="3D6222EE"/>
    <w:rsid w:val="3D6327DD"/>
    <w:rsid w:val="3D7D7AB7"/>
    <w:rsid w:val="3D803103"/>
    <w:rsid w:val="3D806841"/>
    <w:rsid w:val="3D842BF3"/>
    <w:rsid w:val="3D8C4848"/>
    <w:rsid w:val="3D995500"/>
    <w:rsid w:val="3D9B4727"/>
    <w:rsid w:val="3D9F17DB"/>
    <w:rsid w:val="3D9F527F"/>
    <w:rsid w:val="3DA838FF"/>
    <w:rsid w:val="3DAA0180"/>
    <w:rsid w:val="3DAB4624"/>
    <w:rsid w:val="3DB01C3A"/>
    <w:rsid w:val="3DB57251"/>
    <w:rsid w:val="3DB83FC5"/>
    <w:rsid w:val="3DC46238"/>
    <w:rsid w:val="3DC56CDD"/>
    <w:rsid w:val="3DD31485"/>
    <w:rsid w:val="3DD42C95"/>
    <w:rsid w:val="3DEB0EC4"/>
    <w:rsid w:val="3DFB62D0"/>
    <w:rsid w:val="3E023DB1"/>
    <w:rsid w:val="3E0D0E3B"/>
    <w:rsid w:val="3E0E070F"/>
    <w:rsid w:val="3E104AC7"/>
    <w:rsid w:val="3E1F0B6E"/>
    <w:rsid w:val="3E233163"/>
    <w:rsid w:val="3E344619"/>
    <w:rsid w:val="3E497595"/>
    <w:rsid w:val="3E547794"/>
    <w:rsid w:val="3E617929"/>
    <w:rsid w:val="3E630A5B"/>
    <w:rsid w:val="3E75253C"/>
    <w:rsid w:val="3E8433D8"/>
    <w:rsid w:val="3E914280"/>
    <w:rsid w:val="3E9A5811"/>
    <w:rsid w:val="3E9A6FAE"/>
    <w:rsid w:val="3EAC674E"/>
    <w:rsid w:val="3EB047EF"/>
    <w:rsid w:val="3EC534C3"/>
    <w:rsid w:val="3EC764A6"/>
    <w:rsid w:val="3EDE4585"/>
    <w:rsid w:val="3EDE68A6"/>
    <w:rsid w:val="3EE33FDE"/>
    <w:rsid w:val="3EE64576"/>
    <w:rsid w:val="3EE67CEA"/>
    <w:rsid w:val="3EEE50D8"/>
    <w:rsid w:val="3EF8323F"/>
    <w:rsid w:val="3EFA14EE"/>
    <w:rsid w:val="3F004999"/>
    <w:rsid w:val="3F083E58"/>
    <w:rsid w:val="3F0C1EF1"/>
    <w:rsid w:val="3F112089"/>
    <w:rsid w:val="3F155427"/>
    <w:rsid w:val="3F253F62"/>
    <w:rsid w:val="3F4635A2"/>
    <w:rsid w:val="3F47212A"/>
    <w:rsid w:val="3F475F7D"/>
    <w:rsid w:val="3F5F313B"/>
    <w:rsid w:val="3F713B15"/>
    <w:rsid w:val="3F786788"/>
    <w:rsid w:val="3F7B2D15"/>
    <w:rsid w:val="3F836EDA"/>
    <w:rsid w:val="3F872CE1"/>
    <w:rsid w:val="3F890995"/>
    <w:rsid w:val="3F8C2233"/>
    <w:rsid w:val="3F8E57DE"/>
    <w:rsid w:val="3F955D9F"/>
    <w:rsid w:val="3FAE21A9"/>
    <w:rsid w:val="3FAE3F57"/>
    <w:rsid w:val="3FB157F6"/>
    <w:rsid w:val="3FB84EEE"/>
    <w:rsid w:val="3FBA0DAF"/>
    <w:rsid w:val="3FC37237"/>
    <w:rsid w:val="3FC65AEC"/>
    <w:rsid w:val="3FCB2D5B"/>
    <w:rsid w:val="3FCE0156"/>
    <w:rsid w:val="3FCF152A"/>
    <w:rsid w:val="3FE209BF"/>
    <w:rsid w:val="3FF22CF9"/>
    <w:rsid w:val="40070A53"/>
    <w:rsid w:val="40175665"/>
    <w:rsid w:val="40377B31"/>
    <w:rsid w:val="403B42BF"/>
    <w:rsid w:val="406805AA"/>
    <w:rsid w:val="406B3BF6"/>
    <w:rsid w:val="4070745F"/>
    <w:rsid w:val="407D65A6"/>
    <w:rsid w:val="40890521"/>
    <w:rsid w:val="40891FAA"/>
    <w:rsid w:val="40A3710B"/>
    <w:rsid w:val="40E51BFB"/>
    <w:rsid w:val="40EA5463"/>
    <w:rsid w:val="40EE65D6"/>
    <w:rsid w:val="41095CC0"/>
    <w:rsid w:val="411570A6"/>
    <w:rsid w:val="41163E57"/>
    <w:rsid w:val="411E510D"/>
    <w:rsid w:val="411F7A6D"/>
    <w:rsid w:val="412D35A2"/>
    <w:rsid w:val="413967CE"/>
    <w:rsid w:val="414601C0"/>
    <w:rsid w:val="4148394F"/>
    <w:rsid w:val="4155536A"/>
    <w:rsid w:val="415B1EBD"/>
    <w:rsid w:val="416D399E"/>
    <w:rsid w:val="417337A3"/>
    <w:rsid w:val="41734511"/>
    <w:rsid w:val="41756760"/>
    <w:rsid w:val="41795897"/>
    <w:rsid w:val="41881862"/>
    <w:rsid w:val="41884265"/>
    <w:rsid w:val="418D3932"/>
    <w:rsid w:val="4191768D"/>
    <w:rsid w:val="41A25E91"/>
    <w:rsid w:val="41BC45CF"/>
    <w:rsid w:val="41D35EF7"/>
    <w:rsid w:val="41DE4E43"/>
    <w:rsid w:val="41DE664A"/>
    <w:rsid w:val="41EC59B9"/>
    <w:rsid w:val="41F40B49"/>
    <w:rsid w:val="42134767"/>
    <w:rsid w:val="42176B1E"/>
    <w:rsid w:val="42310E70"/>
    <w:rsid w:val="423E1303"/>
    <w:rsid w:val="424A292D"/>
    <w:rsid w:val="424C3C39"/>
    <w:rsid w:val="426E4414"/>
    <w:rsid w:val="42733236"/>
    <w:rsid w:val="42770F78"/>
    <w:rsid w:val="42823479"/>
    <w:rsid w:val="428D254A"/>
    <w:rsid w:val="4294732F"/>
    <w:rsid w:val="429A5DEF"/>
    <w:rsid w:val="429F227D"/>
    <w:rsid w:val="42AD3612"/>
    <w:rsid w:val="42B6123C"/>
    <w:rsid w:val="42BB2E6C"/>
    <w:rsid w:val="42BE6BA7"/>
    <w:rsid w:val="42C9430A"/>
    <w:rsid w:val="42D33CD5"/>
    <w:rsid w:val="42E068D9"/>
    <w:rsid w:val="42E102FD"/>
    <w:rsid w:val="42E14644"/>
    <w:rsid w:val="42E40883"/>
    <w:rsid w:val="42E5365A"/>
    <w:rsid w:val="42F01311"/>
    <w:rsid w:val="42FC5EFD"/>
    <w:rsid w:val="430218B4"/>
    <w:rsid w:val="43087A30"/>
    <w:rsid w:val="430B346F"/>
    <w:rsid w:val="430E701E"/>
    <w:rsid w:val="431E7670"/>
    <w:rsid w:val="432D6C45"/>
    <w:rsid w:val="432F2A9F"/>
    <w:rsid w:val="433E035F"/>
    <w:rsid w:val="43515CE6"/>
    <w:rsid w:val="436037BB"/>
    <w:rsid w:val="436239D7"/>
    <w:rsid w:val="43663CEB"/>
    <w:rsid w:val="43754D8C"/>
    <w:rsid w:val="43784FA8"/>
    <w:rsid w:val="437B4B83"/>
    <w:rsid w:val="437D25BE"/>
    <w:rsid w:val="43853221"/>
    <w:rsid w:val="43975501"/>
    <w:rsid w:val="439E0787"/>
    <w:rsid w:val="43A075B7"/>
    <w:rsid w:val="43A13C0B"/>
    <w:rsid w:val="43AB10E1"/>
    <w:rsid w:val="43B65AD0"/>
    <w:rsid w:val="43BC023E"/>
    <w:rsid w:val="43CD4BC8"/>
    <w:rsid w:val="43DE1C6F"/>
    <w:rsid w:val="43F400B3"/>
    <w:rsid w:val="44022AC4"/>
    <w:rsid w:val="44041B52"/>
    <w:rsid w:val="440709DF"/>
    <w:rsid w:val="44071A17"/>
    <w:rsid w:val="440F3111"/>
    <w:rsid w:val="441519DE"/>
    <w:rsid w:val="44156192"/>
    <w:rsid w:val="441E3989"/>
    <w:rsid w:val="44483D85"/>
    <w:rsid w:val="445F529F"/>
    <w:rsid w:val="447A3488"/>
    <w:rsid w:val="447D31D0"/>
    <w:rsid w:val="44882599"/>
    <w:rsid w:val="44A57770"/>
    <w:rsid w:val="44A60263"/>
    <w:rsid w:val="44A7469E"/>
    <w:rsid w:val="44B53A55"/>
    <w:rsid w:val="44BA514C"/>
    <w:rsid w:val="44BC2C73"/>
    <w:rsid w:val="44C028D3"/>
    <w:rsid w:val="44C257D4"/>
    <w:rsid w:val="44DB6E6E"/>
    <w:rsid w:val="44DF1057"/>
    <w:rsid w:val="44E35950"/>
    <w:rsid w:val="44EA3A8A"/>
    <w:rsid w:val="44FF0DF9"/>
    <w:rsid w:val="450534B4"/>
    <w:rsid w:val="450B59A8"/>
    <w:rsid w:val="45142781"/>
    <w:rsid w:val="45234EE5"/>
    <w:rsid w:val="45280575"/>
    <w:rsid w:val="4540575D"/>
    <w:rsid w:val="45433394"/>
    <w:rsid w:val="454669E0"/>
    <w:rsid w:val="454A2AF9"/>
    <w:rsid w:val="454D7D6F"/>
    <w:rsid w:val="455E66DB"/>
    <w:rsid w:val="455F57C9"/>
    <w:rsid w:val="45796B3B"/>
    <w:rsid w:val="458A316C"/>
    <w:rsid w:val="45934E1E"/>
    <w:rsid w:val="45990EFA"/>
    <w:rsid w:val="45AB3E07"/>
    <w:rsid w:val="45CA3FB8"/>
    <w:rsid w:val="45CE5353"/>
    <w:rsid w:val="45D64EE0"/>
    <w:rsid w:val="45EF7078"/>
    <w:rsid w:val="4606307C"/>
    <w:rsid w:val="46101FCC"/>
    <w:rsid w:val="4614088C"/>
    <w:rsid w:val="461F6BBA"/>
    <w:rsid w:val="462036D5"/>
    <w:rsid w:val="46205483"/>
    <w:rsid w:val="462A06D3"/>
    <w:rsid w:val="462A6302"/>
    <w:rsid w:val="463B050F"/>
    <w:rsid w:val="465515D1"/>
    <w:rsid w:val="465B5DCE"/>
    <w:rsid w:val="467A1461"/>
    <w:rsid w:val="467E386E"/>
    <w:rsid w:val="468E4AE3"/>
    <w:rsid w:val="469556DD"/>
    <w:rsid w:val="46957C1F"/>
    <w:rsid w:val="469D4D26"/>
    <w:rsid w:val="46A77952"/>
    <w:rsid w:val="46BE34E7"/>
    <w:rsid w:val="46BE6B5C"/>
    <w:rsid w:val="46CC1167"/>
    <w:rsid w:val="46D1677D"/>
    <w:rsid w:val="46D834D4"/>
    <w:rsid w:val="46DF52CB"/>
    <w:rsid w:val="46F14C34"/>
    <w:rsid w:val="46F5246C"/>
    <w:rsid w:val="46FB7DC6"/>
    <w:rsid w:val="47013507"/>
    <w:rsid w:val="47297420"/>
    <w:rsid w:val="472A1390"/>
    <w:rsid w:val="47482EE3"/>
    <w:rsid w:val="475E752D"/>
    <w:rsid w:val="47633879"/>
    <w:rsid w:val="47655843"/>
    <w:rsid w:val="47860E2F"/>
    <w:rsid w:val="478D08F6"/>
    <w:rsid w:val="47A03D38"/>
    <w:rsid w:val="47AF2F63"/>
    <w:rsid w:val="47C3256A"/>
    <w:rsid w:val="47CC58C3"/>
    <w:rsid w:val="47D50476"/>
    <w:rsid w:val="47D91D8D"/>
    <w:rsid w:val="47DE0E2A"/>
    <w:rsid w:val="47DF3D79"/>
    <w:rsid w:val="47FC782A"/>
    <w:rsid w:val="47FE76D7"/>
    <w:rsid w:val="480212E4"/>
    <w:rsid w:val="4833327D"/>
    <w:rsid w:val="483B2A48"/>
    <w:rsid w:val="483D2F80"/>
    <w:rsid w:val="48403BBB"/>
    <w:rsid w:val="484E7138"/>
    <w:rsid w:val="485706ED"/>
    <w:rsid w:val="485805A6"/>
    <w:rsid w:val="48693111"/>
    <w:rsid w:val="48713324"/>
    <w:rsid w:val="48724537"/>
    <w:rsid w:val="4878361E"/>
    <w:rsid w:val="487C1E4D"/>
    <w:rsid w:val="487D4E0F"/>
    <w:rsid w:val="489F5472"/>
    <w:rsid w:val="48AE6D76"/>
    <w:rsid w:val="48B62DBE"/>
    <w:rsid w:val="48C95384"/>
    <w:rsid w:val="48CC544E"/>
    <w:rsid w:val="48CE7418"/>
    <w:rsid w:val="48D204B0"/>
    <w:rsid w:val="48E45D61"/>
    <w:rsid w:val="48F1069A"/>
    <w:rsid w:val="4900165A"/>
    <w:rsid w:val="49047674"/>
    <w:rsid w:val="49060F7A"/>
    <w:rsid w:val="49097142"/>
    <w:rsid w:val="490B115C"/>
    <w:rsid w:val="491357D2"/>
    <w:rsid w:val="49241FE3"/>
    <w:rsid w:val="49311755"/>
    <w:rsid w:val="49377BA2"/>
    <w:rsid w:val="493D5006"/>
    <w:rsid w:val="495C4A24"/>
    <w:rsid w:val="497E1814"/>
    <w:rsid w:val="49867CF3"/>
    <w:rsid w:val="498C0651"/>
    <w:rsid w:val="499D49C4"/>
    <w:rsid w:val="49AB775A"/>
    <w:rsid w:val="49AD62D6"/>
    <w:rsid w:val="49B52386"/>
    <w:rsid w:val="49B642BE"/>
    <w:rsid w:val="49C32CF5"/>
    <w:rsid w:val="49C8030C"/>
    <w:rsid w:val="49C83A47"/>
    <w:rsid w:val="49C9141A"/>
    <w:rsid w:val="49DE7F41"/>
    <w:rsid w:val="49E84E4C"/>
    <w:rsid w:val="49F05721"/>
    <w:rsid w:val="4A007AA5"/>
    <w:rsid w:val="4A1C05B0"/>
    <w:rsid w:val="4A2D63C1"/>
    <w:rsid w:val="4A2F456A"/>
    <w:rsid w:val="4A323C2B"/>
    <w:rsid w:val="4A392FB7"/>
    <w:rsid w:val="4A4A5D6B"/>
    <w:rsid w:val="4A4F4589"/>
    <w:rsid w:val="4A5D56A3"/>
    <w:rsid w:val="4A623617"/>
    <w:rsid w:val="4A6242BC"/>
    <w:rsid w:val="4A772A2A"/>
    <w:rsid w:val="4A7E749E"/>
    <w:rsid w:val="4A8A1057"/>
    <w:rsid w:val="4A8D13EF"/>
    <w:rsid w:val="4A8E4F9A"/>
    <w:rsid w:val="4A934E3E"/>
    <w:rsid w:val="4A946146"/>
    <w:rsid w:val="4AA76173"/>
    <w:rsid w:val="4AB10DA0"/>
    <w:rsid w:val="4AB332C5"/>
    <w:rsid w:val="4ABB259D"/>
    <w:rsid w:val="4AC30AA9"/>
    <w:rsid w:val="4AC629FC"/>
    <w:rsid w:val="4AD54A8E"/>
    <w:rsid w:val="4AE20F59"/>
    <w:rsid w:val="4AE61A22"/>
    <w:rsid w:val="4AF60EA8"/>
    <w:rsid w:val="4B01056E"/>
    <w:rsid w:val="4B054C48"/>
    <w:rsid w:val="4B166E55"/>
    <w:rsid w:val="4B1A6E45"/>
    <w:rsid w:val="4B1B12D4"/>
    <w:rsid w:val="4B233370"/>
    <w:rsid w:val="4B2E2886"/>
    <w:rsid w:val="4B491DE2"/>
    <w:rsid w:val="4B4A4148"/>
    <w:rsid w:val="4B4C2876"/>
    <w:rsid w:val="4B4E2A92"/>
    <w:rsid w:val="4B505EBD"/>
    <w:rsid w:val="4B581FEE"/>
    <w:rsid w:val="4B5B0D64"/>
    <w:rsid w:val="4B5D4A84"/>
    <w:rsid w:val="4B6469EB"/>
    <w:rsid w:val="4B6936F9"/>
    <w:rsid w:val="4B8B15F1"/>
    <w:rsid w:val="4B923F4B"/>
    <w:rsid w:val="4BA45F7F"/>
    <w:rsid w:val="4BB513C0"/>
    <w:rsid w:val="4BB565F3"/>
    <w:rsid w:val="4BC71DDA"/>
    <w:rsid w:val="4BCE14DD"/>
    <w:rsid w:val="4BD623FF"/>
    <w:rsid w:val="4BD765E4"/>
    <w:rsid w:val="4BDD6412"/>
    <w:rsid w:val="4BEB540D"/>
    <w:rsid w:val="4BF76373"/>
    <w:rsid w:val="4BFA737C"/>
    <w:rsid w:val="4C001587"/>
    <w:rsid w:val="4C101AF6"/>
    <w:rsid w:val="4C2D2F51"/>
    <w:rsid w:val="4C371B6A"/>
    <w:rsid w:val="4C653BF0"/>
    <w:rsid w:val="4C716A38"/>
    <w:rsid w:val="4C94384C"/>
    <w:rsid w:val="4C975D73"/>
    <w:rsid w:val="4C9D15DC"/>
    <w:rsid w:val="4CBD1C7E"/>
    <w:rsid w:val="4CC36B68"/>
    <w:rsid w:val="4CD43BFB"/>
    <w:rsid w:val="4CDE6982"/>
    <w:rsid w:val="4CE30926"/>
    <w:rsid w:val="4CE629A2"/>
    <w:rsid w:val="4CE85D46"/>
    <w:rsid w:val="4CF029F8"/>
    <w:rsid w:val="4CF46F71"/>
    <w:rsid w:val="4D007DBC"/>
    <w:rsid w:val="4D0C31CE"/>
    <w:rsid w:val="4D0E24D9"/>
    <w:rsid w:val="4D0F224C"/>
    <w:rsid w:val="4D1D2513"/>
    <w:rsid w:val="4D2461B3"/>
    <w:rsid w:val="4D2970E7"/>
    <w:rsid w:val="4D437429"/>
    <w:rsid w:val="4D471771"/>
    <w:rsid w:val="4D4B1874"/>
    <w:rsid w:val="4D613EB0"/>
    <w:rsid w:val="4D7165FB"/>
    <w:rsid w:val="4D720CBA"/>
    <w:rsid w:val="4D7D140D"/>
    <w:rsid w:val="4D8608E4"/>
    <w:rsid w:val="4D8A7823"/>
    <w:rsid w:val="4D8E7176"/>
    <w:rsid w:val="4D924EB8"/>
    <w:rsid w:val="4DA1334D"/>
    <w:rsid w:val="4DB6336C"/>
    <w:rsid w:val="4DC71A91"/>
    <w:rsid w:val="4DCC30F3"/>
    <w:rsid w:val="4DD01472"/>
    <w:rsid w:val="4DD43D1E"/>
    <w:rsid w:val="4DD97D0D"/>
    <w:rsid w:val="4DDB7025"/>
    <w:rsid w:val="4DDE0767"/>
    <w:rsid w:val="4DDE62FD"/>
    <w:rsid w:val="4DDF7E5A"/>
    <w:rsid w:val="4DFA480C"/>
    <w:rsid w:val="4DFC4A28"/>
    <w:rsid w:val="4E035269"/>
    <w:rsid w:val="4E2448D3"/>
    <w:rsid w:val="4E245D2B"/>
    <w:rsid w:val="4E3D7DA9"/>
    <w:rsid w:val="4E490870"/>
    <w:rsid w:val="4E534F9B"/>
    <w:rsid w:val="4E57517D"/>
    <w:rsid w:val="4E766588"/>
    <w:rsid w:val="4E7C3473"/>
    <w:rsid w:val="4E821D07"/>
    <w:rsid w:val="4E8C06FB"/>
    <w:rsid w:val="4E8D6674"/>
    <w:rsid w:val="4E947510"/>
    <w:rsid w:val="4E96204B"/>
    <w:rsid w:val="4EAB5EB9"/>
    <w:rsid w:val="4EAB740D"/>
    <w:rsid w:val="4EAD5D22"/>
    <w:rsid w:val="4EC049F7"/>
    <w:rsid w:val="4EC24D34"/>
    <w:rsid w:val="4ECA68D4"/>
    <w:rsid w:val="4EDB0584"/>
    <w:rsid w:val="4EF151DC"/>
    <w:rsid w:val="4EF460F6"/>
    <w:rsid w:val="4EF81243"/>
    <w:rsid w:val="4EFB0B2C"/>
    <w:rsid w:val="4EFD4C50"/>
    <w:rsid w:val="4F0A1380"/>
    <w:rsid w:val="4F0A6CD0"/>
    <w:rsid w:val="4F0D33ED"/>
    <w:rsid w:val="4F2149B4"/>
    <w:rsid w:val="4F224B62"/>
    <w:rsid w:val="4F261C03"/>
    <w:rsid w:val="4F411D97"/>
    <w:rsid w:val="4F4C50C9"/>
    <w:rsid w:val="4F587A3C"/>
    <w:rsid w:val="4F5B577E"/>
    <w:rsid w:val="4F7725B8"/>
    <w:rsid w:val="4F792398"/>
    <w:rsid w:val="4F7A5C04"/>
    <w:rsid w:val="4F7D7C5D"/>
    <w:rsid w:val="4F846A83"/>
    <w:rsid w:val="4F890E35"/>
    <w:rsid w:val="4F8F375E"/>
    <w:rsid w:val="4FA16E5C"/>
    <w:rsid w:val="4FBD67D3"/>
    <w:rsid w:val="4FBF7ABB"/>
    <w:rsid w:val="4FC10DCD"/>
    <w:rsid w:val="4FD316E2"/>
    <w:rsid w:val="4FDD43E5"/>
    <w:rsid w:val="4FDD5236"/>
    <w:rsid w:val="4FDE2637"/>
    <w:rsid w:val="4FF0236A"/>
    <w:rsid w:val="4FFA4F97"/>
    <w:rsid w:val="4FFE26B9"/>
    <w:rsid w:val="50001490"/>
    <w:rsid w:val="50003DB9"/>
    <w:rsid w:val="50020B50"/>
    <w:rsid w:val="500A2BAF"/>
    <w:rsid w:val="50210776"/>
    <w:rsid w:val="5024194A"/>
    <w:rsid w:val="50292D83"/>
    <w:rsid w:val="503E65F8"/>
    <w:rsid w:val="50586D12"/>
    <w:rsid w:val="50615016"/>
    <w:rsid w:val="50746AF7"/>
    <w:rsid w:val="507879EC"/>
    <w:rsid w:val="508A1DA5"/>
    <w:rsid w:val="5095081C"/>
    <w:rsid w:val="50966A6E"/>
    <w:rsid w:val="50976EA9"/>
    <w:rsid w:val="50A33062"/>
    <w:rsid w:val="50A55251"/>
    <w:rsid w:val="50A70C7B"/>
    <w:rsid w:val="50AA2C30"/>
    <w:rsid w:val="50AF18DD"/>
    <w:rsid w:val="50AF5D81"/>
    <w:rsid w:val="50BB24F7"/>
    <w:rsid w:val="50C13E5A"/>
    <w:rsid w:val="50C22140"/>
    <w:rsid w:val="50C85885"/>
    <w:rsid w:val="50D50B7A"/>
    <w:rsid w:val="50D91537"/>
    <w:rsid w:val="50DF79C4"/>
    <w:rsid w:val="50E45AA3"/>
    <w:rsid w:val="50E6470E"/>
    <w:rsid w:val="50FE67E5"/>
    <w:rsid w:val="5113532F"/>
    <w:rsid w:val="51183927"/>
    <w:rsid w:val="512978E2"/>
    <w:rsid w:val="512E3501"/>
    <w:rsid w:val="5133250E"/>
    <w:rsid w:val="51363DAD"/>
    <w:rsid w:val="51401D53"/>
    <w:rsid w:val="51453FF0"/>
    <w:rsid w:val="5147420C"/>
    <w:rsid w:val="514D7E89"/>
    <w:rsid w:val="516052FD"/>
    <w:rsid w:val="517143AC"/>
    <w:rsid w:val="5176064D"/>
    <w:rsid w:val="518C1C1F"/>
    <w:rsid w:val="518D03E1"/>
    <w:rsid w:val="518E3BE9"/>
    <w:rsid w:val="51987CBC"/>
    <w:rsid w:val="519D5616"/>
    <w:rsid w:val="51A74CAA"/>
    <w:rsid w:val="51A927D1"/>
    <w:rsid w:val="51CD67EE"/>
    <w:rsid w:val="51D31ABF"/>
    <w:rsid w:val="51E43809"/>
    <w:rsid w:val="51E46461"/>
    <w:rsid w:val="51E87E4E"/>
    <w:rsid w:val="51EC063D"/>
    <w:rsid w:val="51F2795F"/>
    <w:rsid w:val="51F85506"/>
    <w:rsid w:val="52075B24"/>
    <w:rsid w:val="520D445E"/>
    <w:rsid w:val="5221680B"/>
    <w:rsid w:val="52284795"/>
    <w:rsid w:val="522B768A"/>
    <w:rsid w:val="52305AAC"/>
    <w:rsid w:val="523816F1"/>
    <w:rsid w:val="52462715"/>
    <w:rsid w:val="52490CB4"/>
    <w:rsid w:val="524A1396"/>
    <w:rsid w:val="5252421B"/>
    <w:rsid w:val="525272B0"/>
    <w:rsid w:val="5253098E"/>
    <w:rsid w:val="526E6E3E"/>
    <w:rsid w:val="52770B21"/>
    <w:rsid w:val="527A6550"/>
    <w:rsid w:val="527C2294"/>
    <w:rsid w:val="527E3FC2"/>
    <w:rsid w:val="52860582"/>
    <w:rsid w:val="528B1ED6"/>
    <w:rsid w:val="52952D55"/>
    <w:rsid w:val="529A65BD"/>
    <w:rsid w:val="529D3EE4"/>
    <w:rsid w:val="529F214D"/>
    <w:rsid w:val="52AD2D5C"/>
    <w:rsid w:val="52B61649"/>
    <w:rsid w:val="52BA4AFD"/>
    <w:rsid w:val="52C33D66"/>
    <w:rsid w:val="52C76A5D"/>
    <w:rsid w:val="52C7716E"/>
    <w:rsid w:val="52D46648"/>
    <w:rsid w:val="52E30ED8"/>
    <w:rsid w:val="52E359E2"/>
    <w:rsid w:val="52E87329"/>
    <w:rsid w:val="52ED0DE3"/>
    <w:rsid w:val="52EF1C4A"/>
    <w:rsid w:val="52F6132D"/>
    <w:rsid w:val="5303259D"/>
    <w:rsid w:val="530E3233"/>
    <w:rsid w:val="5311062D"/>
    <w:rsid w:val="532E7431"/>
    <w:rsid w:val="53310CD0"/>
    <w:rsid w:val="533B3627"/>
    <w:rsid w:val="536212FA"/>
    <w:rsid w:val="537266F4"/>
    <w:rsid w:val="53777E6D"/>
    <w:rsid w:val="538C4158"/>
    <w:rsid w:val="538F45EA"/>
    <w:rsid w:val="53963229"/>
    <w:rsid w:val="539F032F"/>
    <w:rsid w:val="539F3E8B"/>
    <w:rsid w:val="53A5521A"/>
    <w:rsid w:val="53AA020A"/>
    <w:rsid w:val="53AC050C"/>
    <w:rsid w:val="53BC50A8"/>
    <w:rsid w:val="53C265C7"/>
    <w:rsid w:val="53CB1FF1"/>
    <w:rsid w:val="53DA223D"/>
    <w:rsid w:val="53DF5431"/>
    <w:rsid w:val="53E90A53"/>
    <w:rsid w:val="53EA064B"/>
    <w:rsid w:val="53EB4926"/>
    <w:rsid w:val="53F00B8B"/>
    <w:rsid w:val="53FD7AB8"/>
    <w:rsid w:val="54065CB8"/>
    <w:rsid w:val="540A502D"/>
    <w:rsid w:val="540D6224"/>
    <w:rsid w:val="54105BC6"/>
    <w:rsid w:val="54135959"/>
    <w:rsid w:val="54156CC8"/>
    <w:rsid w:val="54181E8F"/>
    <w:rsid w:val="541879C0"/>
    <w:rsid w:val="54291EC5"/>
    <w:rsid w:val="542E4D21"/>
    <w:rsid w:val="542E5629"/>
    <w:rsid w:val="5430022A"/>
    <w:rsid w:val="543625A5"/>
    <w:rsid w:val="54363A17"/>
    <w:rsid w:val="54370568"/>
    <w:rsid w:val="543C792C"/>
    <w:rsid w:val="544225A6"/>
    <w:rsid w:val="544C5423"/>
    <w:rsid w:val="544D6010"/>
    <w:rsid w:val="54534C76"/>
    <w:rsid w:val="54546517"/>
    <w:rsid w:val="54560490"/>
    <w:rsid w:val="54582A29"/>
    <w:rsid w:val="545D7674"/>
    <w:rsid w:val="547C0E3C"/>
    <w:rsid w:val="547E4657"/>
    <w:rsid w:val="54817A35"/>
    <w:rsid w:val="54845F1A"/>
    <w:rsid w:val="548C0A01"/>
    <w:rsid w:val="54901A26"/>
    <w:rsid w:val="54920A3C"/>
    <w:rsid w:val="5495703C"/>
    <w:rsid w:val="54A327AC"/>
    <w:rsid w:val="54AA3A11"/>
    <w:rsid w:val="54B8027F"/>
    <w:rsid w:val="54BA23FA"/>
    <w:rsid w:val="54D00729"/>
    <w:rsid w:val="54D45DB6"/>
    <w:rsid w:val="54D9517B"/>
    <w:rsid w:val="54DB5397"/>
    <w:rsid w:val="54F549BE"/>
    <w:rsid w:val="54F63162"/>
    <w:rsid w:val="55020B76"/>
    <w:rsid w:val="550A7A2A"/>
    <w:rsid w:val="55131F35"/>
    <w:rsid w:val="55137725"/>
    <w:rsid w:val="551720FD"/>
    <w:rsid w:val="551E5284"/>
    <w:rsid w:val="55255AC7"/>
    <w:rsid w:val="55381463"/>
    <w:rsid w:val="553F71DB"/>
    <w:rsid w:val="554972D9"/>
    <w:rsid w:val="554A7E27"/>
    <w:rsid w:val="554C24E5"/>
    <w:rsid w:val="5553279E"/>
    <w:rsid w:val="556D1D67"/>
    <w:rsid w:val="558A3956"/>
    <w:rsid w:val="55962A27"/>
    <w:rsid w:val="55A51501"/>
    <w:rsid w:val="55B26DA9"/>
    <w:rsid w:val="55B856D8"/>
    <w:rsid w:val="55B86AF9"/>
    <w:rsid w:val="55BF6A67"/>
    <w:rsid w:val="55C24453"/>
    <w:rsid w:val="55C83395"/>
    <w:rsid w:val="55D80A2A"/>
    <w:rsid w:val="55D83684"/>
    <w:rsid w:val="55E24503"/>
    <w:rsid w:val="56155ACB"/>
    <w:rsid w:val="562543F0"/>
    <w:rsid w:val="5630526E"/>
    <w:rsid w:val="56356D29"/>
    <w:rsid w:val="56382375"/>
    <w:rsid w:val="564778C3"/>
    <w:rsid w:val="564C7744"/>
    <w:rsid w:val="565151E5"/>
    <w:rsid w:val="567325C1"/>
    <w:rsid w:val="56757125"/>
    <w:rsid w:val="568339A9"/>
    <w:rsid w:val="56842490"/>
    <w:rsid w:val="568D645B"/>
    <w:rsid w:val="56A46172"/>
    <w:rsid w:val="56C046D1"/>
    <w:rsid w:val="56C124E0"/>
    <w:rsid w:val="56D06A51"/>
    <w:rsid w:val="56F27015"/>
    <w:rsid w:val="56F5488D"/>
    <w:rsid w:val="56FA762A"/>
    <w:rsid w:val="56FE05EF"/>
    <w:rsid w:val="570F633F"/>
    <w:rsid w:val="571132F2"/>
    <w:rsid w:val="57123422"/>
    <w:rsid w:val="571701DC"/>
    <w:rsid w:val="572D17AE"/>
    <w:rsid w:val="572D5C52"/>
    <w:rsid w:val="573408D3"/>
    <w:rsid w:val="57340D8E"/>
    <w:rsid w:val="573E7F16"/>
    <w:rsid w:val="574E5B20"/>
    <w:rsid w:val="575D4693"/>
    <w:rsid w:val="575E405D"/>
    <w:rsid w:val="57672F12"/>
    <w:rsid w:val="576E06D8"/>
    <w:rsid w:val="578D049F"/>
    <w:rsid w:val="57910D30"/>
    <w:rsid w:val="57911D3D"/>
    <w:rsid w:val="57914578"/>
    <w:rsid w:val="579B09E0"/>
    <w:rsid w:val="57A4224B"/>
    <w:rsid w:val="57BB500C"/>
    <w:rsid w:val="57BD26CF"/>
    <w:rsid w:val="57BD54F1"/>
    <w:rsid w:val="57CC7219"/>
    <w:rsid w:val="57DA0331"/>
    <w:rsid w:val="57DE0CFA"/>
    <w:rsid w:val="57F871FF"/>
    <w:rsid w:val="57F92A7C"/>
    <w:rsid w:val="57F95B34"/>
    <w:rsid w:val="58044368"/>
    <w:rsid w:val="580B4A9B"/>
    <w:rsid w:val="580C03E7"/>
    <w:rsid w:val="5810617A"/>
    <w:rsid w:val="58124FC9"/>
    <w:rsid w:val="58136BF6"/>
    <w:rsid w:val="581B1814"/>
    <w:rsid w:val="58274A78"/>
    <w:rsid w:val="583A23D4"/>
    <w:rsid w:val="583E1A0D"/>
    <w:rsid w:val="584274DB"/>
    <w:rsid w:val="585A7E7E"/>
    <w:rsid w:val="58604841"/>
    <w:rsid w:val="586E2E86"/>
    <w:rsid w:val="586F2AEE"/>
    <w:rsid w:val="58775D4B"/>
    <w:rsid w:val="58814A90"/>
    <w:rsid w:val="58896EB8"/>
    <w:rsid w:val="58911202"/>
    <w:rsid w:val="58A73CBE"/>
    <w:rsid w:val="58A81A34"/>
    <w:rsid w:val="58B71C77"/>
    <w:rsid w:val="58BA547C"/>
    <w:rsid w:val="58BD4DB3"/>
    <w:rsid w:val="58CD52E6"/>
    <w:rsid w:val="58D45880"/>
    <w:rsid w:val="58D70726"/>
    <w:rsid w:val="58DE20CD"/>
    <w:rsid w:val="58DF121D"/>
    <w:rsid w:val="58E3481A"/>
    <w:rsid w:val="58E95BA9"/>
    <w:rsid w:val="58F419FA"/>
    <w:rsid w:val="58F42681"/>
    <w:rsid w:val="58F52598"/>
    <w:rsid w:val="58FA064D"/>
    <w:rsid w:val="590029F6"/>
    <w:rsid w:val="59117203"/>
    <w:rsid w:val="591250FF"/>
    <w:rsid w:val="591C5F7E"/>
    <w:rsid w:val="5920039B"/>
    <w:rsid w:val="59231D05"/>
    <w:rsid w:val="59305585"/>
    <w:rsid w:val="59417793"/>
    <w:rsid w:val="59457D91"/>
    <w:rsid w:val="59726422"/>
    <w:rsid w:val="597A4A53"/>
    <w:rsid w:val="59A53FC9"/>
    <w:rsid w:val="59A87812"/>
    <w:rsid w:val="59B91ACE"/>
    <w:rsid w:val="59BB73DF"/>
    <w:rsid w:val="59BE7035"/>
    <w:rsid w:val="59C068BE"/>
    <w:rsid w:val="59C81C62"/>
    <w:rsid w:val="59C92EC4"/>
    <w:rsid w:val="59CA7788"/>
    <w:rsid w:val="59D0163F"/>
    <w:rsid w:val="59D33627"/>
    <w:rsid w:val="59E7033A"/>
    <w:rsid w:val="59E92BD6"/>
    <w:rsid w:val="5A027D02"/>
    <w:rsid w:val="5A056A12"/>
    <w:rsid w:val="5A0F6BEE"/>
    <w:rsid w:val="5A184997"/>
    <w:rsid w:val="5A250E62"/>
    <w:rsid w:val="5A33202B"/>
    <w:rsid w:val="5A37459D"/>
    <w:rsid w:val="5A453A57"/>
    <w:rsid w:val="5A4A001E"/>
    <w:rsid w:val="5A4B3D7D"/>
    <w:rsid w:val="5A597F3B"/>
    <w:rsid w:val="5A5A108A"/>
    <w:rsid w:val="5A5A6D5E"/>
    <w:rsid w:val="5A5D684E"/>
    <w:rsid w:val="5A663955"/>
    <w:rsid w:val="5A670EED"/>
    <w:rsid w:val="5A6A4D3D"/>
    <w:rsid w:val="5A7A2F5C"/>
    <w:rsid w:val="5A9D5E48"/>
    <w:rsid w:val="5AB7282E"/>
    <w:rsid w:val="5AB741B0"/>
    <w:rsid w:val="5AB75F5E"/>
    <w:rsid w:val="5AD02AFD"/>
    <w:rsid w:val="5ADC379C"/>
    <w:rsid w:val="5AF076C2"/>
    <w:rsid w:val="5AF20139"/>
    <w:rsid w:val="5AF97116"/>
    <w:rsid w:val="5AFF2BFD"/>
    <w:rsid w:val="5AFF7905"/>
    <w:rsid w:val="5B4075E1"/>
    <w:rsid w:val="5B44356A"/>
    <w:rsid w:val="5B5B6D1A"/>
    <w:rsid w:val="5B6339F0"/>
    <w:rsid w:val="5B6C2124"/>
    <w:rsid w:val="5B712E03"/>
    <w:rsid w:val="5B89568B"/>
    <w:rsid w:val="5B8F6B42"/>
    <w:rsid w:val="5B9774A3"/>
    <w:rsid w:val="5B993E74"/>
    <w:rsid w:val="5BA01302"/>
    <w:rsid w:val="5BA65FD3"/>
    <w:rsid w:val="5BA87F9D"/>
    <w:rsid w:val="5BB93137"/>
    <w:rsid w:val="5BBD57F6"/>
    <w:rsid w:val="5BBE331C"/>
    <w:rsid w:val="5BBE43E7"/>
    <w:rsid w:val="5BC30933"/>
    <w:rsid w:val="5BDC12DF"/>
    <w:rsid w:val="5BE70AC5"/>
    <w:rsid w:val="5BF13B3F"/>
    <w:rsid w:val="5BFA0713"/>
    <w:rsid w:val="5BFC2FEE"/>
    <w:rsid w:val="5BFF3E21"/>
    <w:rsid w:val="5C3637FE"/>
    <w:rsid w:val="5C49558A"/>
    <w:rsid w:val="5C4A2E02"/>
    <w:rsid w:val="5C4D08B6"/>
    <w:rsid w:val="5C547FB3"/>
    <w:rsid w:val="5C56756F"/>
    <w:rsid w:val="5C5910DD"/>
    <w:rsid w:val="5C5C174A"/>
    <w:rsid w:val="5C660C34"/>
    <w:rsid w:val="5C66635B"/>
    <w:rsid w:val="5C6A7000"/>
    <w:rsid w:val="5C6B0C96"/>
    <w:rsid w:val="5C6B5F84"/>
    <w:rsid w:val="5C7C054B"/>
    <w:rsid w:val="5C817227"/>
    <w:rsid w:val="5C86208C"/>
    <w:rsid w:val="5C9522CF"/>
    <w:rsid w:val="5C98591B"/>
    <w:rsid w:val="5CA50CC0"/>
    <w:rsid w:val="5CBB7EA9"/>
    <w:rsid w:val="5CBF40FC"/>
    <w:rsid w:val="5CBF734C"/>
    <w:rsid w:val="5CC42BB4"/>
    <w:rsid w:val="5CCB51D1"/>
    <w:rsid w:val="5CCE30DB"/>
    <w:rsid w:val="5CDA46C6"/>
    <w:rsid w:val="5CDC1CAC"/>
    <w:rsid w:val="5CE45005"/>
    <w:rsid w:val="5CE50C85"/>
    <w:rsid w:val="5CEE53C4"/>
    <w:rsid w:val="5CEF60E5"/>
    <w:rsid w:val="5D046552"/>
    <w:rsid w:val="5D07484F"/>
    <w:rsid w:val="5D086ED8"/>
    <w:rsid w:val="5D0E2082"/>
    <w:rsid w:val="5D126DFC"/>
    <w:rsid w:val="5D174567"/>
    <w:rsid w:val="5D1778D7"/>
    <w:rsid w:val="5D1C02FB"/>
    <w:rsid w:val="5D1D78B2"/>
    <w:rsid w:val="5D245401"/>
    <w:rsid w:val="5D283143"/>
    <w:rsid w:val="5D2B49E2"/>
    <w:rsid w:val="5D2E002E"/>
    <w:rsid w:val="5D32527B"/>
    <w:rsid w:val="5D414205"/>
    <w:rsid w:val="5D4646B0"/>
    <w:rsid w:val="5D5A63AF"/>
    <w:rsid w:val="5D5B019B"/>
    <w:rsid w:val="5D640AF7"/>
    <w:rsid w:val="5D665A1A"/>
    <w:rsid w:val="5D714752"/>
    <w:rsid w:val="5D78456B"/>
    <w:rsid w:val="5D784B93"/>
    <w:rsid w:val="5D79399F"/>
    <w:rsid w:val="5D7D676A"/>
    <w:rsid w:val="5DB20C5F"/>
    <w:rsid w:val="5DB34C90"/>
    <w:rsid w:val="5DE132F2"/>
    <w:rsid w:val="5DE4431B"/>
    <w:rsid w:val="5DE54B90"/>
    <w:rsid w:val="5DEC36B0"/>
    <w:rsid w:val="5DF12E7C"/>
    <w:rsid w:val="5DF37348"/>
    <w:rsid w:val="5DF748C4"/>
    <w:rsid w:val="5DF83001"/>
    <w:rsid w:val="5DFD7092"/>
    <w:rsid w:val="5DFD7C17"/>
    <w:rsid w:val="5E1E66E4"/>
    <w:rsid w:val="5E224037"/>
    <w:rsid w:val="5E265FEF"/>
    <w:rsid w:val="5E2B3C63"/>
    <w:rsid w:val="5E2B43F0"/>
    <w:rsid w:val="5E545D2E"/>
    <w:rsid w:val="5E656238"/>
    <w:rsid w:val="5E6F4DA2"/>
    <w:rsid w:val="5E7457CA"/>
    <w:rsid w:val="5E79352B"/>
    <w:rsid w:val="5E9860A7"/>
    <w:rsid w:val="5EB44D5F"/>
    <w:rsid w:val="5EC65F91"/>
    <w:rsid w:val="5ECA57A0"/>
    <w:rsid w:val="5ED47F94"/>
    <w:rsid w:val="5EE969FF"/>
    <w:rsid w:val="5EF01A3F"/>
    <w:rsid w:val="5EF64B7B"/>
    <w:rsid w:val="5F053010"/>
    <w:rsid w:val="5F0674B4"/>
    <w:rsid w:val="5F122981"/>
    <w:rsid w:val="5F161E55"/>
    <w:rsid w:val="5F1C0A86"/>
    <w:rsid w:val="5F307A57"/>
    <w:rsid w:val="5F38751B"/>
    <w:rsid w:val="5F435A75"/>
    <w:rsid w:val="5F443B39"/>
    <w:rsid w:val="5F56089F"/>
    <w:rsid w:val="5F5E109E"/>
    <w:rsid w:val="5F5E44B8"/>
    <w:rsid w:val="5F7740DD"/>
    <w:rsid w:val="5F7C7776"/>
    <w:rsid w:val="5F98434D"/>
    <w:rsid w:val="5FA55D1D"/>
    <w:rsid w:val="5FAF0B65"/>
    <w:rsid w:val="5FB663DC"/>
    <w:rsid w:val="5FB97F54"/>
    <w:rsid w:val="5FD142F6"/>
    <w:rsid w:val="5FDE2AE5"/>
    <w:rsid w:val="5FDF06DF"/>
    <w:rsid w:val="5FDF0EC5"/>
    <w:rsid w:val="5FE505D1"/>
    <w:rsid w:val="5FF67529"/>
    <w:rsid w:val="5FF67F8B"/>
    <w:rsid w:val="6004075F"/>
    <w:rsid w:val="6005151A"/>
    <w:rsid w:val="60121E89"/>
    <w:rsid w:val="60140FB0"/>
    <w:rsid w:val="602A7D19"/>
    <w:rsid w:val="602D281F"/>
    <w:rsid w:val="602E618A"/>
    <w:rsid w:val="604007A4"/>
    <w:rsid w:val="60403315"/>
    <w:rsid w:val="604D4C6F"/>
    <w:rsid w:val="605A20CD"/>
    <w:rsid w:val="6060660E"/>
    <w:rsid w:val="60844B35"/>
    <w:rsid w:val="60850CC8"/>
    <w:rsid w:val="608A66C7"/>
    <w:rsid w:val="60927E40"/>
    <w:rsid w:val="609863C2"/>
    <w:rsid w:val="60995CEB"/>
    <w:rsid w:val="609D3550"/>
    <w:rsid w:val="609E04DD"/>
    <w:rsid w:val="60A25B71"/>
    <w:rsid w:val="60C27AD9"/>
    <w:rsid w:val="60CC2038"/>
    <w:rsid w:val="60D27E15"/>
    <w:rsid w:val="60D809DC"/>
    <w:rsid w:val="60DC7DF6"/>
    <w:rsid w:val="60EF3731"/>
    <w:rsid w:val="60F33A68"/>
    <w:rsid w:val="60FE7C04"/>
    <w:rsid w:val="61087F2B"/>
    <w:rsid w:val="61185E12"/>
    <w:rsid w:val="61202383"/>
    <w:rsid w:val="613563FB"/>
    <w:rsid w:val="6139505F"/>
    <w:rsid w:val="61573966"/>
    <w:rsid w:val="615F0F9F"/>
    <w:rsid w:val="617213B6"/>
    <w:rsid w:val="617D1584"/>
    <w:rsid w:val="61826B9A"/>
    <w:rsid w:val="61831714"/>
    <w:rsid w:val="618359EF"/>
    <w:rsid w:val="61850653"/>
    <w:rsid w:val="618D0081"/>
    <w:rsid w:val="619E12DE"/>
    <w:rsid w:val="619F599E"/>
    <w:rsid w:val="61A94E66"/>
    <w:rsid w:val="61AE0914"/>
    <w:rsid w:val="61B171B9"/>
    <w:rsid w:val="61BC3CA7"/>
    <w:rsid w:val="61C94AD0"/>
    <w:rsid w:val="61D077E8"/>
    <w:rsid w:val="61D25B5E"/>
    <w:rsid w:val="61D5316E"/>
    <w:rsid w:val="61E1377C"/>
    <w:rsid w:val="61E6665C"/>
    <w:rsid w:val="61F432E9"/>
    <w:rsid w:val="61FF49E6"/>
    <w:rsid w:val="620D6DAC"/>
    <w:rsid w:val="621109F7"/>
    <w:rsid w:val="621912AD"/>
    <w:rsid w:val="621A4BF4"/>
    <w:rsid w:val="6221527E"/>
    <w:rsid w:val="62314848"/>
    <w:rsid w:val="62326CD0"/>
    <w:rsid w:val="624150E8"/>
    <w:rsid w:val="624445CD"/>
    <w:rsid w:val="62483940"/>
    <w:rsid w:val="62554079"/>
    <w:rsid w:val="627004CB"/>
    <w:rsid w:val="627757F5"/>
    <w:rsid w:val="627841E1"/>
    <w:rsid w:val="627C0BE2"/>
    <w:rsid w:val="62802C81"/>
    <w:rsid w:val="628647C6"/>
    <w:rsid w:val="629570A7"/>
    <w:rsid w:val="62AE3BC9"/>
    <w:rsid w:val="62B66CD9"/>
    <w:rsid w:val="62C91692"/>
    <w:rsid w:val="62D36B7D"/>
    <w:rsid w:val="62D55870"/>
    <w:rsid w:val="62E90032"/>
    <w:rsid w:val="62EF64B1"/>
    <w:rsid w:val="62FC74AA"/>
    <w:rsid w:val="63027F93"/>
    <w:rsid w:val="63047645"/>
    <w:rsid w:val="631023A5"/>
    <w:rsid w:val="631A52DC"/>
    <w:rsid w:val="631F3BDD"/>
    <w:rsid w:val="632501AE"/>
    <w:rsid w:val="63260125"/>
    <w:rsid w:val="632D7850"/>
    <w:rsid w:val="63385032"/>
    <w:rsid w:val="633A7B59"/>
    <w:rsid w:val="63564FE9"/>
    <w:rsid w:val="63567918"/>
    <w:rsid w:val="636B5B38"/>
    <w:rsid w:val="636F7AB5"/>
    <w:rsid w:val="63762FDD"/>
    <w:rsid w:val="637A5D7B"/>
    <w:rsid w:val="637C7D45"/>
    <w:rsid w:val="637D586B"/>
    <w:rsid w:val="637F5A87"/>
    <w:rsid w:val="63873431"/>
    <w:rsid w:val="63A70B3A"/>
    <w:rsid w:val="63AE798A"/>
    <w:rsid w:val="63BE65AF"/>
    <w:rsid w:val="63CE60C7"/>
    <w:rsid w:val="63E81E7E"/>
    <w:rsid w:val="63F035B2"/>
    <w:rsid w:val="63F40352"/>
    <w:rsid w:val="63F45964"/>
    <w:rsid w:val="63F5399B"/>
    <w:rsid w:val="64002BE9"/>
    <w:rsid w:val="64002DAD"/>
    <w:rsid w:val="64073490"/>
    <w:rsid w:val="64255E6C"/>
    <w:rsid w:val="642B3519"/>
    <w:rsid w:val="64310B49"/>
    <w:rsid w:val="643B19AE"/>
    <w:rsid w:val="64432C2F"/>
    <w:rsid w:val="64564E9C"/>
    <w:rsid w:val="646B641E"/>
    <w:rsid w:val="64794C32"/>
    <w:rsid w:val="64811712"/>
    <w:rsid w:val="64986E00"/>
    <w:rsid w:val="64AE2DFD"/>
    <w:rsid w:val="64BD0F73"/>
    <w:rsid w:val="64C42DBE"/>
    <w:rsid w:val="64D020F2"/>
    <w:rsid w:val="64D1688D"/>
    <w:rsid w:val="64D63DE3"/>
    <w:rsid w:val="64E92B52"/>
    <w:rsid w:val="64F9030A"/>
    <w:rsid w:val="65021F15"/>
    <w:rsid w:val="651C400C"/>
    <w:rsid w:val="652060DB"/>
    <w:rsid w:val="65271E57"/>
    <w:rsid w:val="654523B9"/>
    <w:rsid w:val="6557694F"/>
    <w:rsid w:val="655A36F4"/>
    <w:rsid w:val="6567096C"/>
    <w:rsid w:val="656960A7"/>
    <w:rsid w:val="657A6D9C"/>
    <w:rsid w:val="657C2593"/>
    <w:rsid w:val="65815AE7"/>
    <w:rsid w:val="65887357"/>
    <w:rsid w:val="658C6239"/>
    <w:rsid w:val="65960E66"/>
    <w:rsid w:val="65982AA7"/>
    <w:rsid w:val="659F5F6D"/>
    <w:rsid w:val="65A47CEF"/>
    <w:rsid w:val="65A65A7A"/>
    <w:rsid w:val="65AB634D"/>
    <w:rsid w:val="65AC068A"/>
    <w:rsid w:val="65B71508"/>
    <w:rsid w:val="65E21D27"/>
    <w:rsid w:val="65E77415"/>
    <w:rsid w:val="65E80116"/>
    <w:rsid w:val="65EB0784"/>
    <w:rsid w:val="65EC2816"/>
    <w:rsid w:val="65EE2A50"/>
    <w:rsid w:val="65F513EC"/>
    <w:rsid w:val="65FD3F7D"/>
    <w:rsid w:val="6602276E"/>
    <w:rsid w:val="660404C6"/>
    <w:rsid w:val="660E6EB8"/>
    <w:rsid w:val="66252916"/>
    <w:rsid w:val="6641012B"/>
    <w:rsid w:val="66415276"/>
    <w:rsid w:val="664B2F13"/>
    <w:rsid w:val="66524D8D"/>
    <w:rsid w:val="665925BF"/>
    <w:rsid w:val="66664513"/>
    <w:rsid w:val="666F1DE3"/>
    <w:rsid w:val="6692588C"/>
    <w:rsid w:val="66984CE5"/>
    <w:rsid w:val="66A20A47"/>
    <w:rsid w:val="66A9090B"/>
    <w:rsid w:val="66BD29F8"/>
    <w:rsid w:val="66C8787B"/>
    <w:rsid w:val="66CA0555"/>
    <w:rsid w:val="66CA7019"/>
    <w:rsid w:val="66F444C3"/>
    <w:rsid w:val="66FD73EF"/>
    <w:rsid w:val="670118FF"/>
    <w:rsid w:val="67103B55"/>
    <w:rsid w:val="67136C12"/>
    <w:rsid w:val="671C18FE"/>
    <w:rsid w:val="67206C39"/>
    <w:rsid w:val="672506F4"/>
    <w:rsid w:val="67362CD8"/>
    <w:rsid w:val="673E5DDC"/>
    <w:rsid w:val="673F7A07"/>
    <w:rsid w:val="67422A7A"/>
    <w:rsid w:val="676C04B5"/>
    <w:rsid w:val="676D7292"/>
    <w:rsid w:val="67862D2F"/>
    <w:rsid w:val="67A45ABC"/>
    <w:rsid w:val="67A7312F"/>
    <w:rsid w:val="67AC671F"/>
    <w:rsid w:val="67B23308"/>
    <w:rsid w:val="67B8073B"/>
    <w:rsid w:val="67BC1D30"/>
    <w:rsid w:val="67C617B4"/>
    <w:rsid w:val="67C630ED"/>
    <w:rsid w:val="67C85EDA"/>
    <w:rsid w:val="67CA4DF7"/>
    <w:rsid w:val="67D0240D"/>
    <w:rsid w:val="67D83F5A"/>
    <w:rsid w:val="67FB2B72"/>
    <w:rsid w:val="68014CBD"/>
    <w:rsid w:val="680E73DA"/>
    <w:rsid w:val="681871B6"/>
    <w:rsid w:val="681D761D"/>
    <w:rsid w:val="68235F37"/>
    <w:rsid w:val="68273FF7"/>
    <w:rsid w:val="6837444B"/>
    <w:rsid w:val="683C1071"/>
    <w:rsid w:val="683C3F47"/>
    <w:rsid w:val="683C7CBB"/>
    <w:rsid w:val="684921C0"/>
    <w:rsid w:val="684A65EF"/>
    <w:rsid w:val="684F3C7A"/>
    <w:rsid w:val="6856082A"/>
    <w:rsid w:val="687A5F1F"/>
    <w:rsid w:val="687C216C"/>
    <w:rsid w:val="68923B67"/>
    <w:rsid w:val="68955405"/>
    <w:rsid w:val="68987192"/>
    <w:rsid w:val="689A791B"/>
    <w:rsid w:val="689D4A69"/>
    <w:rsid w:val="689F6284"/>
    <w:rsid w:val="68B8486C"/>
    <w:rsid w:val="68BA785E"/>
    <w:rsid w:val="68BB130F"/>
    <w:rsid w:val="68BF6285"/>
    <w:rsid w:val="68D43659"/>
    <w:rsid w:val="68DB3760"/>
    <w:rsid w:val="68E31BD1"/>
    <w:rsid w:val="68EC6070"/>
    <w:rsid w:val="68F55EA4"/>
    <w:rsid w:val="68FC200E"/>
    <w:rsid w:val="68FC5484"/>
    <w:rsid w:val="6903064C"/>
    <w:rsid w:val="690537AA"/>
    <w:rsid w:val="690F3409"/>
    <w:rsid w:val="69187DBC"/>
    <w:rsid w:val="691A35EB"/>
    <w:rsid w:val="691E189E"/>
    <w:rsid w:val="69252C2D"/>
    <w:rsid w:val="69274C15"/>
    <w:rsid w:val="692E7D33"/>
    <w:rsid w:val="693764BC"/>
    <w:rsid w:val="69510D16"/>
    <w:rsid w:val="69564B94"/>
    <w:rsid w:val="695D5F23"/>
    <w:rsid w:val="695F6EEE"/>
    <w:rsid w:val="69672F68"/>
    <w:rsid w:val="696C3DAE"/>
    <w:rsid w:val="696F192A"/>
    <w:rsid w:val="69753738"/>
    <w:rsid w:val="6992402C"/>
    <w:rsid w:val="69951B60"/>
    <w:rsid w:val="69A42E48"/>
    <w:rsid w:val="69B664FD"/>
    <w:rsid w:val="69C46096"/>
    <w:rsid w:val="69CB37D4"/>
    <w:rsid w:val="69D35793"/>
    <w:rsid w:val="69E42CF5"/>
    <w:rsid w:val="69F22218"/>
    <w:rsid w:val="69FD14B4"/>
    <w:rsid w:val="69FD3262"/>
    <w:rsid w:val="6A0C239A"/>
    <w:rsid w:val="6A164498"/>
    <w:rsid w:val="6A1C2563"/>
    <w:rsid w:val="6A22076C"/>
    <w:rsid w:val="6A3D7B02"/>
    <w:rsid w:val="6A470B0C"/>
    <w:rsid w:val="6A493E11"/>
    <w:rsid w:val="6A4A2EDA"/>
    <w:rsid w:val="6A560CED"/>
    <w:rsid w:val="6A620167"/>
    <w:rsid w:val="6A63694A"/>
    <w:rsid w:val="6A840F9A"/>
    <w:rsid w:val="6A85194E"/>
    <w:rsid w:val="6A8676FB"/>
    <w:rsid w:val="6A876FCF"/>
    <w:rsid w:val="6A93078D"/>
    <w:rsid w:val="6AA40160"/>
    <w:rsid w:val="6AAF6C52"/>
    <w:rsid w:val="6AB0205E"/>
    <w:rsid w:val="6AB500CB"/>
    <w:rsid w:val="6AB6347D"/>
    <w:rsid w:val="6AD1795C"/>
    <w:rsid w:val="6AD54632"/>
    <w:rsid w:val="6ADE3093"/>
    <w:rsid w:val="6AF5754E"/>
    <w:rsid w:val="6AFA4A81"/>
    <w:rsid w:val="6B00125C"/>
    <w:rsid w:val="6B0249A7"/>
    <w:rsid w:val="6B03416C"/>
    <w:rsid w:val="6B07083C"/>
    <w:rsid w:val="6B0845B4"/>
    <w:rsid w:val="6B1C5D1F"/>
    <w:rsid w:val="6B1E5B86"/>
    <w:rsid w:val="6B363B66"/>
    <w:rsid w:val="6B3C600C"/>
    <w:rsid w:val="6B4A6E5D"/>
    <w:rsid w:val="6B5A4350"/>
    <w:rsid w:val="6B6F4633"/>
    <w:rsid w:val="6B842395"/>
    <w:rsid w:val="6B9D6AAA"/>
    <w:rsid w:val="6B9E0A74"/>
    <w:rsid w:val="6BA53000"/>
    <w:rsid w:val="6BAC3191"/>
    <w:rsid w:val="6BAF1A37"/>
    <w:rsid w:val="6BB12556"/>
    <w:rsid w:val="6BC406D4"/>
    <w:rsid w:val="6BCC7390"/>
    <w:rsid w:val="6BD373D3"/>
    <w:rsid w:val="6BDD21B8"/>
    <w:rsid w:val="6BE070C8"/>
    <w:rsid w:val="6BEB1F0C"/>
    <w:rsid w:val="6BFB59B8"/>
    <w:rsid w:val="6C0703C8"/>
    <w:rsid w:val="6C0E79A8"/>
    <w:rsid w:val="6C136D6D"/>
    <w:rsid w:val="6C1D08E9"/>
    <w:rsid w:val="6C2C4784"/>
    <w:rsid w:val="6C3C5FA7"/>
    <w:rsid w:val="6C4137D9"/>
    <w:rsid w:val="6C745CB9"/>
    <w:rsid w:val="6C8662B2"/>
    <w:rsid w:val="6C8E782C"/>
    <w:rsid w:val="6C9818B5"/>
    <w:rsid w:val="6C9E6322"/>
    <w:rsid w:val="6C9F55AE"/>
    <w:rsid w:val="6CA129BA"/>
    <w:rsid w:val="6CA55910"/>
    <w:rsid w:val="6CAB6374"/>
    <w:rsid w:val="6CAC1B44"/>
    <w:rsid w:val="6CB30550"/>
    <w:rsid w:val="6CB760A5"/>
    <w:rsid w:val="6CC12C6C"/>
    <w:rsid w:val="6CCC6017"/>
    <w:rsid w:val="6CEA4B62"/>
    <w:rsid w:val="6CED20D5"/>
    <w:rsid w:val="6CF12F16"/>
    <w:rsid w:val="6CF941B4"/>
    <w:rsid w:val="6D107750"/>
    <w:rsid w:val="6D211FB3"/>
    <w:rsid w:val="6D2B5EE8"/>
    <w:rsid w:val="6D387E73"/>
    <w:rsid w:val="6D4D37F6"/>
    <w:rsid w:val="6D5939A1"/>
    <w:rsid w:val="6D5B4E6F"/>
    <w:rsid w:val="6D614340"/>
    <w:rsid w:val="6D6522C5"/>
    <w:rsid w:val="6D673814"/>
    <w:rsid w:val="6D761CA9"/>
    <w:rsid w:val="6D797432"/>
    <w:rsid w:val="6D7F1D07"/>
    <w:rsid w:val="6D840DA7"/>
    <w:rsid w:val="6D874D3F"/>
    <w:rsid w:val="6DA22A9E"/>
    <w:rsid w:val="6DAA3BEC"/>
    <w:rsid w:val="6DAE4EDC"/>
    <w:rsid w:val="6DC63D25"/>
    <w:rsid w:val="6DC742B3"/>
    <w:rsid w:val="6DC9627D"/>
    <w:rsid w:val="6DCC5190"/>
    <w:rsid w:val="6DCE6C51"/>
    <w:rsid w:val="6DEF2231"/>
    <w:rsid w:val="6DF1132F"/>
    <w:rsid w:val="6E0472B5"/>
    <w:rsid w:val="6E082072"/>
    <w:rsid w:val="6E13574A"/>
    <w:rsid w:val="6E163A84"/>
    <w:rsid w:val="6E1B3D45"/>
    <w:rsid w:val="6E274D51"/>
    <w:rsid w:val="6E3A4A84"/>
    <w:rsid w:val="6E407BC1"/>
    <w:rsid w:val="6E5D4C17"/>
    <w:rsid w:val="6E5D69C5"/>
    <w:rsid w:val="6E625F3F"/>
    <w:rsid w:val="6E71421E"/>
    <w:rsid w:val="6E851D42"/>
    <w:rsid w:val="6E895D4B"/>
    <w:rsid w:val="6EA13894"/>
    <w:rsid w:val="6EB8799F"/>
    <w:rsid w:val="6EC15E31"/>
    <w:rsid w:val="6ED05D7B"/>
    <w:rsid w:val="6ED50C51"/>
    <w:rsid w:val="6EE32699"/>
    <w:rsid w:val="6EEE6378"/>
    <w:rsid w:val="6EFA3B42"/>
    <w:rsid w:val="6EFC6357"/>
    <w:rsid w:val="6F037E5A"/>
    <w:rsid w:val="6F062B1D"/>
    <w:rsid w:val="6F0C7FD5"/>
    <w:rsid w:val="6F215C44"/>
    <w:rsid w:val="6F235BB6"/>
    <w:rsid w:val="6F255FBF"/>
    <w:rsid w:val="6F3C5AED"/>
    <w:rsid w:val="6F45316F"/>
    <w:rsid w:val="6F453824"/>
    <w:rsid w:val="6F457543"/>
    <w:rsid w:val="6F4E7950"/>
    <w:rsid w:val="6F5E252A"/>
    <w:rsid w:val="6F664401"/>
    <w:rsid w:val="6F667AFB"/>
    <w:rsid w:val="6F7377C1"/>
    <w:rsid w:val="6F751AEC"/>
    <w:rsid w:val="6F7E41E1"/>
    <w:rsid w:val="6F7F02EA"/>
    <w:rsid w:val="6F865AA7"/>
    <w:rsid w:val="6F8929B2"/>
    <w:rsid w:val="6F975F07"/>
    <w:rsid w:val="6F9878D6"/>
    <w:rsid w:val="6F9A2F0D"/>
    <w:rsid w:val="6F9C0A0D"/>
    <w:rsid w:val="6F9F7B2E"/>
    <w:rsid w:val="6FA7439C"/>
    <w:rsid w:val="6FBA585B"/>
    <w:rsid w:val="6FC04B77"/>
    <w:rsid w:val="6FC860C0"/>
    <w:rsid w:val="6FCD18C6"/>
    <w:rsid w:val="6FD10631"/>
    <w:rsid w:val="6FE50A20"/>
    <w:rsid w:val="6FE56C72"/>
    <w:rsid w:val="700215D2"/>
    <w:rsid w:val="70075747"/>
    <w:rsid w:val="70090758"/>
    <w:rsid w:val="701D0E2C"/>
    <w:rsid w:val="701E7C50"/>
    <w:rsid w:val="703025E3"/>
    <w:rsid w:val="70457C69"/>
    <w:rsid w:val="704F233D"/>
    <w:rsid w:val="70531E2E"/>
    <w:rsid w:val="705E7870"/>
    <w:rsid w:val="70623260"/>
    <w:rsid w:val="706563DC"/>
    <w:rsid w:val="706B6565"/>
    <w:rsid w:val="706C3C5F"/>
    <w:rsid w:val="707A1AB0"/>
    <w:rsid w:val="7084648B"/>
    <w:rsid w:val="708E4251"/>
    <w:rsid w:val="70A72179"/>
    <w:rsid w:val="70C03E6F"/>
    <w:rsid w:val="70F51137"/>
    <w:rsid w:val="70FE1851"/>
    <w:rsid w:val="71017ADB"/>
    <w:rsid w:val="710475CC"/>
    <w:rsid w:val="710863D7"/>
    <w:rsid w:val="7117203C"/>
    <w:rsid w:val="711B78B6"/>
    <w:rsid w:val="7122127C"/>
    <w:rsid w:val="7127397C"/>
    <w:rsid w:val="71376307"/>
    <w:rsid w:val="71384D7B"/>
    <w:rsid w:val="71485851"/>
    <w:rsid w:val="714B77BC"/>
    <w:rsid w:val="715776FB"/>
    <w:rsid w:val="715A4658"/>
    <w:rsid w:val="718D136F"/>
    <w:rsid w:val="71A53F32"/>
    <w:rsid w:val="71C93B41"/>
    <w:rsid w:val="71D90A58"/>
    <w:rsid w:val="71DA5CC7"/>
    <w:rsid w:val="71DF3CE5"/>
    <w:rsid w:val="71ED1E0E"/>
    <w:rsid w:val="71F92EA9"/>
    <w:rsid w:val="71FE38FC"/>
    <w:rsid w:val="72001B41"/>
    <w:rsid w:val="72113D4E"/>
    <w:rsid w:val="7219067C"/>
    <w:rsid w:val="721E4002"/>
    <w:rsid w:val="72323CC5"/>
    <w:rsid w:val="72425427"/>
    <w:rsid w:val="724B2D44"/>
    <w:rsid w:val="726152EF"/>
    <w:rsid w:val="727B38BE"/>
    <w:rsid w:val="727E273B"/>
    <w:rsid w:val="727F515C"/>
    <w:rsid w:val="72A01879"/>
    <w:rsid w:val="72B26270"/>
    <w:rsid w:val="72C62748"/>
    <w:rsid w:val="72CC4119"/>
    <w:rsid w:val="72DA7105"/>
    <w:rsid w:val="72ED4F8E"/>
    <w:rsid w:val="72F03865"/>
    <w:rsid w:val="72F21E9A"/>
    <w:rsid w:val="72F27C01"/>
    <w:rsid w:val="72FD6E6A"/>
    <w:rsid w:val="72FF44EF"/>
    <w:rsid w:val="73071583"/>
    <w:rsid w:val="73133F1E"/>
    <w:rsid w:val="731370ED"/>
    <w:rsid w:val="73155AC0"/>
    <w:rsid w:val="73287602"/>
    <w:rsid w:val="732C5ED6"/>
    <w:rsid w:val="733775DA"/>
    <w:rsid w:val="7338355D"/>
    <w:rsid w:val="733D544F"/>
    <w:rsid w:val="734817F7"/>
    <w:rsid w:val="7354206C"/>
    <w:rsid w:val="73663D1E"/>
    <w:rsid w:val="736670D3"/>
    <w:rsid w:val="73727061"/>
    <w:rsid w:val="73754EE7"/>
    <w:rsid w:val="73804C6D"/>
    <w:rsid w:val="73970146"/>
    <w:rsid w:val="73A17354"/>
    <w:rsid w:val="73AF7B5F"/>
    <w:rsid w:val="73B057E9"/>
    <w:rsid w:val="73BB4867"/>
    <w:rsid w:val="73BD2028"/>
    <w:rsid w:val="73C170FD"/>
    <w:rsid w:val="73C361DB"/>
    <w:rsid w:val="73CE4A1F"/>
    <w:rsid w:val="73E72640"/>
    <w:rsid w:val="73E969AB"/>
    <w:rsid w:val="73F11C9A"/>
    <w:rsid w:val="73F27BAF"/>
    <w:rsid w:val="74092E99"/>
    <w:rsid w:val="740D1624"/>
    <w:rsid w:val="74220495"/>
    <w:rsid w:val="743A014A"/>
    <w:rsid w:val="74416441"/>
    <w:rsid w:val="74450BAF"/>
    <w:rsid w:val="74511097"/>
    <w:rsid w:val="745368A0"/>
    <w:rsid w:val="74557DCE"/>
    <w:rsid w:val="745844B4"/>
    <w:rsid w:val="745939EF"/>
    <w:rsid w:val="745F3497"/>
    <w:rsid w:val="746133B9"/>
    <w:rsid w:val="74772881"/>
    <w:rsid w:val="74781E72"/>
    <w:rsid w:val="74842EFD"/>
    <w:rsid w:val="74880582"/>
    <w:rsid w:val="74913239"/>
    <w:rsid w:val="74A17ACC"/>
    <w:rsid w:val="74AD0DE9"/>
    <w:rsid w:val="74DB215F"/>
    <w:rsid w:val="74DC1C15"/>
    <w:rsid w:val="74DE1A70"/>
    <w:rsid w:val="74ED7D0D"/>
    <w:rsid w:val="74F46631"/>
    <w:rsid w:val="74FA31C0"/>
    <w:rsid w:val="75025D14"/>
    <w:rsid w:val="75045C97"/>
    <w:rsid w:val="750A2CD7"/>
    <w:rsid w:val="750C2CDE"/>
    <w:rsid w:val="752042E6"/>
    <w:rsid w:val="752072DC"/>
    <w:rsid w:val="752124FA"/>
    <w:rsid w:val="75236EB8"/>
    <w:rsid w:val="75243D99"/>
    <w:rsid w:val="75250343"/>
    <w:rsid w:val="7537210A"/>
    <w:rsid w:val="753C09DA"/>
    <w:rsid w:val="75581EB0"/>
    <w:rsid w:val="755B67E2"/>
    <w:rsid w:val="75771AE7"/>
    <w:rsid w:val="757A7C7B"/>
    <w:rsid w:val="75843084"/>
    <w:rsid w:val="758A5266"/>
    <w:rsid w:val="759541D1"/>
    <w:rsid w:val="759C65CD"/>
    <w:rsid w:val="75A45F3C"/>
    <w:rsid w:val="75B0028D"/>
    <w:rsid w:val="75B3511C"/>
    <w:rsid w:val="75B82733"/>
    <w:rsid w:val="75BF692C"/>
    <w:rsid w:val="75C50751"/>
    <w:rsid w:val="75CC0F27"/>
    <w:rsid w:val="75DC0B17"/>
    <w:rsid w:val="75E44CC4"/>
    <w:rsid w:val="75E672A0"/>
    <w:rsid w:val="75F165AD"/>
    <w:rsid w:val="75F35076"/>
    <w:rsid w:val="7601057E"/>
    <w:rsid w:val="760A0B45"/>
    <w:rsid w:val="760B6D06"/>
    <w:rsid w:val="760F2C9B"/>
    <w:rsid w:val="76100DF8"/>
    <w:rsid w:val="76110F29"/>
    <w:rsid w:val="76225E14"/>
    <w:rsid w:val="762C68B4"/>
    <w:rsid w:val="762E5214"/>
    <w:rsid w:val="764C17F9"/>
    <w:rsid w:val="76651BD2"/>
    <w:rsid w:val="76675A5D"/>
    <w:rsid w:val="76696660"/>
    <w:rsid w:val="767E572A"/>
    <w:rsid w:val="767E730C"/>
    <w:rsid w:val="76931173"/>
    <w:rsid w:val="76944A39"/>
    <w:rsid w:val="76950FBC"/>
    <w:rsid w:val="76BD44A5"/>
    <w:rsid w:val="76C32392"/>
    <w:rsid w:val="76CD062C"/>
    <w:rsid w:val="76CF1A5A"/>
    <w:rsid w:val="76D4359C"/>
    <w:rsid w:val="76D67314"/>
    <w:rsid w:val="76DA1CAD"/>
    <w:rsid w:val="76F33371"/>
    <w:rsid w:val="76F37EC6"/>
    <w:rsid w:val="76F8090B"/>
    <w:rsid w:val="77033710"/>
    <w:rsid w:val="77093EA9"/>
    <w:rsid w:val="77206AB2"/>
    <w:rsid w:val="772B089E"/>
    <w:rsid w:val="772C076B"/>
    <w:rsid w:val="773B7C13"/>
    <w:rsid w:val="773F4EBA"/>
    <w:rsid w:val="7741313E"/>
    <w:rsid w:val="77525387"/>
    <w:rsid w:val="775868CA"/>
    <w:rsid w:val="775B1D3E"/>
    <w:rsid w:val="775C1F10"/>
    <w:rsid w:val="77613082"/>
    <w:rsid w:val="777032C5"/>
    <w:rsid w:val="77777D44"/>
    <w:rsid w:val="77954095"/>
    <w:rsid w:val="779E47F4"/>
    <w:rsid w:val="77A80CB1"/>
    <w:rsid w:val="77AA175A"/>
    <w:rsid w:val="77B070F5"/>
    <w:rsid w:val="77B67AF6"/>
    <w:rsid w:val="77B70EF4"/>
    <w:rsid w:val="77B71080"/>
    <w:rsid w:val="77B855B6"/>
    <w:rsid w:val="77BA4E88"/>
    <w:rsid w:val="77BE6726"/>
    <w:rsid w:val="780A196C"/>
    <w:rsid w:val="780D3330"/>
    <w:rsid w:val="780D467C"/>
    <w:rsid w:val="781770A0"/>
    <w:rsid w:val="781C02D3"/>
    <w:rsid w:val="782567A5"/>
    <w:rsid w:val="7839732A"/>
    <w:rsid w:val="784120E7"/>
    <w:rsid w:val="78632E2A"/>
    <w:rsid w:val="786A6675"/>
    <w:rsid w:val="78852DA0"/>
    <w:rsid w:val="788A485A"/>
    <w:rsid w:val="78A1455F"/>
    <w:rsid w:val="78A17F99"/>
    <w:rsid w:val="78B164B4"/>
    <w:rsid w:val="78B2790D"/>
    <w:rsid w:val="78B44EA3"/>
    <w:rsid w:val="78B95140"/>
    <w:rsid w:val="78BD078C"/>
    <w:rsid w:val="78D42392"/>
    <w:rsid w:val="78E214F8"/>
    <w:rsid w:val="78E722A6"/>
    <w:rsid w:val="78EF7E10"/>
    <w:rsid w:val="78F10436"/>
    <w:rsid w:val="790463BB"/>
    <w:rsid w:val="79070A72"/>
    <w:rsid w:val="79116E06"/>
    <w:rsid w:val="7916284E"/>
    <w:rsid w:val="7917715F"/>
    <w:rsid w:val="791B3704"/>
    <w:rsid w:val="792C17FD"/>
    <w:rsid w:val="792C3B64"/>
    <w:rsid w:val="793629F7"/>
    <w:rsid w:val="794A5A1C"/>
    <w:rsid w:val="794B3FEA"/>
    <w:rsid w:val="794D31B6"/>
    <w:rsid w:val="795030F2"/>
    <w:rsid w:val="79595022"/>
    <w:rsid w:val="79646E59"/>
    <w:rsid w:val="796B5A23"/>
    <w:rsid w:val="796D676C"/>
    <w:rsid w:val="79870D9A"/>
    <w:rsid w:val="798C6425"/>
    <w:rsid w:val="79A6492F"/>
    <w:rsid w:val="79A85561"/>
    <w:rsid w:val="79B25482"/>
    <w:rsid w:val="79C95DCF"/>
    <w:rsid w:val="79CA1ABB"/>
    <w:rsid w:val="79EE4319"/>
    <w:rsid w:val="79FF1D67"/>
    <w:rsid w:val="7A0423EA"/>
    <w:rsid w:val="7A1A39BC"/>
    <w:rsid w:val="7A274CFC"/>
    <w:rsid w:val="7A2B09D6"/>
    <w:rsid w:val="7A3902E6"/>
    <w:rsid w:val="7A513882"/>
    <w:rsid w:val="7A5944E4"/>
    <w:rsid w:val="7A597291"/>
    <w:rsid w:val="7A6335B5"/>
    <w:rsid w:val="7A760650"/>
    <w:rsid w:val="7A887BF2"/>
    <w:rsid w:val="7A9543A7"/>
    <w:rsid w:val="7A965738"/>
    <w:rsid w:val="7A9C6A34"/>
    <w:rsid w:val="7AA24531"/>
    <w:rsid w:val="7AB30E59"/>
    <w:rsid w:val="7ABB252F"/>
    <w:rsid w:val="7AC0649B"/>
    <w:rsid w:val="7ACB3368"/>
    <w:rsid w:val="7AD24297"/>
    <w:rsid w:val="7AEB5324"/>
    <w:rsid w:val="7AF1141E"/>
    <w:rsid w:val="7AF1296F"/>
    <w:rsid w:val="7AF97A75"/>
    <w:rsid w:val="7B02692A"/>
    <w:rsid w:val="7B063660"/>
    <w:rsid w:val="7B0D644D"/>
    <w:rsid w:val="7B120190"/>
    <w:rsid w:val="7B18614D"/>
    <w:rsid w:val="7B1C4F98"/>
    <w:rsid w:val="7B212602"/>
    <w:rsid w:val="7B3311D9"/>
    <w:rsid w:val="7B406C2D"/>
    <w:rsid w:val="7B42766E"/>
    <w:rsid w:val="7B4B2CFB"/>
    <w:rsid w:val="7B503B39"/>
    <w:rsid w:val="7B520CA7"/>
    <w:rsid w:val="7B642CC8"/>
    <w:rsid w:val="7B672C31"/>
    <w:rsid w:val="7B8657AD"/>
    <w:rsid w:val="7B8A7A76"/>
    <w:rsid w:val="7B8F1963"/>
    <w:rsid w:val="7B95779E"/>
    <w:rsid w:val="7B9713FD"/>
    <w:rsid w:val="7B9D48A5"/>
    <w:rsid w:val="7BA05D6F"/>
    <w:rsid w:val="7BA305F1"/>
    <w:rsid w:val="7BBC2F7D"/>
    <w:rsid w:val="7BBC3376"/>
    <w:rsid w:val="7BBD20D4"/>
    <w:rsid w:val="7BD31429"/>
    <w:rsid w:val="7BD61B65"/>
    <w:rsid w:val="7BDE0A0C"/>
    <w:rsid w:val="7BE20509"/>
    <w:rsid w:val="7BE81DB8"/>
    <w:rsid w:val="7BEC1F58"/>
    <w:rsid w:val="7C044924"/>
    <w:rsid w:val="7C1576C6"/>
    <w:rsid w:val="7C1A66F4"/>
    <w:rsid w:val="7C1C1C6D"/>
    <w:rsid w:val="7C3012D4"/>
    <w:rsid w:val="7C307D2D"/>
    <w:rsid w:val="7C3F770A"/>
    <w:rsid w:val="7C54440B"/>
    <w:rsid w:val="7C5B3307"/>
    <w:rsid w:val="7C611D76"/>
    <w:rsid w:val="7C6747C6"/>
    <w:rsid w:val="7C684EB3"/>
    <w:rsid w:val="7C6E3EFC"/>
    <w:rsid w:val="7C6F1677"/>
    <w:rsid w:val="7C703DFB"/>
    <w:rsid w:val="7C85377B"/>
    <w:rsid w:val="7C887303"/>
    <w:rsid w:val="7C8F68E3"/>
    <w:rsid w:val="7C9A7858"/>
    <w:rsid w:val="7CA155CE"/>
    <w:rsid w:val="7CAD4FBB"/>
    <w:rsid w:val="7CB93A93"/>
    <w:rsid w:val="7CBF43FD"/>
    <w:rsid w:val="7CD12A58"/>
    <w:rsid w:val="7CE002CB"/>
    <w:rsid w:val="7CE81B50"/>
    <w:rsid w:val="7D08662D"/>
    <w:rsid w:val="7D0F6ECD"/>
    <w:rsid w:val="7D180687"/>
    <w:rsid w:val="7D1961AD"/>
    <w:rsid w:val="7D1C21F6"/>
    <w:rsid w:val="7D1F353E"/>
    <w:rsid w:val="7D2256E0"/>
    <w:rsid w:val="7D2471AE"/>
    <w:rsid w:val="7D384885"/>
    <w:rsid w:val="7D3F0F24"/>
    <w:rsid w:val="7D3F20B7"/>
    <w:rsid w:val="7D403060"/>
    <w:rsid w:val="7D481BF3"/>
    <w:rsid w:val="7D4E22FA"/>
    <w:rsid w:val="7D5919D9"/>
    <w:rsid w:val="7D5C3AF1"/>
    <w:rsid w:val="7D7B45CB"/>
    <w:rsid w:val="7D7D673C"/>
    <w:rsid w:val="7D8E0949"/>
    <w:rsid w:val="7DB55ED6"/>
    <w:rsid w:val="7DB60EBE"/>
    <w:rsid w:val="7DB76AA5"/>
    <w:rsid w:val="7DB83C18"/>
    <w:rsid w:val="7DBB54B6"/>
    <w:rsid w:val="7DCE51E9"/>
    <w:rsid w:val="7DD547CA"/>
    <w:rsid w:val="7DDC7906"/>
    <w:rsid w:val="7DDE2EAA"/>
    <w:rsid w:val="7DE844FD"/>
    <w:rsid w:val="7DF45FDD"/>
    <w:rsid w:val="7DF76897"/>
    <w:rsid w:val="7E106A78"/>
    <w:rsid w:val="7E1352F2"/>
    <w:rsid w:val="7E166F02"/>
    <w:rsid w:val="7E17093E"/>
    <w:rsid w:val="7E176B90"/>
    <w:rsid w:val="7E1E6E06"/>
    <w:rsid w:val="7E3C09C0"/>
    <w:rsid w:val="7E3E2A9C"/>
    <w:rsid w:val="7E470AF8"/>
    <w:rsid w:val="7E4807C8"/>
    <w:rsid w:val="7E6228D9"/>
    <w:rsid w:val="7E630B36"/>
    <w:rsid w:val="7E6873EC"/>
    <w:rsid w:val="7E6E2528"/>
    <w:rsid w:val="7E6F0F4D"/>
    <w:rsid w:val="7E6F5FE6"/>
    <w:rsid w:val="7E7044F2"/>
    <w:rsid w:val="7E751B09"/>
    <w:rsid w:val="7E77762F"/>
    <w:rsid w:val="7E794EEE"/>
    <w:rsid w:val="7E8615CA"/>
    <w:rsid w:val="7E9975A5"/>
    <w:rsid w:val="7EA67F14"/>
    <w:rsid w:val="7EAE296C"/>
    <w:rsid w:val="7EAF3E0E"/>
    <w:rsid w:val="7EB6125E"/>
    <w:rsid w:val="7ECA1799"/>
    <w:rsid w:val="7ED600FB"/>
    <w:rsid w:val="7EE43205"/>
    <w:rsid w:val="7EF26CB5"/>
    <w:rsid w:val="7F0A00D7"/>
    <w:rsid w:val="7F26384E"/>
    <w:rsid w:val="7F2C13EE"/>
    <w:rsid w:val="7F2D4191"/>
    <w:rsid w:val="7F2D7CEE"/>
    <w:rsid w:val="7F3D630C"/>
    <w:rsid w:val="7F3E003F"/>
    <w:rsid w:val="7F413799"/>
    <w:rsid w:val="7F556C77"/>
    <w:rsid w:val="7F6C2F0C"/>
    <w:rsid w:val="7F6E6151"/>
    <w:rsid w:val="7F7555FC"/>
    <w:rsid w:val="7F7818B1"/>
    <w:rsid w:val="7F86183D"/>
    <w:rsid w:val="7F972415"/>
    <w:rsid w:val="7F982E42"/>
    <w:rsid w:val="7FA0738E"/>
    <w:rsid w:val="7FA20C8F"/>
    <w:rsid w:val="7FA53D28"/>
    <w:rsid w:val="7FAA7590"/>
    <w:rsid w:val="7FAC3308"/>
    <w:rsid w:val="7FAF431D"/>
    <w:rsid w:val="7FBB79EF"/>
    <w:rsid w:val="7FC16E81"/>
    <w:rsid w:val="7FCC39AA"/>
    <w:rsid w:val="7FCD7592"/>
    <w:rsid w:val="7FD34A5A"/>
    <w:rsid w:val="7FDC2445"/>
    <w:rsid w:val="7FDD1714"/>
    <w:rsid w:val="7FF41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4">
    <w:name w:val="heading 2"/>
    <w:basedOn w:val="1"/>
    <w:next w:val="1"/>
    <w:autoRedefine/>
    <w:qFormat/>
    <w:uiPriority w:val="1"/>
    <w:pPr>
      <w:spacing w:before="12"/>
      <w:ind w:left="3685"/>
      <w:outlineLvl w:val="1"/>
    </w:pPr>
    <w:rPr>
      <w:rFonts w:ascii="微软雅黑" w:hAnsi="微软雅黑" w:eastAsia="微软雅黑" w:cs="微软雅黑"/>
      <w:b/>
      <w:bCs/>
      <w:sz w:val="32"/>
      <w:szCs w:val="32"/>
      <w:lang w:val="zh-CN" w:eastAsia="zh-CN" w:bidi="zh-CN"/>
    </w:rPr>
  </w:style>
  <w:style w:type="paragraph" w:styleId="5">
    <w:name w:val="heading 3"/>
    <w:basedOn w:val="1"/>
    <w:next w:val="1"/>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6">
    <w:name w:val="heading 4"/>
    <w:basedOn w:val="1"/>
    <w:next w:val="1"/>
    <w:autoRedefine/>
    <w:qFormat/>
    <w:uiPriority w:val="1"/>
    <w:pPr>
      <w:jc w:val="center"/>
      <w:outlineLvl w:val="3"/>
    </w:pPr>
    <w:rPr>
      <w:rFonts w:ascii="微软雅黑" w:hAnsi="微软雅黑" w:eastAsia="微软雅黑" w:cs="微软雅黑"/>
      <w:b/>
      <w:bCs/>
      <w:sz w:val="28"/>
      <w:szCs w:val="28"/>
      <w:lang w:val="zh-CN" w:eastAsia="zh-CN" w:bidi="zh-CN"/>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1"/>
    <w:rPr>
      <w:rFonts w:ascii="宋体" w:hAnsi="宋体" w:eastAsia="宋体" w:cs="宋体"/>
      <w:sz w:val="21"/>
      <w:szCs w:val="21"/>
      <w:lang w:val="zh-CN" w:eastAsia="zh-CN" w:bidi="zh-CN"/>
    </w:rPr>
  </w:style>
  <w:style w:type="paragraph" w:styleId="3">
    <w:name w:val="Body Text First Indent"/>
    <w:basedOn w:val="2"/>
    <w:autoRedefine/>
    <w:qFormat/>
    <w:uiPriority w:val="0"/>
    <w:pPr>
      <w:spacing w:line="360" w:lineRule="auto"/>
      <w:ind w:firstLine="200" w:firstLineChars="200"/>
    </w:pPr>
    <w:rPr>
      <w:rFonts w:ascii="仿宋_GB2312" w:eastAsia="仿宋_GB2312"/>
      <w:sz w:val="30"/>
      <w:szCs w:val="30"/>
    </w:rPr>
  </w:style>
  <w:style w:type="paragraph" w:styleId="7">
    <w:name w:val="Normal Indent"/>
    <w:basedOn w:val="1"/>
    <w:autoRedefine/>
    <w:qFormat/>
    <w:uiPriority w:val="0"/>
    <w:pPr>
      <w:ind w:firstLine="420"/>
    </w:pPr>
    <w:rPr>
      <w:sz w:val="21"/>
    </w:rPr>
  </w:style>
  <w:style w:type="paragraph" w:styleId="8">
    <w:name w:val="toa heading"/>
    <w:basedOn w:val="1"/>
    <w:next w:val="1"/>
    <w:autoRedefine/>
    <w:qFormat/>
    <w:uiPriority w:val="0"/>
    <w:pPr>
      <w:spacing w:before="120"/>
    </w:pPr>
    <w:rPr>
      <w:rFonts w:ascii="Arial" w:hAnsi="Arial"/>
      <w:sz w:val="24"/>
      <w:szCs w:val="21"/>
    </w:rPr>
  </w:style>
  <w:style w:type="paragraph" w:styleId="9">
    <w:name w:val="index 6"/>
    <w:basedOn w:val="1"/>
    <w:next w:val="1"/>
    <w:autoRedefine/>
    <w:qFormat/>
    <w:uiPriority w:val="99"/>
    <w:pPr>
      <w:ind w:left="2100"/>
    </w:pPr>
  </w:style>
  <w:style w:type="paragraph" w:styleId="10">
    <w:name w:val="Body Text Indent"/>
    <w:basedOn w:val="1"/>
    <w:next w:val="1"/>
    <w:autoRedefine/>
    <w:qFormat/>
    <w:uiPriority w:val="0"/>
    <w:pPr>
      <w:spacing w:line="360" w:lineRule="auto"/>
      <w:ind w:firstLine="560" w:firstLineChars="200"/>
    </w:pPr>
    <w:rPr>
      <w:sz w:val="28"/>
    </w:rPr>
  </w:style>
  <w:style w:type="paragraph" w:styleId="11">
    <w:name w:val="HTML Address"/>
    <w:basedOn w:val="1"/>
    <w:next w:val="2"/>
    <w:unhideWhenUsed/>
    <w:qFormat/>
    <w:uiPriority w:val="99"/>
    <w:pPr>
      <w:topLinePunct/>
    </w:pPr>
  </w:style>
  <w:style w:type="paragraph" w:styleId="12">
    <w:name w:val="Plain Text"/>
    <w:basedOn w:val="1"/>
    <w:autoRedefine/>
    <w:qFormat/>
    <w:uiPriority w:val="0"/>
    <w:rPr>
      <w:rFonts w:ascii="宋体" w:hAnsi="Courier New"/>
      <w:szCs w:val="20"/>
    </w:rPr>
  </w:style>
  <w:style w:type="paragraph" w:styleId="13">
    <w:name w:val="Date"/>
    <w:basedOn w:val="1"/>
    <w:next w:val="1"/>
    <w:autoRedefine/>
    <w:qFormat/>
    <w:uiPriority w:val="0"/>
    <w:rPr>
      <w:szCs w:val="24"/>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footnote text"/>
    <w:basedOn w:val="1"/>
    <w:autoRedefine/>
    <w:qFormat/>
    <w:uiPriority w:val="0"/>
    <w:pPr>
      <w:snapToGrid w:val="0"/>
      <w:spacing w:line="240" w:lineRule="auto"/>
      <w:jc w:val="left"/>
    </w:pPr>
    <w:rPr>
      <w:kern w:val="0"/>
      <w:sz w:val="18"/>
      <w:szCs w:val="18"/>
    </w:rPr>
  </w:style>
  <w:style w:type="paragraph" w:styleId="17">
    <w:name w:val="Message Header"/>
    <w:basedOn w:val="1"/>
    <w:next w:val="12"/>
    <w:autoRedefine/>
    <w:qFormat/>
    <w:uiPriority w:val="0"/>
    <w:pPr>
      <w:keepLines/>
      <w:widowControl/>
      <w:spacing w:after="40" w:line="140" w:lineRule="atLeast"/>
      <w:ind w:left="360"/>
      <w:jc w:val="left"/>
    </w:pPr>
    <w:rPr>
      <w:rFonts w:ascii="Garamond" w:hAnsi="Garamond" w:eastAsia="PMingLiU"/>
      <w:spacing w:val="-5"/>
      <w:kern w:val="0"/>
      <w:sz w:val="24"/>
      <w:szCs w:val="20"/>
      <w:lang w:eastAsia="zh-TW"/>
    </w:rPr>
  </w:style>
  <w:style w:type="paragraph" w:styleId="18">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19">
    <w:name w:val="Body Text First Indent 2"/>
    <w:basedOn w:val="10"/>
    <w:autoRedefine/>
    <w:unhideWhenUsed/>
    <w:qFormat/>
    <w:uiPriority w:val="0"/>
    <w:pPr>
      <w:spacing w:after="120" w:line="240" w:lineRule="auto"/>
      <w:ind w:left="420" w:leftChars="200" w:firstLine="420"/>
    </w:pPr>
    <w:rPr>
      <w:sz w:val="21"/>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page number"/>
    <w:basedOn w:val="22"/>
    <w:autoRedefine/>
    <w:qFormat/>
    <w:uiPriority w:val="99"/>
  </w:style>
  <w:style w:type="character" w:styleId="25">
    <w:name w:val="Emphasis"/>
    <w:basedOn w:val="22"/>
    <w:autoRedefine/>
    <w:qFormat/>
    <w:uiPriority w:val="0"/>
    <w:rPr>
      <w:i/>
    </w:rPr>
  </w:style>
  <w:style w:type="character" w:styleId="26">
    <w:name w:val="HTML Sample"/>
    <w:basedOn w:val="22"/>
    <w:autoRedefine/>
    <w:qFormat/>
    <w:uiPriority w:val="0"/>
    <w:rPr>
      <w:rFonts w:ascii="Courier New" w:hAnsi="Courier New"/>
    </w:rPr>
  </w:style>
  <w:style w:type="paragraph" w:customStyle="1" w:styleId="27">
    <w:name w:val="文档正文"/>
    <w:basedOn w:val="7"/>
    <w:autoRedefine/>
    <w:qFormat/>
    <w:uiPriority w:val="0"/>
    <w:pPr>
      <w:spacing w:line="480" w:lineRule="atLeast"/>
      <w:textAlignment w:val="baseline"/>
    </w:pPr>
    <w:rPr>
      <w:kern w:val="0"/>
      <w:sz w:val="24"/>
    </w:rPr>
  </w:style>
  <w:style w:type="paragraph" w:customStyle="1" w:styleId="28">
    <w:name w:val="正文格式"/>
    <w:basedOn w:val="1"/>
    <w:autoRedefine/>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9">
    <w:name w:val="Style1"/>
    <w:basedOn w:val="1"/>
    <w:autoRedefine/>
    <w:qFormat/>
    <w:uiPriority w:val="0"/>
    <w:pPr>
      <w:overflowPunct w:val="0"/>
      <w:autoSpaceDE w:val="0"/>
      <w:autoSpaceDN w:val="0"/>
      <w:adjustRightInd w:val="0"/>
      <w:jc w:val="left"/>
      <w:textAlignment w:val="baseline"/>
    </w:pPr>
    <w:rPr>
      <w:rFonts w:ascii="Courier" w:hAnsi="Courier"/>
      <w:kern w:val="0"/>
      <w:sz w:val="20"/>
      <w:szCs w:val="20"/>
    </w:rPr>
  </w:style>
  <w:style w:type="paragraph" w:customStyle="1" w:styleId="30">
    <w:name w:val="目录 81"/>
    <w:basedOn w:val="1"/>
    <w:next w:val="1"/>
    <w:autoRedefine/>
    <w:qFormat/>
    <w:uiPriority w:val="0"/>
    <w:pPr>
      <w:ind w:left="1470"/>
      <w:jc w:val="left"/>
    </w:pPr>
    <w:rPr>
      <w:rFonts w:ascii="Times New Roman" w:hAnsi="Times New Roman" w:eastAsia="宋体" w:cs="Times New Roman"/>
      <w:szCs w:val="21"/>
    </w:rPr>
  </w:style>
  <w:style w:type="paragraph" w:customStyle="1" w:styleId="31">
    <w:name w:val="Normal_1"/>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2">
    <w:name w:val="Normal_1_0"/>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3">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34">
    <w:name w:val="Table Paragraph"/>
    <w:basedOn w:val="1"/>
    <w:autoRedefine/>
    <w:qFormat/>
    <w:uiPriority w:val="1"/>
    <w:rPr>
      <w:rFonts w:ascii="宋体" w:hAnsi="宋体" w:eastAsia="宋体" w:cs="宋体"/>
      <w:lang w:val="zh-CN" w:eastAsia="zh-CN" w:bidi="zh-CN"/>
    </w:rPr>
  </w:style>
  <w:style w:type="paragraph" w:customStyle="1" w:styleId="35">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lang w:bidi="ar-SA"/>
    </w:rPr>
  </w:style>
  <w:style w:type="paragraph" w:customStyle="1" w:styleId="36">
    <w:name w:val="正文_1_0"/>
    <w:basedOn w:val="37"/>
    <w:next w:val="4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2_0_0"/>
    <w:basedOn w:val="38"/>
    <w:next w:val="39"/>
    <w:autoRedefine/>
    <w:qFormat/>
    <w:uiPriority w:val="0"/>
    <w:rPr>
      <w:rFonts w:ascii="Calibri" w:hAnsi="Calibri"/>
      <w:szCs w:val="22"/>
    </w:rPr>
  </w:style>
  <w:style w:type="paragraph" w:customStyle="1" w:styleId="38">
    <w:name w:val="正文_3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文本_0_1"/>
    <w:basedOn w:val="40"/>
    <w:autoRedefine/>
    <w:qFormat/>
    <w:uiPriority w:val="0"/>
    <w:pPr>
      <w:spacing w:after="120"/>
    </w:pPr>
    <w:rPr>
      <w:rFonts w:ascii="Calibri" w:hAnsi="Calibri"/>
      <w:kern w:val="0"/>
      <w:sz w:val="20"/>
    </w:rPr>
  </w:style>
  <w:style w:type="paragraph" w:customStyle="1" w:styleId="40">
    <w:name w:val="正文_2_2"/>
    <w:next w:val="4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首行缩进 2_0"/>
    <w:basedOn w:val="42"/>
    <w:autoRedefine/>
    <w:qFormat/>
    <w:uiPriority w:val="0"/>
    <w:pPr>
      <w:ind w:firstLine="420" w:firstLineChars="200"/>
    </w:pPr>
  </w:style>
  <w:style w:type="paragraph" w:customStyle="1" w:styleId="42">
    <w:name w:val="正文文本缩进_0_1"/>
    <w:basedOn w:val="38"/>
    <w:autoRedefine/>
    <w:qFormat/>
    <w:uiPriority w:val="0"/>
    <w:pPr>
      <w:spacing w:line="500" w:lineRule="exact"/>
      <w:ind w:left="1588" w:leftChars="832" w:firstLine="433" w:firstLineChars="196"/>
    </w:pPr>
    <w:rPr>
      <w:rFonts w:ascii="Calibri" w:hAnsi="Calibri"/>
      <w:sz w:val="24"/>
    </w:rPr>
  </w:style>
  <w:style w:type="paragraph" w:customStyle="1" w:styleId="43">
    <w:name w:val="正文首行缩进1"/>
    <w:basedOn w:val="44"/>
    <w:autoRedefine/>
    <w:unhideWhenUsed/>
    <w:qFormat/>
    <w:uiPriority w:val="99"/>
    <w:pPr>
      <w:ind w:firstLine="201" w:firstLineChars="100"/>
      <w:jc w:val="left"/>
    </w:pPr>
    <w:rPr>
      <w:rFonts w:ascii="仿宋" w:hAnsi="仿宋" w:eastAsia="仿宋"/>
      <w:b/>
      <w:color w:val="0000FF"/>
      <w:szCs w:val="22"/>
    </w:rPr>
  </w:style>
  <w:style w:type="paragraph" w:customStyle="1" w:styleId="44">
    <w:name w:val="正文文本_0_0"/>
    <w:basedOn w:val="45"/>
    <w:autoRedefine/>
    <w:qFormat/>
    <w:uiPriority w:val="0"/>
    <w:pPr>
      <w:spacing w:after="120"/>
    </w:pPr>
    <w:rPr>
      <w:rFonts w:ascii="Calibri" w:hAnsi="Calibri"/>
      <w:kern w:val="0"/>
      <w:sz w:val="20"/>
    </w:rPr>
  </w:style>
  <w:style w:type="paragraph" w:customStyle="1" w:styleId="45">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列出段落1"/>
    <w:basedOn w:val="1"/>
    <w:autoRedefine/>
    <w:qFormat/>
    <w:uiPriority w:val="0"/>
    <w:pPr>
      <w:spacing w:line="240" w:lineRule="auto"/>
      <w:ind w:firstLine="420" w:firstLineChars="200"/>
    </w:pPr>
    <w:rPr>
      <w:sz w:val="21"/>
      <w:szCs w:val="24"/>
    </w:rPr>
  </w:style>
  <w:style w:type="paragraph" w:customStyle="1" w:styleId="47">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8">
    <w:name w:val="WPSOffice手动目录 1"/>
    <w:autoRedefine/>
    <w:qFormat/>
    <w:uiPriority w:val="0"/>
    <w:pPr>
      <w:ind w:leftChars="0"/>
    </w:pPr>
    <w:rPr>
      <w:rFonts w:ascii="Times New Roman" w:hAnsi="Times New Roman" w:eastAsia="宋体" w:cs="Times New Roman"/>
      <w:sz w:val="20"/>
      <w:szCs w:val="20"/>
    </w:rPr>
  </w:style>
  <w:style w:type="paragraph" w:customStyle="1" w:styleId="49">
    <w:name w:val="样式 首行缩进:  2 字符"/>
    <w:basedOn w:val="1"/>
    <w:autoRedefine/>
    <w:qFormat/>
    <w:uiPriority w:val="99"/>
    <w:pPr>
      <w:spacing w:beforeLines="50" w:afterLines="50"/>
      <w:ind w:firstLine="200" w:firstLineChars="200"/>
    </w:pPr>
    <w:rPr>
      <w:rFonts w:eastAsia="仿宋" w:cs="宋体"/>
      <w:sz w:val="24"/>
      <w:szCs w:val="20"/>
    </w:rPr>
  </w:style>
  <w:style w:type="paragraph" w:customStyle="1" w:styleId="50">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51">
    <w:name w:val="WPS Plain"/>
    <w:autoRedefine/>
    <w:qFormat/>
    <w:uiPriority w:val="99"/>
    <w:rPr>
      <w:rFonts w:ascii="Times New Roman" w:hAnsi="Times New Roman" w:eastAsia="宋体" w:cs="Times New Roman"/>
      <w:sz w:val="21"/>
      <w:szCs w:val="22"/>
      <w:lang w:val="en-US" w:eastAsia="zh-CN" w:bidi="ar-SA"/>
    </w:rPr>
  </w:style>
  <w:style w:type="paragraph" w:customStyle="1" w:styleId="52">
    <w:name w:val="正文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53">
    <w:name w:val="正文缩进1"/>
    <w:basedOn w:val="1"/>
    <w:autoRedefine/>
    <w:qFormat/>
    <w:uiPriority w:val="0"/>
    <w:pPr>
      <w:ind w:firstLine="567"/>
    </w:pPr>
    <w:rPr>
      <w:rFonts w:ascii="Times New Roman" w:hAnsi="Times New Roman" w:eastAsia="宋体" w:cs="Times New Roman"/>
      <w:spacing w:val="20"/>
      <w:sz w:val="24"/>
    </w:rPr>
  </w:style>
  <w:style w:type="paragraph" w:customStyle="1" w:styleId="5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5">
    <w:name w:val="Table Text"/>
    <w:basedOn w:val="1"/>
    <w:autoRedefine/>
    <w:semiHidden/>
    <w:qFormat/>
    <w:uiPriority w:val="0"/>
    <w:rPr>
      <w:rFonts w:ascii="宋体" w:hAnsi="宋体" w:eastAsia="宋体" w:cs="宋体"/>
      <w:sz w:val="22"/>
      <w:szCs w:val="22"/>
      <w:lang w:val="en-US" w:eastAsia="en-US" w:bidi="ar-SA"/>
    </w:rPr>
  </w:style>
  <w:style w:type="table" w:customStyle="1" w:styleId="56">
    <w:name w:val="Table Normal"/>
    <w:semiHidden/>
    <w:unhideWhenUsed/>
    <w:qFormat/>
    <w:uiPriority w:val="0"/>
    <w:tblPr>
      <w:tblCellMar>
        <w:top w:w="0" w:type="dxa"/>
        <w:left w:w="0" w:type="dxa"/>
        <w:bottom w:w="0" w:type="dxa"/>
        <w:right w:w="0" w:type="dxa"/>
      </w:tblCellMar>
    </w:tblPr>
  </w:style>
  <w:style w:type="character" w:customStyle="1" w:styleId="57">
    <w:name w:val="NormalCharacter"/>
    <w:link w:val="58"/>
    <w:autoRedefine/>
    <w:semiHidden/>
    <w:qFormat/>
    <w:uiPriority w:val="0"/>
  </w:style>
  <w:style w:type="paragraph" w:customStyle="1" w:styleId="58">
    <w:name w:val="UserStyle_5"/>
    <w:basedOn w:val="1"/>
    <w:link w:val="57"/>
    <w:autoRedefine/>
    <w:qFormat/>
    <w:uiPriority w:val="0"/>
    <w:pPr>
      <w:widowControl/>
      <w:spacing w:after="160" w:line="240" w:lineRule="exact"/>
      <w:jc w:val="left"/>
      <w:textAlignment w:val="baseline"/>
    </w:pPr>
  </w:style>
  <w:style w:type="paragraph" w:customStyle="1" w:styleId="59">
    <w:name w:val="Normal_0"/>
    <w:qFormat/>
    <w:uiPriority w:val="0"/>
    <w:rPr>
      <w:rFonts w:ascii="Times New Roman" w:hAnsi="Times New Roman" w:eastAsia="Times New Roman" w:cs="Times New Roman"/>
      <w:sz w:val="24"/>
      <w:szCs w:val="24"/>
      <w:lang w:val="en-US" w:eastAsia="zh-CN" w:bidi="ar-SA"/>
    </w:rPr>
  </w:style>
  <w:style w:type="paragraph" w:customStyle="1" w:styleId="60">
    <w:name w:val="BodyText1I2"/>
    <w:basedOn w:val="61"/>
    <w:next w:val="61"/>
    <w:qFormat/>
    <w:uiPriority w:val="0"/>
    <w:pPr>
      <w:ind w:firstLine="420" w:firstLineChars="200"/>
    </w:pPr>
    <w:rPr>
      <w:szCs w:val="24"/>
    </w:rPr>
  </w:style>
  <w:style w:type="paragraph" w:customStyle="1" w:styleId="61">
    <w:name w:val="BodyTextIndent"/>
    <w:basedOn w:val="1"/>
    <w:qFormat/>
    <w:uiPriority w:val="0"/>
    <w:pPr>
      <w:spacing w:after="120"/>
      <w:ind w:left="420" w:leftChars="200"/>
    </w:pPr>
    <w:rPr>
      <w:szCs w:val="22"/>
    </w:rPr>
  </w:style>
  <w:style w:type="paragraph" w:customStyle="1" w:styleId="62">
    <w:name w:val="Normal_0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63">
    <w:name w:val="Default Text"/>
    <w:basedOn w:val="64"/>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4">
    <w:name w:val="正文_0"/>
    <w:basedOn w:val="65"/>
    <w:autoRedefine/>
    <w:qFormat/>
    <w:uiPriority w:val="0"/>
    <w:rPr>
      <w:szCs w:val="22"/>
    </w:rPr>
  </w:style>
  <w:style w:type="paragraph" w:customStyle="1" w:styleId="65">
    <w:name w:val="正文_1"/>
    <w:basedOn w:val="66"/>
    <w:next w:val="67"/>
    <w:autoRedefine/>
    <w:qFormat/>
    <w:uiPriority w:val="0"/>
    <w:rPr>
      <w:szCs w:val="24"/>
    </w:rPr>
  </w:style>
  <w:style w:type="paragraph" w:customStyle="1" w:styleId="66">
    <w:name w:val="正文_2_0"/>
    <w:next w:val="6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文本_0"/>
    <w:basedOn w:val="66"/>
    <w:autoRedefine/>
    <w:qFormat/>
    <w:uiPriority w:val="0"/>
    <w:pPr>
      <w:spacing w:after="120"/>
    </w:pPr>
    <w:rPr>
      <w:kern w:val="0"/>
      <w:sz w:val="20"/>
    </w:rPr>
  </w:style>
  <w:style w:type="paragraph" w:customStyle="1" w:styleId="68">
    <w:name w:val="标书正文"/>
    <w:basedOn w:val="1"/>
    <w:autoRedefine/>
    <w:qFormat/>
    <w:uiPriority w:val="0"/>
    <w:pPr>
      <w:spacing w:line="560" w:lineRule="exact"/>
      <w:ind w:firstLine="723" w:firstLineChars="200"/>
      <w:jc w:val="center"/>
    </w:pPr>
    <w:rPr>
      <w:rFonts w:ascii="仿宋_GB2312" w:eastAsia="仿宋_GB2312"/>
      <w:b/>
      <w:sz w:val="36"/>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36934</Words>
  <Characters>39296</Characters>
  <Lines>0</Lines>
  <Paragraphs>0</Paragraphs>
  <TotalTime>84</TotalTime>
  <ScaleCrop>false</ScaleCrop>
  <LinksUpToDate>false</LinksUpToDate>
  <CharactersWithSpaces>43634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2023-05-18T09:27:00Z</dcterms:created>
  <dc:creator>Administrator</dc:creator>
  <cp:lastModifiedBy>新疆华域天恒</cp:lastModifiedBy>
  <cp:lastPrinted>2023-05-19T08:51:00Z</cp:lastPrinted>
  <dcterms:modified xsi:type="dcterms:W3CDTF">2026-04-22T03:40:15Z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E1384BB963FE4AEEAD0DB573B423EFED_13</vt:lpwstr>
  </property>
  <property fmtid="{D5CDD505-2E9C-101B-9397-08002B2CF9AE}" pid="4" name="KSOTemplateDocerSaveRecord">
    <vt:lpwstr>eyJoZGlkIjoiZTk2M2MzMmZkZDM0OTRiOTYzMTliY2Q5MzE0NTc0NzIiLCJ1c2VySWQiOiIxNTQ4NTc1Mzk2In0=</vt:lpwstr>
  </property>
</Properties>
</file>