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Cambria" w:hAnsi="Cambria" w:eastAsia="宋体" w:cs="Times New Roman"/>
          <w:bCs w:val="0"/>
          <w:color w:val="auto"/>
          <w:sz w:val="32"/>
          <w:szCs w:val="32"/>
          <w:highlight w:val="none"/>
        </w:rPr>
      </w:pPr>
      <w:r>
        <w:rPr>
          <w:rFonts w:hint="eastAsia" w:ascii="Cambria" w:hAnsi="Cambria" w:eastAsia="宋体" w:cs="Times New Roman"/>
          <w:bCs w:val="0"/>
          <w:color w:val="auto"/>
          <w:sz w:val="32"/>
          <w:szCs w:val="32"/>
          <w:highlight w:val="none"/>
        </w:rPr>
        <w:t>采购需求</w:t>
      </w:r>
    </w:p>
    <w:p>
      <w:pPr>
        <w:spacing w:line="42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本竞争性磋商文件所称中小企业必须符合《政府采购促进中小企业发展管理办法》（财库〔2020〕46号）的规定。</w:t>
      </w:r>
    </w:p>
    <w:p>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pStyle w:val="4"/>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w:t>
      </w:r>
      <w:r>
        <w:rPr>
          <w:rFonts w:hint="eastAsia" w:ascii="宋体" w:hAnsi="宋体" w:eastAsia="宋体" w:cs="宋体"/>
          <w:color w:val="auto"/>
          <w:highlight w:val="none"/>
          <w:lang w:val="en-US"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负责。</w:t>
      </w:r>
    </w:p>
    <w:p>
      <w:pPr>
        <w:tabs>
          <w:tab w:val="left" w:pos="180"/>
          <w:tab w:val="left" w:pos="1620"/>
        </w:tabs>
        <w:spacing w:line="420" w:lineRule="exact"/>
        <w:ind w:firstLine="420" w:firstLineChars="200"/>
        <w:rPr>
          <w:rFonts w:hint="eastAsia" w:ascii="Times New Roman" w:hAnsi="Times New Roman" w:eastAsia="宋体" w:cs="宋体"/>
          <w:b/>
          <w:bCs/>
          <w:color w:val="auto"/>
          <w:sz w:val="24"/>
          <w:highlight w:val="none"/>
        </w:rPr>
      </w:pPr>
      <w:r>
        <w:rPr>
          <w:rFonts w:hint="eastAsia" w:ascii="宋体" w:hAnsi="宋体" w:eastAsia="宋体" w:cs="宋体"/>
          <w:color w:val="auto"/>
          <w:highlight w:val="none"/>
          <w:lang w:val="en-US" w:eastAsia="zh-CN"/>
        </w:rPr>
        <w:t>5.采购标的对应的中小企业划分标准所属行业名称：</w:t>
      </w:r>
      <w:r>
        <w:rPr>
          <w:rFonts w:hint="eastAsia" w:ascii="宋体" w:hAnsi="宋体" w:eastAsia="宋体" w:cs="宋体"/>
          <w:color w:val="auto"/>
          <w:highlight w:val="none"/>
          <w:u w:val="single"/>
          <w:lang w:val="en-US" w:eastAsia="zh-CN"/>
        </w:rPr>
        <w:t>其他未列明行业</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675"/>
        <w:gridCol w:w="22"/>
        <w:gridCol w:w="731"/>
        <w:gridCol w:w="638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需求一览表</w:t>
            </w:r>
          </w:p>
        </w:tc>
        <w:tc>
          <w:tcPr>
            <w:tcW w:w="596"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75"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53" w:type="dxa"/>
            <w:gridSpan w:val="2"/>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数量及</w:t>
            </w:r>
            <w:r>
              <w:rPr>
                <w:rFonts w:hint="eastAsia" w:ascii="宋体" w:hAnsi="宋体" w:eastAsia="宋体" w:cs="宋体"/>
                <w:color w:val="auto"/>
                <w:sz w:val="21"/>
                <w:szCs w:val="21"/>
                <w:highlight w:val="none"/>
              </w:rPr>
              <w:t>单位</w:t>
            </w:r>
          </w:p>
          <w:p>
            <w:pPr>
              <w:spacing w:line="320" w:lineRule="exact"/>
              <w:jc w:val="center"/>
              <w:rPr>
                <w:rFonts w:hint="eastAsia" w:ascii="宋体" w:hAnsi="宋体" w:eastAsia="宋体" w:cs="宋体"/>
                <w:color w:val="auto"/>
                <w:szCs w:val="21"/>
                <w:highlight w:val="none"/>
              </w:rPr>
            </w:pPr>
          </w:p>
        </w:tc>
        <w:tc>
          <w:tcPr>
            <w:tcW w:w="6382"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highlight w:val="none"/>
              </w:rPr>
              <w:t>▲</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要求</w:t>
            </w:r>
          </w:p>
          <w:p>
            <w:pPr>
              <w:spacing w:line="320" w:lineRule="exact"/>
              <w:jc w:val="center"/>
              <w:rPr>
                <w:rFonts w:hint="eastAsia" w:ascii="宋体" w:hAnsi="宋体" w:eastAsia="宋体" w:cs="宋体"/>
                <w:color w:val="auto"/>
                <w:szCs w:val="21"/>
                <w:highlight w:val="none"/>
              </w:rPr>
            </w:pPr>
          </w:p>
          <w:p>
            <w:pPr>
              <w:spacing w:line="320" w:lineRule="exact"/>
              <w:jc w:val="center"/>
              <w:rPr>
                <w:rFonts w:hint="eastAsia" w:ascii="宋体" w:hAnsi="宋体" w:eastAsia="宋体" w:cs="宋体"/>
                <w:color w:val="auto"/>
                <w:szCs w:val="21"/>
                <w:highlight w:val="none"/>
              </w:rPr>
            </w:pPr>
          </w:p>
        </w:tc>
        <w:tc>
          <w:tcPr>
            <w:tcW w:w="1276"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pPr>
              <w:spacing w:line="320" w:lineRule="exact"/>
              <w:jc w:val="center"/>
              <w:rPr>
                <w:rFonts w:hint="eastAsia" w:ascii="宋体" w:hAnsi="宋体" w:eastAsia="宋体" w:cs="宋体"/>
                <w:color w:val="auto"/>
                <w:szCs w:val="21"/>
                <w:highlight w:val="none"/>
              </w:rPr>
            </w:pPr>
          </w:p>
        </w:tc>
        <w:tc>
          <w:tcPr>
            <w:tcW w:w="59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75" w:type="dxa"/>
            <w:noWrap w:val="0"/>
            <w:vAlign w:val="center"/>
          </w:tcPr>
          <w:p>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2026年广西大件运输行政辅助审查审批服务项目</w:t>
            </w:r>
          </w:p>
        </w:tc>
        <w:tc>
          <w:tcPr>
            <w:tcW w:w="753" w:type="dxa"/>
            <w:gridSpan w:val="2"/>
            <w:noWrap w:val="0"/>
            <w:vAlign w:val="center"/>
          </w:tcPr>
          <w:p>
            <w:pPr>
              <w:spacing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63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为推动“高效办成公路大件运输一件事”，引入技术服务第三方，强化科技赋能，完善工作流程，进一步增强大件运输服务实体经济能力。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将作为自治区本级大件运输审批的专业技术支持力量，全面协助采购单位开展大件运输辅助性、服务性工作，以提升审批服务的专业性、规范性和时效性。</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须提供全面、专业的技术支持与辅助审查服务，具体内容包括以下几个方面：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咨询</w:t>
            </w:r>
            <w:r>
              <w:rPr>
                <w:rFonts w:hint="eastAsia" w:ascii="宋体" w:hAnsi="宋体" w:eastAsia="宋体" w:cs="宋体"/>
                <w:color w:val="auto"/>
                <w:highlight w:val="none"/>
                <w:lang w:val="en-US" w:eastAsia="zh-CN"/>
              </w:rPr>
              <w:t>答复与投诉建议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1.负责处理大件运输有关咨询、投诉、建议、求助等答复工作，引导办理业务，提供清晰指引；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2.记录申请人需求与问题，建立咨询台账，确保信息完整可追溯，形成闭环管理。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许可申请受理环节</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对跨省、跨市或通行自治区本级管理公路的大件运输（I、II、III类）许可事项进行初核、复核工作。</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1.申请材料初核：申请人提交的申请材料是否齐全、是否符合法定形式（承运人的道路运输经营许可证、经办人的身份证件和授权委托书等）；</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2.关键信息初审：核验承运人有关资质信息的真实性、有效性，对申请人填报的车货总质量、总体外廓尺寸、车辆数据参数等关键指标合规性进行初步核查；</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3.转送分发：协助受理岗根据申请路线的路段管养主体，分送片区高速公路管理机构、市级公路管理机构，市县交通运输局或其指定管理机构。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许可申请审查环节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1.路线通行能力审查：</w:t>
            </w:r>
            <w:r>
              <w:rPr>
                <w:rFonts w:hint="eastAsia" w:ascii="宋体" w:hAnsi="宋体" w:eastAsia="宋体" w:cs="宋体"/>
                <w:color w:val="auto"/>
                <w:highlight w:val="none"/>
                <w:lang w:eastAsia="zh-CN"/>
              </w:rPr>
              <w:t>协助审查岗开展公路大件运输复核工作，对申请的通行路线、护送方案进行技术审查，对桥梁等关键结构进行空间与结构可通行性复核，形成明确的复核结论提交审查岗。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对车货总重超过175吨、总长大于100米的许可申请，进行实地勘验、现场检测（包括但不限于桥梁等公路设施技术状况信息）并出具检测报告，依据检测报告开展公路大件运输安全通行评价技术咨询出具有效的评价报告，</w:t>
            </w:r>
            <w:r>
              <w:rPr>
                <w:rFonts w:hint="eastAsia" w:ascii="宋体" w:hAnsi="宋体" w:eastAsia="宋体" w:cs="宋体"/>
                <w:color w:val="auto"/>
                <w:highlight w:val="none"/>
                <w:lang w:eastAsia="zh-CN"/>
              </w:rPr>
              <w:t>形成明确的复核结论提交审查岗</w:t>
            </w:r>
            <w:r>
              <w:rPr>
                <w:rFonts w:hint="eastAsia" w:ascii="宋体" w:hAnsi="宋体" w:eastAsia="宋体" w:cs="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.综合汇总</w:t>
            </w:r>
            <w:r>
              <w:rPr>
                <w:rFonts w:hint="eastAsia" w:ascii="宋体" w:hAnsi="宋体" w:eastAsia="宋体" w:cs="宋体"/>
                <w:color w:val="auto"/>
                <w:highlight w:val="none"/>
                <w:lang w:eastAsia="zh-CN"/>
              </w:rPr>
              <w:t>意见</w:t>
            </w:r>
            <w:r>
              <w:rPr>
                <w:rFonts w:hint="eastAsia" w:ascii="宋体" w:hAnsi="宋体" w:eastAsia="宋体" w:cs="宋体"/>
                <w:color w:val="auto"/>
                <w:highlight w:val="none"/>
              </w:rPr>
              <w:t>：对各级审查单位反馈的意见进行全面梳理、归纳整合，</w:t>
            </w:r>
            <w:r>
              <w:rPr>
                <w:rFonts w:hint="eastAsia" w:ascii="宋体" w:hAnsi="宋体" w:eastAsia="宋体" w:cs="宋体"/>
                <w:color w:val="auto"/>
                <w:highlight w:val="none"/>
                <w:lang w:eastAsia="zh-CN"/>
              </w:rPr>
              <w:t>采纳</w:t>
            </w:r>
            <w:r>
              <w:rPr>
                <w:rFonts w:hint="eastAsia" w:ascii="宋体" w:hAnsi="宋体" w:eastAsia="宋体" w:cs="宋体"/>
                <w:color w:val="auto"/>
                <w:highlight w:val="none"/>
              </w:rPr>
              <w:t>合理建议，形成内容完整、依据充分、结论明确的总体审查意见，为</w:t>
            </w:r>
            <w:r>
              <w:rPr>
                <w:rFonts w:hint="eastAsia" w:ascii="宋体" w:hAnsi="宋体" w:eastAsia="宋体" w:cs="宋体"/>
                <w:color w:val="auto"/>
                <w:highlight w:val="none"/>
                <w:lang w:eastAsia="zh-CN"/>
              </w:rPr>
              <w:t>审查决定岗</w:t>
            </w:r>
            <w:r>
              <w:rPr>
                <w:rFonts w:hint="eastAsia" w:ascii="宋体" w:hAnsi="宋体" w:eastAsia="宋体" w:cs="宋体"/>
                <w:color w:val="auto"/>
                <w:highlight w:val="none"/>
              </w:rPr>
              <w:t>提供依据。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、流程</w:t>
            </w:r>
            <w:r>
              <w:rPr>
                <w:rFonts w:hint="eastAsia" w:ascii="宋体" w:hAnsi="宋体" w:eastAsia="宋体" w:cs="宋体"/>
                <w:color w:val="auto"/>
                <w:highlight w:val="none"/>
              </w:rPr>
              <w:t>跟踪与督促</w:t>
            </w:r>
            <w:r>
              <w:rPr>
                <w:rFonts w:hint="eastAsia" w:ascii="宋体" w:hAnsi="宋体" w:eastAsia="宋体" w:cs="宋体"/>
                <w:color w:val="auto"/>
                <w:highlight w:val="none"/>
                <w:lang w:eastAsia="zh-CN"/>
              </w:rPr>
              <w:t>反馈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广西公路大件运输许可办理系统中的</w:t>
            </w:r>
            <w:r>
              <w:rPr>
                <w:rFonts w:hint="eastAsia" w:ascii="宋体" w:hAnsi="宋体" w:eastAsia="宋体" w:cs="宋体"/>
                <w:color w:val="auto"/>
                <w:highlight w:val="none"/>
              </w:rPr>
              <w:t>申请件办理进度进行跟踪，对</w:t>
            </w:r>
            <w:r>
              <w:rPr>
                <w:rFonts w:hint="eastAsia" w:ascii="宋体" w:hAnsi="宋体" w:eastAsia="宋体" w:cs="宋体"/>
                <w:color w:val="auto"/>
                <w:highlight w:val="none"/>
                <w:lang w:val="en-US" w:eastAsia="zh-CN"/>
              </w:rPr>
              <w:t>临期件</w:t>
            </w:r>
            <w:r>
              <w:rPr>
                <w:rFonts w:hint="eastAsia" w:ascii="宋体" w:hAnsi="宋体" w:eastAsia="宋体" w:cs="宋体"/>
                <w:color w:val="auto"/>
                <w:highlight w:val="none"/>
              </w:rPr>
              <w:t>或处理缓慢的环节进行提醒与督促，确保审批流程整体顺畅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能在法定（承诺）办结时限内完成</w:t>
            </w:r>
            <w:r>
              <w:rPr>
                <w:rFonts w:hint="eastAsia" w:ascii="宋体" w:hAnsi="宋体" w:eastAsia="宋体" w:cs="宋体"/>
                <w:color w:val="auto"/>
                <w:highlight w:val="none"/>
              </w:rPr>
              <w:t>。对后续情况实行全过程跟踪督导、闭环督促反馈，确保审查意见落地见效。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全部审查过程和结论必须严格遵守《中华人民共和国公路法》、《公路安全保护条例》、《超限运输车辆行驶公路管理规定》、《行政许可法》、《公路大件运输安全通行评价技术规范》（JTG/T 2213-2023）等国家法律法规、部门规章和技术标准规范要求。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拟投入本项目人员要求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本项目要求至少20名工作人员在</w:t>
            </w:r>
            <w:r>
              <w:rPr>
                <w:rFonts w:hint="eastAsia" w:ascii="宋体" w:hAnsi="宋体" w:eastAsia="宋体" w:cs="宋体"/>
                <w:color w:val="auto"/>
                <w:highlight w:val="none"/>
                <w:lang w:val="en-US" w:eastAsia="zh-CN"/>
              </w:rPr>
              <w:t>采购人办公指定地点驻点办公</w:t>
            </w:r>
            <w:r>
              <w:rPr>
                <w:rFonts w:hint="eastAsia" w:ascii="宋体" w:hAnsi="宋体" w:eastAsia="宋体" w:cs="宋体"/>
                <w:color w:val="auto"/>
                <w:highlight w:val="none"/>
                <w:lang w:eastAsia="zh-CN"/>
              </w:rPr>
              <w:t>，具体</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lang w:eastAsia="zh-CN"/>
              </w:rPr>
              <w:t>如下:</w:t>
            </w:r>
          </w:p>
          <w:p>
            <w:pPr>
              <w:keepNext w:val="0"/>
              <w:keepLines w:val="0"/>
              <w:widowControl w:val="0"/>
              <w:suppressLineNumbers w:val="0"/>
              <w:autoSpaceDE w:val="0"/>
              <w:autoSpaceDN/>
              <w:spacing w:before="0" w:beforeAutospacing="0" w:after="0" w:afterAutospacing="0" w:line="360" w:lineRule="auto"/>
              <w:ind w:left="0" w:leftChars="0" w:right="0" w:rightChars="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1.项目负责人：1人，具有路桥相关专业高级工程师或以上职称，负责项目的总体协调、管理与沟通。</w:t>
            </w:r>
          </w:p>
          <w:p>
            <w:pPr>
              <w:keepNext w:val="0"/>
              <w:keepLines w:val="0"/>
              <w:widowControl w:val="0"/>
              <w:suppressLineNumbers w:val="0"/>
              <w:autoSpaceDE w:val="0"/>
              <w:autoSpaceDN/>
              <w:spacing w:before="0" w:beforeAutospacing="0" w:after="0" w:afterAutospacing="0" w:line="360" w:lineRule="auto"/>
              <w:ind w:left="0" w:leftChars="0" w:right="0" w:rightChars="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2.技术负责人：1人，具有路桥相关专业高级工程师或以上职称，负责服务质量保障和技术复核决策。</w:t>
            </w:r>
          </w:p>
          <w:p>
            <w:pPr>
              <w:keepNext w:val="0"/>
              <w:keepLines w:val="0"/>
              <w:widowControl w:val="0"/>
              <w:suppressLineNumbers w:val="0"/>
              <w:autoSpaceDE w:val="0"/>
              <w:autoSpaceDN/>
              <w:spacing w:before="0" w:beforeAutospacing="0" w:after="0" w:afterAutospacing="0" w:line="360" w:lineRule="auto"/>
              <w:ind w:left="0" w:leftChars="0" w:right="0" w:rightChars="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3.技术复核组成员：4人，具有路桥相关专业中级工程师或以上职称，负责超长、超重、超宽等复杂申请件的路线可通行性技术复核。</w:t>
            </w:r>
          </w:p>
          <w:p>
            <w:pPr>
              <w:keepNext w:val="0"/>
              <w:keepLines w:val="0"/>
              <w:widowControl w:val="0"/>
              <w:suppressLineNumbers w:val="0"/>
              <w:autoSpaceDE w:val="0"/>
              <w:autoSpaceDN/>
              <w:spacing w:before="0" w:beforeAutospacing="0" w:after="0" w:afterAutospacing="0" w:line="360" w:lineRule="auto"/>
              <w:ind w:left="0" w:leftChars="0" w:right="0" w:rightChars="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4.工作人员：</w:t>
            </w:r>
            <w:r>
              <w:rPr>
                <w:rFonts w:hint="eastAsia" w:ascii="Times New Roman" w:hAnsi="Times New Roman" w:eastAsia="宋体" w:cs="Times New Roman"/>
                <w:b/>
                <w:bCs/>
                <w:color w:val="auto"/>
                <w:highlight w:val="none"/>
                <w:lang w:eastAsia="zh-CN"/>
              </w:rPr>
              <w:t>成交供应商</w:t>
            </w:r>
            <w:r>
              <w:rPr>
                <w:rFonts w:hint="eastAsia" w:ascii="Times New Roman" w:hAnsi="Times New Roman" w:eastAsia="宋体" w:cs="Times New Roman"/>
                <w:b/>
                <w:bCs/>
                <w:color w:val="auto"/>
                <w:highlight w:val="none"/>
              </w:rPr>
              <w:t>应安排总计不少于</w:t>
            </w:r>
            <w:r>
              <w:rPr>
                <w:rFonts w:hint="eastAsia" w:ascii="Times New Roman" w:hAnsi="Times New Roman" w:eastAsia="宋体" w:cs="Times New Roman"/>
                <w:b/>
                <w:bCs/>
                <w:color w:val="auto"/>
                <w:highlight w:val="none"/>
                <w:lang w:val="en-US" w:eastAsia="zh-CN"/>
              </w:rPr>
              <w:t>14</w:t>
            </w:r>
            <w:r>
              <w:rPr>
                <w:rFonts w:hint="eastAsia" w:ascii="Times New Roman" w:hAnsi="Times New Roman" w:eastAsia="宋体" w:cs="Times New Roman"/>
                <w:b/>
                <w:bCs/>
                <w:color w:val="auto"/>
                <w:highlight w:val="none"/>
              </w:rPr>
              <w:t>名具备相应业务能力</w:t>
            </w:r>
            <w:r>
              <w:rPr>
                <w:rFonts w:hint="eastAsia" w:ascii="Times New Roman" w:hAnsi="Times New Roman" w:eastAsia="宋体" w:cs="Times New Roman"/>
                <w:b/>
                <w:bCs/>
                <w:color w:val="auto"/>
                <w:highlight w:val="none"/>
                <w:lang w:eastAsia="zh-CN"/>
              </w:rPr>
              <w:t>的</w:t>
            </w:r>
            <w:r>
              <w:rPr>
                <w:rFonts w:hint="eastAsia" w:ascii="Times New Roman" w:hAnsi="Times New Roman" w:eastAsia="宋体" w:cs="Times New Roman"/>
                <w:b/>
                <w:bCs/>
                <w:color w:val="auto"/>
                <w:highlight w:val="none"/>
                <w:lang w:val="en-US" w:eastAsia="zh-CN"/>
              </w:rPr>
              <w:t>工作</w:t>
            </w:r>
            <w:r>
              <w:rPr>
                <w:rFonts w:hint="eastAsia" w:ascii="Times New Roman" w:hAnsi="Times New Roman" w:eastAsia="宋体" w:cs="Times New Roman"/>
                <w:b/>
                <w:bCs/>
                <w:color w:val="auto"/>
                <w:highlight w:val="none"/>
              </w:rPr>
              <w:t>人员（</w:t>
            </w:r>
            <w:r>
              <w:rPr>
                <w:rFonts w:hint="eastAsia" w:ascii="Times New Roman" w:hAnsi="Times New Roman" w:eastAsia="宋体" w:cs="Times New Roman"/>
                <w:b/>
                <w:bCs/>
                <w:color w:val="auto"/>
                <w:highlight w:val="none"/>
                <w:lang w:val="en-US" w:eastAsia="zh-CN"/>
              </w:rPr>
              <w:t>有可能驻派至广西区内14个地级市</w:t>
            </w:r>
            <w:r>
              <w:rPr>
                <w:rFonts w:hint="eastAsia" w:ascii="Times New Roman" w:hAnsi="Times New Roman" w:eastAsia="宋体" w:cs="Times New Roman"/>
                <w:b/>
                <w:bCs/>
                <w:color w:val="auto"/>
                <w:highlight w:val="none"/>
              </w:rPr>
              <w:t>）提供本章第一、二、</w:t>
            </w:r>
            <w:r>
              <w:rPr>
                <w:rFonts w:hint="eastAsia" w:ascii="Times New Roman" w:hAnsi="Times New Roman" w:eastAsia="宋体" w:cs="Times New Roman"/>
                <w:b/>
                <w:bCs/>
                <w:color w:val="auto"/>
                <w:highlight w:val="none"/>
                <w:lang w:val="en-US" w:eastAsia="zh-CN"/>
              </w:rPr>
              <w:t>三</w:t>
            </w:r>
            <w:r>
              <w:rPr>
                <w:rFonts w:hint="eastAsia" w:ascii="Times New Roman" w:hAnsi="Times New Roman" w:eastAsia="宋体" w:cs="Times New Roman"/>
                <w:b/>
                <w:bCs/>
                <w:color w:val="auto"/>
                <w:highlight w:val="none"/>
              </w:rPr>
              <w:t>项及第五项中一般申请件复核等相关服务。具体人员排班计划、资质清单及派驻方案应经</w:t>
            </w:r>
            <w:r>
              <w:rPr>
                <w:rFonts w:hint="eastAsia" w:ascii="Times New Roman" w:hAnsi="Times New Roman" w:eastAsia="宋体" w:cs="Times New Roman"/>
                <w:b/>
                <w:bCs/>
                <w:color w:val="auto"/>
                <w:highlight w:val="none"/>
                <w:lang w:eastAsia="zh-CN"/>
              </w:rPr>
              <w:t>采购人</w:t>
            </w:r>
            <w:r>
              <w:rPr>
                <w:rFonts w:hint="eastAsia" w:ascii="Times New Roman" w:hAnsi="Times New Roman" w:eastAsia="宋体" w:cs="Times New Roman"/>
                <w:b/>
                <w:bCs/>
                <w:color w:val="auto"/>
                <w:highlight w:val="none"/>
              </w:rPr>
              <w:t>确认后执行。</w:t>
            </w:r>
            <w:r>
              <w:rPr>
                <w:rFonts w:hint="eastAsia" w:ascii="宋体" w:hAnsi="宋体" w:eastAsia="宋体" w:cs="宋体"/>
                <w:b w:val="0"/>
                <w:bCs w:val="0"/>
                <w:color w:val="auto"/>
                <w:kern w:val="2"/>
                <w:sz w:val="21"/>
                <w:szCs w:val="21"/>
                <w:highlight w:val="none"/>
                <w:lang w:val="en-US" w:eastAsia="zh-CN" w:bidi="ar"/>
              </w:rPr>
              <w:t>对申请材料完备性和形式合法性进行初核，一般申请件路线可通行性复核和咨询、建议、投诉、求助等进行答复。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bidi="ar"/>
              </w:rPr>
              <w:t>注：（1）</w:t>
            </w:r>
            <w:r>
              <w:rPr>
                <w:rFonts w:hint="eastAsia" w:ascii="宋体" w:hAnsi="宋体" w:eastAsia="宋体" w:cs="宋体"/>
                <w:color w:val="auto"/>
                <w:highlight w:val="none"/>
                <w:lang w:eastAsia="zh-CN"/>
              </w:rPr>
              <w:t>拟投</w:t>
            </w:r>
            <w:r>
              <w:rPr>
                <w:rFonts w:hint="eastAsia" w:ascii="宋体" w:hAnsi="宋体" w:eastAsia="宋体" w:cs="宋体"/>
                <w:color w:val="auto"/>
                <w:highlight w:val="none"/>
                <w:lang w:val="en-US" w:eastAsia="zh-CN"/>
              </w:rPr>
              <w:t>入</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lang w:eastAsia="zh-CN"/>
              </w:rPr>
              <w:t>人员</w:t>
            </w:r>
            <w:r>
              <w:rPr>
                <w:rFonts w:hint="eastAsia" w:ascii="宋体" w:hAnsi="宋体" w:eastAsia="宋体" w:cs="宋体"/>
                <w:b w:val="0"/>
                <w:bCs w:val="0"/>
                <w:color w:val="auto"/>
                <w:kern w:val="2"/>
                <w:sz w:val="21"/>
                <w:szCs w:val="21"/>
                <w:highlight w:val="none"/>
                <w:lang w:val="en-US" w:eastAsia="zh-CN" w:bidi="ar"/>
              </w:rPr>
              <w:t>需在合同签订后10个工作日内驻点办公。（2）路桥相关专业是指职称证上的专业，为路桥、公路工程、桥梁工程、交通土建、交通工程、隧道工程、土木与建筑工程、公路与城市道路、道路与桥梁工程、公路与养护等公路工程相关专业均可。</w:t>
            </w:r>
          </w:p>
        </w:tc>
        <w:tc>
          <w:tcPr>
            <w:tcW w:w="1276"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7"/>
            <w:noWrap w:val="0"/>
            <w:vAlign w:val="center"/>
          </w:tcPr>
          <w:p>
            <w:pPr>
              <w:spacing w:line="320" w:lineRule="exact"/>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合同签订时间</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自成交通知书发出之日起</w:t>
            </w:r>
            <w:r>
              <w:rPr>
                <w:rFonts w:hint="eastAsia" w:ascii="宋体" w:hAnsi="宋体" w:eastAsia="宋体" w:cs="宋体"/>
                <w:color w:val="auto"/>
                <w:kern w:val="2"/>
                <w:sz w:val="21"/>
                <w:szCs w:val="21"/>
                <w:highlight w:val="none"/>
                <w:u w:val="single"/>
                <w:lang w:val="en-US" w:eastAsia="zh-CN" w:bidi="ar"/>
              </w:rPr>
              <w:t xml:space="preserve"> 25 </w:t>
            </w:r>
            <w:r>
              <w:rPr>
                <w:rFonts w:hint="eastAsia" w:ascii="宋体" w:hAnsi="宋体" w:eastAsia="宋体" w:cs="宋体"/>
                <w:color w:val="auto"/>
                <w:kern w:val="2"/>
                <w:sz w:val="21"/>
                <w:szCs w:val="21"/>
                <w:highlight w:val="none"/>
                <w:lang w:val="en-US" w:eastAsia="zh-CN" w:bidi="ar"/>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服务期</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highlight w:val="none"/>
              </w:rPr>
              <w:t>自</w:t>
            </w:r>
            <w:r>
              <w:rPr>
                <w:rFonts w:hint="eastAsia" w:ascii="宋体" w:hAnsi="宋体" w:eastAsia="宋体" w:cs="宋体"/>
                <w:color w:val="auto"/>
                <w:kern w:val="2"/>
                <w:sz w:val="21"/>
                <w:szCs w:val="21"/>
                <w:highlight w:val="none"/>
                <w:lang w:val="en-US" w:eastAsia="zh-CN" w:bidi="ar"/>
              </w:rPr>
              <w:t>签订合同之日起1年。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服务地点</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Times New Roman" w:hAnsi="Times New Roman" w:eastAsia="宋体" w:cs="Times New Roman"/>
                <w:b w:val="0"/>
                <w:bCs w:val="0"/>
                <w:color w:val="auto"/>
                <w:highlight w:val="none"/>
                <w:lang w:val="en-US" w:eastAsia="zh-CN"/>
              </w:rPr>
              <w:t>广西南宁市内采购人指定地点（有可能驻派至广西区内14个地级市）</w:t>
            </w:r>
            <w:r>
              <w:rPr>
                <w:rFonts w:hint="eastAsia" w:ascii="宋体" w:hAnsi="宋体" w:eastAsia="宋体" w:cs="宋体"/>
                <w:color w:val="auto"/>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成果交付时间</w:t>
            </w:r>
          </w:p>
        </w:tc>
        <w:tc>
          <w:tcPr>
            <w:tcW w:w="8389" w:type="dxa"/>
            <w:gridSpan w:val="3"/>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成交供应商</w:t>
            </w:r>
            <w:r>
              <w:rPr>
                <w:rFonts w:hint="eastAsia" w:ascii="宋体" w:hAnsi="宋体" w:eastAsia="宋体" w:cs="宋体"/>
                <w:b w:val="0"/>
                <w:bCs w:val="0"/>
                <w:color w:val="auto"/>
                <w:kern w:val="0"/>
                <w:sz w:val="21"/>
                <w:szCs w:val="21"/>
                <w:highlight w:val="none"/>
                <w:lang w:bidi="ar"/>
              </w:rPr>
              <w:t>应在接到</w:t>
            </w:r>
            <w:r>
              <w:rPr>
                <w:rFonts w:hint="eastAsia" w:ascii="宋体" w:hAnsi="宋体" w:eastAsia="宋体" w:cs="宋体"/>
                <w:b w:val="0"/>
                <w:bCs w:val="0"/>
                <w:color w:val="auto"/>
                <w:kern w:val="0"/>
                <w:sz w:val="21"/>
                <w:szCs w:val="21"/>
                <w:highlight w:val="none"/>
                <w:lang w:val="en-US" w:eastAsia="zh-CN" w:bidi="ar"/>
              </w:rPr>
              <w:t>广西数字政务一体化平台/跨省大件申报3.0系统</w:t>
            </w:r>
            <w:r>
              <w:rPr>
                <w:rFonts w:hint="eastAsia" w:ascii="宋体" w:hAnsi="宋体" w:eastAsia="宋体" w:cs="宋体"/>
                <w:b w:val="0"/>
                <w:bCs w:val="0"/>
                <w:color w:val="auto"/>
                <w:kern w:val="0"/>
                <w:sz w:val="21"/>
                <w:szCs w:val="21"/>
                <w:highlight w:val="none"/>
                <w:lang w:bidi="ar"/>
              </w:rPr>
              <w:t>下达</w:t>
            </w:r>
            <w:r>
              <w:rPr>
                <w:rFonts w:hint="eastAsia" w:ascii="宋体" w:hAnsi="宋体" w:eastAsia="宋体" w:cs="宋体"/>
                <w:b w:val="0"/>
                <w:bCs w:val="0"/>
                <w:color w:val="auto"/>
                <w:kern w:val="0"/>
                <w:sz w:val="21"/>
                <w:szCs w:val="21"/>
                <w:highlight w:val="none"/>
                <w:lang w:val="en-US" w:eastAsia="zh-CN" w:bidi="ar"/>
              </w:rPr>
              <w:t>至广西公路大件运输许可办理系统的</w:t>
            </w:r>
            <w:r>
              <w:rPr>
                <w:rFonts w:hint="eastAsia" w:ascii="宋体" w:hAnsi="宋体" w:eastAsia="宋体" w:cs="宋体"/>
                <w:b w:val="0"/>
                <w:bCs w:val="0"/>
                <w:color w:val="auto"/>
                <w:kern w:val="0"/>
                <w:sz w:val="21"/>
                <w:szCs w:val="21"/>
                <w:highlight w:val="none"/>
                <w:lang w:bidi="ar"/>
              </w:rPr>
              <w:t>大件运输许可申请辅助审查任务后，</w:t>
            </w:r>
            <w:r>
              <w:rPr>
                <w:rFonts w:hint="eastAsia" w:ascii="宋体" w:hAnsi="宋体" w:eastAsia="宋体" w:cs="宋体"/>
                <w:b w:val="0"/>
                <w:bCs w:val="0"/>
                <w:color w:val="auto"/>
                <w:kern w:val="0"/>
                <w:sz w:val="21"/>
                <w:szCs w:val="21"/>
                <w:highlight w:val="none"/>
                <w:lang w:val="en-US" w:eastAsia="zh-CN" w:bidi="ar"/>
              </w:rPr>
              <w:t>需</w:t>
            </w:r>
            <w:r>
              <w:rPr>
                <w:rFonts w:hint="eastAsia" w:ascii="宋体" w:hAnsi="宋体" w:eastAsia="宋体" w:cs="宋体"/>
                <w:b w:val="0"/>
                <w:bCs w:val="0"/>
                <w:color w:val="auto"/>
                <w:kern w:val="0"/>
                <w:sz w:val="21"/>
                <w:szCs w:val="21"/>
                <w:highlight w:val="none"/>
                <w:lang w:bidi="ar"/>
              </w:rPr>
              <w:t>按以下时限出具意见：</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行政辅助审查意见：</w:t>
            </w: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个工作日内；</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复核意见：5个工作日内。任务下达时间以系统记录为准。</w:t>
            </w:r>
          </w:p>
          <w:p>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kern w:val="2"/>
                <w:sz w:val="21"/>
                <w:szCs w:val="21"/>
                <w:highlight w:val="none"/>
                <w:lang w:val="en-US" w:eastAsia="zh-CN" w:bidi="ar"/>
              </w:rPr>
              <w:t>2.本项目须按照</w:t>
            </w:r>
            <w:r>
              <w:rPr>
                <w:rFonts w:hint="eastAsia" w:ascii="宋体" w:hAnsi="宋体" w:eastAsia="宋体" w:cs="宋体"/>
                <w:color w:val="auto"/>
                <w:highlight w:val="none"/>
                <w:lang w:eastAsia="zh-CN"/>
              </w:rPr>
              <w:t>必须严格遵守《中华人民共和国公路法》、《公路安全保护条例》、《超限运输车辆行驶公路管理规定》、《行政许可法》、《公路大件运输安全通行评价技术规范》（JTG/T 2213-2023）等国家法律法规、部门规章和技术标准规范</w:t>
            </w:r>
            <w:r>
              <w:rPr>
                <w:rFonts w:hint="eastAsia" w:ascii="宋体" w:hAnsi="宋体" w:eastAsia="宋体" w:cs="宋体"/>
                <w:color w:val="auto"/>
                <w:kern w:val="2"/>
                <w:sz w:val="21"/>
                <w:szCs w:val="21"/>
                <w:highlight w:val="none"/>
                <w:lang w:val="en-US" w:eastAsia="zh-CN" w:bidi="ar"/>
              </w:rPr>
              <w:t>要求进行。于2026年11月30日前提交阶段成果材料进行验收。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售后服务</w:t>
            </w:r>
          </w:p>
        </w:tc>
        <w:tc>
          <w:tcPr>
            <w:tcW w:w="8389" w:type="dxa"/>
            <w:gridSpan w:val="3"/>
            <w:noWrap w:val="0"/>
            <w:vAlign w:val="center"/>
          </w:tcPr>
          <w:p>
            <w:pPr>
              <w:keepNext w:val="0"/>
              <w:keepLines w:val="0"/>
              <w:widowControl w:val="0"/>
              <w:numPr>
                <w:ilvl w:val="0"/>
                <w:numId w:val="2"/>
              </w:numPr>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处理问题响应时间：接到采购人处理问题通知后，30分钟响应，确保有专人积极处理。</w:t>
            </w:r>
          </w:p>
          <w:p>
            <w:pPr>
              <w:keepNext w:val="0"/>
              <w:keepLines w:val="0"/>
              <w:widowControl w:val="0"/>
              <w:numPr>
                <w:ilvl w:val="0"/>
                <w:numId w:val="2"/>
              </w:numPr>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对于日常业务咨询和常规问题，派驻采购人现场的驻点工作人员须提供即时响应与处理。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付款条件</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1.本项目无预付款，合同签订生效后5个工作日内，成交供应商向采购人开具合同总额20%的增值税发票,采购人收到增值税发票后5个工作日</w:t>
            </w:r>
            <w:r>
              <w:rPr>
                <w:rFonts w:hint="eastAsia" w:ascii="Times New Roman" w:hAnsi="Times New Roman" w:eastAsia="宋体" w:cs="Times New Roman"/>
                <w:color w:val="auto"/>
                <w:highlight w:val="none"/>
              </w:rPr>
              <w:t>内</w:t>
            </w:r>
            <w:r>
              <w:rPr>
                <w:rFonts w:hint="eastAsia" w:ascii="宋体" w:hAnsi="宋体" w:eastAsia="宋体" w:cs="宋体"/>
                <w:color w:val="auto"/>
                <w:kern w:val="2"/>
                <w:sz w:val="21"/>
                <w:szCs w:val="21"/>
                <w:highlight w:val="none"/>
                <w:lang w:val="en-US" w:eastAsia="zh-CN" w:bidi="ar"/>
              </w:rPr>
              <w:t>向成交供应商支付合同总额的20%；供应商完成项目驻场经采购人确认后，成交供应商向采购人开具合同总额50%的增值税发票,采购人收到增值税发票后5个工作日内向成交供应商支付合同总额的50%；2026年11月30日前，按照成果交付时间第2点提供验收材料验收合格后5个工作日内，成交供应商向采购人开具剩余合同额（即合同总额的30%）的增值税发票，采购人收到发票后3个工作日内向成交供应商支付剩余合同额（即合同总额的30%）；合同总额包括项目开展过程中发生的所有费用。</w:t>
            </w:r>
          </w:p>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2.成交供应商需按结算总额提供合法有效的增值税发票给采购人，采购人收到发票后通过银行转账的方式付款。成交供应商未按合同约定开具增值税发票的，采购人有权不予支付。如成交供应商开具虚假、作废等无效发票或者违反国家法律法规开具、提供发票的，成交供应商应自行承担相应法律责任，并向采购人支付票面总价10%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报价要求</w:t>
            </w:r>
          </w:p>
        </w:tc>
        <w:tc>
          <w:tcPr>
            <w:tcW w:w="8389" w:type="dxa"/>
            <w:gridSpan w:val="3"/>
            <w:noWrap w:val="0"/>
            <w:vAlign w:val="center"/>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报价必须含以下部分，包括：</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（1）服务的价格；</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（2）必要的保险费用和各项税金；</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（3）收集相关数据费用；</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（4）服务及根据最新的法律法规及政策性文件调整服务方案等费用；</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（5）办公、通讯、交通等办公生活相关费用；</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（6）磋商报价除包含上述费用外还包含磋商、与本项目相关必要的其他一切费用，供应商自行考虑风险。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其他要求</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1.如递交的最终成果材料未能与项目实际需求相符的，采购人有权不予验收。</w:t>
            </w:r>
          </w:p>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default"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2.其他未尽事宜由采购人、成交供应商双方在采购合同中详细约定。</w:t>
            </w:r>
          </w:p>
        </w:tc>
      </w:tr>
    </w:tbl>
    <w:p>
      <w:pPr>
        <w:spacing w:line="360" w:lineRule="auto"/>
        <w:ind w:left="119"/>
        <w:rPr>
          <w:rFonts w:hint="eastAsia" w:ascii="宋体" w:hAnsi="宋体" w:eastAsia="宋体" w:cs="宋体"/>
          <w:color w:val="auto"/>
          <w:sz w:val="21"/>
          <w:szCs w:val="21"/>
          <w:highlight w:val="none"/>
        </w:rPr>
      </w:pPr>
    </w:p>
    <w:p>
      <w:pPr>
        <w:jc w:val="left"/>
        <w:rPr>
          <w:rFonts w:hint="eastAsia" w:ascii="Arial Unicode MS" w:hAnsi="Arial Unicode MS" w:eastAsia="Arial Unicode MS" w:cs="Arial Unicode MS"/>
          <w:color w:val="auto"/>
          <w:kern w:val="0"/>
          <w:sz w:val="32"/>
          <w:szCs w:val="32"/>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32"/>
          <w:szCs w:val="32"/>
          <w:highlight w:val="none"/>
        </w:rPr>
        <w:t>附件1</w:t>
      </w:r>
    </w:p>
    <w:p>
      <w:pPr>
        <w:widowControl/>
        <w:spacing w:before="156" w:beforeLines="50" w:after="156" w:afterLines="50" w:line="280" w:lineRule="exact"/>
        <w:jc w:val="center"/>
        <w:rPr>
          <w:rFonts w:ascii="宋体" w:hAnsi="宋体" w:eastAsia="宋体" w:cs="宋体"/>
          <w:b/>
          <w:bCs/>
          <w:color w:val="auto"/>
          <w:kern w:val="0"/>
          <w:sz w:val="30"/>
          <w:szCs w:val="30"/>
          <w:highlight w:val="none"/>
        </w:rPr>
      </w:pPr>
      <w:bookmarkStart w:id="0" w:name="_Toc28361_WPSOffice_Level2"/>
      <w:r>
        <w:rPr>
          <w:rFonts w:hint="eastAsia" w:ascii="宋体" w:hAnsi="宋体" w:eastAsia="宋体" w:cs="宋体"/>
          <w:b/>
          <w:bCs/>
          <w:color w:val="auto"/>
          <w:kern w:val="0"/>
          <w:sz w:val="30"/>
          <w:szCs w:val="30"/>
          <w:highlight w:val="none"/>
        </w:rPr>
        <w:t>统计上大中小微型企业划分标准</w:t>
      </w:r>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highlight w:val="none"/>
        </w:rPr>
      </w:pPr>
    </w:p>
    <w:p>
      <w:pPr>
        <w:widowControl/>
        <w:spacing w:line="480" w:lineRule="auto"/>
        <w:rPr>
          <w:rFonts w:hint="eastAsia" w:ascii="宋体" w:hAnsi="宋体" w:eastAsia="宋体" w:cs="宋体"/>
          <w:color w:val="auto"/>
          <w:spacing w:val="8"/>
          <w:kern w:val="0"/>
          <w:szCs w:val="21"/>
          <w:highlight w:val="none"/>
        </w:rPr>
      </w:pPr>
    </w:p>
    <w:p>
      <w:pPr>
        <w:widowControl/>
        <w:spacing w:line="48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pStyle w:val="5"/>
        <w:adjustRightInd w:val="0"/>
        <w:spacing w:line="480" w:lineRule="auto"/>
        <w:ind w:firstLine="432" w:firstLineChars="200"/>
        <w:contextualSpacing/>
        <w:rPr>
          <w:rFonts w:hAnsi="宋体" w:eastAsia="宋体" w:cs="宋体"/>
          <w:color w:val="auto"/>
          <w:spacing w:val="8"/>
          <w:kern w:val="0"/>
          <w:szCs w:val="21"/>
          <w:highlight w:val="none"/>
        </w:rPr>
      </w:pPr>
      <w:r>
        <w:rPr>
          <w:rFonts w:hint="eastAsia" w:hAnsi="宋体" w:eastAsia="宋体" w:cs="宋体"/>
          <w:color w:val="auto"/>
          <w:spacing w:val="8"/>
          <w:kern w:val="0"/>
          <w:szCs w:val="21"/>
          <w:highlight w:val="none"/>
        </w:rPr>
        <w:t>1.大型、中型和小型企业须同时满足所列指标的下限，否则下划一档；微型企业只须满足所列指标中的一项即可。</w:t>
      </w:r>
    </w:p>
    <w:p>
      <w:pPr>
        <w:pStyle w:val="5"/>
        <w:adjustRightInd w:val="0"/>
        <w:spacing w:line="480" w:lineRule="auto"/>
        <w:ind w:firstLine="432" w:firstLineChars="200"/>
        <w:contextualSpacing/>
        <w:rPr>
          <w:rFonts w:hAnsi="宋体" w:eastAsia="宋体" w:cs="宋体"/>
          <w:color w:val="auto"/>
          <w:spacing w:val="8"/>
          <w:kern w:val="0"/>
          <w:szCs w:val="21"/>
          <w:highlight w:val="none"/>
        </w:rPr>
      </w:pPr>
      <w:r>
        <w:rPr>
          <w:rFonts w:hint="eastAsia"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eastAsia="宋体" w:cs="宋体"/>
          <w:color w:val="auto"/>
          <w:spacing w:val="8"/>
          <w:kern w:val="0"/>
          <w:szCs w:val="21"/>
          <w:highlight w:val="none"/>
          <w:lang w:eastAsia="zh-CN"/>
        </w:rPr>
        <w:t>；</w:t>
      </w:r>
      <w:r>
        <w:rPr>
          <w:rFonts w:hint="eastAsia"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5"/>
        <w:spacing w:line="480" w:lineRule="auto"/>
        <w:ind w:firstLine="432" w:firstLineChars="200"/>
        <w:rPr>
          <w:rFonts w:hint="eastAsia" w:hAnsi="宋体" w:eastAsia="宋体" w:cs="宋体"/>
          <w:color w:val="auto"/>
          <w:spacing w:val="8"/>
          <w:kern w:val="0"/>
          <w:szCs w:val="21"/>
          <w:highlight w:val="none"/>
        </w:rPr>
      </w:pPr>
      <w:r>
        <w:rPr>
          <w:rFonts w:hint="eastAsia" w:hAnsi="宋体" w:eastAsia="宋体" w:cs="宋体"/>
          <w:color w:val="auto"/>
          <w:spacing w:val="8"/>
          <w:kern w:val="0"/>
          <w:szCs w:val="21"/>
          <w:highlight w:val="none"/>
        </w:rPr>
        <w:t>3.企业划分指标以现行统计制度为准。（1）从业人员，是指期末从业人员数，没有期末从业人员数的，采用全年平均人员数代替。（2）</w:t>
      </w:r>
      <w:bookmarkStart w:id="1" w:name="_GoBack"/>
      <w:bookmarkEnd w:id="1"/>
      <w:r>
        <w:rPr>
          <w:rFonts w:hint="eastAsia" w:hAnsi="宋体" w:eastAsia="宋体" w:cs="宋体"/>
          <w:color w:val="auto"/>
          <w:spacing w:val="8"/>
          <w:kern w:val="0"/>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7FFAEFF" w:usb1="F9DFFFFF" w:usb2="0000007F" w:usb3="00000000" w:csb0="203F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6D1E0"/>
    <w:multiLevelType w:val="singleLevel"/>
    <w:tmpl w:val="B846D1E0"/>
    <w:lvl w:ilvl="0" w:tentative="0">
      <w:start w:val="1"/>
      <w:numFmt w:val="decimal"/>
      <w:lvlText w:val="%1."/>
      <w:lvlJc w:val="left"/>
      <w:pPr>
        <w:tabs>
          <w:tab w:val="left" w:pos="312"/>
        </w:tabs>
      </w:pPr>
    </w:lvl>
  </w:abstractNum>
  <w:abstractNum w:abstractNumId="1">
    <w:nsid w:val="154846B0"/>
    <w:multiLevelType w:val="singleLevel"/>
    <w:tmpl w:val="154846B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4AA2490A"/>
    <w:rsid w:val="1D2C6FB1"/>
    <w:rsid w:val="4AA2490A"/>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Plain Text"/>
    <w:next w:val="3"/>
    <w:qFormat/>
    <w:uiPriority w:val="0"/>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2026-04-28T09:27:00Z</dcterms:created>
  <dc:creator>A</dc:creator>
  <cp:lastModifiedBy>A</cp:lastModifiedBy>
  <dcterms:modified xsi:type="dcterms:W3CDTF">2026-04-28T09:27:57Z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AC119F96575049B4823A95270BCEC775_11</vt:lpwstr>
  </property>
</Properties>
</file>