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F89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bookmarkStart w:id="1" w:name="_Toc28359026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7DE54F6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35393814"/>
      <w:bookmarkStart w:id="4" w:name="_Toc28359027"/>
      <w:bookmarkStart w:id="5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09EBF940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ZFCG-JTSZZB2026-37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</w:p>
    <w:p w14:paraId="11339E1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阿尔泰山国有林管理局青河分局2026年封山育林管护服务项目</w:t>
      </w:r>
    </w:p>
    <w:p w14:paraId="50B989C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2026年4月27日</w:t>
      </w:r>
    </w:p>
    <w:p w14:paraId="1C27861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815"/>
      <w:bookmarkStart w:id="9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1A494B3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4CED81E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技术标评分汇总的计算方法取消“去掉一个最高一个最低分”，改为：“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技术标在进行汇总时，应计算分项项目评分的平均值。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”</w:t>
      </w:r>
      <w:bookmarkStart w:id="28" w:name="_GoBack"/>
      <w:bookmarkEnd w:id="28"/>
    </w:p>
    <w:p w14:paraId="5256411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2026年4月28日</w:t>
      </w:r>
    </w:p>
    <w:p w14:paraId="300A2A0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2288D2E5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4EBECBD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A5F766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35393818"/>
      <w:bookmarkStart w:id="17" w:name="_Toc35393649"/>
      <w:bookmarkStart w:id="18" w:name="_Toc28359107"/>
      <w:bookmarkStart w:id="19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5B4B3A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新疆维吾尔自治区阿尔泰山国有林管理局青河分局</w:t>
      </w:r>
    </w:p>
    <w:p w14:paraId="58B8E37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青河县                                      </w:t>
      </w:r>
    </w:p>
    <w:p w14:paraId="08DA8FE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15909066373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 w14:paraId="52969881">
      <w:pPr>
        <w:rPr>
          <w:rFonts w:ascii="仿宋" w:hAnsi="仿宋" w:eastAsia="仿宋"/>
          <w:sz w:val="28"/>
          <w:szCs w:val="28"/>
          <w:u w:val="single"/>
        </w:rPr>
      </w:pPr>
    </w:p>
    <w:p w14:paraId="7D38FA84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35393650"/>
      <w:bookmarkStart w:id="21" w:name="_Toc28359031"/>
      <w:bookmarkStart w:id="22" w:name="_Toc28359108"/>
      <w:bookmarkStart w:id="23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3B2C4AC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新疆金泰首致项目管理咨询有限公司</w:t>
      </w:r>
    </w:p>
    <w:p w14:paraId="6C776EFF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阿勒泰市迎宾路佰颂广场6楼      </w:t>
      </w:r>
    </w:p>
    <w:p w14:paraId="636B961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032"/>
      <w:bookmarkStart w:id="25" w:name="_Toc28359109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13699942235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181B8CBB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79FB7481">
      <w:pPr>
        <w:pStyle w:val="6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邓胜楠                         </w:t>
      </w:r>
    </w:p>
    <w:p w14:paraId="1E2CF65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13699942235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4EC89F3-28E1-483F-BD9D-A36421F0C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AF4DB0E-A310-45F6-8F1B-D10964ABCD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A391F9-8319-47E2-8317-FD26E898B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7662462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D1688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43325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A4768AD"/>
    <w:rsid w:val="217C6D52"/>
    <w:rsid w:val="2E8D1DF4"/>
    <w:rsid w:val="6F640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359</Words>
  <Characters>420</Characters>
  <Lines>1</Lines>
  <Paragraphs>1</Paragraphs>
  <TotalTime>1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LR</cp:lastModifiedBy>
  <cp:lastPrinted>2020-03-23T07:37:00Z</cp:lastPrinted>
  <dcterms:modified xsi:type="dcterms:W3CDTF">2026-04-28T09:37:49Z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3A3E6FD0BFA6418B9C8D77611E785EA7</vt:lpwstr>
  </property>
  <property fmtid="{D5CDD505-2E9C-101B-9397-08002B2CF9AE}" pid="4" name="KSOTemplateDocerSaveRecord">
    <vt:lpwstr>eyJoZGlkIjoiN2I3ZDhhMDA5MTQwOWZlZmMxOGIzZTlhMmQyOTU0ZWEiLCJ1c2VySWQiOiI1OTEyMzY1NDcifQ==</vt:lpwstr>
  </property>
</Properties>
</file>