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CDC341">
      <w:pPr>
        <w:pStyle w:val="11"/>
        <w:wordWrap/>
        <w:spacing w:before="157" w:beforeLines="50" w:line="560" w:lineRule="exact"/>
        <w:jc w:val="center"/>
        <w:rPr>
          <w:rFonts w:hint="eastAsia" w:ascii="隶书" w:hAnsi="华文中宋" w:eastAsia="隶书"/>
          <w:sz w:val="84"/>
          <w:szCs w:val="84"/>
        </w:rPr>
      </w:pPr>
    </w:p>
    <w:p w14:paraId="5E4AB6B5">
      <w:pPr>
        <w:pStyle w:val="11"/>
        <w:keepNext w:val="0"/>
        <w:keepLines w:val="0"/>
        <w:pageBreakBefore w:val="0"/>
        <w:widowControl w:val="0"/>
        <w:kinsoku/>
        <w:wordWrap/>
        <w:overflowPunct/>
        <w:topLinePunct w:val="0"/>
        <w:autoSpaceDE/>
        <w:autoSpaceDN/>
        <w:bidi w:val="0"/>
        <w:spacing w:before="313" w:beforeLines="100" w:after="313" w:afterLines="100" w:line="240" w:lineRule="auto"/>
        <w:jc w:val="center"/>
        <w:textAlignment w:val="auto"/>
        <w:rPr>
          <w:rFonts w:hint="eastAsia" w:ascii="华文中宋" w:hAnsi="华文中宋" w:eastAsia="华文中宋" w:cs="华文中宋"/>
          <w:bCs/>
          <w:sz w:val="84"/>
          <w:szCs w:val="84"/>
        </w:rPr>
      </w:pPr>
      <w:r>
        <w:rPr>
          <w:rFonts w:hint="eastAsia" w:ascii="华文中宋" w:hAnsi="华文中宋" w:eastAsia="华文中宋" w:cs="华文中宋"/>
          <w:sz w:val="84"/>
          <w:szCs w:val="84"/>
        </w:rPr>
        <w:t>政府采购</w:t>
      </w:r>
    </w:p>
    <w:p w14:paraId="5E4FD695">
      <w:pPr>
        <w:pStyle w:val="11"/>
        <w:keepNext w:val="0"/>
        <w:keepLines w:val="0"/>
        <w:pageBreakBefore w:val="0"/>
        <w:widowControl w:val="0"/>
        <w:kinsoku/>
        <w:wordWrap/>
        <w:overflowPunct/>
        <w:topLinePunct w:val="0"/>
        <w:autoSpaceDE/>
        <w:autoSpaceDN/>
        <w:bidi w:val="0"/>
        <w:adjustRightInd w:val="0"/>
        <w:snapToGrid w:val="0"/>
        <w:spacing w:before="313" w:beforeLines="100" w:after="313" w:afterLines="100" w:line="240" w:lineRule="auto"/>
        <w:jc w:val="center"/>
        <w:textAlignment w:val="auto"/>
        <w:rPr>
          <w:rFonts w:hint="eastAsia" w:ascii="华文中宋" w:hAnsi="华文中宋" w:eastAsia="华文中宋" w:cs="华文中宋"/>
          <w:sz w:val="84"/>
          <w:szCs w:val="84"/>
        </w:rPr>
      </w:pPr>
      <w:r>
        <w:rPr>
          <w:rFonts w:hint="eastAsia" w:ascii="华文中宋" w:hAnsi="华文中宋" w:eastAsia="华文中宋" w:cs="华文中宋"/>
          <w:sz w:val="84"/>
          <w:szCs w:val="84"/>
        </w:rPr>
        <w:t>竞争性谈判文件</w:t>
      </w:r>
    </w:p>
    <w:p w14:paraId="0CC38F51">
      <w:pPr>
        <w:pStyle w:val="11"/>
        <w:widowControl w:val="0"/>
        <w:wordWrap/>
        <w:adjustRightInd w:val="0"/>
        <w:snapToGrid w:val="0"/>
        <w:spacing w:before="313" w:beforeLines="100" w:line="560" w:lineRule="exact"/>
        <w:ind w:left="7043" w:leftChars="554" w:hanging="5880" w:hangingChars="700"/>
        <w:textAlignment w:val="auto"/>
        <w:rPr>
          <w:rFonts w:hint="eastAsia" w:ascii="华文中宋" w:hAnsi="华文中宋" w:eastAsia="华文中宋" w:cs="华文中宋"/>
          <w:sz w:val="84"/>
          <w:szCs w:val="84"/>
        </w:rPr>
      </w:pPr>
    </w:p>
    <w:p w14:paraId="7411B9B7">
      <w:pPr>
        <w:pStyle w:val="11"/>
        <w:widowControl w:val="0"/>
        <w:wordWrap/>
        <w:adjustRightInd w:val="0"/>
        <w:snapToGrid w:val="0"/>
        <w:spacing w:before="313" w:beforeLines="100" w:line="560" w:lineRule="exact"/>
        <w:ind w:left="2563" w:leftChars="554" w:hanging="1400" w:hangingChars="700"/>
        <w:textAlignment w:val="auto"/>
        <w:rPr>
          <w:rFonts w:ascii="Tahoma" w:hAnsi="Tahoma" w:cs="Tahoma"/>
          <w:sz w:val="20"/>
          <w:szCs w:val="20"/>
        </w:rPr>
      </w:pPr>
    </w:p>
    <w:p w14:paraId="56C91D1B">
      <w:pPr>
        <w:widowControl w:val="0"/>
        <w:wordWrap/>
        <w:adjustRightInd w:val="0"/>
        <w:snapToGrid w:val="0"/>
        <w:spacing w:before="157" w:beforeLines="50" w:line="560" w:lineRule="exact"/>
        <w:ind w:firstLine="0" w:firstLineChars="0"/>
        <w:textAlignment w:val="auto"/>
        <w:rPr>
          <w:rFonts w:hint="eastAsia" w:ascii="华文中宋" w:hAnsi="华文中宋" w:eastAsia="华文中宋" w:cs="华文中宋"/>
          <w:b w:val="0"/>
          <w:bCs/>
          <w:sz w:val="28"/>
          <w:szCs w:val="28"/>
          <w:lang w:eastAsia="zh-CN"/>
        </w:rPr>
      </w:pPr>
      <w:r>
        <w:rPr>
          <w:rFonts w:hint="eastAsia" w:ascii="华文中宋" w:hAnsi="华文中宋" w:eastAsia="华文中宋" w:cs="华文中宋"/>
          <w:b w:val="0"/>
          <w:bCs/>
          <w:sz w:val="28"/>
          <w:szCs w:val="28"/>
          <w:lang w:eastAsia="zh-CN"/>
        </w:rPr>
        <w:t>采购项目名称：</w:t>
      </w:r>
      <w:bookmarkStart w:id="0" w:name="OLE_LINK25"/>
      <w:r>
        <w:rPr>
          <w:rFonts w:hint="eastAsia" w:ascii="华文中宋" w:hAnsi="华文中宋" w:eastAsia="华文中宋" w:cs="华文中宋"/>
          <w:b w:val="0"/>
          <w:bCs/>
          <w:sz w:val="28"/>
          <w:szCs w:val="28"/>
          <w:lang w:eastAsia="zh-CN"/>
        </w:rPr>
        <w:t>刚察县医共体沙柳河镇分院2026年老年病科建设项目</w:t>
      </w:r>
      <w:bookmarkEnd w:id="0"/>
    </w:p>
    <w:p w14:paraId="0E32699E">
      <w:pPr>
        <w:widowControl w:val="0"/>
        <w:wordWrap/>
        <w:adjustRightInd w:val="0"/>
        <w:snapToGrid w:val="0"/>
        <w:spacing w:before="157" w:beforeLines="50" w:line="560" w:lineRule="exact"/>
        <w:ind w:firstLine="0" w:firstLineChars="0"/>
        <w:textAlignment w:val="auto"/>
        <w:rPr>
          <w:rFonts w:hint="eastAsia" w:ascii="华文中宋" w:hAnsi="华文中宋" w:eastAsia="华文中宋" w:cs="华文中宋"/>
          <w:b w:val="0"/>
          <w:bCs/>
          <w:sz w:val="28"/>
          <w:szCs w:val="28"/>
          <w:lang w:eastAsia="zh-CN"/>
        </w:rPr>
      </w:pPr>
      <w:r>
        <w:rPr>
          <w:rFonts w:hint="eastAsia" w:ascii="华文中宋" w:hAnsi="华文中宋" w:eastAsia="华文中宋" w:cs="华文中宋"/>
          <w:b w:val="0"/>
          <w:bCs/>
          <w:sz w:val="28"/>
          <w:szCs w:val="28"/>
          <w:lang w:eastAsia="zh-CN"/>
        </w:rPr>
        <w:t>采购</w:t>
      </w:r>
      <w:r>
        <w:rPr>
          <w:rFonts w:hint="eastAsia" w:ascii="华文中宋" w:hAnsi="华文中宋" w:eastAsia="华文中宋" w:cs="华文中宋"/>
          <w:b w:val="0"/>
          <w:bCs/>
          <w:sz w:val="28"/>
          <w:szCs w:val="28"/>
          <w:lang w:val="en-US" w:eastAsia="zh-CN"/>
        </w:rPr>
        <w:t>项目</w:t>
      </w:r>
      <w:r>
        <w:rPr>
          <w:rFonts w:hint="eastAsia" w:ascii="华文中宋" w:hAnsi="华文中宋" w:eastAsia="华文中宋" w:cs="华文中宋"/>
          <w:b w:val="0"/>
          <w:bCs/>
          <w:sz w:val="28"/>
          <w:szCs w:val="28"/>
          <w:lang w:eastAsia="zh-CN"/>
        </w:rPr>
        <w:t>编号：青海赫铭竞谈（货物）2026-008</w:t>
      </w:r>
    </w:p>
    <w:p w14:paraId="38A9E62B">
      <w:pPr>
        <w:widowControl w:val="0"/>
        <w:wordWrap/>
        <w:adjustRightInd w:val="0"/>
        <w:snapToGrid w:val="0"/>
        <w:spacing w:before="157" w:beforeLines="50" w:line="560" w:lineRule="exact"/>
        <w:ind w:firstLine="0" w:firstLineChars="0"/>
        <w:textAlignment w:val="auto"/>
        <w:rPr>
          <w:rFonts w:hint="eastAsia" w:ascii="华文中宋" w:hAnsi="华文中宋" w:eastAsia="华文中宋" w:cs="华文中宋"/>
          <w:b w:val="0"/>
          <w:bCs/>
          <w:sz w:val="28"/>
          <w:szCs w:val="28"/>
          <w:lang w:eastAsia="zh-CN"/>
        </w:rPr>
      </w:pPr>
      <w:r>
        <w:rPr>
          <w:rFonts w:hint="eastAsia" w:ascii="华文中宋" w:hAnsi="华文中宋" w:eastAsia="华文中宋" w:cs="华文中宋"/>
          <w:b w:val="0"/>
          <w:bCs/>
          <w:sz w:val="28"/>
          <w:szCs w:val="28"/>
          <w:lang w:eastAsia="zh-CN"/>
        </w:rPr>
        <w:t>采   购   人：刚察县沙柳河镇卫生院</w:t>
      </w:r>
    </w:p>
    <w:p w14:paraId="77556EE1">
      <w:pPr>
        <w:widowControl w:val="0"/>
        <w:wordWrap/>
        <w:autoSpaceDE w:val="0"/>
        <w:autoSpaceDN w:val="0"/>
        <w:adjustRightInd w:val="0"/>
        <w:spacing w:before="157" w:beforeLines="50" w:line="560" w:lineRule="exact"/>
        <w:jc w:val="left"/>
        <w:textAlignment w:val="auto"/>
        <w:rPr>
          <w:rFonts w:hint="eastAsia" w:ascii="华文中宋" w:hAnsi="华文中宋" w:eastAsia="华文中宋" w:cs="华文中宋"/>
          <w:b w:val="0"/>
          <w:bCs/>
          <w:sz w:val="32"/>
          <w:szCs w:val="32"/>
        </w:rPr>
      </w:pPr>
    </w:p>
    <w:p w14:paraId="3C0EEE27">
      <w:pPr>
        <w:widowControl w:val="0"/>
        <w:wordWrap/>
        <w:autoSpaceDE w:val="0"/>
        <w:autoSpaceDN w:val="0"/>
        <w:adjustRightInd w:val="0"/>
        <w:spacing w:before="157" w:beforeLines="50" w:line="560" w:lineRule="exact"/>
        <w:jc w:val="left"/>
        <w:textAlignment w:val="auto"/>
        <w:rPr>
          <w:rFonts w:hint="eastAsia" w:ascii="华文中宋" w:hAnsi="华文中宋" w:eastAsia="华文中宋" w:cs="华文中宋"/>
          <w:b w:val="0"/>
          <w:bCs/>
          <w:sz w:val="32"/>
          <w:szCs w:val="32"/>
        </w:rPr>
      </w:pPr>
    </w:p>
    <w:p w14:paraId="37CB6DE3">
      <w:pPr>
        <w:widowControl w:val="0"/>
        <w:wordWrap/>
        <w:autoSpaceDE w:val="0"/>
        <w:autoSpaceDN w:val="0"/>
        <w:adjustRightInd w:val="0"/>
        <w:spacing w:before="157" w:beforeLines="50" w:line="560" w:lineRule="exact"/>
        <w:jc w:val="left"/>
        <w:textAlignment w:val="auto"/>
        <w:rPr>
          <w:rFonts w:hint="eastAsia" w:ascii="华文中宋" w:hAnsi="华文中宋" w:eastAsia="华文中宋" w:cs="华文中宋"/>
          <w:b w:val="0"/>
          <w:bCs/>
          <w:sz w:val="32"/>
          <w:szCs w:val="32"/>
        </w:rPr>
      </w:pPr>
    </w:p>
    <w:p w14:paraId="266E51BC">
      <w:pPr>
        <w:widowControl w:val="0"/>
        <w:wordWrap/>
        <w:adjustRightInd w:val="0"/>
        <w:snapToGrid w:val="0"/>
        <w:spacing w:before="157" w:beforeLines="50" w:line="560" w:lineRule="exact"/>
        <w:ind w:firstLine="0" w:firstLineChars="0"/>
        <w:textAlignment w:val="auto"/>
        <w:rPr>
          <w:rFonts w:hint="eastAsia" w:ascii="华文中宋" w:hAnsi="华文中宋" w:eastAsia="华文中宋" w:cs="华文中宋"/>
          <w:b w:val="0"/>
          <w:bCs/>
          <w:sz w:val="28"/>
          <w:szCs w:val="28"/>
          <w:lang w:val="zh-CN" w:eastAsia="zh-CN"/>
        </w:rPr>
      </w:pPr>
      <w:r>
        <w:rPr>
          <w:rFonts w:hint="eastAsia" w:ascii="华文中宋" w:hAnsi="华文中宋" w:eastAsia="华文中宋" w:cs="华文中宋"/>
          <w:b w:val="0"/>
          <w:bCs/>
          <w:sz w:val="28"/>
          <w:szCs w:val="28"/>
          <w:lang w:eastAsia="zh-CN"/>
        </w:rPr>
        <w:t>采购代理机构：青海赫铭工程项目管理有限公司</w:t>
      </w:r>
    </w:p>
    <w:p w14:paraId="02426629">
      <w:pPr>
        <w:widowControl w:val="0"/>
        <w:wordWrap/>
        <w:autoSpaceDE w:val="0"/>
        <w:autoSpaceDN w:val="0"/>
        <w:adjustRightInd w:val="0"/>
        <w:spacing w:before="157" w:beforeLines="50" w:line="560" w:lineRule="exact"/>
        <w:jc w:val="left"/>
        <w:textAlignment w:val="auto"/>
        <w:rPr>
          <w:rFonts w:hint="eastAsia" w:ascii="华文中宋" w:hAnsi="华文中宋" w:eastAsia="华文中宋" w:cs="华文中宋"/>
          <w:color w:val="000000"/>
          <w:kern w:val="0"/>
          <w:sz w:val="32"/>
          <w:szCs w:val="32"/>
          <w:lang w:val="zh-CN"/>
        </w:rPr>
      </w:pPr>
    </w:p>
    <w:p w14:paraId="0B56C1F5">
      <w:pPr>
        <w:wordWrap/>
        <w:autoSpaceDE w:val="0"/>
        <w:autoSpaceDN w:val="0"/>
        <w:adjustRightInd w:val="0"/>
        <w:spacing w:before="157" w:beforeLines="50" w:line="560" w:lineRule="exact"/>
        <w:jc w:val="center"/>
        <w:rPr>
          <w:rFonts w:hint="eastAsia" w:ascii="宋体" w:hAnsi="宋体" w:cs="宋体"/>
          <w:color w:val="000000"/>
          <w:kern w:val="0"/>
          <w:sz w:val="30"/>
          <w:szCs w:val="30"/>
          <w:lang w:val="zh-CN"/>
        </w:rPr>
      </w:pPr>
      <w:r>
        <w:rPr>
          <w:rFonts w:hint="eastAsia" w:ascii="宋体" w:hAnsi="宋体" w:cs="宋体"/>
          <w:color w:val="000000"/>
          <w:kern w:val="0"/>
          <w:sz w:val="30"/>
          <w:szCs w:val="30"/>
          <w:lang w:val="zh-CN"/>
        </w:rPr>
        <w:t>2026年</w:t>
      </w:r>
      <w:r>
        <w:rPr>
          <w:rFonts w:hint="eastAsia" w:ascii="宋体" w:hAnsi="宋体" w:cs="宋体"/>
          <w:color w:val="000000"/>
          <w:kern w:val="0"/>
          <w:sz w:val="30"/>
          <w:szCs w:val="30"/>
          <w:lang w:val="en-US" w:eastAsia="zh-CN"/>
        </w:rPr>
        <w:t>4</w:t>
      </w:r>
      <w:r>
        <w:rPr>
          <w:rFonts w:hint="eastAsia" w:ascii="宋体" w:hAnsi="宋体" w:cs="宋体"/>
          <w:color w:val="000000"/>
          <w:kern w:val="0"/>
          <w:sz w:val="30"/>
          <w:szCs w:val="30"/>
          <w:lang w:val="zh-CN"/>
        </w:rPr>
        <w:t>月</w:t>
      </w:r>
    </w:p>
    <w:p w14:paraId="72122961">
      <w:pPr>
        <w:wordWrap/>
        <w:autoSpaceDE w:val="0"/>
        <w:autoSpaceDN w:val="0"/>
        <w:adjustRightInd w:val="0"/>
        <w:spacing w:before="157" w:beforeLines="50" w:line="560" w:lineRule="exact"/>
        <w:jc w:val="left"/>
        <w:rPr>
          <w:rFonts w:hint="eastAsia" w:ascii="宋体" w:hAnsi="宋体" w:cs="宋体"/>
          <w:color w:val="000000"/>
          <w:kern w:val="0"/>
          <w:sz w:val="30"/>
          <w:szCs w:val="30"/>
          <w:lang w:val="zh-CN"/>
        </w:rPr>
        <w:sectPr>
          <w:pgSz w:w="11906" w:h="16838"/>
          <w:pgMar w:top="1984" w:right="1474" w:bottom="1871" w:left="1474"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sdt>
      <w:sdtPr>
        <w:rPr>
          <w:rFonts w:ascii="宋体" w:hAnsi="宋体" w:eastAsia="宋体" w:cs="Times New Roman"/>
          <w:kern w:val="2"/>
          <w:sz w:val="21"/>
          <w:szCs w:val="24"/>
          <w:lang w:val="en-US" w:eastAsia="zh-CN" w:bidi="ar-SA"/>
        </w:rPr>
        <w:id w:val="147478975"/>
        <w15:color w:val="DBDBDB"/>
        <w:docPartObj>
          <w:docPartGallery w:val="Table of Contents"/>
          <w:docPartUnique/>
        </w:docPartObj>
      </w:sdtPr>
      <w:sdtEndPr>
        <w:rPr>
          <w:rFonts w:hint="eastAsia" w:ascii="Times New Roman" w:hAnsi="Times New Roman" w:eastAsia="宋体" w:cs="Times New Roman"/>
          <w:b/>
          <w:kern w:val="0"/>
          <w:sz w:val="20"/>
          <w:szCs w:val="20"/>
          <w:lang w:val="zh-CN" w:eastAsia="zh-CN" w:bidi="ar-SA"/>
        </w:rPr>
      </w:sdtEndPr>
      <w:sdtContent>
        <w:p w14:paraId="46E73FF3">
          <w:pPr>
            <w:spacing w:before="0" w:beforeLines="0" w:after="0" w:afterLines="0" w:line="240" w:lineRule="auto"/>
            <w:ind w:left="0" w:leftChars="0" w:right="0" w:rightChars="0" w:firstLine="0" w:firstLineChars="0"/>
            <w:jc w:val="center"/>
            <w:rPr>
              <w:sz w:val="32"/>
              <w:szCs w:val="40"/>
            </w:rPr>
          </w:pPr>
          <w:r>
            <w:rPr>
              <w:rFonts w:ascii="宋体" w:hAnsi="宋体" w:eastAsia="宋体"/>
              <w:sz w:val="32"/>
              <w:szCs w:val="40"/>
            </w:rPr>
            <w:t>目录</w:t>
          </w:r>
        </w:p>
        <w:p w14:paraId="41B43A5D">
          <w:pPr>
            <w:pStyle w:val="14"/>
            <w:tabs>
              <w:tab w:val="right" w:leader="dot" w:pos="8958"/>
            </w:tabs>
          </w:pPr>
          <w:r>
            <w:rPr>
              <w:rFonts w:hint="eastAsia"/>
              <w:lang w:val="zh-CN"/>
            </w:rPr>
            <w:fldChar w:fldCharType="begin"/>
          </w:r>
          <w:r>
            <w:rPr>
              <w:rFonts w:hint="eastAsia"/>
              <w:lang w:val="zh-CN"/>
            </w:rPr>
            <w:instrText xml:space="preserve">TOC \o "1-2" \h \u </w:instrText>
          </w:r>
          <w:r>
            <w:rPr>
              <w:rFonts w:hint="eastAsia"/>
              <w:lang w:val="zh-CN"/>
            </w:rPr>
            <w:fldChar w:fldCharType="separate"/>
          </w:r>
          <w:r>
            <w:rPr>
              <w:rFonts w:hint="eastAsia"/>
              <w:lang w:val="zh-CN"/>
            </w:rPr>
            <w:fldChar w:fldCharType="begin"/>
          </w:r>
          <w:r>
            <w:rPr>
              <w:rFonts w:hint="eastAsia"/>
              <w:lang w:val="zh-CN"/>
            </w:rPr>
            <w:instrText xml:space="preserve"> HYPERLINK \l _Toc25411 </w:instrText>
          </w:r>
          <w:r>
            <w:rPr>
              <w:rFonts w:hint="eastAsia"/>
              <w:lang w:val="zh-CN"/>
            </w:rPr>
            <w:fldChar w:fldCharType="separate"/>
          </w:r>
          <w:r>
            <w:rPr>
              <w:rFonts w:hint="eastAsia" w:ascii="华文中宋" w:hAnsi="华文中宋" w:eastAsia="华文中宋" w:cs="华文中宋"/>
              <w:bCs w:val="0"/>
              <w:szCs w:val="44"/>
              <w:lang w:val="en-US" w:eastAsia="zh-CN"/>
            </w:rPr>
            <w:t>第一部分 谈判邀请</w:t>
          </w:r>
          <w:r>
            <w:tab/>
          </w:r>
          <w:r>
            <w:fldChar w:fldCharType="begin"/>
          </w:r>
          <w:r>
            <w:instrText xml:space="preserve"> PAGEREF _Toc25411 \h </w:instrText>
          </w:r>
          <w:r>
            <w:fldChar w:fldCharType="separate"/>
          </w:r>
          <w:r>
            <w:t>2</w:t>
          </w:r>
          <w:r>
            <w:fldChar w:fldCharType="end"/>
          </w:r>
          <w:r>
            <w:rPr>
              <w:rFonts w:hint="eastAsia"/>
              <w:lang w:val="zh-CN"/>
            </w:rPr>
            <w:fldChar w:fldCharType="end"/>
          </w:r>
        </w:p>
        <w:p w14:paraId="6F059183">
          <w:pPr>
            <w:pStyle w:val="14"/>
            <w:tabs>
              <w:tab w:val="right" w:leader="dot" w:pos="8958"/>
            </w:tabs>
          </w:pPr>
          <w:r>
            <w:rPr>
              <w:rFonts w:hint="eastAsia"/>
              <w:lang w:val="zh-CN"/>
            </w:rPr>
            <w:fldChar w:fldCharType="begin"/>
          </w:r>
          <w:r>
            <w:rPr>
              <w:rFonts w:hint="eastAsia"/>
              <w:lang w:val="zh-CN"/>
            </w:rPr>
            <w:instrText xml:space="preserve"> HYPERLINK \l _Toc10308 </w:instrText>
          </w:r>
          <w:r>
            <w:rPr>
              <w:rFonts w:hint="eastAsia"/>
              <w:lang w:val="zh-CN"/>
            </w:rPr>
            <w:fldChar w:fldCharType="separate"/>
          </w:r>
          <w:r>
            <w:rPr>
              <w:rFonts w:hint="eastAsia" w:ascii="华文中宋" w:hAnsi="华文中宋" w:eastAsia="华文中宋" w:cs="华文中宋"/>
              <w:bCs w:val="0"/>
              <w:szCs w:val="44"/>
              <w:lang w:val="en-US" w:eastAsia="zh-CN"/>
            </w:rPr>
            <w:t>第二部分  谈判须知</w:t>
          </w:r>
          <w:r>
            <w:tab/>
          </w:r>
          <w:r>
            <w:fldChar w:fldCharType="begin"/>
          </w:r>
          <w:r>
            <w:instrText xml:space="preserve"> PAGEREF _Toc10308 \h </w:instrText>
          </w:r>
          <w:r>
            <w:fldChar w:fldCharType="separate"/>
          </w:r>
          <w:r>
            <w:t>7</w:t>
          </w:r>
          <w:r>
            <w:fldChar w:fldCharType="end"/>
          </w:r>
          <w:r>
            <w:rPr>
              <w:rFonts w:hint="eastAsia"/>
              <w:lang w:val="zh-CN"/>
            </w:rPr>
            <w:fldChar w:fldCharType="end"/>
          </w:r>
        </w:p>
        <w:p w14:paraId="45C46645">
          <w:pPr>
            <w:pStyle w:val="15"/>
            <w:tabs>
              <w:tab w:val="right" w:leader="dot" w:pos="8958"/>
            </w:tabs>
          </w:pPr>
          <w:r>
            <w:rPr>
              <w:rFonts w:hint="eastAsia"/>
              <w:lang w:val="zh-CN"/>
            </w:rPr>
            <w:fldChar w:fldCharType="begin"/>
          </w:r>
          <w:r>
            <w:rPr>
              <w:rFonts w:hint="eastAsia"/>
              <w:lang w:val="zh-CN"/>
            </w:rPr>
            <w:instrText xml:space="preserve"> HYPERLINK \l _Toc2453 </w:instrText>
          </w:r>
          <w:r>
            <w:rPr>
              <w:rFonts w:hint="eastAsia"/>
              <w:lang w:val="zh-CN"/>
            </w:rPr>
            <w:fldChar w:fldCharType="separate"/>
          </w:r>
          <w:r>
            <w:rPr>
              <w:rFonts w:hint="eastAsia" w:ascii="黑体" w:hAnsi="黑体" w:eastAsia="黑体" w:cs="黑体"/>
              <w:bCs w:val="0"/>
              <w:kern w:val="2"/>
              <w:szCs w:val="32"/>
              <w:lang w:val="en-US" w:eastAsia="zh-CN" w:bidi="ar-SA"/>
            </w:rPr>
            <w:t>一、说明</w:t>
          </w:r>
          <w:r>
            <w:tab/>
          </w:r>
          <w:r>
            <w:fldChar w:fldCharType="begin"/>
          </w:r>
          <w:r>
            <w:instrText xml:space="preserve"> PAGEREF _Toc2453 \h </w:instrText>
          </w:r>
          <w:r>
            <w:fldChar w:fldCharType="separate"/>
          </w:r>
          <w:r>
            <w:t>7</w:t>
          </w:r>
          <w:r>
            <w:fldChar w:fldCharType="end"/>
          </w:r>
          <w:r>
            <w:rPr>
              <w:rFonts w:hint="eastAsia"/>
              <w:lang w:val="zh-CN"/>
            </w:rPr>
            <w:fldChar w:fldCharType="end"/>
          </w:r>
        </w:p>
        <w:p w14:paraId="3176EC33">
          <w:pPr>
            <w:pStyle w:val="15"/>
            <w:tabs>
              <w:tab w:val="right" w:leader="dot" w:pos="8958"/>
            </w:tabs>
          </w:pPr>
          <w:r>
            <w:rPr>
              <w:rFonts w:hint="eastAsia"/>
              <w:lang w:val="zh-CN"/>
            </w:rPr>
            <w:fldChar w:fldCharType="begin"/>
          </w:r>
          <w:r>
            <w:rPr>
              <w:rFonts w:hint="eastAsia"/>
              <w:lang w:val="zh-CN"/>
            </w:rPr>
            <w:instrText xml:space="preserve"> HYPERLINK \l _Toc22742 </w:instrText>
          </w:r>
          <w:r>
            <w:rPr>
              <w:rFonts w:hint="eastAsia"/>
              <w:lang w:val="zh-CN"/>
            </w:rPr>
            <w:fldChar w:fldCharType="separate"/>
          </w:r>
          <w:r>
            <w:rPr>
              <w:rFonts w:hint="eastAsia" w:ascii="黑体" w:hAnsi="黑体" w:eastAsia="黑体" w:cs="黑体"/>
              <w:bCs w:val="0"/>
              <w:kern w:val="2"/>
              <w:szCs w:val="32"/>
              <w:lang w:val="en-US" w:eastAsia="zh-CN" w:bidi="ar-SA"/>
            </w:rPr>
            <w:t>二、谈判文件</w:t>
          </w:r>
          <w:r>
            <w:tab/>
          </w:r>
          <w:r>
            <w:fldChar w:fldCharType="begin"/>
          </w:r>
          <w:r>
            <w:instrText xml:space="preserve"> PAGEREF _Toc22742 \h </w:instrText>
          </w:r>
          <w:r>
            <w:fldChar w:fldCharType="separate"/>
          </w:r>
          <w:r>
            <w:t>8</w:t>
          </w:r>
          <w:r>
            <w:fldChar w:fldCharType="end"/>
          </w:r>
          <w:r>
            <w:rPr>
              <w:rFonts w:hint="eastAsia"/>
              <w:lang w:val="zh-CN"/>
            </w:rPr>
            <w:fldChar w:fldCharType="end"/>
          </w:r>
        </w:p>
        <w:p w14:paraId="4154E37E">
          <w:pPr>
            <w:pStyle w:val="15"/>
            <w:tabs>
              <w:tab w:val="right" w:leader="dot" w:pos="8958"/>
            </w:tabs>
          </w:pPr>
          <w:r>
            <w:rPr>
              <w:rFonts w:hint="eastAsia"/>
              <w:lang w:val="zh-CN"/>
            </w:rPr>
            <w:fldChar w:fldCharType="begin"/>
          </w:r>
          <w:r>
            <w:rPr>
              <w:rFonts w:hint="eastAsia"/>
              <w:lang w:val="zh-CN"/>
            </w:rPr>
            <w:instrText xml:space="preserve"> HYPERLINK \l _Toc17633 </w:instrText>
          </w:r>
          <w:r>
            <w:rPr>
              <w:rFonts w:hint="eastAsia"/>
              <w:lang w:val="zh-CN"/>
            </w:rPr>
            <w:fldChar w:fldCharType="separate"/>
          </w:r>
          <w:r>
            <w:rPr>
              <w:rFonts w:hint="eastAsia" w:ascii="黑体" w:hAnsi="黑体" w:eastAsia="黑体" w:cs="黑体"/>
              <w:kern w:val="2"/>
              <w:szCs w:val="32"/>
              <w:lang w:val="en-US" w:eastAsia="zh-CN" w:bidi="ar-SA"/>
            </w:rPr>
            <w:t>三、响应文件</w:t>
          </w:r>
          <w:r>
            <w:tab/>
          </w:r>
          <w:r>
            <w:fldChar w:fldCharType="begin"/>
          </w:r>
          <w:r>
            <w:instrText xml:space="preserve"> PAGEREF _Toc17633 \h </w:instrText>
          </w:r>
          <w:r>
            <w:fldChar w:fldCharType="separate"/>
          </w:r>
          <w:r>
            <w:t>9</w:t>
          </w:r>
          <w:r>
            <w:fldChar w:fldCharType="end"/>
          </w:r>
          <w:r>
            <w:rPr>
              <w:rFonts w:hint="eastAsia"/>
              <w:lang w:val="zh-CN"/>
            </w:rPr>
            <w:fldChar w:fldCharType="end"/>
          </w:r>
        </w:p>
        <w:p w14:paraId="5D3D91B6">
          <w:pPr>
            <w:pStyle w:val="15"/>
            <w:tabs>
              <w:tab w:val="right" w:leader="dot" w:pos="8958"/>
            </w:tabs>
          </w:pPr>
          <w:r>
            <w:rPr>
              <w:rFonts w:hint="eastAsia"/>
              <w:lang w:val="zh-CN"/>
            </w:rPr>
            <w:fldChar w:fldCharType="begin"/>
          </w:r>
          <w:r>
            <w:rPr>
              <w:rFonts w:hint="eastAsia"/>
              <w:lang w:val="zh-CN"/>
            </w:rPr>
            <w:instrText xml:space="preserve"> HYPERLINK \l _Toc6407 </w:instrText>
          </w:r>
          <w:r>
            <w:rPr>
              <w:rFonts w:hint="eastAsia"/>
              <w:lang w:val="zh-CN"/>
            </w:rPr>
            <w:fldChar w:fldCharType="separate"/>
          </w:r>
          <w:r>
            <w:rPr>
              <w:rFonts w:hint="eastAsia" w:ascii="黑体" w:hAnsi="黑体" w:eastAsia="黑体" w:cs="黑体"/>
              <w:bCs w:val="0"/>
              <w:kern w:val="2"/>
              <w:szCs w:val="32"/>
              <w:lang w:val="en-US" w:eastAsia="zh-CN" w:bidi="ar-SA"/>
            </w:rPr>
            <w:t>四、响应文件的递交</w:t>
          </w:r>
          <w:r>
            <w:tab/>
          </w:r>
          <w:r>
            <w:fldChar w:fldCharType="begin"/>
          </w:r>
          <w:r>
            <w:instrText xml:space="preserve"> PAGEREF _Toc6407 \h </w:instrText>
          </w:r>
          <w:r>
            <w:fldChar w:fldCharType="separate"/>
          </w:r>
          <w:r>
            <w:t>15</w:t>
          </w:r>
          <w:r>
            <w:fldChar w:fldCharType="end"/>
          </w:r>
          <w:r>
            <w:rPr>
              <w:rFonts w:hint="eastAsia"/>
              <w:lang w:val="zh-CN"/>
            </w:rPr>
            <w:fldChar w:fldCharType="end"/>
          </w:r>
        </w:p>
        <w:p w14:paraId="66FB9A06">
          <w:pPr>
            <w:pStyle w:val="15"/>
            <w:tabs>
              <w:tab w:val="right" w:leader="dot" w:pos="8958"/>
            </w:tabs>
          </w:pPr>
          <w:r>
            <w:rPr>
              <w:rFonts w:hint="eastAsia"/>
              <w:lang w:val="zh-CN"/>
            </w:rPr>
            <w:fldChar w:fldCharType="begin"/>
          </w:r>
          <w:r>
            <w:rPr>
              <w:rFonts w:hint="eastAsia"/>
              <w:lang w:val="zh-CN"/>
            </w:rPr>
            <w:instrText xml:space="preserve"> HYPERLINK \l _Toc8881 </w:instrText>
          </w:r>
          <w:r>
            <w:rPr>
              <w:rFonts w:hint="eastAsia"/>
              <w:lang w:val="zh-CN"/>
            </w:rPr>
            <w:fldChar w:fldCharType="separate"/>
          </w:r>
          <w:r>
            <w:rPr>
              <w:rFonts w:hint="eastAsia" w:ascii="黑体" w:hAnsi="黑体" w:eastAsia="黑体" w:cs="黑体"/>
              <w:bCs w:val="0"/>
              <w:kern w:val="2"/>
              <w:szCs w:val="32"/>
              <w:lang w:val="en-US" w:eastAsia="zh-CN" w:bidi="ar-SA"/>
            </w:rPr>
            <w:t>五、响应文件的评审与谈判</w:t>
          </w:r>
          <w:r>
            <w:tab/>
          </w:r>
          <w:r>
            <w:fldChar w:fldCharType="begin"/>
          </w:r>
          <w:r>
            <w:instrText xml:space="preserve"> PAGEREF _Toc8881 \h </w:instrText>
          </w:r>
          <w:r>
            <w:fldChar w:fldCharType="separate"/>
          </w:r>
          <w:r>
            <w:t>16</w:t>
          </w:r>
          <w:r>
            <w:fldChar w:fldCharType="end"/>
          </w:r>
          <w:r>
            <w:rPr>
              <w:rFonts w:hint="eastAsia"/>
              <w:lang w:val="zh-CN"/>
            </w:rPr>
            <w:fldChar w:fldCharType="end"/>
          </w:r>
        </w:p>
        <w:p w14:paraId="3A4BDAF1">
          <w:pPr>
            <w:pStyle w:val="15"/>
            <w:tabs>
              <w:tab w:val="right" w:leader="dot" w:pos="8958"/>
            </w:tabs>
          </w:pPr>
          <w:r>
            <w:rPr>
              <w:rFonts w:hint="eastAsia"/>
              <w:lang w:val="zh-CN"/>
            </w:rPr>
            <w:fldChar w:fldCharType="begin"/>
          </w:r>
          <w:r>
            <w:rPr>
              <w:rFonts w:hint="eastAsia"/>
              <w:lang w:val="zh-CN"/>
            </w:rPr>
            <w:instrText xml:space="preserve"> HYPERLINK \l _Toc18067 </w:instrText>
          </w:r>
          <w:r>
            <w:rPr>
              <w:rFonts w:hint="eastAsia"/>
              <w:lang w:val="zh-CN"/>
            </w:rPr>
            <w:fldChar w:fldCharType="separate"/>
          </w:r>
          <w:r>
            <w:rPr>
              <w:rFonts w:hint="eastAsia" w:ascii="黑体" w:hAnsi="黑体" w:eastAsia="黑体" w:cs="黑体"/>
              <w:bCs w:val="0"/>
              <w:kern w:val="2"/>
              <w:szCs w:val="32"/>
              <w:highlight w:val="none"/>
              <w:lang w:val="en-US" w:eastAsia="zh-CN" w:bidi="ar-SA"/>
            </w:rPr>
            <w:t>七、询问与质疑</w:t>
          </w:r>
          <w:r>
            <w:tab/>
          </w:r>
          <w:r>
            <w:fldChar w:fldCharType="begin"/>
          </w:r>
          <w:r>
            <w:instrText xml:space="preserve"> PAGEREF _Toc18067 \h </w:instrText>
          </w:r>
          <w:r>
            <w:fldChar w:fldCharType="separate"/>
          </w:r>
          <w:r>
            <w:t>26</w:t>
          </w:r>
          <w:r>
            <w:fldChar w:fldCharType="end"/>
          </w:r>
          <w:r>
            <w:rPr>
              <w:rFonts w:hint="eastAsia"/>
              <w:lang w:val="zh-CN"/>
            </w:rPr>
            <w:fldChar w:fldCharType="end"/>
          </w:r>
        </w:p>
        <w:p w14:paraId="7ECBC068">
          <w:pPr>
            <w:pStyle w:val="15"/>
            <w:tabs>
              <w:tab w:val="right" w:leader="dot" w:pos="8958"/>
            </w:tabs>
          </w:pPr>
          <w:r>
            <w:rPr>
              <w:rFonts w:hint="eastAsia"/>
              <w:lang w:val="zh-CN"/>
            </w:rPr>
            <w:fldChar w:fldCharType="begin"/>
          </w:r>
          <w:r>
            <w:rPr>
              <w:rFonts w:hint="eastAsia"/>
              <w:lang w:val="zh-CN"/>
            </w:rPr>
            <w:instrText xml:space="preserve"> HYPERLINK \l _Toc24256 </w:instrText>
          </w:r>
          <w:r>
            <w:rPr>
              <w:rFonts w:hint="eastAsia"/>
              <w:lang w:val="zh-CN"/>
            </w:rPr>
            <w:fldChar w:fldCharType="separate"/>
          </w:r>
          <w:r>
            <w:rPr>
              <w:rFonts w:hint="eastAsia" w:ascii="黑体" w:hAnsi="黑体" w:eastAsia="黑体" w:cs="黑体"/>
              <w:bCs w:val="0"/>
              <w:kern w:val="2"/>
              <w:szCs w:val="32"/>
              <w:highlight w:val="none"/>
              <w:lang w:val="en-US" w:eastAsia="zh-CN" w:bidi="ar-SA"/>
            </w:rPr>
            <w:t>八、政府采购政策</w:t>
          </w:r>
          <w:r>
            <w:tab/>
          </w:r>
          <w:r>
            <w:fldChar w:fldCharType="begin"/>
          </w:r>
          <w:r>
            <w:instrText xml:space="preserve"> PAGEREF _Toc24256 \h </w:instrText>
          </w:r>
          <w:r>
            <w:fldChar w:fldCharType="separate"/>
          </w:r>
          <w:r>
            <w:t>26</w:t>
          </w:r>
          <w:r>
            <w:fldChar w:fldCharType="end"/>
          </w:r>
          <w:r>
            <w:rPr>
              <w:rFonts w:hint="eastAsia"/>
              <w:lang w:val="zh-CN"/>
            </w:rPr>
            <w:fldChar w:fldCharType="end"/>
          </w:r>
        </w:p>
        <w:p w14:paraId="0DBF5630">
          <w:pPr>
            <w:pStyle w:val="15"/>
            <w:tabs>
              <w:tab w:val="right" w:leader="dot" w:pos="8958"/>
            </w:tabs>
          </w:pPr>
          <w:r>
            <w:rPr>
              <w:rFonts w:hint="eastAsia"/>
              <w:lang w:val="zh-CN"/>
            </w:rPr>
            <w:fldChar w:fldCharType="begin"/>
          </w:r>
          <w:r>
            <w:rPr>
              <w:rFonts w:hint="eastAsia"/>
              <w:lang w:val="zh-CN"/>
            </w:rPr>
            <w:instrText xml:space="preserve"> HYPERLINK \l _Toc945 </w:instrText>
          </w:r>
          <w:r>
            <w:rPr>
              <w:rFonts w:hint="eastAsia"/>
              <w:lang w:val="zh-CN"/>
            </w:rPr>
            <w:fldChar w:fldCharType="separate"/>
          </w:r>
          <w:r>
            <w:rPr>
              <w:rFonts w:hint="eastAsia" w:ascii="黑体" w:hAnsi="黑体" w:eastAsia="黑体" w:cs="黑体"/>
              <w:bCs w:val="0"/>
              <w:kern w:val="2"/>
              <w:szCs w:val="32"/>
              <w:highlight w:val="none"/>
              <w:lang w:val="en-US" w:eastAsia="zh-CN" w:bidi="ar-SA"/>
            </w:rPr>
            <w:t>九、其他规定</w:t>
          </w:r>
          <w:r>
            <w:tab/>
          </w:r>
          <w:r>
            <w:fldChar w:fldCharType="begin"/>
          </w:r>
          <w:r>
            <w:instrText xml:space="preserve"> PAGEREF _Toc945 \h </w:instrText>
          </w:r>
          <w:r>
            <w:fldChar w:fldCharType="separate"/>
          </w:r>
          <w:r>
            <w:t>28</w:t>
          </w:r>
          <w:r>
            <w:fldChar w:fldCharType="end"/>
          </w:r>
          <w:r>
            <w:rPr>
              <w:rFonts w:hint="eastAsia"/>
              <w:lang w:val="zh-CN"/>
            </w:rPr>
            <w:fldChar w:fldCharType="end"/>
          </w:r>
        </w:p>
        <w:p w14:paraId="00D3D54C">
          <w:pPr>
            <w:pStyle w:val="14"/>
            <w:tabs>
              <w:tab w:val="right" w:leader="dot" w:pos="8958"/>
            </w:tabs>
          </w:pPr>
          <w:r>
            <w:rPr>
              <w:rFonts w:hint="eastAsia"/>
              <w:lang w:val="zh-CN"/>
            </w:rPr>
            <w:fldChar w:fldCharType="begin"/>
          </w:r>
          <w:r>
            <w:rPr>
              <w:rFonts w:hint="eastAsia"/>
              <w:lang w:val="zh-CN"/>
            </w:rPr>
            <w:instrText xml:space="preserve"> HYPERLINK \l _Toc11821 </w:instrText>
          </w:r>
          <w:r>
            <w:rPr>
              <w:rFonts w:hint="eastAsia"/>
              <w:lang w:val="zh-CN"/>
            </w:rPr>
            <w:fldChar w:fldCharType="separate"/>
          </w:r>
          <w:r>
            <w:rPr>
              <w:rFonts w:hint="eastAsia" w:ascii="华文中宋" w:hAnsi="华文中宋" w:eastAsia="华文中宋" w:cs="华文中宋"/>
              <w:bCs w:val="0"/>
              <w:szCs w:val="44"/>
              <w:highlight w:val="none"/>
              <w:lang w:val="en-US" w:eastAsia="zh-CN"/>
            </w:rPr>
            <w:t>第三部分 采购需求</w:t>
          </w:r>
          <w:r>
            <w:tab/>
          </w:r>
          <w:r>
            <w:fldChar w:fldCharType="begin"/>
          </w:r>
          <w:r>
            <w:instrText xml:space="preserve"> PAGEREF _Toc11821 \h </w:instrText>
          </w:r>
          <w:r>
            <w:fldChar w:fldCharType="separate"/>
          </w:r>
          <w:r>
            <w:t>29</w:t>
          </w:r>
          <w:r>
            <w:fldChar w:fldCharType="end"/>
          </w:r>
          <w:r>
            <w:rPr>
              <w:rFonts w:hint="eastAsia"/>
              <w:lang w:val="zh-CN"/>
            </w:rPr>
            <w:fldChar w:fldCharType="end"/>
          </w:r>
        </w:p>
        <w:p w14:paraId="2DFA1182">
          <w:pPr>
            <w:pStyle w:val="15"/>
            <w:tabs>
              <w:tab w:val="right" w:leader="dot" w:pos="8958"/>
            </w:tabs>
          </w:pPr>
          <w:r>
            <w:rPr>
              <w:rFonts w:hint="eastAsia"/>
              <w:lang w:val="zh-CN"/>
            </w:rPr>
            <w:fldChar w:fldCharType="begin"/>
          </w:r>
          <w:r>
            <w:rPr>
              <w:rFonts w:hint="eastAsia"/>
              <w:lang w:val="zh-CN"/>
            </w:rPr>
            <w:instrText xml:space="preserve"> HYPERLINK \l _Toc2653 </w:instrText>
          </w:r>
          <w:r>
            <w:rPr>
              <w:rFonts w:hint="eastAsia"/>
              <w:lang w:val="zh-CN"/>
            </w:rPr>
            <w:fldChar w:fldCharType="separate"/>
          </w:r>
          <w:r>
            <w:rPr>
              <w:rFonts w:hint="eastAsia" w:ascii="黑体" w:hAnsi="黑体" w:eastAsia="黑体" w:cs="黑体"/>
              <w:bCs w:val="0"/>
              <w:kern w:val="2"/>
              <w:szCs w:val="32"/>
              <w:highlight w:val="none"/>
              <w:lang w:val="zh-CN" w:eastAsia="zh-CN" w:bidi="ar-SA"/>
            </w:rPr>
            <w:t>十、响应说明</w:t>
          </w:r>
          <w:r>
            <w:tab/>
          </w:r>
          <w:r>
            <w:fldChar w:fldCharType="begin"/>
          </w:r>
          <w:r>
            <w:instrText xml:space="preserve"> PAGEREF _Toc2653 \h </w:instrText>
          </w:r>
          <w:r>
            <w:fldChar w:fldCharType="separate"/>
          </w:r>
          <w:r>
            <w:t>29</w:t>
          </w:r>
          <w:r>
            <w:fldChar w:fldCharType="end"/>
          </w:r>
          <w:r>
            <w:rPr>
              <w:rFonts w:hint="eastAsia"/>
              <w:lang w:val="zh-CN"/>
            </w:rPr>
            <w:fldChar w:fldCharType="end"/>
          </w:r>
        </w:p>
        <w:p w14:paraId="2C14A9B0">
          <w:pPr>
            <w:pStyle w:val="15"/>
            <w:tabs>
              <w:tab w:val="right" w:leader="dot" w:pos="8958"/>
            </w:tabs>
          </w:pPr>
          <w:r>
            <w:rPr>
              <w:rFonts w:hint="eastAsia"/>
              <w:lang w:val="zh-CN"/>
            </w:rPr>
            <w:fldChar w:fldCharType="begin"/>
          </w:r>
          <w:r>
            <w:rPr>
              <w:rFonts w:hint="eastAsia"/>
              <w:lang w:val="zh-CN"/>
            </w:rPr>
            <w:instrText xml:space="preserve"> HYPERLINK \l _Toc18062 </w:instrText>
          </w:r>
          <w:r>
            <w:rPr>
              <w:rFonts w:hint="eastAsia"/>
              <w:lang w:val="zh-CN"/>
            </w:rPr>
            <w:fldChar w:fldCharType="separate"/>
          </w:r>
          <w:r>
            <w:rPr>
              <w:rFonts w:hint="eastAsia" w:ascii="黑体" w:hAnsi="黑体" w:eastAsia="黑体" w:cs="黑体"/>
              <w:bCs w:val="0"/>
              <w:kern w:val="2"/>
              <w:szCs w:val="32"/>
              <w:highlight w:val="none"/>
              <w:lang w:val="zh-CN" w:eastAsia="zh-CN" w:bidi="ar-SA"/>
            </w:rPr>
            <w:t>十一、重要指标</w:t>
          </w:r>
          <w:r>
            <w:tab/>
          </w:r>
          <w:r>
            <w:fldChar w:fldCharType="begin"/>
          </w:r>
          <w:r>
            <w:instrText xml:space="preserve"> PAGEREF _Toc18062 \h </w:instrText>
          </w:r>
          <w:r>
            <w:fldChar w:fldCharType="separate"/>
          </w:r>
          <w:r>
            <w:t>29</w:t>
          </w:r>
          <w:r>
            <w:fldChar w:fldCharType="end"/>
          </w:r>
          <w:r>
            <w:rPr>
              <w:rFonts w:hint="eastAsia"/>
              <w:lang w:val="zh-CN"/>
            </w:rPr>
            <w:fldChar w:fldCharType="end"/>
          </w:r>
        </w:p>
        <w:p w14:paraId="513B8FC4">
          <w:pPr>
            <w:pStyle w:val="14"/>
            <w:tabs>
              <w:tab w:val="right" w:leader="dot" w:pos="8958"/>
            </w:tabs>
          </w:pPr>
          <w:r>
            <w:rPr>
              <w:rFonts w:hint="eastAsia"/>
              <w:lang w:val="zh-CN"/>
            </w:rPr>
            <w:fldChar w:fldCharType="begin"/>
          </w:r>
          <w:r>
            <w:rPr>
              <w:rFonts w:hint="eastAsia"/>
              <w:lang w:val="zh-CN"/>
            </w:rPr>
            <w:instrText xml:space="preserve"> HYPERLINK \l _Toc13482 </w:instrText>
          </w:r>
          <w:r>
            <w:rPr>
              <w:rFonts w:hint="eastAsia"/>
              <w:lang w:val="zh-CN"/>
            </w:rPr>
            <w:fldChar w:fldCharType="separate"/>
          </w:r>
          <w:r>
            <w:rPr>
              <w:rFonts w:hint="eastAsia" w:ascii="宋体" w:hAnsi="宋体" w:eastAsia="宋体" w:cs="Times New Roman"/>
              <w:bCs w:val="0"/>
              <w:kern w:val="2"/>
              <w:szCs w:val="24"/>
              <w:lang w:val="en-US" w:eastAsia="zh-CN" w:bidi="ar-SA"/>
            </w:rPr>
            <w:t>序号</w:t>
          </w:r>
          <w:r>
            <w:tab/>
          </w:r>
          <w:r>
            <w:fldChar w:fldCharType="begin"/>
          </w:r>
          <w:r>
            <w:instrText xml:space="preserve"> PAGEREF _Toc13482 \h </w:instrText>
          </w:r>
          <w:r>
            <w:fldChar w:fldCharType="separate"/>
          </w:r>
          <w:r>
            <w:t>31</w:t>
          </w:r>
          <w:r>
            <w:fldChar w:fldCharType="end"/>
          </w:r>
          <w:r>
            <w:rPr>
              <w:rFonts w:hint="eastAsia"/>
              <w:lang w:val="zh-CN"/>
            </w:rPr>
            <w:fldChar w:fldCharType="end"/>
          </w:r>
        </w:p>
        <w:p w14:paraId="1C47F5F2">
          <w:pPr>
            <w:pStyle w:val="14"/>
            <w:tabs>
              <w:tab w:val="right" w:leader="dot" w:pos="8958"/>
            </w:tabs>
          </w:pPr>
          <w:r>
            <w:rPr>
              <w:rFonts w:hint="eastAsia"/>
              <w:lang w:val="zh-CN"/>
            </w:rPr>
            <w:fldChar w:fldCharType="begin"/>
          </w:r>
          <w:r>
            <w:rPr>
              <w:rFonts w:hint="eastAsia"/>
              <w:lang w:val="zh-CN"/>
            </w:rPr>
            <w:instrText xml:space="preserve"> HYPERLINK \l _Toc891 </w:instrText>
          </w:r>
          <w:r>
            <w:rPr>
              <w:rFonts w:hint="eastAsia"/>
              <w:lang w:val="zh-CN"/>
            </w:rPr>
            <w:fldChar w:fldCharType="separate"/>
          </w:r>
          <w:r>
            <w:rPr>
              <w:rFonts w:hint="eastAsia" w:ascii="华文中宋" w:hAnsi="华文中宋" w:eastAsia="华文中宋" w:cs="华文中宋"/>
              <w:bCs w:val="0"/>
              <w:szCs w:val="44"/>
              <w:lang w:eastAsia="zh-CN"/>
            </w:rPr>
            <w:t>第四部分</w:t>
          </w:r>
          <w:r>
            <w:rPr>
              <w:rFonts w:hint="eastAsia" w:ascii="华文中宋" w:hAnsi="华文中宋" w:eastAsia="华文中宋" w:cs="华文中宋"/>
              <w:bCs w:val="0"/>
              <w:szCs w:val="44"/>
              <w:lang w:val="en-US" w:eastAsia="zh-CN"/>
            </w:rPr>
            <w:t xml:space="preserve"> </w:t>
          </w:r>
          <w:r>
            <w:rPr>
              <w:rFonts w:hint="eastAsia" w:ascii="华文中宋" w:hAnsi="华文中宋" w:eastAsia="华文中宋" w:cs="华文中宋"/>
              <w:bCs w:val="0"/>
              <w:szCs w:val="44"/>
              <w:lang w:eastAsia="zh-CN"/>
            </w:rPr>
            <w:t>谈判响应文件格式</w:t>
          </w:r>
          <w:r>
            <w:tab/>
          </w:r>
          <w:r>
            <w:fldChar w:fldCharType="begin"/>
          </w:r>
          <w:r>
            <w:instrText xml:space="preserve"> PAGEREF _Toc891 \h </w:instrText>
          </w:r>
          <w:r>
            <w:fldChar w:fldCharType="separate"/>
          </w:r>
          <w:r>
            <w:t>44</w:t>
          </w:r>
          <w:r>
            <w:fldChar w:fldCharType="end"/>
          </w:r>
          <w:r>
            <w:rPr>
              <w:rFonts w:hint="eastAsia"/>
              <w:lang w:val="zh-CN"/>
            </w:rPr>
            <w:fldChar w:fldCharType="end"/>
          </w:r>
        </w:p>
        <w:p w14:paraId="270ACCCC">
          <w:pPr>
            <w:pStyle w:val="15"/>
            <w:tabs>
              <w:tab w:val="right" w:leader="dot" w:pos="8958"/>
            </w:tabs>
          </w:pPr>
          <w:r>
            <w:rPr>
              <w:rFonts w:hint="eastAsia"/>
              <w:lang w:val="zh-CN"/>
            </w:rPr>
            <w:fldChar w:fldCharType="begin"/>
          </w:r>
          <w:r>
            <w:rPr>
              <w:rFonts w:hint="eastAsia"/>
              <w:lang w:val="zh-CN"/>
            </w:rPr>
            <w:instrText xml:space="preserve"> HYPERLINK \l _Toc2060 </w:instrText>
          </w:r>
          <w:r>
            <w:rPr>
              <w:rFonts w:hint="eastAsia"/>
              <w:lang w:val="zh-CN"/>
            </w:rPr>
            <w:fldChar w:fldCharType="separate"/>
          </w:r>
          <w:r>
            <w:rPr>
              <w:rFonts w:hint="eastAsia" w:ascii="黑体" w:hAnsi="黑体" w:eastAsia="黑体" w:cs="黑体"/>
              <w:kern w:val="2"/>
              <w:szCs w:val="32"/>
              <w:lang w:val="en-US" w:eastAsia="zh-CN" w:bidi="ar-SA"/>
            </w:rPr>
            <w:t>十二、谈判响应文件的组成</w:t>
          </w:r>
          <w:r>
            <w:tab/>
          </w:r>
          <w:r>
            <w:fldChar w:fldCharType="begin"/>
          </w:r>
          <w:r>
            <w:instrText xml:space="preserve"> PAGEREF _Toc2060 \h </w:instrText>
          </w:r>
          <w:r>
            <w:fldChar w:fldCharType="separate"/>
          </w:r>
          <w:r>
            <w:t>44</w:t>
          </w:r>
          <w:r>
            <w:fldChar w:fldCharType="end"/>
          </w:r>
          <w:r>
            <w:rPr>
              <w:rFonts w:hint="eastAsia"/>
              <w:lang w:val="zh-CN"/>
            </w:rPr>
            <w:fldChar w:fldCharType="end"/>
          </w:r>
        </w:p>
        <w:p w14:paraId="295E9131">
          <w:pPr>
            <w:pStyle w:val="15"/>
            <w:tabs>
              <w:tab w:val="right" w:leader="dot" w:pos="8958"/>
            </w:tabs>
          </w:pPr>
          <w:r>
            <w:rPr>
              <w:rFonts w:hint="eastAsia"/>
              <w:lang w:val="zh-CN"/>
            </w:rPr>
            <w:fldChar w:fldCharType="begin"/>
          </w:r>
          <w:r>
            <w:rPr>
              <w:rFonts w:hint="eastAsia"/>
              <w:lang w:val="zh-CN"/>
            </w:rPr>
            <w:instrText xml:space="preserve"> HYPERLINK \l _Toc12800 </w:instrText>
          </w:r>
          <w:r>
            <w:rPr>
              <w:rFonts w:hint="eastAsia"/>
              <w:lang w:val="zh-CN"/>
            </w:rPr>
            <w:fldChar w:fldCharType="separate"/>
          </w:r>
          <w:r>
            <w:rPr>
              <w:rFonts w:hint="eastAsia" w:ascii="黑体" w:hAnsi="黑体" w:eastAsia="黑体" w:cs="黑体"/>
              <w:kern w:val="2"/>
              <w:szCs w:val="32"/>
              <w:lang w:val="en-US" w:eastAsia="zh-CN" w:bidi="ar-SA"/>
            </w:rPr>
            <w:t>十三、谈判响应文件</w:t>
          </w:r>
          <w:r>
            <w:tab/>
          </w:r>
          <w:r>
            <w:fldChar w:fldCharType="begin"/>
          </w:r>
          <w:r>
            <w:instrText xml:space="preserve"> PAGEREF _Toc12800 \h </w:instrText>
          </w:r>
          <w:r>
            <w:fldChar w:fldCharType="separate"/>
          </w:r>
          <w:r>
            <w:t>45</w:t>
          </w:r>
          <w:r>
            <w:fldChar w:fldCharType="end"/>
          </w:r>
          <w:r>
            <w:rPr>
              <w:rFonts w:hint="eastAsia"/>
              <w:lang w:val="zh-CN"/>
            </w:rPr>
            <w:fldChar w:fldCharType="end"/>
          </w:r>
        </w:p>
        <w:p w14:paraId="228E5A4C">
          <w:pPr>
            <w:pStyle w:val="15"/>
            <w:tabs>
              <w:tab w:val="right" w:leader="dot" w:pos="8958"/>
            </w:tabs>
          </w:pPr>
          <w:r>
            <w:rPr>
              <w:rFonts w:hint="eastAsia"/>
              <w:lang w:val="zh-CN"/>
            </w:rPr>
            <w:fldChar w:fldCharType="begin"/>
          </w:r>
          <w:r>
            <w:rPr>
              <w:rFonts w:hint="eastAsia"/>
              <w:lang w:val="zh-CN"/>
            </w:rPr>
            <w:instrText xml:space="preserve"> HYPERLINK \l _Toc11549 </w:instrText>
          </w:r>
          <w:r>
            <w:rPr>
              <w:rFonts w:hint="eastAsia"/>
              <w:lang w:val="zh-CN"/>
            </w:rPr>
            <w:fldChar w:fldCharType="separate"/>
          </w:r>
          <w:r>
            <w:rPr>
              <w:rFonts w:hint="eastAsia" w:ascii="楷体_GB2312" w:hAnsi="楷体_GB2312" w:eastAsia="楷体_GB2312" w:cs="楷体_GB2312"/>
              <w:szCs w:val="32"/>
              <w:lang w:eastAsia="zh-CN"/>
            </w:rPr>
            <w:t>附件5：供应商诚信承诺书</w:t>
          </w:r>
          <w:r>
            <w:tab/>
          </w:r>
          <w:r>
            <w:fldChar w:fldCharType="begin"/>
          </w:r>
          <w:r>
            <w:instrText xml:space="preserve"> PAGEREF _Toc11549 \h </w:instrText>
          </w:r>
          <w:r>
            <w:fldChar w:fldCharType="separate"/>
          </w:r>
          <w:r>
            <w:t>51</w:t>
          </w:r>
          <w:r>
            <w:fldChar w:fldCharType="end"/>
          </w:r>
          <w:r>
            <w:rPr>
              <w:rFonts w:hint="eastAsia"/>
              <w:lang w:val="zh-CN"/>
            </w:rPr>
            <w:fldChar w:fldCharType="end"/>
          </w:r>
        </w:p>
        <w:p w14:paraId="01FEB81F">
          <w:pPr>
            <w:pStyle w:val="15"/>
            <w:tabs>
              <w:tab w:val="right" w:leader="dot" w:pos="8958"/>
            </w:tabs>
          </w:pPr>
          <w:r>
            <w:rPr>
              <w:rFonts w:hint="eastAsia"/>
              <w:lang w:val="zh-CN"/>
            </w:rPr>
            <w:fldChar w:fldCharType="begin"/>
          </w:r>
          <w:r>
            <w:rPr>
              <w:rFonts w:hint="eastAsia"/>
              <w:lang w:val="zh-CN"/>
            </w:rPr>
            <w:instrText xml:space="preserve"> HYPERLINK \l _Toc12552 </w:instrText>
          </w:r>
          <w:r>
            <w:rPr>
              <w:rFonts w:hint="eastAsia"/>
              <w:lang w:val="zh-CN"/>
            </w:rPr>
            <w:fldChar w:fldCharType="separate"/>
          </w:r>
          <w:r>
            <w:rPr>
              <w:rFonts w:hint="eastAsia" w:ascii="楷体_GB2312" w:hAnsi="楷体_GB2312" w:eastAsia="楷体_GB2312" w:cs="楷体_GB2312"/>
              <w:szCs w:val="32"/>
              <w:lang w:eastAsia="zh-CN"/>
            </w:rPr>
            <w:t>附件6：供应商资格证明文件</w:t>
          </w:r>
          <w:r>
            <w:tab/>
          </w:r>
          <w:r>
            <w:fldChar w:fldCharType="begin"/>
          </w:r>
          <w:r>
            <w:instrText xml:space="preserve"> PAGEREF _Toc12552 \h </w:instrText>
          </w:r>
          <w:r>
            <w:fldChar w:fldCharType="separate"/>
          </w:r>
          <w:r>
            <w:t>53</w:t>
          </w:r>
          <w:r>
            <w:fldChar w:fldCharType="end"/>
          </w:r>
          <w:r>
            <w:rPr>
              <w:rFonts w:hint="eastAsia"/>
              <w:lang w:val="zh-CN"/>
            </w:rPr>
            <w:fldChar w:fldCharType="end"/>
          </w:r>
        </w:p>
        <w:p w14:paraId="3DD2B7B4">
          <w:pPr>
            <w:pStyle w:val="15"/>
            <w:tabs>
              <w:tab w:val="right" w:leader="dot" w:pos="8958"/>
            </w:tabs>
          </w:pPr>
          <w:r>
            <w:rPr>
              <w:rFonts w:hint="eastAsia"/>
              <w:lang w:val="zh-CN"/>
            </w:rPr>
            <w:fldChar w:fldCharType="begin"/>
          </w:r>
          <w:r>
            <w:rPr>
              <w:rFonts w:hint="eastAsia"/>
              <w:lang w:val="zh-CN"/>
            </w:rPr>
            <w:instrText xml:space="preserve"> HYPERLINK \l _Toc25844 </w:instrText>
          </w:r>
          <w:r>
            <w:rPr>
              <w:rFonts w:hint="eastAsia"/>
              <w:lang w:val="zh-CN"/>
            </w:rPr>
            <w:fldChar w:fldCharType="separate"/>
          </w:r>
          <w:r>
            <w:rPr>
              <w:rFonts w:hint="eastAsia" w:ascii="楷体_GB2312" w:hAnsi="楷体_GB2312" w:eastAsia="楷体_GB2312" w:cs="楷体_GB2312"/>
              <w:szCs w:val="32"/>
              <w:lang w:eastAsia="zh-CN"/>
            </w:rPr>
            <w:t>附件7：财务状况、缴纳税收和社会保障资金证明</w:t>
          </w:r>
          <w:r>
            <w:tab/>
          </w:r>
          <w:r>
            <w:fldChar w:fldCharType="begin"/>
          </w:r>
          <w:r>
            <w:instrText xml:space="preserve"> PAGEREF _Toc25844 \h </w:instrText>
          </w:r>
          <w:r>
            <w:fldChar w:fldCharType="separate"/>
          </w:r>
          <w:r>
            <w:t>54</w:t>
          </w:r>
          <w:r>
            <w:fldChar w:fldCharType="end"/>
          </w:r>
          <w:r>
            <w:rPr>
              <w:rFonts w:hint="eastAsia"/>
              <w:lang w:val="zh-CN"/>
            </w:rPr>
            <w:fldChar w:fldCharType="end"/>
          </w:r>
        </w:p>
        <w:p w14:paraId="0897D7D1">
          <w:pPr>
            <w:pStyle w:val="15"/>
            <w:tabs>
              <w:tab w:val="right" w:leader="dot" w:pos="8958"/>
            </w:tabs>
          </w:pPr>
          <w:r>
            <w:rPr>
              <w:rFonts w:hint="eastAsia"/>
              <w:lang w:val="zh-CN"/>
            </w:rPr>
            <w:fldChar w:fldCharType="begin"/>
          </w:r>
          <w:r>
            <w:rPr>
              <w:rFonts w:hint="eastAsia"/>
              <w:lang w:val="zh-CN"/>
            </w:rPr>
            <w:instrText xml:space="preserve"> HYPERLINK \l _Toc27609 </w:instrText>
          </w:r>
          <w:r>
            <w:rPr>
              <w:rFonts w:hint="eastAsia"/>
              <w:lang w:val="zh-CN"/>
            </w:rPr>
            <w:fldChar w:fldCharType="separate"/>
          </w:r>
          <w:r>
            <w:rPr>
              <w:rFonts w:hint="eastAsia" w:ascii="楷体_GB2312" w:hAnsi="楷体_GB2312" w:eastAsia="楷体_GB2312" w:cs="楷体_GB2312"/>
              <w:szCs w:val="32"/>
              <w:lang w:eastAsia="zh-CN"/>
            </w:rPr>
            <w:t>附件8：无重大违法记录声明</w:t>
          </w:r>
          <w:r>
            <w:tab/>
          </w:r>
          <w:r>
            <w:fldChar w:fldCharType="begin"/>
          </w:r>
          <w:r>
            <w:instrText xml:space="preserve"> PAGEREF _Toc27609 \h </w:instrText>
          </w:r>
          <w:r>
            <w:fldChar w:fldCharType="separate"/>
          </w:r>
          <w:r>
            <w:t>55</w:t>
          </w:r>
          <w:r>
            <w:fldChar w:fldCharType="end"/>
          </w:r>
          <w:r>
            <w:rPr>
              <w:rFonts w:hint="eastAsia"/>
              <w:lang w:val="zh-CN"/>
            </w:rPr>
            <w:fldChar w:fldCharType="end"/>
          </w:r>
        </w:p>
        <w:p w14:paraId="0C072664">
          <w:pPr>
            <w:pStyle w:val="14"/>
            <w:tabs>
              <w:tab w:val="right" w:leader="dot" w:pos="8958"/>
            </w:tabs>
          </w:pPr>
          <w:r>
            <w:rPr>
              <w:rFonts w:hint="eastAsia"/>
              <w:lang w:val="zh-CN"/>
            </w:rPr>
            <w:fldChar w:fldCharType="begin"/>
          </w:r>
          <w:r>
            <w:rPr>
              <w:rFonts w:hint="eastAsia"/>
              <w:lang w:val="zh-CN"/>
            </w:rPr>
            <w:instrText xml:space="preserve"> HYPERLINK \l _Toc2588 </w:instrText>
          </w:r>
          <w:r>
            <w:rPr>
              <w:rFonts w:hint="eastAsia"/>
              <w:lang w:val="zh-CN"/>
            </w:rPr>
            <w:fldChar w:fldCharType="separate"/>
          </w:r>
          <w:r>
            <w:rPr>
              <w:rFonts w:hint="eastAsia" w:ascii="楷体_GB2312" w:hAnsi="楷体_GB2312" w:eastAsia="楷体_GB2312" w:cs="楷体_GB2312"/>
              <w:bCs w:val="0"/>
              <w:kern w:val="2"/>
              <w:szCs w:val="32"/>
              <w:lang w:val="en-US" w:eastAsia="zh-CN" w:bidi="ar-SA"/>
            </w:rPr>
            <w:t>附件9：谈判</w:t>
          </w:r>
          <w:r>
            <w:rPr>
              <w:rFonts w:hint="eastAsia" w:ascii="楷体_GB2312" w:hAnsi="楷体_GB2312" w:eastAsia="楷体_GB2312" w:cs="楷体_GB2312"/>
              <w:bCs w:val="0"/>
              <w:kern w:val="2"/>
              <w:szCs w:val="32"/>
              <w:lang w:val="zh-CN" w:eastAsia="zh-CN" w:bidi="ar-SA"/>
            </w:rPr>
            <w:t>保证金证明</w:t>
          </w:r>
          <w:r>
            <w:tab/>
          </w:r>
          <w:r>
            <w:fldChar w:fldCharType="begin"/>
          </w:r>
          <w:r>
            <w:instrText xml:space="preserve"> PAGEREF _Toc2588 \h </w:instrText>
          </w:r>
          <w:r>
            <w:fldChar w:fldCharType="separate"/>
          </w:r>
          <w:r>
            <w:t>56</w:t>
          </w:r>
          <w:r>
            <w:fldChar w:fldCharType="end"/>
          </w:r>
          <w:r>
            <w:rPr>
              <w:rFonts w:hint="eastAsia"/>
              <w:lang w:val="zh-CN"/>
            </w:rPr>
            <w:fldChar w:fldCharType="end"/>
          </w:r>
        </w:p>
        <w:p w14:paraId="26036C03">
          <w:pPr>
            <w:pStyle w:val="15"/>
            <w:tabs>
              <w:tab w:val="right" w:leader="dot" w:pos="8958"/>
            </w:tabs>
          </w:pPr>
          <w:r>
            <w:rPr>
              <w:rFonts w:hint="eastAsia"/>
              <w:lang w:val="zh-CN"/>
            </w:rPr>
            <w:fldChar w:fldCharType="begin"/>
          </w:r>
          <w:r>
            <w:rPr>
              <w:rFonts w:hint="eastAsia"/>
              <w:lang w:val="zh-CN"/>
            </w:rPr>
            <w:instrText xml:space="preserve"> HYPERLINK \l _Toc1454 </w:instrText>
          </w:r>
          <w:r>
            <w:rPr>
              <w:rFonts w:hint="eastAsia"/>
              <w:lang w:val="zh-CN"/>
            </w:rPr>
            <w:fldChar w:fldCharType="separate"/>
          </w:r>
          <w:r>
            <w:rPr>
              <w:rFonts w:hint="eastAsia" w:ascii="楷体_GB2312" w:hAnsi="楷体_GB2312" w:eastAsia="楷体_GB2312" w:cs="楷体_GB2312"/>
              <w:bCs w:val="0"/>
              <w:kern w:val="2"/>
              <w:szCs w:val="32"/>
              <w:lang w:val="en-US" w:eastAsia="zh-CN" w:bidi="ar-SA"/>
            </w:rPr>
            <w:t>附件10：谈判首次报价表</w:t>
          </w:r>
          <w:r>
            <w:tab/>
          </w:r>
          <w:r>
            <w:fldChar w:fldCharType="begin"/>
          </w:r>
          <w:r>
            <w:instrText xml:space="preserve"> PAGEREF _Toc1454 \h </w:instrText>
          </w:r>
          <w:r>
            <w:fldChar w:fldCharType="separate"/>
          </w:r>
          <w:r>
            <w:t>58</w:t>
          </w:r>
          <w:r>
            <w:fldChar w:fldCharType="end"/>
          </w:r>
          <w:r>
            <w:rPr>
              <w:rFonts w:hint="eastAsia"/>
              <w:lang w:val="zh-CN"/>
            </w:rPr>
            <w:fldChar w:fldCharType="end"/>
          </w:r>
        </w:p>
        <w:p w14:paraId="4AF0FAEC">
          <w:pPr>
            <w:pStyle w:val="15"/>
            <w:tabs>
              <w:tab w:val="right" w:leader="dot" w:pos="8958"/>
            </w:tabs>
          </w:pPr>
          <w:r>
            <w:rPr>
              <w:rFonts w:hint="eastAsia"/>
              <w:lang w:val="zh-CN"/>
            </w:rPr>
            <w:fldChar w:fldCharType="begin"/>
          </w:r>
          <w:r>
            <w:rPr>
              <w:rFonts w:hint="eastAsia"/>
              <w:lang w:val="zh-CN"/>
            </w:rPr>
            <w:instrText xml:space="preserve"> HYPERLINK \l _Toc603 </w:instrText>
          </w:r>
          <w:r>
            <w:rPr>
              <w:rFonts w:hint="eastAsia"/>
              <w:lang w:val="zh-CN"/>
            </w:rPr>
            <w:fldChar w:fldCharType="separate"/>
          </w:r>
          <w:r>
            <w:rPr>
              <w:rFonts w:hint="eastAsia" w:ascii="楷体_GB2312" w:hAnsi="楷体_GB2312" w:eastAsia="楷体_GB2312" w:cs="楷体_GB2312"/>
              <w:bCs w:val="0"/>
              <w:kern w:val="2"/>
              <w:szCs w:val="32"/>
              <w:lang w:val="en-US" w:eastAsia="zh-CN" w:bidi="ar-SA"/>
            </w:rPr>
            <w:t>附件11：分项报价表</w:t>
          </w:r>
          <w:r>
            <w:tab/>
          </w:r>
          <w:r>
            <w:fldChar w:fldCharType="begin"/>
          </w:r>
          <w:r>
            <w:instrText xml:space="preserve"> PAGEREF _Toc603 \h </w:instrText>
          </w:r>
          <w:r>
            <w:fldChar w:fldCharType="separate"/>
          </w:r>
          <w:r>
            <w:t>59</w:t>
          </w:r>
          <w:r>
            <w:fldChar w:fldCharType="end"/>
          </w:r>
          <w:r>
            <w:rPr>
              <w:rFonts w:hint="eastAsia"/>
              <w:lang w:val="zh-CN"/>
            </w:rPr>
            <w:fldChar w:fldCharType="end"/>
          </w:r>
        </w:p>
        <w:p w14:paraId="67BE18C1">
          <w:pPr>
            <w:pStyle w:val="15"/>
            <w:tabs>
              <w:tab w:val="right" w:leader="dot" w:pos="8958"/>
            </w:tabs>
          </w:pPr>
          <w:r>
            <w:rPr>
              <w:rFonts w:hint="eastAsia"/>
              <w:lang w:val="zh-CN"/>
            </w:rPr>
            <w:fldChar w:fldCharType="begin"/>
          </w:r>
          <w:r>
            <w:rPr>
              <w:rFonts w:hint="eastAsia"/>
              <w:lang w:val="zh-CN"/>
            </w:rPr>
            <w:instrText xml:space="preserve"> HYPERLINK \l _Toc9948 </w:instrText>
          </w:r>
          <w:r>
            <w:rPr>
              <w:rFonts w:hint="eastAsia"/>
              <w:lang w:val="zh-CN"/>
            </w:rPr>
            <w:fldChar w:fldCharType="separate"/>
          </w:r>
          <w:r>
            <w:rPr>
              <w:rFonts w:hint="eastAsia" w:ascii="楷体_GB2312" w:hAnsi="楷体_GB2312" w:eastAsia="楷体_GB2312" w:cs="楷体_GB2312"/>
              <w:bCs w:val="0"/>
              <w:kern w:val="2"/>
              <w:szCs w:val="32"/>
              <w:lang w:val="en-US" w:eastAsia="zh-CN" w:bidi="ar-SA"/>
            </w:rPr>
            <w:t>附件12：技术规格响应表</w:t>
          </w:r>
          <w:r>
            <w:tab/>
          </w:r>
          <w:r>
            <w:fldChar w:fldCharType="begin"/>
          </w:r>
          <w:r>
            <w:instrText xml:space="preserve"> PAGEREF _Toc9948 \h </w:instrText>
          </w:r>
          <w:r>
            <w:fldChar w:fldCharType="separate"/>
          </w:r>
          <w:r>
            <w:t>60</w:t>
          </w:r>
          <w:r>
            <w:fldChar w:fldCharType="end"/>
          </w:r>
          <w:r>
            <w:rPr>
              <w:rFonts w:hint="eastAsia"/>
              <w:lang w:val="zh-CN"/>
            </w:rPr>
            <w:fldChar w:fldCharType="end"/>
          </w:r>
        </w:p>
        <w:p w14:paraId="7CB7CF70">
          <w:pPr>
            <w:pStyle w:val="15"/>
            <w:tabs>
              <w:tab w:val="right" w:leader="dot" w:pos="8958"/>
            </w:tabs>
          </w:pPr>
          <w:r>
            <w:rPr>
              <w:rFonts w:hint="eastAsia"/>
              <w:lang w:val="zh-CN"/>
            </w:rPr>
            <w:fldChar w:fldCharType="begin"/>
          </w:r>
          <w:r>
            <w:rPr>
              <w:rFonts w:hint="eastAsia"/>
              <w:lang w:val="zh-CN"/>
            </w:rPr>
            <w:instrText xml:space="preserve"> HYPERLINK \l _Toc28590 </w:instrText>
          </w:r>
          <w:r>
            <w:rPr>
              <w:rFonts w:hint="eastAsia"/>
              <w:lang w:val="zh-CN"/>
            </w:rPr>
            <w:fldChar w:fldCharType="separate"/>
          </w:r>
          <w:r>
            <w:rPr>
              <w:rFonts w:hint="eastAsia" w:ascii="楷体_GB2312" w:hAnsi="楷体_GB2312" w:eastAsia="楷体_GB2312" w:cs="楷体_GB2312"/>
              <w:bCs w:val="0"/>
              <w:kern w:val="2"/>
              <w:szCs w:val="32"/>
              <w:lang w:val="en-US" w:eastAsia="zh-CN" w:bidi="ar-SA"/>
            </w:rPr>
            <w:t>附件13：产品相关资料（具备履行合同所必须的设备和专业技术能力证明）</w:t>
          </w:r>
          <w:r>
            <w:tab/>
          </w:r>
          <w:r>
            <w:fldChar w:fldCharType="begin"/>
          </w:r>
          <w:r>
            <w:instrText xml:space="preserve"> PAGEREF _Toc28590 \h </w:instrText>
          </w:r>
          <w:r>
            <w:fldChar w:fldCharType="separate"/>
          </w:r>
          <w:r>
            <w:t>61</w:t>
          </w:r>
          <w:r>
            <w:fldChar w:fldCharType="end"/>
          </w:r>
          <w:r>
            <w:rPr>
              <w:rFonts w:hint="eastAsia"/>
              <w:lang w:val="zh-CN"/>
            </w:rPr>
            <w:fldChar w:fldCharType="end"/>
          </w:r>
        </w:p>
        <w:p w14:paraId="0995F62F">
          <w:pPr>
            <w:pStyle w:val="15"/>
            <w:tabs>
              <w:tab w:val="right" w:leader="dot" w:pos="8958"/>
            </w:tabs>
          </w:pPr>
          <w:r>
            <w:rPr>
              <w:rFonts w:hint="eastAsia"/>
              <w:lang w:val="zh-CN"/>
            </w:rPr>
            <w:fldChar w:fldCharType="begin"/>
          </w:r>
          <w:r>
            <w:rPr>
              <w:rFonts w:hint="eastAsia"/>
              <w:lang w:val="zh-CN"/>
            </w:rPr>
            <w:instrText xml:space="preserve"> HYPERLINK \l _Toc8294 </w:instrText>
          </w:r>
          <w:r>
            <w:rPr>
              <w:rFonts w:hint="eastAsia"/>
              <w:lang w:val="zh-CN"/>
            </w:rPr>
            <w:fldChar w:fldCharType="separate"/>
          </w:r>
          <w:r>
            <w:rPr>
              <w:rFonts w:hint="eastAsia" w:ascii="楷体_GB2312" w:hAnsi="楷体_GB2312" w:eastAsia="楷体_GB2312" w:cs="楷体_GB2312"/>
              <w:bCs w:val="0"/>
              <w:kern w:val="2"/>
              <w:szCs w:val="32"/>
              <w:lang w:val="en-US" w:eastAsia="zh-CN" w:bidi="ar-SA"/>
            </w:rPr>
            <w:t>附件14：享受政府采购政策优惠的证明资料</w:t>
          </w:r>
          <w:r>
            <w:tab/>
          </w:r>
          <w:r>
            <w:fldChar w:fldCharType="begin"/>
          </w:r>
          <w:r>
            <w:instrText xml:space="preserve"> PAGEREF _Toc8294 \h </w:instrText>
          </w:r>
          <w:r>
            <w:fldChar w:fldCharType="separate"/>
          </w:r>
          <w:r>
            <w:t>62</w:t>
          </w:r>
          <w:r>
            <w:fldChar w:fldCharType="end"/>
          </w:r>
          <w:r>
            <w:rPr>
              <w:rFonts w:hint="eastAsia"/>
              <w:lang w:val="zh-CN"/>
            </w:rPr>
            <w:fldChar w:fldCharType="end"/>
          </w:r>
        </w:p>
        <w:p w14:paraId="2D0C6882">
          <w:pPr>
            <w:pStyle w:val="15"/>
            <w:tabs>
              <w:tab w:val="right" w:leader="dot" w:pos="8958"/>
            </w:tabs>
          </w:pPr>
          <w:r>
            <w:rPr>
              <w:rFonts w:hint="eastAsia"/>
              <w:lang w:val="zh-CN"/>
            </w:rPr>
            <w:fldChar w:fldCharType="begin"/>
          </w:r>
          <w:r>
            <w:rPr>
              <w:rFonts w:hint="eastAsia"/>
              <w:lang w:val="zh-CN"/>
            </w:rPr>
            <w:instrText xml:space="preserve"> HYPERLINK \l _Toc8740 </w:instrText>
          </w:r>
          <w:r>
            <w:rPr>
              <w:rFonts w:hint="eastAsia"/>
              <w:lang w:val="zh-CN"/>
            </w:rPr>
            <w:fldChar w:fldCharType="separate"/>
          </w:r>
          <w:r>
            <w:rPr>
              <w:rFonts w:hint="eastAsia" w:ascii="楷体_GB2312" w:hAnsi="楷体_GB2312" w:eastAsia="楷体_GB2312" w:cs="楷体_GB2312"/>
              <w:bCs w:val="0"/>
              <w:kern w:val="2"/>
              <w:szCs w:val="32"/>
              <w:lang w:val="en-US" w:eastAsia="zh-CN" w:bidi="ar-SA"/>
            </w:rPr>
            <w:t>附件15：最后报价表</w:t>
          </w:r>
          <w:r>
            <w:tab/>
          </w:r>
          <w:r>
            <w:fldChar w:fldCharType="begin"/>
          </w:r>
          <w:r>
            <w:instrText xml:space="preserve"> PAGEREF _Toc8740 \h </w:instrText>
          </w:r>
          <w:r>
            <w:fldChar w:fldCharType="separate"/>
          </w:r>
          <w:r>
            <w:t>66</w:t>
          </w:r>
          <w:r>
            <w:fldChar w:fldCharType="end"/>
          </w:r>
          <w:r>
            <w:rPr>
              <w:rFonts w:hint="eastAsia"/>
              <w:lang w:val="zh-CN"/>
            </w:rPr>
            <w:fldChar w:fldCharType="end"/>
          </w:r>
        </w:p>
        <w:p w14:paraId="62F7B424">
          <w:pPr>
            <w:pStyle w:val="14"/>
            <w:tabs>
              <w:tab w:val="right" w:leader="dot" w:pos="8958"/>
            </w:tabs>
          </w:pPr>
          <w:r>
            <w:rPr>
              <w:rFonts w:hint="eastAsia"/>
              <w:lang w:val="zh-CN"/>
            </w:rPr>
            <w:fldChar w:fldCharType="begin"/>
          </w:r>
          <w:r>
            <w:rPr>
              <w:rFonts w:hint="eastAsia"/>
              <w:lang w:val="zh-CN"/>
            </w:rPr>
            <w:instrText xml:space="preserve"> HYPERLINK \l _Toc238 </w:instrText>
          </w:r>
          <w:r>
            <w:rPr>
              <w:rFonts w:hint="eastAsia"/>
              <w:lang w:val="zh-CN"/>
            </w:rPr>
            <w:fldChar w:fldCharType="separate"/>
          </w:r>
          <w:r>
            <w:rPr>
              <w:rFonts w:hint="eastAsia" w:ascii="华文中宋" w:hAnsi="华文中宋" w:eastAsia="华文中宋" w:cs="华文中宋"/>
              <w:bCs w:val="0"/>
              <w:szCs w:val="44"/>
              <w:lang w:eastAsia="zh-CN"/>
            </w:rPr>
            <w:t>第五部分</w:t>
          </w:r>
          <w:r>
            <w:rPr>
              <w:rFonts w:hint="eastAsia" w:ascii="华文中宋" w:hAnsi="华文中宋" w:eastAsia="华文中宋" w:cs="华文中宋"/>
              <w:bCs w:val="0"/>
              <w:szCs w:val="44"/>
            </w:rPr>
            <w:t xml:space="preserve"> 青海省政府采购项目合同书范本</w:t>
          </w:r>
          <w:r>
            <w:tab/>
          </w:r>
          <w:r>
            <w:fldChar w:fldCharType="begin"/>
          </w:r>
          <w:r>
            <w:instrText xml:space="preserve"> PAGEREF _Toc238 \h </w:instrText>
          </w:r>
          <w:r>
            <w:fldChar w:fldCharType="separate"/>
          </w:r>
          <w:r>
            <w:t>68</w:t>
          </w:r>
          <w:r>
            <w:fldChar w:fldCharType="end"/>
          </w:r>
          <w:r>
            <w:rPr>
              <w:rFonts w:hint="eastAsia"/>
              <w:lang w:val="zh-CN"/>
            </w:rPr>
            <w:fldChar w:fldCharType="end"/>
          </w:r>
        </w:p>
        <w:p w14:paraId="5A784CB2">
          <w:pPr>
            <w:pStyle w:val="14"/>
            <w:tabs>
              <w:tab w:val="right" w:leader="dot" w:pos="8958"/>
            </w:tabs>
          </w:pPr>
          <w:r>
            <w:rPr>
              <w:rFonts w:hint="eastAsia"/>
              <w:lang w:val="zh-CN"/>
            </w:rPr>
            <w:fldChar w:fldCharType="begin"/>
          </w:r>
          <w:r>
            <w:rPr>
              <w:rFonts w:hint="eastAsia"/>
              <w:lang w:val="zh-CN"/>
            </w:rPr>
            <w:instrText xml:space="preserve"> HYPERLINK \l _Toc6517 </w:instrText>
          </w:r>
          <w:r>
            <w:rPr>
              <w:rFonts w:hint="eastAsia"/>
              <w:lang w:val="zh-CN"/>
            </w:rPr>
            <w:fldChar w:fldCharType="separate"/>
          </w:r>
          <w:r>
            <w:rPr>
              <w:rFonts w:hint="eastAsia" w:ascii="华文中宋" w:hAnsi="华文中宋" w:eastAsia="华文中宋" w:cs="华文中宋"/>
              <w:bCs w:val="0"/>
              <w:szCs w:val="44"/>
            </w:rPr>
            <w:t>（货物类）</w:t>
          </w:r>
          <w:r>
            <w:tab/>
          </w:r>
          <w:r>
            <w:fldChar w:fldCharType="begin"/>
          </w:r>
          <w:r>
            <w:instrText xml:space="preserve"> PAGEREF _Toc6517 \h </w:instrText>
          </w:r>
          <w:r>
            <w:fldChar w:fldCharType="separate"/>
          </w:r>
          <w:r>
            <w:t>68</w:t>
          </w:r>
          <w:r>
            <w:fldChar w:fldCharType="end"/>
          </w:r>
          <w:r>
            <w:rPr>
              <w:rFonts w:hint="eastAsia"/>
              <w:lang w:val="zh-CN"/>
            </w:rPr>
            <w:fldChar w:fldCharType="end"/>
          </w:r>
        </w:p>
        <w:p w14:paraId="32605240">
          <w:pPr>
            <w:pStyle w:val="7"/>
            <w:ind w:left="0" w:leftChars="0" w:firstLine="0" w:firstLineChars="0"/>
            <w:jc w:val="both"/>
            <w:rPr>
              <w:rFonts w:hint="eastAsia"/>
              <w:lang w:val="zh-CN"/>
            </w:rPr>
          </w:pPr>
          <w:r>
            <w:rPr>
              <w:rFonts w:hint="eastAsia"/>
              <w:lang w:val="zh-CN"/>
            </w:rPr>
            <w:fldChar w:fldCharType="end"/>
          </w:r>
        </w:p>
      </w:sdtContent>
    </w:sdt>
    <w:p w14:paraId="6B0043B7">
      <w:pPr>
        <w:pStyle w:val="35"/>
        <w:outlineLvl w:val="9"/>
        <w:rPr>
          <w:rFonts w:hint="eastAsia"/>
          <w:lang w:val="zh-CN"/>
        </w:rPr>
      </w:pPr>
    </w:p>
    <w:p w14:paraId="0BFF60C0">
      <w:pPr>
        <w:rPr>
          <w:rFonts w:hint="eastAsia"/>
          <w:lang w:val="zh-CN"/>
        </w:rPr>
      </w:pPr>
    </w:p>
    <w:p w14:paraId="14EB5EED">
      <w:pPr>
        <w:pStyle w:val="7"/>
        <w:rPr>
          <w:rFonts w:hint="eastAsia"/>
          <w:lang w:val="zh-CN"/>
        </w:rPr>
      </w:pPr>
    </w:p>
    <w:p w14:paraId="16E4BF2B">
      <w:pPr>
        <w:pStyle w:val="35"/>
        <w:rPr>
          <w:rFonts w:hint="eastAsia"/>
          <w:lang w:val="zh-CN"/>
        </w:rPr>
      </w:pPr>
    </w:p>
    <w:p w14:paraId="22BC8091">
      <w:pPr>
        <w:rPr>
          <w:rFonts w:hint="eastAsia"/>
          <w:lang w:val="zh-CN"/>
        </w:rPr>
      </w:pPr>
    </w:p>
    <w:p w14:paraId="5890BA05">
      <w:pPr>
        <w:pStyle w:val="2"/>
        <w:keepNext/>
        <w:widowControl w:val="0"/>
        <w:numPr>
          <w:ilvl w:val="0"/>
          <w:numId w:val="1"/>
        </w:numPr>
        <w:wordWrap/>
        <w:adjustRightInd w:val="0"/>
        <w:snapToGrid w:val="0"/>
        <w:spacing w:before="157" w:beforeLines="50" w:line="560" w:lineRule="exact"/>
        <w:jc w:val="center"/>
        <w:textAlignment w:val="auto"/>
        <w:outlineLvl w:val="0"/>
        <w:rPr>
          <w:rFonts w:hint="eastAsia" w:ascii="华文中宋" w:hAnsi="华文中宋" w:eastAsia="华文中宋" w:cs="华文中宋"/>
          <w:b w:val="0"/>
          <w:bCs w:val="0"/>
          <w:sz w:val="44"/>
          <w:szCs w:val="44"/>
          <w:lang w:val="en-US" w:eastAsia="zh-CN"/>
        </w:rPr>
      </w:pPr>
      <w:bookmarkStart w:id="1" w:name="_Toc20903"/>
      <w:bookmarkStart w:id="2" w:name="_Toc25411"/>
      <w:bookmarkStart w:id="3" w:name="_Toc10245"/>
      <w:r>
        <w:rPr>
          <w:rFonts w:hint="eastAsia" w:ascii="华文中宋" w:hAnsi="华文中宋" w:eastAsia="华文中宋" w:cs="华文中宋"/>
          <w:b w:val="0"/>
          <w:bCs w:val="0"/>
          <w:sz w:val="44"/>
          <w:szCs w:val="44"/>
          <w:lang w:val="en-US" w:eastAsia="zh-CN"/>
        </w:rPr>
        <w:t>谈判</w:t>
      </w:r>
      <w:bookmarkEnd w:id="1"/>
      <w:r>
        <w:rPr>
          <w:rFonts w:hint="eastAsia" w:ascii="华文中宋" w:hAnsi="华文中宋" w:eastAsia="华文中宋" w:cs="华文中宋"/>
          <w:b w:val="0"/>
          <w:bCs w:val="0"/>
          <w:sz w:val="44"/>
          <w:szCs w:val="44"/>
          <w:lang w:val="en-US" w:eastAsia="zh-CN"/>
        </w:rPr>
        <w:t>邀请</w:t>
      </w:r>
      <w:bookmarkEnd w:id="2"/>
      <w:bookmarkEnd w:id="3"/>
    </w:p>
    <w:tbl>
      <w:tblPr>
        <w:tblStyle w:val="19"/>
        <w:tblpPr w:leftFromText="180" w:rightFromText="180" w:vertAnchor="text" w:horzAnchor="page" w:tblpXSpec="center" w:tblpY="309"/>
        <w:tblOverlap w:val="never"/>
        <w:tblW w:w="1006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56"/>
        <w:gridCol w:w="7906"/>
      </w:tblGrid>
      <w:tr w14:paraId="0151EA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9" w:hRule="atLeast"/>
          <w:jc w:val="center"/>
        </w:trPr>
        <w:tc>
          <w:tcPr>
            <w:tcW w:w="2156" w:type="dxa"/>
            <w:tcBorders>
              <w:tl2br w:val="nil"/>
              <w:tr2bl w:val="nil"/>
            </w:tcBorders>
            <w:vAlign w:val="center"/>
          </w:tcPr>
          <w:p w14:paraId="683F62AD">
            <w:pPr>
              <w:wordWrap/>
              <w:adjustRightInd w:val="0"/>
              <w:snapToGrid w:val="0"/>
              <w:spacing w:before="157" w:beforeLines="50" w:line="560" w:lineRule="exact"/>
              <w:jc w:val="left"/>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采购项目</w:t>
            </w:r>
            <w:r>
              <w:rPr>
                <w:rFonts w:hint="eastAsia" w:ascii="仿宋_GB2312" w:hAnsi="仿宋_GB2312" w:eastAsia="仿宋_GB2312" w:cs="仿宋_GB2312"/>
                <w:color w:val="auto"/>
                <w:sz w:val="28"/>
                <w:szCs w:val="28"/>
                <w:lang w:eastAsia="zh-CN"/>
              </w:rPr>
              <w:t>名称</w:t>
            </w:r>
          </w:p>
        </w:tc>
        <w:tc>
          <w:tcPr>
            <w:tcW w:w="7906" w:type="dxa"/>
            <w:tcBorders>
              <w:tl2br w:val="nil"/>
              <w:tr2bl w:val="nil"/>
            </w:tcBorders>
            <w:vAlign w:val="top"/>
          </w:tcPr>
          <w:p w14:paraId="286AD66B">
            <w:pPr>
              <w:wordWrap/>
              <w:adjustRightInd w:val="0"/>
              <w:snapToGrid w:val="0"/>
              <w:spacing w:before="157" w:beforeLines="50" w:line="560" w:lineRule="exact"/>
              <w:jc w:val="left"/>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u w:val="none"/>
                <w:lang w:val="en-US" w:eastAsia="zh-CN"/>
              </w:rPr>
              <w:t>刚察县医共体沙柳河镇分院2026年老年病科建设项目</w:t>
            </w:r>
          </w:p>
        </w:tc>
      </w:tr>
      <w:tr w14:paraId="218456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67EF34C8">
            <w:pPr>
              <w:wordWrap/>
              <w:adjustRightInd w:val="0"/>
              <w:snapToGrid w:val="0"/>
              <w:spacing w:before="157" w:beforeLines="50" w:line="560" w:lineRule="exact"/>
              <w:jc w:val="both"/>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采购项目编号</w:t>
            </w:r>
          </w:p>
        </w:tc>
        <w:tc>
          <w:tcPr>
            <w:tcW w:w="7906" w:type="dxa"/>
            <w:tcBorders>
              <w:tl2br w:val="nil"/>
              <w:tr2bl w:val="nil"/>
            </w:tcBorders>
            <w:vAlign w:val="top"/>
          </w:tcPr>
          <w:p w14:paraId="3F3A32CB">
            <w:pPr>
              <w:wordWrap/>
              <w:adjustRightInd w:val="0"/>
              <w:snapToGrid w:val="0"/>
              <w:spacing w:before="157" w:beforeLines="50" w:line="560" w:lineRule="exact"/>
              <w:jc w:val="left"/>
              <w:rPr>
                <w:rFonts w:hint="eastAsia" w:ascii="仿宋_GB2312" w:hAnsi="仿宋_GB2312" w:eastAsia="仿宋_GB2312" w:cs="仿宋_GB2312"/>
                <w:color w:val="auto"/>
                <w:kern w:val="2"/>
                <w:sz w:val="28"/>
                <w:szCs w:val="28"/>
                <w:u w:val="none"/>
                <w:lang w:val="zh-CN"/>
              </w:rPr>
            </w:pPr>
            <w:r>
              <w:rPr>
                <w:rFonts w:hint="eastAsia" w:ascii="仿宋_GB2312" w:hAnsi="仿宋_GB2312" w:eastAsia="仿宋_GB2312" w:cs="仿宋_GB2312"/>
                <w:color w:val="auto"/>
                <w:kern w:val="2"/>
                <w:sz w:val="28"/>
                <w:szCs w:val="28"/>
                <w:u w:val="none"/>
                <w:lang w:val="zh-CN"/>
              </w:rPr>
              <w:t>青海赫铭竞谈（货物）2026-008</w:t>
            </w:r>
          </w:p>
        </w:tc>
      </w:tr>
      <w:tr w14:paraId="6159E4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1AF26523">
            <w:pPr>
              <w:wordWrap/>
              <w:adjustRightInd w:val="0"/>
              <w:snapToGrid w:val="0"/>
              <w:spacing w:before="157" w:beforeLines="50" w:line="560" w:lineRule="exact"/>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采购方式</w:t>
            </w:r>
          </w:p>
        </w:tc>
        <w:tc>
          <w:tcPr>
            <w:tcW w:w="7906" w:type="dxa"/>
            <w:tcBorders>
              <w:tl2br w:val="nil"/>
              <w:tr2bl w:val="nil"/>
            </w:tcBorders>
            <w:vAlign w:val="top"/>
          </w:tcPr>
          <w:p w14:paraId="138F7535">
            <w:pPr>
              <w:wordWrap/>
              <w:adjustRightInd w:val="0"/>
              <w:snapToGrid w:val="0"/>
              <w:spacing w:before="157" w:beforeLines="50" w:line="560" w:lineRule="exact"/>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竞争性谈判</w:t>
            </w:r>
          </w:p>
        </w:tc>
      </w:tr>
      <w:tr w14:paraId="6E5F2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7F4AD395">
            <w:pPr>
              <w:wordWrap/>
              <w:adjustRightInd w:val="0"/>
              <w:snapToGrid w:val="0"/>
              <w:spacing w:before="157" w:beforeLines="50" w:line="560" w:lineRule="exact"/>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采购预算额度</w:t>
            </w:r>
          </w:p>
        </w:tc>
        <w:tc>
          <w:tcPr>
            <w:tcW w:w="7906" w:type="dxa"/>
            <w:tcBorders>
              <w:tl2br w:val="nil"/>
              <w:tr2bl w:val="nil"/>
            </w:tcBorders>
            <w:vAlign w:val="top"/>
          </w:tcPr>
          <w:p w14:paraId="09D51B2E">
            <w:pPr>
              <w:wordWrap/>
              <w:adjustRightInd w:val="0"/>
              <w:snapToGrid w:val="0"/>
              <w:spacing w:before="157" w:beforeLines="50" w:line="560" w:lineRule="exact"/>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948000.00</w:t>
            </w:r>
            <w:r>
              <w:rPr>
                <w:rFonts w:hint="default" w:ascii="仿宋_GB2312" w:hAnsi="仿宋_GB2312" w:eastAsia="仿宋_GB2312" w:cs="仿宋_GB2312"/>
                <w:sz w:val="28"/>
                <w:szCs w:val="28"/>
                <w:lang w:val="en-US" w:eastAsia="zh-CN"/>
              </w:rPr>
              <w:t>元</w:t>
            </w:r>
          </w:p>
        </w:tc>
      </w:tr>
      <w:tr w14:paraId="2EE172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22828183">
            <w:pPr>
              <w:wordWrap/>
              <w:adjustRightInd w:val="0"/>
              <w:snapToGrid w:val="0"/>
              <w:spacing w:before="157" w:beforeLines="50" w:line="560" w:lineRule="exact"/>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项目分包个数</w:t>
            </w:r>
          </w:p>
        </w:tc>
        <w:tc>
          <w:tcPr>
            <w:tcW w:w="7906" w:type="dxa"/>
            <w:tcBorders>
              <w:tl2br w:val="nil"/>
              <w:tr2bl w:val="nil"/>
            </w:tcBorders>
            <w:vAlign w:val="top"/>
          </w:tcPr>
          <w:p w14:paraId="71FCFCB7">
            <w:pPr>
              <w:wordWrap/>
              <w:adjustRightInd w:val="0"/>
              <w:snapToGrid w:val="0"/>
              <w:spacing w:before="157" w:beforeLines="50" w:line="56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color w:val="auto"/>
                <w:kern w:val="2"/>
                <w:sz w:val="28"/>
                <w:szCs w:val="28"/>
                <w:u w:val="none"/>
                <w:lang w:val="zh-CN"/>
              </w:rPr>
              <w:t>无分包</w:t>
            </w:r>
          </w:p>
        </w:tc>
      </w:tr>
      <w:tr w14:paraId="60B5F8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69AE21D3">
            <w:pPr>
              <w:wordWrap/>
              <w:adjustRightInd w:val="0"/>
              <w:snapToGrid w:val="0"/>
              <w:spacing w:before="157" w:beforeLines="50" w:line="56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供应商</w:t>
            </w:r>
          </w:p>
          <w:p w14:paraId="5373F588">
            <w:pPr>
              <w:wordWrap/>
              <w:adjustRightInd w:val="0"/>
              <w:snapToGrid w:val="0"/>
              <w:spacing w:before="157" w:beforeLines="50"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资格条件</w:t>
            </w:r>
          </w:p>
        </w:tc>
        <w:tc>
          <w:tcPr>
            <w:tcW w:w="7906" w:type="dxa"/>
            <w:tcBorders>
              <w:tl2br w:val="nil"/>
              <w:tr2bl w:val="nil"/>
            </w:tcBorders>
            <w:vAlign w:val="top"/>
          </w:tcPr>
          <w:p w14:paraId="02A71B75">
            <w:pPr>
              <w:widowControl w:val="0"/>
              <w:wordWrap/>
              <w:spacing w:line="560" w:lineRule="exact"/>
              <w:textAlignment w:val="auto"/>
              <w:rPr>
                <w:rFonts w:hint="eastAsia" w:ascii="仿宋_GB2312" w:hAnsi="仿宋_GB2312" w:eastAsia="仿宋_GB2312" w:cs="仿宋_GB2312"/>
                <w:color w:val="auto"/>
                <w:kern w:val="0"/>
                <w:sz w:val="28"/>
                <w:szCs w:val="28"/>
                <w:lang w:val="en-US" w:eastAsia="zh-CN"/>
              </w:rPr>
            </w:pPr>
            <w:bookmarkStart w:id="4" w:name="OLE_LINK4"/>
            <w:r>
              <w:rPr>
                <w:rFonts w:hint="eastAsia" w:ascii="仿宋_GB2312" w:hAnsi="仿宋_GB2312" w:eastAsia="仿宋_GB2312" w:cs="仿宋_GB2312"/>
                <w:color w:val="auto"/>
                <w:kern w:val="0"/>
                <w:sz w:val="28"/>
                <w:szCs w:val="28"/>
                <w:lang w:val="en-US" w:eastAsia="zh-CN"/>
              </w:rPr>
              <w:t>1、符合《政府采购法》第22条条件，并提供下列材料：</w:t>
            </w:r>
          </w:p>
          <w:p w14:paraId="10226B52">
            <w:pPr>
              <w:widowControl w:val="0"/>
              <w:wordWrap/>
              <w:spacing w:line="560" w:lineRule="exac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（1）投标人的营业执照等证明文件，自然人的身份证明。</w:t>
            </w:r>
          </w:p>
          <w:p w14:paraId="473D1058">
            <w:pPr>
              <w:widowControl w:val="0"/>
              <w:wordWrap/>
              <w:spacing w:line="560" w:lineRule="exac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（2）财务状况报告，依法缴纳税收和社会保障资金的相关材料。</w:t>
            </w:r>
          </w:p>
          <w:p w14:paraId="2C73CE5E">
            <w:pPr>
              <w:widowControl w:val="0"/>
              <w:wordWrap/>
              <w:spacing w:line="560" w:lineRule="exac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（3）具备履行合同所必需的设备和专业技术能力的证明材料。</w:t>
            </w:r>
          </w:p>
          <w:p w14:paraId="46F83074">
            <w:pPr>
              <w:widowControl w:val="0"/>
              <w:wordWrap/>
              <w:spacing w:line="560" w:lineRule="exac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（4）参加政府采购活动前3年内在经营活动中没有重大违法记录的书面声明。</w:t>
            </w:r>
          </w:p>
          <w:p w14:paraId="19190159">
            <w:pPr>
              <w:widowControl w:val="0"/>
              <w:wordWrap/>
              <w:spacing w:line="560" w:lineRule="exac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（5）具备法律、行政法规规定的其他条件的证明材料。</w:t>
            </w:r>
          </w:p>
          <w:bookmarkEnd w:id="4"/>
          <w:p w14:paraId="04ECF273">
            <w:pPr>
              <w:widowControl w:val="0"/>
              <w:wordWrap/>
              <w:spacing w:line="560" w:lineRule="exact"/>
              <w:textAlignment w:val="auto"/>
              <w:rPr>
                <w:rFonts w:hint="eastAsia" w:ascii="仿宋_GB2312" w:hAnsi="仿宋_GB2312" w:eastAsia="仿宋_GB2312" w:cs="仿宋_GB2312"/>
                <w:color w:val="0000FF"/>
                <w:kern w:val="0"/>
                <w:sz w:val="28"/>
                <w:szCs w:val="28"/>
                <w:lang w:val="en-US" w:eastAsia="zh-CN"/>
              </w:rPr>
            </w:pPr>
            <w:r>
              <w:rPr>
                <w:rFonts w:hint="eastAsia" w:ascii="仿宋_GB2312" w:hAnsi="仿宋_GB2312" w:eastAsia="仿宋_GB2312" w:cs="仿宋_GB2312"/>
                <w:color w:val="auto"/>
                <w:kern w:val="0"/>
                <w:sz w:val="28"/>
                <w:szCs w:val="28"/>
                <w:lang w:val="en-US" w:eastAsia="zh-CN"/>
              </w:rPr>
              <w:t>2、</w:t>
            </w:r>
            <w:bookmarkStart w:id="5" w:name="OLE_LINK5"/>
            <w:r>
              <w:rPr>
                <w:rFonts w:hint="eastAsia" w:ascii="仿宋_GB2312" w:hAnsi="仿宋_GB2312" w:eastAsia="仿宋_GB2312" w:cs="仿宋_GB2312"/>
                <w:color w:val="auto"/>
                <w:kern w:val="0"/>
                <w:sz w:val="28"/>
                <w:szCs w:val="28"/>
                <w:lang w:val="en-US" w:eastAsia="zh-CN"/>
              </w:rPr>
              <w:t>经信用中国（www.creditchina.gov.cn）、中国政府采购网（www.ccgp.gov.cn）等渠道查询后，未被列入失信被执行人、重大税收违法案件当事人名单、政府采购严重违法失信行为记录名单的。</w:t>
            </w:r>
            <w:bookmarkEnd w:id="5"/>
          </w:p>
          <w:p w14:paraId="184E59D3">
            <w:pPr>
              <w:widowControl w:val="0"/>
              <w:wordWrap/>
              <w:spacing w:line="560" w:lineRule="exac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3、单位负责人为同一人或者存在直接控股、管理关系的不同投标人，不得参加同一合同项下的政府采购活动。否则，皆取消投标资格；</w:t>
            </w:r>
          </w:p>
          <w:p w14:paraId="74D4FB56">
            <w:pPr>
              <w:widowControl w:val="0"/>
              <w:wordWrap/>
              <w:spacing w:line="560" w:lineRule="exac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4、</w:t>
            </w:r>
            <w:bookmarkStart w:id="6" w:name="OLE_LINK6"/>
            <w:r>
              <w:rPr>
                <w:rFonts w:hint="eastAsia" w:ascii="仿宋_GB2312" w:hAnsi="仿宋_GB2312" w:eastAsia="仿宋_GB2312" w:cs="仿宋_GB2312"/>
                <w:color w:val="auto"/>
                <w:kern w:val="0"/>
                <w:sz w:val="28"/>
                <w:szCs w:val="28"/>
                <w:lang w:val="en-US" w:eastAsia="zh-CN"/>
              </w:rPr>
              <w:t>为本采购项目提供整体设计、规范编制或者项目管理、监理、检测等服务的投标人，不得再参加该采购项目的其他采购活动；</w:t>
            </w:r>
            <w:bookmarkEnd w:id="6"/>
          </w:p>
          <w:p w14:paraId="045FABE9">
            <w:pPr>
              <w:widowControl w:val="0"/>
              <w:wordWrap/>
              <w:spacing w:line="560" w:lineRule="exac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bidi="ar-SA"/>
              </w:rPr>
              <w:t>5</w:t>
            </w:r>
            <w:r>
              <w:rPr>
                <w:rFonts w:hint="eastAsia" w:ascii="仿宋_GB2312" w:hAnsi="仿宋_GB2312" w:eastAsia="仿宋_GB2312" w:cs="仿宋_GB2312"/>
                <w:color w:val="auto"/>
                <w:kern w:val="0"/>
                <w:sz w:val="28"/>
                <w:szCs w:val="28"/>
                <w:lang w:val="en-US" w:eastAsia="zh-CN"/>
              </w:rPr>
              <w:t xml:space="preserve">.（1）供应商须符合《医疗器械监督管理条例》要求，供应商需提供医疗器械生产（经营）许可证或经营备案证明材料； </w:t>
            </w:r>
          </w:p>
          <w:p w14:paraId="77A37D98">
            <w:pPr>
              <w:widowControl w:val="0"/>
              <w:wordWrap/>
              <w:spacing w:line="560" w:lineRule="exact"/>
              <w:textAlignment w:val="auto"/>
              <w:rPr>
                <w:rFonts w:hint="default"/>
                <w:lang w:val="en-US" w:eastAsia="zh-CN"/>
              </w:rPr>
            </w:pPr>
            <w:r>
              <w:rPr>
                <w:rFonts w:hint="eastAsia" w:ascii="仿宋_GB2312" w:hAnsi="仿宋_GB2312" w:eastAsia="仿宋_GB2312" w:cs="仿宋_GB2312"/>
                <w:color w:val="auto"/>
                <w:kern w:val="0"/>
                <w:sz w:val="28"/>
                <w:szCs w:val="28"/>
                <w:lang w:val="en-US" w:eastAsia="zh-CN"/>
              </w:rPr>
              <w:t>（2）供应商所投产品需符合《医疗器械注册管理办法》要求，医疗器械产品需提供产品的注册或备案证明材料；</w:t>
            </w:r>
          </w:p>
        </w:tc>
      </w:tr>
      <w:tr w14:paraId="6C316E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top"/>
          </w:tcPr>
          <w:p w14:paraId="46F04923">
            <w:pPr>
              <w:wordWrap/>
              <w:adjustRightInd w:val="0"/>
              <w:snapToGrid w:val="0"/>
              <w:spacing w:before="157" w:beforeLines="50" w:line="560" w:lineRule="exact"/>
              <w:jc w:val="center"/>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是否接收联合体形式</w:t>
            </w:r>
          </w:p>
        </w:tc>
        <w:tc>
          <w:tcPr>
            <w:tcW w:w="7906" w:type="dxa"/>
            <w:tcBorders>
              <w:tl2br w:val="nil"/>
              <w:tr2bl w:val="nil"/>
            </w:tcBorders>
            <w:vAlign w:val="center"/>
          </w:tcPr>
          <w:p w14:paraId="172F26AA">
            <w:pPr>
              <w:widowControl w:val="0"/>
              <w:wordWrap/>
              <w:adjustRightInd w:val="0"/>
              <w:snapToGrid w:val="0"/>
              <w:spacing w:line="56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zh-CN"/>
              </w:rPr>
              <w:t>本项目</w:t>
            </w:r>
            <w:r>
              <w:rPr>
                <w:rFonts w:hint="eastAsia" w:ascii="仿宋_GB2312" w:hAnsi="仿宋_GB2312" w:eastAsia="仿宋_GB2312" w:cs="仿宋_GB2312"/>
                <w:color w:val="000000"/>
                <w:kern w:val="0"/>
                <w:sz w:val="28"/>
                <w:szCs w:val="28"/>
                <w:u w:val="none"/>
                <w:lang w:val="en-US" w:eastAsia="zh-CN"/>
              </w:rPr>
              <w:t>不接受</w:t>
            </w:r>
            <w:r>
              <w:rPr>
                <w:rFonts w:hint="eastAsia" w:ascii="仿宋_GB2312" w:hAnsi="仿宋_GB2312" w:eastAsia="仿宋_GB2312" w:cs="仿宋_GB2312"/>
                <w:color w:val="000000"/>
                <w:kern w:val="0"/>
                <w:sz w:val="28"/>
                <w:szCs w:val="28"/>
                <w:lang w:val="zh-CN"/>
              </w:rPr>
              <w:t>供应商以联合体方式进行谈判；</w:t>
            </w:r>
          </w:p>
        </w:tc>
      </w:tr>
      <w:tr w14:paraId="682C3C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110934AF">
            <w:pPr>
              <w:wordWrap/>
              <w:adjustRightInd w:val="0"/>
              <w:snapToGrid w:val="0"/>
              <w:spacing w:before="157" w:beforeLines="50" w:line="560" w:lineRule="exact"/>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bCs/>
                <w:sz w:val="28"/>
                <w:szCs w:val="28"/>
                <w:highlight w:val="none"/>
                <w:u w:val="none" w:color="auto"/>
                <w:lang w:val="en-US" w:eastAsia="zh-CN"/>
              </w:rPr>
              <w:t>政策功能</w:t>
            </w:r>
          </w:p>
        </w:tc>
        <w:tc>
          <w:tcPr>
            <w:tcW w:w="7906" w:type="dxa"/>
            <w:tcBorders>
              <w:tl2br w:val="nil"/>
              <w:tr2bl w:val="nil"/>
            </w:tcBorders>
            <w:vAlign w:val="center"/>
          </w:tcPr>
          <w:p w14:paraId="4EB82108">
            <w:pPr>
              <w:widowControl w:val="0"/>
              <w:numPr>
                <w:ilvl w:val="0"/>
                <w:numId w:val="0"/>
              </w:numPr>
              <w:wordWrap/>
              <w:adjustRightInd w:val="0"/>
              <w:snapToGrid w:val="0"/>
              <w:spacing w:line="560" w:lineRule="exact"/>
              <w:textAlignment w:val="auto"/>
              <w:rPr>
                <w:rFonts w:hint="default" w:ascii="仿宋_GB2312" w:hAnsi="仿宋_GB2312" w:eastAsia="仿宋_GB2312" w:cs="仿宋_GB2312"/>
                <w:bCs/>
                <w:sz w:val="28"/>
                <w:szCs w:val="28"/>
                <w:highlight w:val="none"/>
                <w:u w:val="none" w:color="auto"/>
                <w:lang w:val="en-US" w:eastAsia="zh-CN"/>
              </w:rPr>
            </w:pPr>
            <w:r>
              <w:rPr>
                <w:rFonts w:hint="eastAsia" w:ascii="仿宋_GB2312" w:hAnsi="仿宋_GB2312" w:eastAsia="仿宋_GB2312" w:cs="仿宋_GB2312"/>
                <w:bCs/>
                <w:sz w:val="28"/>
                <w:szCs w:val="28"/>
                <w:highlight w:val="none"/>
                <w:u w:val="none" w:color="auto"/>
                <w:lang w:val="en-US" w:eastAsia="zh-CN"/>
              </w:rPr>
              <w:t>1.因落实政府采购政策进行价格调整的，以调整后的价格计算评标基准价和投标报价。残疾人福利性单位属于小型、微型企业的，不重复享受政策。（注：根据《政府采购促进中小企业发展管理办法》的相关规定，对小型和微型企业制造（生产）产品的价格给予10%的扣除，用扣除后的价格参与评审）。</w:t>
            </w:r>
          </w:p>
          <w:p w14:paraId="6B8F1689">
            <w:pPr>
              <w:widowControl w:val="0"/>
              <w:numPr>
                <w:ilvl w:val="0"/>
                <w:numId w:val="0"/>
              </w:numPr>
              <w:wordWrap/>
              <w:adjustRightInd w:val="0"/>
              <w:snapToGrid w:val="0"/>
              <w:spacing w:line="560" w:lineRule="exact"/>
              <w:textAlignment w:val="auto"/>
              <w:rPr>
                <w:rFonts w:hint="eastAsia" w:ascii="仿宋_GB2312" w:hAnsi="仿宋_GB2312" w:eastAsia="仿宋_GB2312" w:cs="仿宋_GB2312"/>
                <w:color w:val="000000"/>
                <w:kern w:val="0"/>
                <w:sz w:val="28"/>
                <w:szCs w:val="28"/>
                <w:highlight w:val="none"/>
                <w:lang w:val="zh-CN"/>
              </w:rPr>
            </w:pPr>
            <w:r>
              <w:rPr>
                <w:rFonts w:hint="eastAsia" w:ascii="仿宋_GB2312" w:hAnsi="仿宋_GB2312" w:eastAsia="仿宋_GB2312" w:cs="仿宋_GB2312"/>
                <w:bCs/>
                <w:sz w:val="28"/>
                <w:szCs w:val="28"/>
                <w:highlight w:val="none"/>
                <w:u w:val="none" w:color="auto"/>
                <w:lang w:val="en-US" w:eastAsia="zh-CN"/>
              </w:rPr>
              <w:t>2.对符合《国务院办公厅关于在政府采购中实施本国产品标准及相关政策的通知》规定的本国产品的报价给予20%的扣除，用扣除后的价格计算投标报价得分，须提供《关于符合本国产品标准的声明函》或财政部会同有关部门规定的有关证明文件。</w:t>
            </w:r>
          </w:p>
        </w:tc>
      </w:tr>
      <w:tr w14:paraId="1DFEF3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38B0701A">
            <w:pPr>
              <w:wordWrap/>
              <w:adjustRightInd w:val="0"/>
              <w:snapToGrid w:val="0"/>
              <w:spacing w:before="157" w:beforeLines="50" w:line="560" w:lineRule="exact"/>
              <w:rPr>
                <w:rFonts w:hint="eastAsia" w:ascii="仿宋_GB2312" w:hAnsi="仿宋_GB2312" w:eastAsia="仿宋_GB2312" w:cs="仿宋_GB2312"/>
                <w:sz w:val="28"/>
                <w:szCs w:val="28"/>
                <w:highlight w:val="none"/>
                <w:u w:val="single" w:color="auto"/>
                <w:lang w:eastAsia="zh-CN"/>
              </w:rPr>
            </w:pPr>
            <w:r>
              <w:rPr>
                <w:rFonts w:hint="eastAsia" w:ascii="仿宋_GB2312" w:hAnsi="仿宋_GB2312" w:eastAsia="仿宋_GB2312" w:cs="仿宋_GB2312"/>
                <w:bCs/>
                <w:sz w:val="28"/>
                <w:szCs w:val="28"/>
                <w:highlight w:val="none"/>
                <w:u w:val="none" w:color="auto"/>
              </w:rPr>
              <w:t>谈判文件的实质性变动内容</w:t>
            </w:r>
          </w:p>
        </w:tc>
        <w:tc>
          <w:tcPr>
            <w:tcW w:w="7906" w:type="dxa"/>
            <w:tcBorders>
              <w:tl2br w:val="nil"/>
              <w:tr2bl w:val="nil"/>
            </w:tcBorders>
            <w:vAlign w:val="center"/>
          </w:tcPr>
          <w:p w14:paraId="1E877B21">
            <w:pPr>
              <w:widowControl w:val="0"/>
              <w:wordWrap/>
              <w:adjustRightInd w:val="0"/>
              <w:snapToGrid w:val="0"/>
              <w:spacing w:line="560" w:lineRule="exact"/>
              <w:textAlignment w:val="auto"/>
              <w:rPr>
                <w:rFonts w:hint="eastAsia" w:ascii="仿宋_GB2312" w:hAnsi="仿宋_GB2312" w:eastAsia="仿宋_GB2312" w:cs="仿宋_GB2312"/>
                <w:b w:val="0"/>
                <w:bCs/>
                <w:color w:val="auto"/>
                <w:sz w:val="28"/>
                <w:szCs w:val="28"/>
                <w:highlight w:val="none"/>
                <w:u w:val="single" w:color="auto"/>
              </w:rPr>
            </w:pPr>
            <w:r>
              <w:rPr>
                <w:rFonts w:hint="eastAsia" w:ascii="仿宋_GB2312" w:hAnsi="仿宋_GB2312" w:eastAsia="仿宋_GB2312" w:cs="仿宋_GB2312"/>
                <w:bCs/>
                <w:sz w:val="28"/>
                <w:szCs w:val="28"/>
                <w:highlight w:val="none"/>
                <w:u w:val="none" w:color="auto"/>
              </w:rPr>
              <w:t>在谈判过程中，谈判小组可以根据谈判文件和谈判情况实质性变动采购需求中的技术、服务要求及合同草案条款，但不得变动谈判文件中的其他内容。实质性变动的内容，须经采购人代表确认。</w:t>
            </w:r>
          </w:p>
        </w:tc>
      </w:tr>
      <w:tr w14:paraId="284006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338E4FBB">
            <w:pPr>
              <w:wordWrap/>
              <w:adjustRightInd w:val="0"/>
              <w:snapToGrid w:val="0"/>
              <w:spacing w:before="157" w:beforeLines="50" w:line="560" w:lineRule="exact"/>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公告发布时间</w:t>
            </w:r>
          </w:p>
        </w:tc>
        <w:tc>
          <w:tcPr>
            <w:tcW w:w="7906" w:type="dxa"/>
            <w:tcBorders>
              <w:tl2br w:val="nil"/>
              <w:tr2bl w:val="nil"/>
            </w:tcBorders>
            <w:vAlign w:val="top"/>
          </w:tcPr>
          <w:p w14:paraId="45357740">
            <w:pPr>
              <w:widowControl w:val="0"/>
              <w:wordWrap/>
              <w:adjustRightInd w:val="0"/>
              <w:snapToGrid w:val="0"/>
              <w:spacing w:line="560" w:lineRule="exac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u w:val="none"/>
                <w:lang w:val="en-US" w:eastAsia="zh-CN"/>
              </w:rPr>
              <w:t>2026年04月17</w:t>
            </w:r>
            <w:r>
              <w:rPr>
                <w:rFonts w:hint="eastAsia" w:ascii="仿宋_GB2312" w:hAnsi="仿宋_GB2312" w:eastAsia="仿宋_GB2312" w:cs="仿宋_GB2312"/>
                <w:color w:val="auto"/>
                <w:kern w:val="0"/>
                <w:sz w:val="28"/>
                <w:szCs w:val="28"/>
                <w:u w:val="none"/>
              </w:rPr>
              <w:t>日（</w:t>
            </w:r>
            <w:r>
              <w:rPr>
                <w:rFonts w:hint="eastAsia" w:ascii="仿宋_GB2312" w:hAnsi="仿宋_GB2312" w:eastAsia="仿宋_GB2312" w:cs="仿宋_GB2312"/>
                <w:color w:val="auto"/>
                <w:kern w:val="0"/>
                <w:sz w:val="28"/>
                <w:szCs w:val="28"/>
              </w:rPr>
              <w:t>北京时间）</w:t>
            </w:r>
          </w:p>
        </w:tc>
      </w:tr>
      <w:tr w14:paraId="446583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1EE2DC15">
            <w:pPr>
              <w:wordWrap/>
              <w:spacing w:before="157" w:beforeLines="50" w:line="560" w:lineRule="exact"/>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sz w:val="28"/>
                <w:szCs w:val="28"/>
              </w:rPr>
              <w:t>文件发售起止时间</w:t>
            </w:r>
          </w:p>
        </w:tc>
        <w:tc>
          <w:tcPr>
            <w:tcW w:w="7906" w:type="dxa"/>
            <w:tcBorders>
              <w:tl2br w:val="nil"/>
              <w:tr2bl w:val="nil"/>
            </w:tcBorders>
            <w:vAlign w:val="top"/>
          </w:tcPr>
          <w:p w14:paraId="37425A53">
            <w:pPr>
              <w:widowControl w:val="0"/>
              <w:wordWrap/>
              <w:spacing w:line="560" w:lineRule="exact"/>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2026年04月</w:t>
            </w:r>
            <w:r>
              <w:rPr>
                <w:rFonts w:hint="eastAsia" w:ascii="仿宋_GB2312" w:hAnsi="仿宋_GB2312" w:eastAsia="仿宋_GB2312" w:cs="仿宋_GB2312"/>
                <w:color w:val="auto"/>
                <w:kern w:val="0"/>
                <w:sz w:val="28"/>
                <w:szCs w:val="28"/>
                <w:u w:val="none"/>
                <w:lang w:val="en-US" w:eastAsia="zh-CN"/>
              </w:rPr>
              <w:t>20</w:t>
            </w:r>
            <w:r>
              <w:rPr>
                <w:rFonts w:hint="eastAsia" w:ascii="仿宋_GB2312" w:hAnsi="仿宋_GB2312" w:eastAsia="仿宋_GB2312" w:cs="仿宋_GB2312"/>
                <w:color w:val="auto"/>
                <w:kern w:val="0"/>
                <w:sz w:val="28"/>
                <w:szCs w:val="28"/>
                <w:u w:val="none"/>
              </w:rPr>
              <w:t>日至</w:t>
            </w:r>
            <w:r>
              <w:rPr>
                <w:rFonts w:hint="eastAsia" w:ascii="仿宋_GB2312" w:hAnsi="仿宋_GB2312" w:eastAsia="仿宋_GB2312" w:cs="仿宋_GB2312"/>
                <w:color w:val="auto"/>
                <w:kern w:val="0"/>
                <w:sz w:val="28"/>
                <w:szCs w:val="28"/>
                <w:u w:val="none"/>
                <w:lang w:val="en-US" w:eastAsia="zh-CN"/>
              </w:rPr>
              <w:t>2026年04月22</w:t>
            </w:r>
            <w:r>
              <w:rPr>
                <w:rFonts w:hint="eastAsia" w:ascii="仿宋_GB2312" w:hAnsi="仿宋_GB2312" w:eastAsia="仿宋_GB2312" w:cs="仿宋_GB2312"/>
                <w:color w:val="auto"/>
                <w:kern w:val="0"/>
                <w:sz w:val="28"/>
                <w:szCs w:val="28"/>
                <w:u w:val="none"/>
              </w:rPr>
              <w:t>日（</w:t>
            </w:r>
            <w:r>
              <w:rPr>
                <w:rFonts w:hint="eastAsia" w:ascii="仿宋_GB2312" w:hAnsi="仿宋_GB2312" w:eastAsia="仿宋_GB2312" w:cs="仿宋_GB2312"/>
                <w:color w:val="auto"/>
                <w:kern w:val="0"/>
                <w:sz w:val="28"/>
                <w:szCs w:val="28"/>
              </w:rPr>
              <w:t xml:space="preserve">北京时间）          </w:t>
            </w:r>
          </w:p>
          <w:p w14:paraId="4BEEA47C">
            <w:pPr>
              <w:widowControl w:val="0"/>
              <w:wordWrap/>
              <w:spacing w:line="560" w:lineRule="exact"/>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上午：</w:t>
            </w:r>
            <w:r>
              <w:rPr>
                <w:rFonts w:hint="eastAsia" w:ascii="仿宋_GB2312" w:hAnsi="仿宋_GB2312" w:eastAsia="仿宋_GB2312" w:cs="仿宋_GB2312"/>
                <w:color w:val="auto"/>
                <w:kern w:val="0"/>
                <w:sz w:val="28"/>
                <w:szCs w:val="28"/>
                <w:lang w:val="en-US" w:eastAsia="zh-CN"/>
              </w:rPr>
              <w:t>00</w:t>
            </w:r>
            <w:r>
              <w:rPr>
                <w:rFonts w:hint="eastAsia" w:ascii="仿宋_GB2312" w:hAnsi="仿宋_GB2312" w:eastAsia="仿宋_GB2312" w:cs="仿宋_GB2312"/>
                <w:color w:val="auto"/>
                <w:kern w:val="0"/>
                <w:sz w:val="28"/>
                <w:szCs w:val="28"/>
              </w:rPr>
              <w:t>时00分至</w:t>
            </w:r>
            <w:r>
              <w:rPr>
                <w:rFonts w:hint="eastAsia" w:ascii="仿宋_GB2312" w:hAnsi="仿宋_GB2312" w:eastAsia="仿宋_GB2312" w:cs="仿宋_GB2312"/>
                <w:color w:val="auto"/>
                <w:kern w:val="0"/>
                <w:sz w:val="28"/>
                <w:szCs w:val="28"/>
                <w:lang w:val="en-US" w:eastAsia="zh-CN"/>
              </w:rPr>
              <w:t>12</w:t>
            </w:r>
            <w:r>
              <w:rPr>
                <w:rFonts w:hint="eastAsia" w:ascii="仿宋_GB2312" w:hAnsi="仿宋_GB2312" w:eastAsia="仿宋_GB2312" w:cs="仿宋_GB2312"/>
                <w:color w:val="auto"/>
                <w:kern w:val="0"/>
                <w:sz w:val="28"/>
                <w:szCs w:val="28"/>
              </w:rPr>
              <w:t>时</w:t>
            </w:r>
            <w:r>
              <w:rPr>
                <w:rFonts w:hint="eastAsia" w:ascii="仿宋_GB2312" w:hAnsi="仿宋_GB2312" w:eastAsia="仿宋_GB2312" w:cs="仿宋_GB2312"/>
                <w:color w:val="auto"/>
                <w:kern w:val="0"/>
                <w:sz w:val="28"/>
                <w:szCs w:val="28"/>
                <w:lang w:val="en-US" w:eastAsia="zh-CN"/>
              </w:rPr>
              <w:t>00</w:t>
            </w:r>
            <w:r>
              <w:rPr>
                <w:rFonts w:hint="eastAsia" w:ascii="仿宋_GB2312" w:hAnsi="仿宋_GB2312" w:eastAsia="仿宋_GB2312" w:cs="仿宋_GB2312"/>
                <w:color w:val="auto"/>
                <w:kern w:val="0"/>
                <w:sz w:val="28"/>
                <w:szCs w:val="28"/>
              </w:rPr>
              <w:t>分（</w:t>
            </w:r>
            <w:r>
              <w:rPr>
                <w:rFonts w:hint="eastAsia" w:ascii="仿宋_GB2312" w:hAnsi="仿宋_GB2312" w:eastAsia="仿宋_GB2312" w:cs="仿宋_GB2312"/>
                <w:color w:val="auto"/>
                <w:kern w:val="0"/>
                <w:sz w:val="28"/>
                <w:szCs w:val="28"/>
                <w:lang w:eastAsia="zh-CN"/>
              </w:rPr>
              <w:t>采用</w:t>
            </w:r>
            <w:r>
              <w:rPr>
                <w:rFonts w:hint="eastAsia" w:ascii="仿宋_GB2312" w:hAnsi="仿宋_GB2312" w:eastAsia="仿宋_GB2312" w:cs="仿宋_GB2312"/>
                <w:color w:val="auto"/>
                <w:kern w:val="0"/>
                <w:sz w:val="28"/>
                <w:szCs w:val="28"/>
              </w:rPr>
              <w:t>北京时间</w:t>
            </w:r>
            <w:r>
              <w:rPr>
                <w:rFonts w:hint="eastAsia" w:ascii="仿宋_GB2312" w:hAnsi="仿宋_GB2312" w:eastAsia="仿宋_GB2312" w:cs="仿宋_GB2312"/>
                <w:color w:val="auto"/>
                <w:kern w:val="0"/>
                <w:sz w:val="28"/>
                <w:szCs w:val="28"/>
                <w:lang w:val="en-US" w:eastAsia="zh-CN"/>
              </w:rPr>
              <w:t>24小时制</w:t>
            </w:r>
            <w:r>
              <w:rPr>
                <w:rFonts w:hint="eastAsia" w:ascii="仿宋_GB2312" w:hAnsi="仿宋_GB2312" w:eastAsia="仿宋_GB2312" w:cs="仿宋_GB2312"/>
                <w:color w:val="auto"/>
                <w:kern w:val="0"/>
                <w:sz w:val="28"/>
                <w:szCs w:val="28"/>
              </w:rPr>
              <w:t>）</w:t>
            </w:r>
          </w:p>
          <w:p w14:paraId="7193C200">
            <w:pPr>
              <w:widowControl w:val="0"/>
              <w:wordWrap/>
              <w:spacing w:line="560" w:lineRule="exact"/>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下午：</w:t>
            </w:r>
            <w:r>
              <w:rPr>
                <w:rFonts w:hint="eastAsia" w:ascii="仿宋_GB2312" w:hAnsi="仿宋_GB2312" w:eastAsia="仿宋_GB2312" w:cs="仿宋_GB2312"/>
                <w:color w:val="auto"/>
                <w:kern w:val="0"/>
                <w:sz w:val="28"/>
                <w:szCs w:val="28"/>
                <w:lang w:val="en-US" w:eastAsia="zh-CN"/>
              </w:rPr>
              <w:t>12</w:t>
            </w:r>
            <w:r>
              <w:rPr>
                <w:rFonts w:hint="eastAsia" w:ascii="仿宋_GB2312" w:hAnsi="仿宋_GB2312" w:eastAsia="仿宋_GB2312" w:cs="仿宋_GB2312"/>
                <w:color w:val="auto"/>
                <w:kern w:val="0"/>
                <w:sz w:val="28"/>
                <w:szCs w:val="28"/>
              </w:rPr>
              <w:t xml:space="preserve"> 时</w:t>
            </w:r>
            <w:r>
              <w:rPr>
                <w:rFonts w:hint="eastAsia" w:ascii="仿宋_GB2312" w:hAnsi="仿宋_GB2312" w:eastAsia="仿宋_GB2312" w:cs="仿宋_GB2312"/>
                <w:color w:val="auto"/>
                <w:kern w:val="0"/>
                <w:sz w:val="28"/>
                <w:szCs w:val="28"/>
                <w:lang w:val="en-US" w:eastAsia="zh-CN"/>
              </w:rPr>
              <w:t>0</w:t>
            </w:r>
            <w:r>
              <w:rPr>
                <w:rFonts w:hint="eastAsia" w:ascii="仿宋_GB2312" w:hAnsi="仿宋_GB2312" w:eastAsia="仿宋_GB2312" w:cs="仿宋_GB2312"/>
                <w:color w:val="auto"/>
                <w:kern w:val="0"/>
                <w:sz w:val="28"/>
                <w:szCs w:val="28"/>
              </w:rPr>
              <w:t>0分至</w:t>
            </w:r>
            <w:r>
              <w:rPr>
                <w:rFonts w:hint="eastAsia" w:ascii="仿宋_GB2312" w:hAnsi="仿宋_GB2312" w:eastAsia="仿宋_GB2312" w:cs="仿宋_GB2312"/>
                <w:color w:val="auto"/>
                <w:kern w:val="0"/>
                <w:sz w:val="28"/>
                <w:szCs w:val="28"/>
                <w:lang w:val="en-US" w:eastAsia="zh-CN"/>
              </w:rPr>
              <w:t>23</w:t>
            </w:r>
            <w:r>
              <w:rPr>
                <w:rFonts w:hint="eastAsia" w:ascii="仿宋_GB2312" w:hAnsi="仿宋_GB2312" w:eastAsia="仿宋_GB2312" w:cs="仿宋_GB2312"/>
                <w:color w:val="auto"/>
                <w:kern w:val="0"/>
                <w:sz w:val="28"/>
                <w:szCs w:val="28"/>
              </w:rPr>
              <w:t xml:space="preserve"> 时</w:t>
            </w:r>
            <w:r>
              <w:rPr>
                <w:rFonts w:hint="eastAsia" w:ascii="仿宋_GB2312" w:hAnsi="仿宋_GB2312" w:eastAsia="仿宋_GB2312" w:cs="仿宋_GB2312"/>
                <w:color w:val="auto"/>
                <w:kern w:val="0"/>
                <w:sz w:val="28"/>
                <w:szCs w:val="28"/>
                <w:lang w:val="en-US" w:eastAsia="zh-CN"/>
              </w:rPr>
              <w:t>59</w:t>
            </w:r>
            <w:r>
              <w:rPr>
                <w:rFonts w:hint="eastAsia" w:ascii="仿宋_GB2312" w:hAnsi="仿宋_GB2312" w:eastAsia="仿宋_GB2312" w:cs="仿宋_GB2312"/>
                <w:color w:val="auto"/>
                <w:kern w:val="0"/>
                <w:sz w:val="28"/>
                <w:szCs w:val="28"/>
              </w:rPr>
              <w:t>分 （</w:t>
            </w:r>
            <w:r>
              <w:rPr>
                <w:rFonts w:hint="eastAsia" w:ascii="仿宋_GB2312" w:hAnsi="仿宋_GB2312" w:eastAsia="仿宋_GB2312" w:cs="仿宋_GB2312"/>
                <w:color w:val="auto"/>
                <w:kern w:val="0"/>
                <w:sz w:val="28"/>
                <w:szCs w:val="28"/>
                <w:lang w:eastAsia="zh-CN"/>
              </w:rPr>
              <w:t>采用</w:t>
            </w:r>
            <w:r>
              <w:rPr>
                <w:rFonts w:hint="eastAsia" w:ascii="仿宋_GB2312" w:hAnsi="仿宋_GB2312" w:eastAsia="仿宋_GB2312" w:cs="仿宋_GB2312"/>
                <w:color w:val="auto"/>
                <w:kern w:val="0"/>
                <w:sz w:val="28"/>
                <w:szCs w:val="28"/>
              </w:rPr>
              <w:t>北京时间</w:t>
            </w:r>
            <w:r>
              <w:rPr>
                <w:rFonts w:hint="eastAsia" w:ascii="仿宋_GB2312" w:hAnsi="仿宋_GB2312" w:eastAsia="仿宋_GB2312" w:cs="仿宋_GB2312"/>
                <w:color w:val="auto"/>
                <w:kern w:val="0"/>
                <w:sz w:val="28"/>
                <w:szCs w:val="28"/>
                <w:lang w:val="en-US" w:eastAsia="zh-CN"/>
              </w:rPr>
              <w:t>24小时制</w:t>
            </w:r>
            <w:r>
              <w:rPr>
                <w:rFonts w:hint="eastAsia" w:ascii="仿宋_GB2312" w:hAnsi="仿宋_GB2312" w:eastAsia="仿宋_GB2312" w:cs="仿宋_GB2312"/>
                <w:color w:val="auto"/>
                <w:kern w:val="0"/>
                <w:sz w:val="28"/>
                <w:szCs w:val="28"/>
              </w:rPr>
              <w:t>）</w:t>
            </w:r>
          </w:p>
        </w:tc>
      </w:tr>
      <w:tr w14:paraId="5E8F22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385F8F68">
            <w:pPr>
              <w:wordWrap/>
              <w:adjustRightInd w:val="0"/>
              <w:snapToGrid w:val="0"/>
              <w:spacing w:before="157" w:beforeLines="50" w:line="560" w:lineRule="exact"/>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获取方式</w:t>
            </w:r>
          </w:p>
        </w:tc>
        <w:tc>
          <w:tcPr>
            <w:tcW w:w="7906" w:type="dxa"/>
            <w:tcBorders>
              <w:tl2br w:val="nil"/>
              <w:tr2bl w:val="nil"/>
            </w:tcBorders>
            <w:vAlign w:val="center"/>
          </w:tcPr>
          <w:p w14:paraId="57023CF4">
            <w:pPr>
              <w:widowControl w:val="0"/>
              <w:tabs>
                <w:tab w:val="left" w:pos="320"/>
              </w:tabs>
              <w:wordWrap/>
              <w:adjustRightInd w:val="0"/>
              <w:snapToGrid w:val="0"/>
              <w:spacing w:line="560" w:lineRule="exac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lang w:val="en-US" w:eastAsia="zh-CN"/>
              </w:rPr>
              <w:t>供应商登录政采云平台 https://www.zcygov.cn/在线申请获取采购文件（进入“项目采购 ”应用，在获取采购文件菜单中选择项目，申请获取采购文件）</w:t>
            </w:r>
          </w:p>
        </w:tc>
      </w:tr>
      <w:tr w14:paraId="54B6EA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08EB76B1">
            <w:pPr>
              <w:wordWrap/>
              <w:spacing w:before="157" w:beforeLines="50" w:line="560" w:lineRule="exact"/>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sz w:val="28"/>
                <w:szCs w:val="28"/>
              </w:rPr>
              <w:t>文件售价</w:t>
            </w:r>
          </w:p>
        </w:tc>
        <w:tc>
          <w:tcPr>
            <w:tcW w:w="7906" w:type="dxa"/>
            <w:tcBorders>
              <w:tl2br w:val="nil"/>
              <w:tr2bl w:val="nil"/>
            </w:tcBorders>
            <w:vAlign w:val="center"/>
          </w:tcPr>
          <w:p w14:paraId="1151F46D">
            <w:pPr>
              <w:widowControl w:val="0"/>
              <w:wordWrap/>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single"/>
                <w:lang w:val="en-US" w:eastAsia="zh-CN"/>
              </w:rPr>
              <w:t>0</w:t>
            </w:r>
            <w:r>
              <w:rPr>
                <w:rFonts w:hint="eastAsia" w:ascii="仿宋_GB2312" w:hAnsi="仿宋_GB2312" w:eastAsia="仿宋_GB2312" w:cs="仿宋_GB2312"/>
                <w:sz w:val="28"/>
                <w:szCs w:val="28"/>
              </w:rPr>
              <w:t>元</w:t>
            </w:r>
          </w:p>
        </w:tc>
      </w:tr>
      <w:tr w14:paraId="2D2848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7E91D8A8">
            <w:pPr>
              <w:wordWrap/>
              <w:spacing w:before="157" w:beforeLines="50"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文件发售地点</w:t>
            </w:r>
          </w:p>
        </w:tc>
        <w:tc>
          <w:tcPr>
            <w:tcW w:w="7906" w:type="dxa"/>
            <w:tcBorders>
              <w:tl2br w:val="nil"/>
              <w:tr2bl w:val="nil"/>
            </w:tcBorders>
            <w:vAlign w:val="center"/>
          </w:tcPr>
          <w:p w14:paraId="67EF1EC7">
            <w:pPr>
              <w:widowControl w:val="0"/>
              <w:wordWrap/>
              <w:spacing w:line="560" w:lineRule="exac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青海赫铭工程项目管理有限公司（地址：青海省西宁市城西区西关大街130号3号楼13层11301号）</w:t>
            </w:r>
          </w:p>
          <w:p w14:paraId="6F1B815E">
            <w:pPr>
              <w:widowControl w:val="0"/>
              <w:wordWrap/>
              <w:spacing w:line="560" w:lineRule="exac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文件购买联系人：</w:t>
            </w:r>
            <w:r>
              <w:rPr>
                <w:rFonts w:hint="eastAsia" w:ascii="仿宋_GB2312" w:hAnsi="仿宋_GB2312" w:eastAsia="仿宋_GB2312" w:cs="仿宋_GB2312"/>
                <w:sz w:val="28"/>
                <w:szCs w:val="28"/>
                <w:lang w:eastAsia="zh-CN"/>
              </w:rPr>
              <w:t>拉君婷</w:t>
            </w:r>
          </w:p>
          <w:p w14:paraId="65751E16">
            <w:pPr>
              <w:widowControl w:val="0"/>
              <w:wordWrap/>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联系电话：</w:t>
            </w:r>
            <w:r>
              <w:rPr>
                <w:rFonts w:hint="eastAsia" w:ascii="仿宋_GB2312" w:hAnsi="仿宋_GB2312" w:eastAsia="仿宋_GB2312" w:cs="仿宋_GB2312"/>
                <w:sz w:val="28"/>
                <w:szCs w:val="28"/>
                <w:lang w:val="en-US" w:eastAsia="zh-CN"/>
              </w:rPr>
              <w:t>0971-5129911</w:t>
            </w:r>
          </w:p>
          <w:p w14:paraId="21181CFF">
            <w:pPr>
              <w:widowControl w:val="0"/>
              <w:wordWrap/>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电子邮箱：</w:t>
            </w:r>
            <w:r>
              <w:rPr>
                <w:rFonts w:hint="eastAsia" w:ascii="仿宋_GB2312" w:hAnsi="仿宋_GB2312" w:eastAsia="仿宋_GB2312" w:cs="仿宋_GB2312"/>
                <w:color w:val="000000" w:themeColor="text1"/>
                <w:sz w:val="28"/>
                <w:szCs w:val="28"/>
                <w:u w:val="none"/>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8"/>
                <w:u w:val="none"/>
                <w:lang w:val="en-US" w:eastAsia="zh-CN"/>
                <w14:textFill>
                  <w14:solidFill>
                    <w14:schemeClr w14:val="tx1"/>
                  </w14:solidFill>
                </w14:textFill>
              </w:rPr>
              <w:instrText xml:space="preserve"> HYPERLINK "mailto:qhhmgc@163.com" </w:instrText>
            </w:r>
            <w:r>
              <w:rPr>
                <w:rFonts w:hint="eastAsia" w:ascii="仿宋_GB2312" w:hAnsi="仿宋_GB2312" w:eastAsia="仿宋_GB2312" w:cs="仿宋_GB2312"/>
                <w:color w:val="000000" w:themeColor="text1"/>
                <w:sz w:val="28"/>
                <w:szCs w:val="28"/>
                <w:u w:val="none"/>
                <w:lang w:val="en-US" w:eastAsia="zh-CN"/>
                <w14:textFill>
                  <w14:solidFill>
                    <w14:schemeClr w14:val="tx1"/>
                  </w14:solidFill>
                </w14:textFill>
              </w:rPr>
              <w:fldChar w:fldCharType="separate"/>
            </w:r>
            <w:r>
              <w:rPr>
                <w:rStyle w:val="29"/>
                <w:rFonts w:hint="eastAsia" w:ascii="仿宋_GB2312" w:hAnsi="仿宋_GB2312" w:eastAsia="仿宋_GB2312" w:cs="仿宋_GB2312"/>
                <w:color w:val="000000" w:themeColor="text1"/>
                <w:sz w:val="28"/>
                <w:szCs w:val="28"/>
                <w:u w:val="none"/>
                <w:lang w:val="en-US" w:eastAsia="zh-CN"/>
                <w14:textFill>
                  <w14:solidFill>
                    <w14:schemeClr w14:val="tx1"/>
                  </w14:solidFill>
                </w14:textFill>
              </w:rPr>
              <w:t>qhhmgc@163.com</w:t>
            </w:r>
            <w:r>
              <w:rPr>
                <w:rFonts w:hint="eastAsia" w:ascii="仿宋_GB2312" w:hAnsi="仿宋_GB2312" w:eastAsia="仿宋_GB2312" w:cs="仿宋_GB2312"/>
                <w:color w:val="000000" w:themeColor="text1"/>
                <w:sz w:val="28"/>
                <w:szCs w:val="28"/>
                <w:u w:val="none"/>
                <w:lang w:val="en-US" w:eastAsia="zh-CN"/>
                <w14:textFill>
                  <w14:solidFill>
                    <w14:schemeClr w14:val="tx1"/>
                  </w14:solidFill>
                </w14:textFill>
              </w:rPr>
              <w:fldChar w:fldCharType="end"/>
            </w:r>
          </w:p>
        </w:tc>
      </w:tr>
      <w:tr w14:paraId="3DDDC6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693B33DF">
            <w:pPr>
              <w:wordWrap/>
              <w:adjustRightInd w:val="0"/>
              <w:snapToGrid w:val="0"/>
              <w:spacing w:before="157" w:beforeLines="50" w:line="560" w:lineRule="exact"/>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获取</w:t>
            </w:r>
            <w:r>
              <w:rPr>
                <w:rFonts w:hint="eastAsia" w:ascii="仿宋_GB2312" w:hAnsi="仿宋_GB2312" w:eastAsia="仿宋_GB2312" w:cs="仿宋_GB2312"/>
                <w:sz w:val="28"/>
                <w:szCs w:val="28"/>
                <w:lang w:val="zh-CN"/>
              </w:rPr>
              <w:t>谈判文件</w:t>
            </w:r>
            <w:r>
              <w:rPr>
                <w:rFonts w:hint="eastAsia" w:ascii="仿宋_GB2312" w:hAnsi="仿宋_GB2312" w:eastAsia="仿宋_GB2312" w:cs="仿宋_GB2312"/>
                <w:sz w:val="28"/>
                <w:szCs w:val="28"/>
                <w:lang w:val="en-US" w:eastAsia="zh-CN"/>
              </w:rPr>
              <w:t>方式</w:t>
            </w:r>
          </w:p>
        </w:tc>
        <w:tc>
          <w:tcPr>
            <w:tcW w:w="7906" w:type="dxa"/>
            <w:tcBorders>
              <w:tl2br w:val="nil"/>
              <w:tr2bl w:val="nil"/>
            </w:tcBorders>
            <w:vAlign w:val="center"/>
          </w:tcPr>
          <w:p w14:paraId="317BEDD8">
            <w:pPr>
              <w:widowControl w:val="0"/>
              <w:wordWrap/>
              <w:adjustRightInd w:val="0"/>
              <w:snapToGrid w:val="0"/>
              <w:spacing w:line="56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t xml:space="preserve">供应商登录政采云平台https://www.zcygov.cn/在线申请获取采购文件（进入“项目采购”应用，在获取采购文件菜单中选择项目，申请获取采购文件）       </w:t>
            </w:r>
          </w:p>
        </w:tc>
      </w:tr>
      <w:tr w14:paraId="6C8187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072F0728">
            <w:pPr>
              <w:wordWrap/>
              <w:adjustRightInd w:val="0"/>
              <w:snapToGrid w:val="0"/>
              <w:spacing w:before="157" w:beforeLines="50" w:line="56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文件获取地点</w:t>
            </w:r>
          </w:p>
        </w:tc>
        <w:tc>
          <w:tcPr>
            <w:tcW w:w="7906" w:type="dxa"/>
            <w:tcBorders>
              <w:tl2br w:val="nil"/>
              <w:tr2bl w:val="nil"/>
            </w:tcBorders>
            <w:vAlign w:val="center"/>
          </w:tcPr>
          <w:p w14:paraId="26783E8C">
            <w:pPr>
              <w:widowControl w:val="0"/>
              <w:wordWrap/>
              <w:adjustRightInd w:val="0"/>
              <w:snapToGrid w:val="0"/>
              <w:spacing w:line="560" w:lineRule="exact"/>
              <w:jc w:val="left"/>
              <w:textAlignment w:val="auto"/>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政采云平台线上获取</w:t>
            </w:r>
          </w:p>
        </w:tc>
      </w:tr>
      <w:tr w14:paraId="7E38A8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top"/>
          </w:tcPr>
          <w:p w14:paraId="33F32045">
            <w:pPr>
              <w:wordWrap/>
              <w:adjustRightInd w:val="0"/>
              <w:snapToGrid w:val="0"/>
              <w:spacing w:before="157" w:beforeLines="50" w:line="560" w:lineRule="exact"/>
              <w:jc w:val="both"/>
              <w:rPr>
                <w:rFonts w:hint="eastAsia" w:ascii="仿宋_GB2312" w:hAnsi="仿宋_GB2312" w:eastAsia="仿宋_GB2312" w:cs="仿宋_GB2312"/>
                <w:bCs/>
                <w:sz w:val="28"/>
                <w:szCs w:val="28"/>
                <w:highlight w:val="none"/>
              </w:rPr>
            </w:pPr>
            <w:r>
              <w:rPr>
                <w:rFonts w:hint="eastAsia" w:ascii="仿宋_GB2312" w:hAnsi="仿宋_GB2312" w:eastAsia="仿宋_GB2312" w:cs="仿宋_GB2312"/>
                <w:sz w:val="28"/>
                <w:szCs w:val="28"/>
                <w:highlight w:val="none"/>
              </w:rPr>
              <w:t>采购人名称、地址、电话、联系人</w:t>
            </w:r>
          </w:p>
        </w:tc>
        <w:tc>
          <w:tcPr>
            <w:tcW w:w="7906" w:type="dxa"/>
            <w:tcBorders>
              <w:tl2br w:val="nil"/>
              <w:tr2bl w:val="nil"/>
            </w:tcBorders>
            <w:vAlign w:val="top"/>
          </w:tcPr>
          <w:p w14:paraId="3BDE3D49">
            <w:pPr>
              <w:widowControl w:val="0"/>
              <w:wordWrap/>
              <w:adjustRightInd w:val="0"/>
              <w:snapToGrid w:val="0"/>
              <w:spacing w:line="560" w:lineRule="exact"/>
              <w:jc w:val="left"/>
              <w:textAlignment w:val="auto"/>
              <w:rPr>
                <w:rFonts w:hint="eastAsia" w:ascii="仿宋_GB2312" w:hAnsi="仿宋_GB2312" w:eastAsia="仿宋_GB2312" w:cs="仿宋_GB2312"/>
                <w:sz w:val="28"/>
                <w:szCs w:val="28"/>
                <w:highlight w:val="none"/>
                <w:u w:val="none"/>
                <w:lang w:val="en-US" w:eastAsia="zh-CN"/>
              </w:rPr>
            </w:pPr>
            <w:r>
              <w:rPr>
                <w:rFonts w:hint="eastAsia" w:ascii="仿宋_GB2312" w:hAnsi="仿宋_GB2312" w:eastAsia="仿宋_GB2312" w:cs="仿宋_GB2312"/>
                <w:sz w:val="28"/>
                <w:szCs w:val="28"/>
                <w:highlight w:val="none"/>
                <w:u w:val="none"/>
                <w:lang w:val="en-US" w:eastAsia="zh-CN"/>
              </w:rPr>
              <w:t>名 称：刚察县沙柳河镇卫生院</w:t>
            </w:r>
          </w:p>
          <w:p w14:paraId="566712A6">
            <w:pPr>
              <w:widowControl w:val="0"/>
              <w:wordWrap/>
              <w:adjustRightInd w:val="0"/>
              <w:snapToGrid w:val="0"/>
              <w:spacing w:line="560" w:lineRule="exact"/>
              <w:jc w:val="left"/>
              <w:textAlignment w:val="auto"/>
              <w:rPr>
                <w:rFonts w:hint="default" w:ascii="仿宋_GB2312" w:hAnsi="仿宋_GB2312" w:eastAsia="仿宋_GB2312" w:cs="仿宋_GB2312"/>
                <w:sz w:val="28"/>
                <w:szCs w:val="28"/>
                <w:highlight w:val="none"/>
                <w:u w:val="none"/>
                <w:lang w:val="en-US" w:eastAsia="zh-CN"/>
              </w:rPr>
            </w:pPr>
            <w:r>
              <w:rPr>
                <w:rFonts w:hint="eastAsia" w:ascii="仿宋_GB2312" w:hAnsi="仿宋_GB2312" w:eastAsia="仿宋_GB2312" w:cs="仿宋_GB2312"/>
                <w:sz w:val="28"/>
                <w:szCs w:val="28"/>
                <w:highlight w:val="none"/>
                <w:u w:val="none"/>
                <w:lang w:val="en-US" w:eastAsia="zh-CN"/>
              </w:rPr>
              <w:t>地址：青海省海北藏族自治州刚察县北大街 1 号</w:t>
            </w:r>
          </w:p>
          <w:p w14:paraId="3839AAF6">
            <w:pPr>
              <w:widowControl w:val="0"/>
              <w:wordWrap/>
              <w:adjustRightInd w:val="0"/>
              <w:snapToGrid w:val="0"/>
              <w:spacing w:line="560" w:lineRule="exact"/>
              <w:jc w:val="left"/>
              <w:textAlignment w:val="auto"/>
              <w:rPr>
                <w:rFonts w:hint="default" w:ascii="仿宋_GB2312" w:hAnsi="仿宋_GB2312" w:eastAsia="仿宋_GB2312" w:cs="仿宋_GB2312"/>
                <w:sz w:val="28"/>
                <w:szCs w:val="28"/>
                <w:highlight w:val="none"/>
                <w:u w:val="none"/>
                <w:lang w:val="en-US" w:eastAsia="zh-CN"/>
              </w:rPr>
            </w:pPr>
            <w:r>
              <w:rPr>
                <w:rFonts w:hint="eastAsia" w:ascii="仿宋_GB2312" w:hAnsi="仿宋_GB2312" w:eastAsia="仿宋_GB2312" w:cs="仿宋_GB2312"/>
                <w:sz w:val="28"/>
                <w:szCs w:val="28"/>
                <w:highlight w:val="none"/>
                <w:u w:val="none"/>
                <w:lang w:val="en-US" w:eastAsia="zh-CN"/>
              </w:rPr>
              <w:t>联系人：索南扎西</w:t>
            </w:r>
          </w:p>
          <w:p w14:paraId="56626960">
            <w:pPr>
              <w:widowControl w:val="0"/>
              <w:wordWrap/>
              <w:adjustRightInd w:val="0"/>
              <w:snapToGrid w:val="0"/>
              <w:spacing w:line="560" w:lineRule="exact"/>
              <w:jc w:val="left"/>
              <w:textAlignment w:val="auto"/>
              <w:rPr>
                <w:rFonts w:hint="default" w:ascii="仿宋_GB2312" w:hAnsi="仿宋_GB2312" w:eastAsia="仿宋_GB2312" w:cs="仿宋_GB2312"/>
                <w:color w:val="FF0000"/>
                <w:sz w:val="28"/>
                <w:szCs w:val="28"/>
                <w:highlight w:val="none"/>
                <w:u w:val="single"/>
                <w:lang w:val="en-US" w:eastAsia="zh-CN"/>
              </w:rPr>
            </w:pPr>
            <w:r>
              <w:rPr>
                <w:rFonts w:hint="eastAsia" w:ascii="仿宋_GB2312" w:hAnsi="仿宋_GB2312" w:eastAsia="仿宋_GB2312" w:cs="仿宋_GB2312"/>
                <w:sz w:val="28"/>
                <w:szCs w:val="28"/>
                <w:highlight w:val="none"/>
                <w:u w:val="none"/>
                <w:lang w:val="en-US" w:eastAsia="zh-CN"/>
              </w:rPr>
              <w:t>联系电话：09708653503</w:t>
            </w:r>
          </w:p>
        </w:tc>
      </w:tr>
      <w:tr w14:paraId="34DB0A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top"/>
          </w:tcPr>
          <w:p w14:paraId="17D3BA9E">
            <w:pPr>
              <w:wordWrap/>
              <w:adjustRightInd w:val="0"/>
              <w:snapToGrid w:val="0"/>
              <w:spacing w:before="157" w:beforeLines="50"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采购代理机构及联系人电话</w:t>
            </w:r>
          </w:p>
        </w:tc>
        <w:tc>
          <w:tcPr>
            <w:tcW w:w="7906" w:type="dxa"/>
            <w:tcBorders>
              <w:tl2br w:val="nil"/>
              <w:tr2bl w:val="nil"/>
            </w:tcBorders>
            <w:vAlign w:val="top"/>
          </w:tcPr>
          <w:p w14:paraId="30501909">
            <w:pPr>
              <w:widowControl w:val="0"/>
              <w:wordWrap/>
              <w:autoSpaceDE w:val="0"/>
              <w:autoSpaceDN w:val="0"/>
              <w:adjustRightInd w:val="0"/>
              <w:spacing w:line="560" w:lineRule="exact"/>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rPr>
              <w:t>采购代</w:t>
            </w:r>
            <w:r>
              <w:rPr>
                <w:rFonts w:hint="eastAsia" w:ascii="仿宋_GB2312" w:hAnsi="仿宋_GB2312" w:eastAsia="仿宋_GB2312" w:cs="仿宋_GB2312"/>
                <w:kern w:val="0"/>
                <w:sz w:val="28"/>
                <w:szCs w:val="28"/>
                <w:u w:val="none"/>
              </w:rPr>
              <w:t>理机构</w:t>
            </w:r>
            <w:r>
              <w:rPr>
                <w:rFonts w:hint="eastAsia" w:ascii="仿宋_GB2312" w:hAnsi="仿宋_GB2312" w:eastAsia="仿宋_GB2312" w:cs="仿宋_GB2312"/>
                <w:kern w:val="0"/>
                <w:sz w:val="28"/>
                <w:szCs w:val="28"/>
              </w:rPr>
              <w:t>：青海赫铭工程项目管理有限公司</w:t>
            </w:r>
            <w:r>
              <w:rPr>
                <w:rFonts w:hint="eastAsia" w:ascii="仿宋_GB2312" w:hAnsi="仿宋_GB2312" w:eastAsia="仿宋_GB2312" w:cs="仿宋_GB2312"/>
                <w:kern w:val="0"/>
                <w:sz w:val="28"/>
                <w:szCs w:val="28"/>
                <w:lang w:val="en-US" w:eastAsia="zh-CN"/>
              </w:rPr>
              <w:t xml:space="preserve"> </w:t>
            </w:r>
          </w:p>
          <w:p w14:paraId="7395F747">
            <w:pPr>
              <w:widowControl w:val="0"/>
              <w:wordWrap/>
              <w:autoSpaceDE w:val="0"/>
              <w:autoSpaceDN w:val="0"/>
              <w:adjustRightInd w:val="0"/>
              <w:spacing w:line="560" w:lineRule="exact"/>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rPr>
              <w:t>联系人：</w:t>
            </w:r>
            <w:r>
              <w:rPr>
                <w:rFonts w:hint="eastAsia" w:ascii="仿宋_GB2312" w:hAnsi="仿宋_GB2312" w:eastAsia="仿宋_GB2312" w:cs="仿宋_GB2312"/>
                <w:sz w:val="28"/>
                <w:szCs w:val="28"/>
                <w:lang w:eastAsia="zh-CN"/>
              </w:rPr>
              <w:t>拉君婷</w:t>
            </w:r>
          </w:p>
          <w:p w14:paraId="7539BA4C">
            <w:pPr>
              <w:widowControl w:val="0"/>
              <w:wordWrap/>
              <w:autoSpaceDE w:val="0"/>
              <w:autoSpaceDN w:val="0"/>
              <w:adjustRightInd w:val="0"/>
              <w:spacing w:line="560" w:lineRule="exact"/>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rPr>
              <w:t>联系电话：0971-5129911</w:t>
            </w:r>
            <w:r>
              <w:rPr>
                <w:rFonts w:hint="eastAsia" w:ascii="仿宋_GB2312" w:hAnsi="仿宋_GB2312" w:eastAsia="仿宋_GB2312" w:cs="仿宋_GB2312"/>
                <w:kern w:val="0"/>
                <w:sz w:val="28"/>
                <w:szCs w:val="28"/>
                <w:lang w:val="en-US" w:eastAsia="zh-CN"/>
              </w:rPr>
              <w:t xml:space="preserve"> </w:t>
            </w:r>
          </w:p>
          <w:p w14:paraId="5FF68BDC">
            <w:pPr>
              <w:widowControl w:val="0"/>
              <w:wordWrap/>
              <w:autoSpaceDE w:val="0"/>
              <w:autoSpaceDN w:val="0"/>
              <w:adjustRightInd w:val="0"/>
              <w:spacing w:line="560" w:lineRule="exac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邮箱地址：qhhmgc@163.com</w:t>
            </w:r>
          </w:p>
          <w:p w14:paraId="55F25F26">
            <w:pPr>
              <w:widowControl w:val="0"/>
              <w:wordWrap/>
              <w:adjustRightInd w:val="0"/>
              <w:snapToGrid w:val="0"/>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联系地址：青海省西宁市城西区西关大街130号3号楼13层11301号</w:t>
            </w:r>
          </w:p>
        </w:tc>
      </w:tr>
      <w:tr w14:paraId="7F503C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605822BD">
            <w:pPr>
              <w:wordWrap/>
              <w:adjustRightInd w:val="0"/>
              <w:snapToGrid w:val="0"/>
              <w:spacing w:before="157" w:beforeLines="50"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保证金</w:t>
            </w:r>
          </w:p>
        </w:tc>
        <w:tc>
          <w:tcPr>
            <w:tcW w:w="7906" w:type="dxa"/>
            <w:tcBorders>
              <w:tl2br w:val="nil"/>
              <w:tr2bl w:val="nil"/>
            </w:tcBorders>
            <w:vAlign w:val="center"/>
          </w:tcPr>
          <w:p w14:paraId="0A01D3F4">
            <w:pPr>
              <w:widowControl w:val="0"/>
              <w:numPr>
                <w:ilvl w:val="0"/>
                <w:numId w:val="0"/>
              </w:numPr>
              <w:wordWrap/>
              <w:adjustRightInd w:val="0"/>
              <w:snapToGrid w:val="0"/>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kern w:val="2"/>
                <w:sz w:val="28"/>
                <w:szCs w:val="28"/>
                <w:lang w:val="en-US" w:eastAsia="zh-CN" w:bidi="ar-SA"/>
              </w:rPr>
              <w:t>1.</w:t>
            </w:r>
            <w:r>
              <w:rPr>
                <w:rFonts w:hint="eastAsia" w:ascii="仿宋_GB2312" w:hAnsi="仿宋_GB2312" w:eastAsia="仿宋_GB2312" w:cs="仿宋_GB2312"/>
                <w:sz w:val="28"/>
                <w:szCs w:val="28"/>
                <w:u w:val="single"/>
                <w:lang w:val="en-US" w:eastAsia="zh-CN"/>
              </w:rPr>
              <w:t>18000</w:t>
            </w:r>
            <w:r>
              <w:rPr>
                <w:rFonts w:hint="eastAsia" w:ascii="仿宋_GB2312" w:hAnsi="仿宋_GB2312" w:eastAsia="仿宋_GB2312" w:cs="仿宋_GB2312"/>
                <w:sz w:val="28"/>
                <w:szCs w:val="28"/>
                <w:u w:val="none"/>
                <w:lang w:val="en-US" w:eastAsia="zh-CN"/>
              </w:rPr>
              <w:t>元整</w:t>
            </w:r>
          </w:p>
          <w:p w14:paraId="50432BD8">
            <w:pPr>
              <w:widowControl w:val="0"/>
              <w:numPr>
                <w:ilvl w:val="0"/>
                <w:numId w:val="0"/>
              </w:numPr>
              <w:wordWrap/>
              <w:adjustRightInd w:val="0"/>
              <w:snapToGrid w:val="0"/>
              <w:spacing w:line="560" w:lineRule="exact"/>
              <w:textAlignment w:val="auto"/>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收款单位：青海赫铭工程项目管理有限公司</w:t>
            </w:r>
          </w:p>
          <w:p w14:paraId="4D3CAB85">
            <w:pPr>
              <w:widowControl w:val="0"/>
              <w:numPr>
                <w:ilvl w:val="0"/>
                <w:numId w:val="0"/>
              </w:numPr>
              <w:wordWrap/>
              <w:adjustRightInd w:val="0"/>
              <w:snapToGrid w:val="0"/>
              <w:spacing w:line="560" w:lineRule="exact"/>
              <w:textAlignment w:val="auto"/>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开 户 行：中国建设银行股份有限公司西宁西川南路支行</w:t>
            </w:r>
          </w:p>
          <w:p w14:paraId="590083F9">
            <w:pPr>
              <w:widowControl w:val="0"/>
              <w:numPr>
                <w:ilvl w:val="0"/>
                <w:numId w:val="0"/>
              </w:numPr>
              <w:wordWrap/>
              <w:adjustRightInd w:val="0"/>
              <w:snapToGrid w:val="0"/>
              <w:spacing w:line="560" w:lineRule="exact"/>
              <w:textAlignment w:val="auto"/>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银行账号：</w:t>
            </w:r>
            <w:bookmarkStart w:id="7" w:name="OLE_LINK24"/>
            <w:bookmarkStart w:id="8" w:name="OLE_LINK3"/>
            <w:r>
              <w:rPr>
                <w:rFonts w:hint="eastAsia" w:ascii="仿宋_GB2312" w:hAnsi="仿宋_GB2312" w:eastAsia="仿宋_GB2312" w:cs="仿宋_GB2312"/>
                <w:sz w:val="28"/>
                <w:szCs w:val="28"/>
                <w:u w:val="none"/>
                <w:lang w:val="en-US" w:eastAsia="zh-CN"/>
              </w:rPr>
              <w:t>63050138360900000039</w:t>
            </w:r>
            <w:bookmarkEnd w:id="7"/>
          </w:p>
          <w:bookmarkEnd w:id="8"/>
          <w:p w14:paraId="5800422D">
            <w:pPr>
              <w:widowControl w:val="0"/>
              <w:numPr>
                <w:ilvl w:val="0"/>
                <w:numId w:val="0"/>
              </w:numPr>
              <w:wordWrap/>
              <w:adjustRightInd w:val="0"/>
              <w:snapToGrid w:val="0"/>
              <w:spacing w:line="560" w:lineRule="exac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kern w:val="2"/>
                <w:sz w:val="28"/>
                <w:szCs w:val="28"/>
                <w:lang w:val="en-US" w:eastAsia="zh-CN" w:bidi="ar-SA"/>
              </w:rPr>
              <w:t>2.</w:t>
            </w:r>
            <w:r>
              <w:rPr>
                <w:rFonts w:hint="eastAsia" w:ascii="仿宋_GB2312" w:hAnsi="仿宋_GB2312" w:eastAsia="仿宋_GB2312" w:cs="仿宋_GB2312"/>
                <w:sz w:val="28"/>
                <w:szCs w:val="28"/>
                <w:u w:val="none"/>
                <w:lang w:val="en-US" w:eastAsia="zh-CN"/>
              </w:rPr>
              <w:t>交付方式：</w:t>
            </w:r>
            <w:r>
              <w:rPr>
                <w:rFonts w:hint="eastAsia" w:ascii="仿宋_GB2312" w:hAnsi="仿宋_GB2312" w:eastAsia="仿宋_GB2312" w:cs="仿宋_GB2312"/>
                <w:b w:val="0"/>
                <w:bCs w:val="0"/>
                <w:sz w:val="28"/>
                <w:szCs w:val="28"/>
              </w:rPr>
              <w:t>谈判保证金应当以转账、支票、本票或者金融机构、担保机构出具的保函等非现金形式提交。供应商未按照谈判文件要求提交谈判保证金的，谈判无效。</w:t>
            </w:r>
          </w:p>
          <w:p w14:paraId="3EA7C741">
            <w:pPr>
              <w:widowControl w:val="0"/>
              <w:numPr>
                <w:ilvl w:val="0"/>
                <w:numId w:val="0"/>
              </w:numPr>
              <w:wordWrap/>
              <w:adjustRightInd w:val="0"/>
              <w:snapToGrid w:val="0"/>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kern w:val="2"/>
                <w:sz w:val="28"/>
                <w:szCs w:val="28"/>
                <w:lang w:val="en-US" w:eastAsia="zh-CN" w:bidi="ar-SA"/>
              </w:rPr>
              <w:t>3.</w:t>
            </w:r>
            <w:r>
              <w:rPr>
                <w:rFonts w:hint="eastAsia" w:ascii="仿宋_GB2312" w:hAnsi="仿宋_GB2312" w:eastAsia="仿宋_GB2312" w:cs="仿宋_GB2312"/>
                <w:sz w:val="28"/>
                <w:szCs w:val="28"/>
                <w:lang w:val="en-US" w:eastAsia="zh-CN"/>
              </w:rPr>
              <w:t>其他注意事项（详见谈判文件）</w:t>
            </w:r>
          </w:p>
        </w:tc>
      </w:tr>
      <w:tr w14:paraId="0854A8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678E1744">
            <w:pPr>
              <w:wordWrap/>
              <w:adjustRightInd w:val="0"/>
              <w:snapToGrid w:val="0"/>
              <w:spacing w:before="157" w:beforeLines="50"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响应文件有效期</w:t>
            </w:r>
          </w:p>
        </w:tc>
        <w:tc>
          <w:tcPr>
            <w:tcW w:w="7906" w:type="dxa"/>
            <w:tcBorders>
              <w:tl2br w:val="nil"/>
              <w:tr2bl w:val="nil"/>
            </w:tcBorders>
            <w:vAlign w:val="center"/>
          </w:tcPr>
          <w:p w14:paraId="1B78BB59">
            <w:pPr>
              <w:widowControl w:val="0"/>
              <w:wordWrap/>
              <w:adjustRightInd w:val="0"/>
              <w:snapToGrid w:val="0"/>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自谈判提交响应文件截止之日起不少于</w:t>
            </w:r>
            <w:r>
              <w:rPr>
                <w:rFonts w:hint="eastAsia" w:ascii="仿宋_GB2312" w:hAnsi="仿宋_GB2312" w:eastAsia="仿宋_GB2312" w:cs="仿宋_GB2312"/>
                <w:sz w:val="28"/>
                <w:szCs w:val="28"/>
                <w:u w:val="single"/>
                <w:lang w:val="en-US" w:eastAsia="zh-CN"/>
              </w:rPr>
              <w:t xml:space="preserve"> 60 </w:t>
            </w:r>
            <w:r>
              <w:rPr>
                <w:rFonts w:hint="eastAsia" w:ascii="仿宋_GB2312" w:hAnsi="仿宋_GB2312" w:eastAsia="仿宋_GB2312" w:cs="仿宋_GB2312"/>
                <w:sz w:val="28"/>
                <w:szCs w:val="28"/>
                <w:lang w:val="en-US" w:eastAsia="zh-CN"/>
              </w:rPr>
              <w:t>天</w:t>
            </w:r>
          </w:p>
        </w:tc>
      </w:tr>
      <w:tr w14:paraId="229D46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5" w:hRule="atLeast"/>
          <w:jc w:val="center"/>
        </w:trPr>
        <w:tc>
          <w:tcPr>
            <w:tcW w:w="2156" w:type="dxa"/>
            <w:tcBorders>
              <w:tl2br w:val="nil"/>
              <w:tr2bl w:val="nil"/>
            </w:tcBorders>
            <w:vAlign w:val="center"/>
          </w:tcPr>
          <w:p w14:paraId="617E09DB">
            <w:pPr>
              <w:wordWrap/>
              <w:adjustRightInd w:val="0"/>
              <w:snapToGrid w:val="0"/>
              <w:spacing w:before="157" w:beforeLines="50"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响应文件递交</w:t>
            </w:r>
          </w:p>
        </w:tc>
        <w:tc>
          <w:tcPr>
            <w:tcW w:w="7906" w:type="dxa"/>
            <w:tcBorders>
              <w:tl2br w:val="nil"/>
              <w:tr2bl w:val="nil"/>
            </w:tcBorders>
            <w:vAlign w:val="center"/>
          </w:tcPr>
          <w:p w14:paraId="2463CEB8">
            <w:pPr>
              <w:widowControl w:val="0"/>
              <w:wordWrap/>
              <w:adjustRightInd w:val="0"/>
              <w:snapToGrid w:val="0"/>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网上递交</w:t>
            </w:r>
          </w:p>
        </w:tc>
      </w:tr>
      <w:tr w14:paraId="276E83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5" w:hRule="atLeast"/>
          <w:jc w:val="center"/>
        </w:trPr>
        <w:tc>
          <w:tcPr>
            <w:tcW w:w="2156" w:type="dxa"/>
            <w:tcBorders>
              <w:tl2br w:val="nil"/>
              <w:tr2bl w:val="nil"/>
            </w:tcBorders>
            <w:vAlign w:val="center"/>
          </w:tcPr>
          <w:p w14:paraId="3C25570D">
            <w:pPr>
              <w:wordWrap/>
              <w:adjustRightInd w:val="0"/>
              <w:snapToGrid w:val="0"/>
              <w:spacing w:before="157" w:beforeLines="50" w:line="560" w:lineRule="exact"/>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递交地点</w:t>
            </w:r>
          </w:p>
        </w:tc>
        <w:tc>
          <w:tcPr>
            <w:tcW w:w="7906" w:type="dxa"/>
            <w:tcBorders>
              <w:tl2br w:val="nil"/>
              <w:tr2bl w:val="nil"/>
            </w:tcBorders>
            <w:vAlign w:val="center"/>
          </w:tcPr>
          <w:p w14:paraId="5F41329E">
            <w:pPr>
              <w:widowControl w:val="0"/>
              <w:wordWrap/>
              <w:adjustRightInd w:val="0"/>
              <w:snapToGrid w:val="0"/>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请登录政采云投标客户端投标</w:t>
            </w:r>
          </w:p>
        </w:tc>
      </w:tr>
      <w:tr w14:paraId="707BBB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5" w:hRule="atLeast"/>
          <w:jc w:val="center"/>
        </w:trPr>
        <w:tc>
          <w:tcPr>
            <w:tcW w:w="2156" w:type="dxa"/>
            <w:tcBorders>
              <w:tl2br w:val="nil"/>
              <w:tr2bl w:val="nil"/>
            </w:tcBorders>
            <w:vAlign w:val="center"/>
          </w:tcPr>
          <w:p w14:paraId="14600210">
            <w:pPr>
              <w:widowControl w:val="0"/>
              <w:wordWrap/>
              <w:adjustRightInd w:val="0"/>
              <w:snapToGrid w:val="0"/>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eastAsia="zh-CN"/>
              </w:rPr>
              <w:t>谈判截止时间</w:t>
            </w:r>
          </w:p>
        </w:tc>
        <w:tc>
          <w:tcPr>
            <w:tcW w:w="7906" w:type="dxa"/>
            <w:tcBorders>
              <w:tl2br w:val="nil"/>
              <w:tr2bl w:val="nil"/>
            </w:tcBorders>
            <w:vAlign w:val="top"/>
          </w:tcPr>
          <w:p w14:paraId="40512958">
            <w:pPr>
              <w:widowControl w:val="0"/>
              <w:wordWrap/>
              <w:adjustRightInd w:val="0"/>
              <w:snapToGrid w:val="0"/>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eastAsia="zh-CN"/>
              </w:rPr>
              <w:t>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zh-CN" w:eastAsia="zh-CN"/>
              </w:rPr>
              <w:t>年</w:t>
            </w:r>
            <w:r>
              <w:rPr>
                <w:rFonts w:hint="eastAsia" w:ascii="仿宋_GB2312" w:hAnsi="仿宋_GB2312" w:eastAsia="仿宋_GB2312" w:cs="仿宋_GB2312"/>
                <w:sz w:val="28"/>
                <w:szCs w:val="28"/>
                <w:lang w:val="en-US" w:eastAsia="zh-CN"/>
              </w:rPr>
              <w:t>04</w:t>
            </w:r>
            <w:r>
              <w:rPr>
                <w:rFonts w:hint="eastAsia" w:ascii="仿宋_GB2312" w:hAnsi="仿宋_GB2312" w:eastAsia="仿宋_GB2312" w:cs="仿宋_GB2312"/>
                <w:sz w:val="28"/>
                <w:szCs w:val="28"/>
                <w:lang w:val="zh-CN" w:eastAsia="zh-CN"/>
              </w:rPr>
              <w:t>月</w:t>
            </w:r>
            <w:r>
              <w:rPr>
                <w:rFonts w:hint="eastAsia" w:ascii="仿宋_GB2312" w:hAnsi="仿宋_GB2312" w:eastAsia="仿宋_GB2312" w:cs="仿宋_GB2312"/>
                <w:sz w:val="28"/>
                <w:szCs w:val="28"/>
                <w:lang w:val="en-US" w:eastAsia="zh-CN"/>
              </w:rPr>
              <w:t>28</w:t>
            </w:r>
            <w:r>
              <w:rPr>
                <w:rFonts w:hint="eastAsia" w:ascii="仿宋_GB2312" w:hAnsi="仿宋_GB2312" w:eastAsia="仿宋_GB2312" w:cs="仿宋_GB2312"/>
                <w:sz w:val="28"/>
                <w:szCs w:val="28"/>
                <w:lang w:val="zh-CN" w:eastAsia="zh-CN"/>
              </w:rPr>
              <w:t>日</w:t>
            </w:r>
            <w:r>
              <w:rPr>
                <w:rFonts w:hint="eastAsia" w:ascii="仿宋_GB2312" w:hAnsi="仿宋_GB2312" w:eastAsia="仿宋_GB2312" w:cs="仿宋_GB2312"/>
                <w:sz w:val="28"/>
                <w:szCs w:val="28"/>
                <w:lang w:val="en-US" w:eastAsia="zh-CN"/>
              </w:rPr>
              <w:t>09时30分</w:t>
            </w:r>
            <w:r>
              <w:rPr>
                <w:rFonts w:hint="eastAsia" w:ascii="仿宋_GB2312" w:hAnsi="仿宋_GB2312" w:eastAsia="仿宋_GB2312" w:cs="仿宋_GB2312"/>
                <w:sz w:val="28"/>
                <w:szCs w:val="28"/>
                <w:lang w:val="zh-CN" w:eastAsia="zh-CN"/>
              </w:rPr>
              <w:t>（北京时间）</w:t>
            </w:r>
          </w:p>
        </w:tc>
      </w:tr>
      <w:tr w14:paraId="1B4660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5" w:hRule="atLeast"/>
          <w:jc w:val="center"/>
        </w:trPr>
        <w:tc>
          <w:tcPr>
            <w:tcW w:w="2156" w:type="dxa"/>
            <w:tcBorders>
              <w:tl2br w:val="nil"/>
              <w:tr2bl w:val="nil"/>
            </w:tcBorders>
            <w:vAlign w:val="center"/>
          </w:tcPr>
          <w:p w14:paraId="43ACB093">
            <w:pPr>
              <w:widowControl w:val="0"/>
              <w:wordWrap/>
              <w:adjustRightInd w:val="0"/>
              <w:snapToGrid w:val="0"/>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eastAsia="zh-CN"/>
              </w:rPr>
              <w:t>谈判文件开启时间</w:t>
            </w:r>
          </w:p>
        </w:tc>
        <w:tc>
          <w:tcPr>
            <w:tcW w:w="7906" w:type="dxa"/>
            <w:tcBorders>
              <w:tl2br w:val="nil"/>
              <w:tr2bl w:val="nil"/>
            </w:tcBorders>
            <w:vAlign w:val="top"/>
          </w:tcPr>
          <w:p w14:paraId="1203843A">
            <w:pPr>
              <w:widowControl w:val="0"/>
              <w:wordWrap/>
              <w:adjustRightInd w:val="0"/>
              <w:snapToGrid w:val="0"/>
              <w:spacing w:line="560" w:lineRule="exact"/>
              <w:textAlignment w:val="auto"/>
              <w:rPr>
                <w:rFonts w:hint="eastAsia" w:ascii="仿宋_GB2312" w:hAnsi="仿宋_GB2312" w:eastAsia="仿宋_GB2312" w:cs="仿宋_GB2312"/>
                <w:sz w:val="28"/>
                <w:szCs w:val="28"/>
                <w:lang w:val="zh-CN" w:eastAsia="zh-CN"/>
              </w:rPr>
            </w:pPr>
            <w:r>
              <w:rPr>
                <w:rFonts w:hint="eastAsia" w:ascii="仿宋_GB2312" w:hAnsi="仿宋_GB2312" w:eastAsia="仿宋_GB2312" w:cs="仿宋_GB2312"/>
                <w:sz w:val="28"/>
                <w:szCs w:val="28"/>
                <w:lang w:val="zh-CN" w:eastAsia="zh-CN"/>
              </w:rPr>
              <w:t>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zh-CN" w:eastAsia="zh-CN"/>
              </w:rPr>
              <w:t>年</w:t>
            </w:r>
            <w:r>
              <w:rPr>
                <w:rFonts w:hint="eastAsia" w:ascii="仿宋_GB2312" w:hAnsi="仿宋_GB2312" w:eastAsia="仿宋_GB2312" w:cs="仿宋_GB2312"/>
                <w:sz w:val="28"/>
                <w:szCs w:val="28"/>
                <w:lang w:val="en-US" w:eastAsia="zh-CN"/>
              </w:rPr>
              <w:t>04</w:t>
            </w:r>
            <w:r>
              <w:rPr>
                <w:rFonts w:hint="eastAsia" w:ascii="仿宋_GB2312" w:hAnsi="仿宋_GB2312" w:eastAsia="仿宋_GB2312" w:cs="仿宋_GB2312"/>
                <w:sz w:val="28"/>
                <w:szCs w:val="28"/>
                <w:lang w:val="zh-CN" w:eastAsia="zh-CN"/>
              </w:rPr>
              <w:t>月</w:t>
            </w:r>
            <w:r>
              <w:rPr>
                <w:rFonts w:hint="eastAsia" w:ascii="仿宋_GB2312" w:hAnsi="仿宋_GB2312" w:eastAsia="仿宋_GB2312" w:cs="仿宋_GB2312"/>
                <w:sz w:val="28"/>
                <w:szCs w:val="28"/>
                <w:lang w:val="en-US" w:eastAsia="zh-CN"/>
              </w:rPr>
              <w:t>28</w:t>
            </w:r>
            <w:r>
              <w:rPr>
                <w:rFonts w:hint="eastAsia" w:ascii="仿宋_GB2312" w:hAnsi="仿宋_GB2312" w:eastAsia="仿宋_GB2312" w:cs="仿宋_GB2312"/>
                <w:sz w:val="28"/>
                <w:szCs w:val="28"/>
                <w:lang w:val="zh-CN" w:eastAsia="zh-CN"/>
              </w:rPr>
              <w:t>日</w:t>
            </w:r>
            <w:r>
              <w:rPr>
                <w:rFonts w:hint="eastAsia" w:ascii="仿宋_GB2312" w:hAnsi="仿宋_GB2312" w:eastAsia="仿宋_GB2312" w:cs="仿宋_GB2312"/>
                <w:sz w:val="28"/>
                <w:szCs w:val="28"/>
                <w:lang w:val="en-US" w:eastAsia="zh-CN"/>
              </w:rPr>
              <w:t>09时30分</w:t>
            </w:r>
            <w:r>
              <w:rPr>
                <w:rFonts w:hint="eastAsia" w:ascii="仿宋_GB2312" w:hAnsi="仿宋_GB2312" w:eastAsia="仿宋_GB2312" w:cs="仿宋_GB2312"/>
                <w:sz w:val="28"/>
                <w:szCs w:val="28"/>
                <w:lang w:val="zh-CN" w:eastAsia="zh-CN"/>
              </w:rPr>
              <w:t>（北京时间）</w:t>
            </w:r>
          </w:p>
          <w:p w14:paraId="5CA0C928">
            <w:pPr>
              <w:widowControl w:val="0"/>
              <w:wordWrap/>
              <w:adjustRightInd w:val="0"/>
              <w:snapToGrid w:val="0"/>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本次采购为全流程电子化</w:t>
            </w:r>
            <w:bookmarkStart w:id="830" w:name="_GoBack"/>
            <w:bookmarkEnd w:id="830"/>
            <w:r>
              <w:rPr>
                <w:rFonts w:hint="eastAsia" w:ascii="仿宋_GB2312" w:hAnsi="仿宋_GB2312" w:eastAsia="仿宋_GB2312" w:cs="仿宋_GB2312"/>
                <w:sz w:val="28"/>
                <w:szCs w:val="28"/>
                <w:lang w:val="en-US" w:eastAsia="zh-CN"/>
              </w:rPr>
              <w:t>，解密时长为30分钟。</w:t>
            </w:r>
          </w:p>
        </w:tc>
      </w:tr>
      <w:tr w14:paraId="0C1162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5" w:hRule="atLeast"/>
          <w:jc w:val="center"/>
        </w:trPr>
        <w:tc>
          <w:tcPr>
            <w:tcW w:w="2156" w:type="dxa"/>
            <w:tcBorders>
              <w:tl2br w:val="nil"/>
              <w:tr2bl w:val="nil"/>
            </w:tcBorders>
            <w:vAlign w:val="center"/>
          </w:tcPr>
          <w:p w14:paraId="2D575A53">
            <w:pPr>
              <w:wordWrap/>
              <w:adjustRightInd w:val="0"/>
              <w:snapToGrid w:val="0"/>
              <w:spacing w:before="157" w:beforeLines="50" w:line="560" w:lineRule="exact"/>
              <w:jc w:val="center"/>
              <w:rPr>
                <w:rFonts w:hint="default" w:ascii="仿宋_GB2312" w:hAnsi="仿宋_GB2312" w:eastAsia="仿宋_GB2312" w:cs="仿宋_GB2312"/>
                <w:bCs/>
                <w:sz w:val="28"/>
                <w:szCs w:val="28"/>
                <w:lang w:val="en-US" w:eastAsia="zh-CN"/>
              </w:rPr>
            </w:pPr>
            <w:r>
              <w:rPr>
                <w:rFonts w:hint="eastAsia" w:ascii="仿宋_GB2312" w:hAnsi="仿宋_GB2312" w:eastAsia="仿宋_GB2312" w:cs="仿宋_GB2312"/>
                <w:sz w:val="28"/>
                <w:szCs w:val="28"/>
                <w:lang w:val="en-US" w:eastAsia="zh-CN"/>
              </w:rPr>
              <w:t>其他补充事宜</w:t>
            </w:r>
          </w:p>
        </w:tc>
        <w:tc>
          <w:tcPr>
            <w:tcW w:w="7906" w:type="dxa"/>
            <w:tcBorders>
              <w:tl2br w:val="nil"/>
              <w:tr2bl w:val="nil"/>
            </w:tcBorders>
            <w:vAlign w:val="center"/>
          </w:tcPr>
          <w:p w14:paraId="0F15CE8A">
            <w:pPr>
              <w:widowControl w:val="0"/>
              <w:wordWrap/>
              <w:adjustRightInd w:val="0"/>
              <w:snapToGrid w:val="0"/>
              <w:spacing w:line="560" w:lineRule="exact"/>
              <w:textAlignment w:val="auto"/>
              <w:rPr>
                <w:rFonts w:hint="eastAsia" w:ascii="仿宋_GB2312" w:hAnsi="仿宋_GB2312" w:eastAsia="仿宋_GB2312" w:cs="仿宋_GB2312"/>
                <w:sz w:val="28"/>
                <w:szCs w:val="28"/>
                <w:lang w:val="en-US" w:eastAsia="zh-CN"/>
              </w:rPr>
            </w:pPr>
            <w:bookmarkStart w:id="9" w:name="OLE_LINK2"/>
            <w:r>
              <w:rPr>
                <w:rFonts w:hint="eastAsia" w:ascii="仿宋_GB2312" w:hAnsi="仿宋_GB2312" w:eastAsia="仿宋_GB2312" w:cs="仿宋_GB2312"/>
                <w:sz w:val="28"/>
                <w:szCs w:val="28"/>
                <w:lang w:val="en-US" w:eastAsia="zh-CN"/>
              </w:rPr>
              <w:t>1.本次招标采用线上提交响应文件的方式进行采购，线上响应文件必须在响应文件递交截止时间前上传平台。</w:t>
            </w:r>
          </w:p>
          <w:p w14:paraId="1A21360B">
            <w:pPr>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若对项目采购电子交易系统操作有疑问，可登录政采云（https://www.zcygov.cn/），点击右侧咨询小采，获取采小蜜智能服务管家帮助，或拨打政采云服务热线95763获取热线服务帮助。CA问题联系电话（人工）；天谷CA400-087-8198。</w:t>
            </w:r>
          </w:p>
          <w:p w14:paraId="1605862E">
            <w:pPr>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3.本公告在《青海政府采购网》发布。</w:t>
            </w:r>
          </w:p>
          <w:p w14:paraId="37D967BE">
            <w:pPr>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本次采购为全流程电子化，解密时长为30分钟，如非系统原因造成无法解密的或非系统原因加密文件上传不成功的或没办理CA锁而造成加密文件无法解密、加密文件无法上传的视为无效投标（提示：请供应商开启解密后随时关注政采云系统短信，及时完成后续操作）。</w:t>
            </w:r>
          </w:p>
          <w:p w14:paraId="650EE672">
            <w:pPr>
              <w:pStyle w:val="5"/>
              <w:pageBreakBefore w:val="0"/>
              <w:widowControl w:val="0"/>
              <w:kinsoku/>
              <w:wordWrap/>
              <w:overflowPunct/>
              <w:topLinePunct w:val="0"/>
              <w:autoSpaceDE/>
              <w:autoSpaceDN/>
              <w:bidi w:val="0"/>
              <w:spacing w:before="0" w:after="0" w:line="360" w:lineRule="auto"/>
              <w:textAlignment w:val="auto"/>
              <w:rPr>
                <w:rFonts w:hint="eastAsia"/>
                <w:lang w:val="en-US" w:eastAsia="zh-CN"/>
              </w:rPr>
            </w:pPr>
            <w:r>
              <w:rPr>
                <w:rFonts w:hint="eastAsia" w:ascii="仿宋_GB2312" w:hAnsi="仿宋_GB2312" w:eastAsia="仿宋_GB2312" w:cs="仿宋_GB2312"/>
                <w:b w:val="0"/>
                <w:bCs w:val="0"/>
                <w:kern w:val="2"/>
                <w:sz w:val="28"/>
                <w:szCs w:val="28"/>
                <w:lang w:val="en-US" w:eastAsia="zh-CN" w:bidi="ar-SA"/>
              </w:rPr>
              <w:t>5、政采云系统开标时如出现“供应商投标设备信息有异常”，“IP地址、Mac地址、硬件号字段”出现异常的各供应商视为无效投标；</w:t>
            </w:r>
            <w:bookmarkEnd w:id="9"/>
          </w:p>
        </w:tc>
      </w:tr>
      <w:tr w14:paraId="3862E2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58E05890">
            <w:pPr>
              <w:wordWrap/>
              <w:adjustRightInd w:val="0"/>
              <w:snapToGrid w:val="0"/>
              <w:spacing w:before="157" w:beforeLines="50" w:line="560" w:lineRule="exact"/>
              <w:jc w:val="center"/>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财政部门指定的媒体</w:t>
            </w:r>
          </w:p>
        </w:tc>
        <w:tc>
          <w:tcPr>
            <w:tcW w:w="7906" w:type="dxa"/>
            <w:tcBorders>
              <w:tl2br w:val="nil"/>
              <w:tr2bl w:val="nil"/>
            </w:tcBorders>
            <w:vAlign w:val="center"/>
          </w:tcPr>
          <w:p w14:paraId="027C71C5">
            <w:pPr>
              <w:widowControl w:val="0"/>
              <w:wordWrap/>
              <w:adjustRightInd w:val="0"/>
              <w:snapToGrid w:val="0"/>
              <w:spacing w:line="560" w:lineRule="exact"/>
              <w:textAlignment w:val="auto"/>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青海省政府采购网、青海省公共资源交易网</w:t>
            </w:r>
          </w:p>
        </w:tc>
      </w:tr>
      <w:tr w14:paraId="52EDDA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5" w:hRule="atLeast"/>
          <w:jc w:val="center"/>
        </w:trPr>
        <w:tc>
          <w:tcPr>
            <w:tcW w:w="2156" w:type="dxa"/>
            <w:tcBorders>
              <w:tl2br w:val="nil"/>
              <w:tr2bl w:val="nil"/>
            </w:tcBorders>
            <w:vAlign w:val="center"/>
          </w:tcPr>
          <w:p w14:paraId="0BDEE514">
            <w:pPr>
              <w:wordWrap/>
              <w:adjustRightInd w:val="0"/>
              <w:snapToGrid w:val="0"/>
              <w:spacing w:before="157" w:beforeLines="50"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t>政府采购合同备案</w:t>
            </w:r>
          </w:p>
        </w:tc>
        <w:tc>
          <w:tcPr>
            <w:tcW w:w="7906" w:type="dxa"/>
            <w:tcBorders>
              <w:tl2br w:val="nil"/>
              <w:tr2bl w:val="nil"/>
            </w:tcBorders>
            <w:vAlign w:val="center"/>
          </w:tcPr>
          <w:p w14:paraId="1EE3FB79">
            <w:pPr>
              <w:widowControl w:val="0"/>
              <w:wordWrap/>
              <w:adjustRightInd w:val="0"/>
              <w:snapToGrid w:val="0"/>
              <w:spacing w:line="560" w:lineRule="exact"/>
              <w:textAlignment w:val="auto"/>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采购合同全数返回采购代理机构鉴证，盖章。</w:t>
            </w:r>
          </w:p>
          <w:p w14:paraId="7796699F">
            <w:pPr>
              <w:widowControl w:val="0"/>
              <w:wordWrap/>
              <w:adjustRightInd w:val="0"/>
              <w:snapToGrid w:val="0"/>
              <w:spacing w:line="560" w:lineRule="exact"/>
              <w:textAlignment w:val="auto"/>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采购代理机构留存</w:t>
            </w:r>
            <w:r>
              <w:rPr>
                <w:rFonts w:hint="eastAsia" w:ascii="仿宋_GB2312" w:hAnsi="仿宋_GB2312" w:eastAsia="仿宋_GB2312" w:cs="仿宋_GB2312"/>
                <w:b/>
                <w:bCs/>
                <w:sz w:val="28"/>
                <w:szCs w:val="28"/>
                <w:u w:val="none"/>
                <w:lang w:val="en-US" w:eastAsia="zh-CN"/>
              </w:rPr>
              <w:t>贰</w:t>
            </w:r>
            <w:r>
              <w:rPr>
                <w:rFonts w:hint="eastAsia" w:ascii="仿宋_GB2312" w:hAnsi="仿宋_GB2312" w:eastAsia="仿宋_GB2312" w:cs="仿宋_GB2312"/>
                <w:sz w:val="28"/>
                <w:szCs w:val="28"/>
                <w:u w:val="none"/>
                <w:lang w:val="en-US" w:eastAsia="zh-CN"/>
              </w:rPr>
              <w:t>份原件备案。</w:t>
            </w:r>
          </w:p>
        </w:tc>
      </w:tr>
      <w:tr w14:paraId="6D81DB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5" w:hRule="atLeast"/>
          <w:jc w:val="center"/>
        </w:trPr>
        <w:tc>
          <w:tcPr>
            <w:tcW w:w="2156" w:type="dxa"/>
            <w:tcBorders>
              <w:tl2br w:val="nil"/>
              <w:tr2bl w:val="nil"/>
            </w:tcBorders>
            <w:vAlign w:val="center"/>
          </w:tcPr>
          <w:p w14:paraId="0BE091BC">
            <w:pPr>
              <w:widowControl w:val="0"/>
              <w:wordWrap/>
              <w:adjustRightInd w:val="0"/>
              <w:snapToGrid w:val="0"/>
              <w:spacing w:line="560" w:lineRule="exact"/>
              <w:textAlignment w:val="auto"/>
              <w:rPr>
                <w:rFonts w:hint="eastAsia" w:ascii="仿宋_GB2312" w:hAnsi="仿宋_GB2312" w:eastAsia="仿宋_GB2312" w:cs="仿宋_GB2312"/>
                <w:sz w:val="28"/>
                <w:szCs w:val="28"/>
                <w:highlight w:val="none"/>
                <w:u w:val="none"/>
                <w:lang w:val="zh-CN" w:eastAsia="zh-CN"/>
              </w:rPr>
            </w:pPr>
            <w:r>
              <w:rPr>
                <w:rFonts w:hint="eastAsia" w:ascii="仿宋_GB2312" w:hAnsi="仿宋_GB2312" w:eastAsia="仿宋_GB2312" w:cs="仿宋_GB2312"/>
                <w:sz w:val="28"/>
                <w:szCs w:val="28"/>
                <w:highlight w:val="none"/>
                <w:u w:val="none"/>
                <w:lang w:val="zh-CN" w:eastAsia="zh-CN"/>
              </w:rPr>
              <w:t>代理服务费</w:t>
            </w:r>
          </w:p>
        </w:tc>
        <w:tc>
          <w:tcPr>
            <w:tcW w:w="7906" w:type="dxa"/>
            <w:tcBorders>
              <w:tl2br w:val="nil"/>
              <w:tr2bl w:val="nil"/>
            </w:tcBorders>
            <w:vAlign w:val="center"/>
          </w:tcPr>
          <w:p w14:paraId="7B14F26C">
            <w:pPr>
              <w:widowControl w:val="0"/>
              <w:wordWrap/>
              <w:adjustRightInd w:val="0"/>
              <w:snapToGrid w:val="0"/>
              <w:spacing w:line="560" w:lineRule="exact"/>
              <w:textAlignment w:val="auto"/>
              <w:rPr>
                <w:rFonts w:hint="default" w:ascii="仿宋_GB2312" w:hAnsi="仿宋_GB2312" w:eastAsia="仿宋_GB2312" w:cs="仿宋_GB2312"/>
                <w:sz w:val="28"/>
                <w:szCs w:val="28"/>
                <w:highlight w:val="none"/>
                <w:u w:val="none"/>
                <w:lang w:val="en-US" w:eastAsia="zh-CN"/>
              </w:rPr>
            </w:pPr>
            <w:r>
              <w:rPr>
                <w:rFonts w:hint="eastAsia" w:ascii="仿宋_GB2312" w:hAnsi="仿宋_GB2312" w:eastAsia="仿宋_GB2312" w:cs="仿宋_GB2312"/>
                <w:sz w:val="28"/>
                <w:szCs w:val="28"/>
                <w:highlight w:val="none"/>
                <w:u w:val="none"/>
                <w:lang w:val="en-US" w:eastAsia="zh-CN"/>
              </w:rPr>
              <w:t>收取对象：成交人</w:t>
            </w:r>
          </w:p>
          <w:p w14:paraId="7BBF3EBE">
            <w:pPr>
              <w:widowControl w:val="0"/>
              <w:wordWrap/>
              <w:adjustRightInd w:val="0"/>
              <w:snapToGrid w:val="0"/>
              <w:spacing w:line="560" w:lineRule="exact"/>
              <w:textAlignment w:val="auto"/>
              <w:rPr>
                <w:rFonts w:hint="eastAsia" w:ascii="仿宋_GB2312" w:hAnsi="仿宋_GB2312" w:eastAsia="仿宋_GB2312" w:cs="仿宋_GB2312"/>
                <w:sz w:val="28"/>
                <w:szCs w:val="28"/>
                <w:highlight w:val="none"/>
                <w:u w:val="none"/>
                <w:lang w:val="en-US" w:eastAsia="zh-CN"/>
              </w:rPr>
            </w:pPr>
            <w:r>
              <w:rPr>
                <w:rFonts w:hint="eastAsia" w:ascii="仿宋_GB2312" w:hAnsi="仿宋_GB2312" w:eastAsia="仿宋_GB2312" w:cs="仿宋_GB2312"/>
                <w:sz w:val="28"/>
                <w:szCs w:val="28"/>
                <w:highlight w:val="none"/>
                <w:u w:val="none"/>
                <w:lang w:val="en-US" w:eastAsia="zh-CN"/>
              </w:rPr>
              <w:t>参照《招标代理服务收费管理暂行办法》（计价格[2002]1980 号）以及《关于进一步放开建设项目专项业务服务价格的通知》（发改价格[2015]299 号）规定执行。</w:t>
            </w:r>
          </w:p>
        </w:tc>
      </w:tr>
      <w:tr w14:paraId="24D109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56" w:type="dxa"/>
            <w:tcBorders>
              <w:tl2br w:val="nil"/>
              <w:tr2bl w:val="nil"/>
            </w:tcBorders>
            <w:vAlign w:val="center"/>
          </w:tcPr>
          <w:p w14:paraId="2D345475">
            <w:pPr>
              <w:wordWrap/>
              <w:adjustRightInd w:val="0"/>
              <w:snapToGrid w:val="0"/>
              <w:spacing w:before="157" w:beforeLines="50"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财政监管部门及电话</w:t>
            </w:r>
          </w:p>
        </w:tc>
        <w:tc>
          <w:tcPr>
            <w:tcW w:w="7906" w:type="dxa"/>
            <w:tcBorders>
              <w:tl2br w:val="nil"/>
              <w:tr2bl w:val="nil"/>
            </w:tcBorders>
            <w:vAlign w:val="center"/>
          </w:tcPr>
          <w:p w14:paraId="103A790E">
            <w:pPr>
              <w:widowControl w:val="0"/>
              <w:wordWrap/>
              <w:adjustRightInd w:val="0"/>
              <w:snapToGrid w:val="0"/>
              <w:spacing w:line="560" w:lineRule="exac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lang w:val="zh-CN"/>
              </w:rPr>
              <w:t xml:space="preserve">监督单位：刚察县财政局  </w:t>
            </w:r>
            <w:r>
              <w:rPr>
                <w:rFonts w:hint="eastAsia" w:ascii="仿宋_GB2312" w:hAnsi="仿宋_GB2312" w:eastAsia="仿宋_GB2312" w:cs="仿宋_GB2312"/>
                <w:color w:val="000000"/>
                <w:kern w:val="0"/>
                <w:sz w:val="28"/>
                <w:szCs w:val="28"/>
              </w:rPr>
              <w:t xml:space="preserve"> </w:t>
            </w:r>
          </w:p>
          <w:p w14:paraId="6E74B9B9">
            <w:pPr>
              <w:widowControl w:val="0"/>
              <w:wordWrap/>
              <w:adjustRightInd w:val="0"/>
              <w:snapToGrid w:val="0"/>
              <w:spacing w:line="560" w:lineRule="exact"/>
              <w:textAlignment w:val="auto"/>
              <w:rPr>
                <w:rFonts w:hint="default" w:ascii="仿宋_GB2312" w:hAnsi="仿宋_GB2312" w:eastAsia="仿宋_GB2312" w:cs="仿宋_GB2312"/>
                <w:sz w:val="28"/>
                <w:szCs w:val="28"/>
                <w:u w:val="single"/>
                <w:lang w:val="en-US" w:eastAsia="zh-CN"/>
              </w:rPr>
            </w:pPr>
            <w:r>
              <w:rPr>
                <w:rFonts w:hint="eastAsia" w:ascii="仿宋_GB2312" w:hAnsi="仿宋_GB2312" w:eastAsia="仿宋_GB2312" w:cs="仿宋_GB2312"/>
                <w:color w:val="000000"/>
                <w:kern w:val="0"/>
                <w:sz w:val="28"/>
                <w:szCs w:val="28"/>
                <w:lang w:val="zh-CN"/>
              </w:rPr>
              <w:t>联系电话：0970-8659329</w:t>
            </w:r>
          </w:p>
        </w:tc>
      </w:tr>
    </w:tbl>
    <w:p w14:paraId="008135E4">
      <w:pPr>
        <w:numPr>
          <w:ilvl w:val="0"/>
          <w:numId w:val="0"/>
        </w:numPr>
        <w:rPr>
          <w:rFonts w:hint="eastAsia"/>
        </w:rPr>
      </w:pPr>
    </w:p>
    <w:p w14:paraId="1D861585">
      <w:pPr>
        <w:rPr>
          <w:rFonts w:hint="eastAsia" w:ascii="华文中宋" w:hAnsi="华文中宋" w:eastAsia="华文中宋" w:cs="华文中宋"/>
          <w:b w:val="0"/>
          <w:bCs w:val="0"/>
          <w:sz w:val="44"/>
          <w:szCs w:val="44"/>
          <w:lang w:val="en-US" w:eastAsia="zh-CN"/>
        </w:rPr>
      </w:pPr>
      <w:bookmarkStart w:id="10" w:name="_Toc17554"/>
      <w:bookmarkStart w:id="11" w:name="_Toc19849"/>
      <w:bookmarkStart w:id="12" w:name="_Toc26774_WPSOffice_Level1"/>
      <w:bookmarkStart w:id="13" w:name="_Toc25918_WPSOffice_Level1"/>
      <w:bookmarkStart w:id="14" w:name="_Toc68"/>
      <w:bookmarkStart w:id="15" w:name="_Toc13430_WPSOffice_Level1"/>
      <w:bookmarkStart w:id="16" w:name="_Toc7063_WPSOffice_Level1"/>
      <w:bookmarkStart w:id="17" w:name="_Toc29806_WPSOffice_Level1"/>
      <w:bookmarkStart w:id="18" w:name="_Toc29348_WPSOffice_Level1"/>
      <w:r>
        <w:rPr>
          <w:rFonts w:hint="eastAsia" w:ascii="华文中宋" w:hAnsi="华文中宋" w:eastAsia="华文中宋" w:cs="华文中宋"/>
          <w:b w:val="0"/>
          <w:bCs w:val="0"/>
          <w:sz w:val="44"/>
          <w:szCs w:val="44"/>
          <w:lang w:val="en-US" w:eastAsia="zh-CN"/>
        </w:rPr>
        <w:br w:type="page"/>
      </w:r>
    </w:p>
    <w:p w14:paraId="38B84690">
      <w:pPr>
        <w:pStyle w:val="2"/>
        <w:numPr>
          <w:ilvl w:val="0"/>
          <w:numId w:val="0"/>
        </w:numPr>
        <w:wordWrap/>
        <w:adjustRightInd w:val="0"/>
        <w:snapToGrid w:val="0"/>
        <w:spacing w:before="157" w:beforeLines="50" w:line="560" w:lineRule="exact"/>
        <w:jc w:val="center"/>
        <w:outlineLvl w:val="0"/>
        <w:rPr>
          <w:rFonts w:hint="eastAsia" w:ascii="华文中宋" w:hAnsi="华文中宋" w:eastAsia="华文中宋" w:cs="华文中宋"/>
          <w:b w:val="0"/>
          <w:bCs w:val="0"/>
          <w:sz w:val="32"/>
          <w:szCs w:val="32"/>
          <w:lang w:val="en-US" w:eastAsia="zh-CN"/>
        </w:rPr>
      </w:pPr>
      <w:bookmarkStart w:id="19" w:name="_Toc4647"/>
      <w:bookmarkStart w:id="20" w:name="_Toc10308"/>
      <w:r>
        <w:rPr>
          <w:rFonts w:hint="eastAsia" w:ascii="华文中宋" w:hAnsi="华文中宋" w:eastAsia="华文中宋" w:cs="华文中宋"/>
          <w:b w:val="0"/>
          <w:bCs w:val="0"/>
          <w:sz w:val="44"/>
          <w:szCs w:val="44"/>
          <w:lang w:val="en-US" w:eastAsia="zh-CN"/>
        </w:rPr>
        <w:t>第二部分  谈判须知</w:t>
      </w:r>
      <w:bookmarkEnd w:id="10"/>
      <w:bookmarkEnd w:id="11"/>
      <w:bookmarkEnd w:id="12"/>
      <w:bookmarkEnd w:id="13"/>
      <w:bookmarkEnd w:id="14"/>
      <w:bookmarkEnd w:id="15"/>
      <w:bookmarkEnd w:id="16"/>
      <w:bookmarkEnd w:id="17"/>
      <w:bookmarkEnd w:id="18"/>
      <w:bookmarkEnd w:id="19"/>
      <w:bookmarkEnd w:id="20"/>
    </w:p>
    <w:p w14:paraId="72C023D9">
      <w:pPr>
        <w:widowControl w:val="0"/>
        <w:wordWrap/>
        <w:adjustRightInd w:val="0"/>
        <w:snapToGrid w:val="0"/>
        <w:spacing w:before="157" w:beforeLines="50" w:line="560" w:lineRule="exact"/>
        <w:ind w:firstLine="0" w:firstLineChars="0"/>
        <w:jc w:val="center"/>
        <w:textAlignment w:val="auto"/>
        <w:outlineLvl w:val="1"/>
        <w:rPr>
          <w:rFonts w:hint="eastAsia" w:ascii="黑体" w:hAnsi="黑体" w:eastAsia="黑体" w:cs="黑体"/>
          <w:b w:val="0"/>
          <w:bCs w:val="0"/>
          <w:kern w:val="2"/>
          <w:sz w:val="32"/>
          <w:szCs w:val="32"/>
          <w:lang w:val="en-US" w:eastAsia="zh-CN" w:bidi="ar-SA"/>
        </w:rPr>
      </w:pPr>
      <w:bookmarkStart w:id="21" w:name="_Toc16562"/>
      <w:bookmarkStart w:id="22" w:name="_Toc34637765"/>
      <w:bookmarkStart w:id="23" w:name="_Toc17019_WPSOffice_Level2"/>
      <w:bookmarkStart w:id="24" w:name="_Toc9336"/>
      <w:bookmarkStart w:id="25" w:name="_Toc29348_WPSOffice_Level2"/>
      <w:bookmarkStart w:id="26" w:name="_Toc27795"/>
      <w:bookmarkStart w:id="27" w:name="_Toc13964"/>
      <w:bookmarkStart w:id="28" w:name="_Toc7063_WPSOffice_Level2"/>
      <w:bookmarkStart w:id="29" w:name="_Toc2453"/>
      <w:r>
        <w:rPr>
          <w:rFonts w:hint="eastAsia" w:ascii="黑体" w:hAnsi="黑体" w:eastAsia="黑体" w:cs="黑体"/>
          <w:b w:val="0"/>
          <w:bCs w:val="0"/>
          <w:kern w:val="2"/>
          <w:sz w:val="32"/>
          <w:szCs w:val="32"/>
          <w:lang w:val="en-US" w:eastAsia="zh-CN" w:bidi="ar-SA"/>
        </w:rPr>
        <w:t>一、说明</w:t>
      </w:r>
      <w:bookmarkEnd w:id="21"/>
      <w:bookmarkEnd w:id="22"/>
      <w:bookmarkEnd w:id="23"/>
      <w:bookmarkEnd w:id="24"/>
      <w:bookmarkEnd w:id="25"/>
      <w:bookmarkEnd w:id="26"/>
      <w:bookmarkEnd w:id="27"/>
      <w:bookmarkEnd w:id="28"/>
      <w:bookmarkEnd w:id="29"/>
    </w:p>
    <w:p w14:paraId="4D284954">
      <w:pPr>
        <w:pStyle w:val="4"/>
        <w:widowControl w:val="0"/>
        <w:wordWrap/>
        <w:adjustRightInd w:val="0"/>
        <w:snapToGrid w:val="0"/>
        <w:spacing w:before="157" w:beforeLines="50" w:after="0" w:line="560" w:lineRule="exact"/>
        <w:ind w:firstLine="0" w:firstLineChars="0"/>
        <w:textAlignment w:val="auto"/>
        <w:outlineLvl w:val="2"/>
        <w:rPr>
          <w:rFonts w:hint="eastAsia" w:ascii="仿宋" w:hAnsi="仿宋" w:eastAsia="仿宋" w:cs="仿宋"/>
          <w:b/>
          <w:bCs/>
          <w:kern w:val="2"/>
          <w:sz w:val="32"/>
          <w:szCs w:val="32"/>
          <w:lang w:val="en-US" w:eastAsia="zh-CN" w:bidi="ar-SA"/>
        </w:rPr>
      </w:pPr>
      <w:bookmarkStart w:id="30" w:name="_Toc11775_WPSOffice_Level3"/>
      <w:bookmarkStart w:id="31" w:name="_Toc7063_WPSOffice_Level3"/>
      <w:bookmarkStart w:id="32" w:name="_Toc22704"/>
      <w:bookmarkStart w:id="33" w:name="_Toc29026"/>
      <w:bookmarkStart w:id="34" w:name="_Toc13645"/>
      <w:r>
        <w:rPr>
          <w:rFonts w:hint="eastAsia" w:ascii="楷体_GB2312" w:hAnsi="楷体_GB2312" w:eastAsia="楷体_GB2312" w:cs="楷体_GB2312"/>
          <w:b/>
          <w:bCs/>
          <w:kern w:val="2"/>
          <w:sz w:val="32"/>
          <w:szCs w:val="32"/>
          <w:lang w:val="en-US" w:eastAsia="zh-CN" w:bidi="ar-SA"/>
        </w:rPr>
        <w:t>1</w:t>
      </w:r>
      <w:r>
        <w:rPr>
          <w:rFonts w:hint="eastAsia" w:ascii="仿宋" w:hAnsi="仿宋" w:eastAsia="仿宋" w:cs="仿宋"/>
          <w:b/>
          <w:bCs/>
          <w:kern w:val="2"/>
          <w:sz w:val="32"/>
          <w:szCs w:val="32"/>
          <w:lang w:val="en-US" w:eastAsia="zh-CN" w:bidi="ar-SA"/>
        </w:rPr>
        <w:t>.适用范围</w:t>
      </w:r>
      <w:bookmarkEnd w:id="30"/>
      <w:bookmarkEnd w:id="31"/>
      <w:bookmarkEnd w:id="32"/>
      <w:bookmarkEnd w:id="33"/>
      <w:bookmarkEnd w:id="34"/>
    </w:p>
    <w:p w14:paraId="6C9B3708">
      <w:pPr>
        <w:widowControl w:val="0"/>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本竞争性谈判文件仅适用于</w:t>
      </w:r>
      <w:r>
        <w:rPr>
          <w:rFonts w:hint="eastAsia" w:ascii="仿宋_GB2312" w:hAnsi="仿宋_GB2312" w:eastAsia="仿宋_GB2312" w:cs="仿宋_GB2312"/>
          <w:sz w:val="32"/>
          <w:szCs w:val="32"/>
          <w:lang w:eastAsia="zh-CN"/>
        </w:rPr>
        <w:t>前述</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eastAsia="zh-CN"/>
        </w:rPr>
        <w:t>谈判邀请</w:t>
      </w:r>
      <w:r>
        <w:rPr>
          <w:rFonts w:hint="eastAsia" w:ascii="仿宋_GB2312" w:hAnsi="仿宋_GB2312" w:eastAsia="仿宋_GB2312" w:cs="仿宋_GB2312"/>
          <w:b/>
          <w:sz w:val="32"/>
          <w:szCs w:val="32"/>
        </w:rPr>
        <w:t>】</w:t>
      </w:r>
      <w:r>
        <w:rPr>
          <w:rFonts w:hint="eastAsia" w:ascii="仿宋_GB2312" w:hAnsi="仿宋_GB2312" w:eastAsia="仿宋_GB2312" w:cs="仿宋_GB2312"/>
          <w:sz w:val="32"/>
          <w:szCs w:val="32"/>
        </w:rPr>
        <w:t>中所叙述的采购项目。</w:t>
      </w:r>
    </w:p>
    <w:p w14:paraId="7D4BF112">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35" w:name="_Toc2404_WPSOffice_Level3"/>
      <w:bookmarkStart w:id="36" w:name="_Toc15754_WPSOffice_Level3"/>
      <w:bookmarkStart w:id="37" w:name="_Toc23870"/>
      <w:bookmarkStart w:id="38" w:name="_Toc1646"/>
      <w:bookmarkStart w:id="39" w:name="_Toc12080"/>
      <w:r>
        <w:rPr>
          <w:rFonts w:hint="eastAsia" w:ascii="楷体_GB2312" w:hAnsi="楷体_GB2312" w:eastAsia="楷体_GB2312" w:cs="楷体_GB2312"/>
          <w:b/>
          <w:bCs/>
          <w:kern w:val="2"/>
          <w:sz w:val="32"/>
          <w:szCs w:val="32"/>
          <w:lang w:val="en-US" w:eastAsia="zh-CN" w:bidi="ar-SA"/>
        </w:rPr>
        <w:t>2.</w:t>
      </w:r>
      <w:r>
        <w:rPr>
          <w:rFonts w:hint="eastAsia" w:ascii="仿宋" w:hAnsi="仿宋" w:eastAsia="仿宋" w:cs="仿宋"/>
          <w:b/>
          <w:bCs/>
          <w:kern w:val="2"/>
          <w:sz w:val="32"/>
          <w:szCs w:val="32"/>
          <w:lang w:val="en-US" w:eastAsia="zh-CN" w:bidi="ar-SA"/>
        </w:rPr>
        <w:t>采购人及代理机构</w:t>
      </w:r>
      <w:bookmarkEnd w:id="35"/>
      <w:bookmarkEnd w:id="36"/>
      <w:bookmarkEnd w:id="37"/>
      <w:bookmarkEnd w:id="38"/>
      <w:bookmarkEnd w:id="39"/>
    </w:p>
    <w:p w14:paraId="15738A0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采购人名称、地址、电话、联系人见【</w:t>
      </w:r>
      <w:r>
        <w:rPr>
          <w:rFonts w:hint="eastAsia" w:ascii="仿宋_GB2312" w:hAnsi="仿宋_GB2312" w:eastAsia="仿宋_GB2312" w:cs="仿宋_GB2312"/>
          <w:sz w:val="32"/>
          <w:szCs w:val="32"/>
          <w:lang w:eastAsia="zh-CN"/>
        </w:rPr>
        <w:t>谈判邀请</w:t>
      </w:r>
      <w:r>
        <w:rPr>
          <w:rFonts w:hint="eastAsia" w:ascii="仿宋_GB2312" w:hAnsi="仿宋_GB2312" w:eastAsia="仿宋_GB2312" w:cs="仿宋_GB2312"/>
          <w:sz w:val="32"/>
          <w:szCs w:val="32"/>
        </w:rPr>
        <w:t>】。</w:t>
      </w:r>
    </w:p>
    <w:p w14:paraId="0F8C5D1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采购代理机构名称、地址、电话、联系人</w:t>
      </w:r>
      <w:r>
        <w:rPr>
          <w:rFonts w:hint="eastAsia" w:ascii="仿宋_GB2312" w:hAnsi="仿宋_GB2312" w:eastAsia="仿宋_GB2312" w:cs="仿宋_GB2312"/>
          <w:sz w:val="32"/>
          <w:szCs w:val="32"/>
          <w:lang w:eastAsia="zh-CN"/>
        </w:rPr>
        <w:t>、邮箱</w:t>
      </w:r>
      <w:r>
        <w:rPr>
          <w:rFonts w:hint="eastAsia" w:ascii="仿宋_GB2312" w:hAnsi="仿宋_GB2312" w:eastAsia="仿宋_GB2312" w:cs="仿宋_GB2312"/>
          <w:sz w:val="32"/>
          <w:szCs w:val="32"/>
        </w:rPr>
        <w:t>见【</w:t>
      </w:r>
      <w:r>
        <w:rPr>
          <w:rFonts w:hint="eastAsia" w:ascii="仿宋_GB2312" w:hAnsi="仿宋_GB2312" w:eastAsia="仿宋_GB2312" w:cs="仿宋_GB2312"/>
          <w:sz w:val="32"/>
          <w:szCs w:val="32"/>
          <w:lang w:eastAsia="zh-CN"/>
        </w:rPr>
        <w:t>谈判邀请</w:t>
      </w:r>
      <w:r>
        <w:rPr>
          <w:rFonts w:hint="eastAsia" w:ascii="仿宋_GB2312" w:hAnsi="仿宋_GB2312" w:eastAsia="仿宋_GB2312" w:cs="仿宋_GB2312"/>
          <w:sz w:val="32"/>
          <w:szCs w:val="32"/>
        </w:rPr>
        <w:t>】。</w:t>
      </w:r>
    </w:p>
    <w:p w14:paraId="0A86B748">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40" w:name="_Toc21695"/>
      <w:bookmarkStart w:id="41" w:name="_Toc8089_WPSOffice_Level3"/>
      <w:bookmarkStart w:id="42" w:name="_Toc955_WPSOffice_Level3"/>
      <w:bookmarkStart w:id="43" w:name="_Toc978"/>
      <w:bookmarkStart w:id="44" w:name="_Toc31395"/>
      <w:r>
        <w:rPr>
          <w:rFonts w:hint="eastAsia" w:ascii="楷体_GB2312" w:hAnsi="楷体_GB2312" w:eastAsia="楷体_GB2312" w:cs="楷体_GB2312"/>
          <w:b/>
          <w:bCs/>
          <w:kern w:val="2"/>
          <w:sz w:val="32"/>
          <w:szCs w:val="32"/>
          <w:lang w:val="en-US" w:eastAsia="zh-CN" w:bidi="ar-SA"/>
        </w:rPr>
        <w:t>3.</w:t>
      </w:r>
      <w:r>
        <w:rPr>
          <w:rFonts w:hint="eastAsia" w:ascii="仿宋" w:hAnsi="仿宋" w:eastAsia="仿宋" w:cs="仿宋"/>
          <w:b/>
          <w:bCs/>
          <w:kern w:val="2"/>
          <w:sz w:val="32"/>
          <w:szCs w:val="32"/>
          <w:lang w:val="en-US" w:eastAsia="zh-CN" w:bidi="ar-SA"/>
        </w:rPr>
        <w:t>供应商的资格要求</w:t>
      </w:r>
      <w:bookmarkEnd w:id="40"/>
      <w:bookmarkEnd w:id="41"/>
      <w:bookmarkEnd w:id="42"/>
      <w:bookmarkEnd w:id="43"/>
      <w:bookmarkEnd w:id="44"/>
    </w:p>
    <w:p w14:paraId="5C84682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3.1供应商是指响应谈判文件要求、参加竞争性谈判采购的法人、其他组织或者自然人。</w:t>
      </w:r>
    </w:p>
    <w:p w14:paraId="0B177D6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3.2供应商应当符合【谈判邀请】规定的供应商资格条件。</w:t>
      </w:r>
    </w:p>
    <w:p w14:paraId="153B0B0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3.3【谈判邀请】规定接受联合体形式的，供应商除应符合上述资格条件的规定外，还应遵守以下规定： </w:t>
      </w:r>
    </w:p>
    <w:p w14:paraId="422E122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（l）联合体中有同类资质的供应商按照联合体分工承担相同工作的，应当按照资质等级较低的供应商确定资质等级。</w:t>
      </w:r>
    </w:p>
    <w:p w14:paraId="420E01F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（2）联合体各方应按谈判文件提供的格式签订联合体协议书，明确联合体牵头人和各方的权利义务、合同工作量比例；</w:t>
      </w:r>
    </w:p>
    <w:p w14:paraId="70EAAF4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（3）联合体各方签订联合体协议书后，</w:t>
      </w:r>
      <w:r>
        <w:rPr>
          <w:rFonts w:hint="eastAsia" w:ascii="仿宋_GB2312" w:hAnsi="仿宋_GB2312" w:eastAsia="仿宋_GB2312" w:cs="仿宋_GB2312"/>
          <w:sz w:val="32"/>
          <w:szCs w:val="32"/>
          <w:lang w:val="zh-CN"/>
        </w:rPr>
        <w:t>不得再单独参加或者与其他供应商组成新的联合体参加同一合同项下的采购活动。</w:t>
      </w:r>
    </w:p>
    <w:p w14:paraId="52C73265">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45" w:name="_Toc21454"/>
      <w:bookmarkStart w:id="46" w:name="_Toc15386"/>
      <w:bookmarkStart w:id="47" w:name="_Toc18921"/>
      <w:bookmarkStart w:id="48" w:name="_Toc24112_WPSOffice_Level3"/>
      <w:bookmarkStart w:id="49" w:name="_Toc29322_WPSOffice_Level3"/>
      <w:r>
        <w:rPr>
          <w:rFonts w:hint="eastAsia" w:ascii="楷体_GB2312" w:hAnsi="楷体_GB2312" w:eastAsia="楷体_GB2312" w:cs="楷体_GB2312"/>
          <w:b/>
          <w:bCs/>
          <w:kern w:val="2"/>
          <w:sz w:val="32"/>
          <w:szCs w:val="32"/>
          <w:lang w:val="en-US" w:eastAsia="zh-CN" w:bidi="ar-SA"/>
        </w:rPr>
        <w:t>4.</w:t>
      </w:r>
      <w:r>
        <w:rPr>
          <w:rFonts w:hint="eastAsia" w:ascii="仿宋" w:hAnsi="仿宋" w:eastAsia="仿宋" w:cs="仿宋"/>
          <w:b/>
          <w:bCs/>
          <w:kern w:val="2"/>
          <w:sz w:val="32"/>
          <w:szCs w:val="32"/>
          <w:lang w:val="en-US" w:eastAsia="zh-CN" w:bidi="ar-SA"/>
        </w:rPr>
        <w:t>谈判费用</w:t>
      </w:r>
      <w:bookmarkEnd w:id="45"/>
      <w:bookmarkEnd w:id="46"/>
      <w:bookmarkEnd w:id="47"/>
      <w:bookmarkEnd w:id="48"/>
      <w:bookmarkEnd w:id="49"/>
      <w:r>
        <w:rPr>
          <w:rFonts w:hint="eastAsia" w:ascii="楷体_GB2312" w:hAnsi="楷体_GB2312" w:eastAsia="楷体_GB2312" w:cs="楷体_GB2312"/>
          <w:b/>
          <w:bCs/>
          <w:kern w:val="2"/>
          <w:sz w:val="32"/>
          <w:szCs w:val="32"/>
          <w:lang w:val="en-US" w:eastAsia="zh-CN" w:bidi="ar-SA"/>
        </w:rPr>
        <w:t xml:space="preserve"> </w:t>
      </w:r>
    </w:p>
    <w:p w14:paraId="5B8527F2">
      <w:pPr>
        <w:widowControl w:val="0"/>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none"/>
        </w:rPr>
        <w:t>无论谈判的结果如何，供应商应自行承担所有与竞争性谈判采购活动有关的全部费用。</w:t>
      </w:r>
    </w:p>
    <w:p w14:paraId="0B2860C3">
      <w:pPr>
        <w:widowControl w:val="0"/>
        <w:wordWrap/>
        <w:adjustRightInd w:val="0"/>
        <w:snapToGrid w:val="0"/>
        <w:spacing w:before="157" w:beforeLines="50" w:line="560" w:lineRule="exact"/>
        <w:jc w:val="center"/>
        <w:textAlignment w:val="auto"/>
        <w:outlineLvl w:val="1"/>
        <w:rPr>
          <w:rFonts w:hint="eastAsia" w:ascii="黑体" w:hAnsi="黑体" w:eastAsia="黑体" w:cs="黑体"/>
          <w:b w:val="0"/>
          <w:bCs w:val="0"/>
          <w:kern w:val="2"/>
          <w:sz w:val="32"/>
          <w:szCs w:val="32"/>
          <w:lang w:val="en-US" w:eastAsia="zh-CN" w:bidi="ar-SA"/>
        </w:rPr>
      </w:pPr>
      <w:bookmarkStart w:id="50" w:name="_Toc14177"/>
      <w:bookmarkStart w:id="51" w:name="_Toc4912_WPSOffice_Level2"/>
      <w:bookmarkStart w:id="52" w:name="_Toc22742"/>
      <w:bookmarkStart w:id="53" w:name="_Toc28758"/>
      <w:bookmarkStart w:id="54" w:name="_Toc24356"/>
      <w:bookmarkStart w:id="55" w:name="_Toc19663_WPSOffice_Level2"/>
      <w:bookmarkStart w:id="56" w:name="_Toc2404_WPSOffice_Level2"/>
      <w:bookmarkStart w:id="57" w:name="_Toc24182"/>
      <w:bookmarkStart w:id="58" w:name="_Toc34637766"/>
      <w:r>
        <w:rPr>
          <w:rFonts w:hint="eastAsia" w:ascii="黑体" w:hAnsi="黑体" w:eastAsia="黑体" w:cs="黑体"/>
          <w:b w:val="0"/>
          <w:bCs w:val="0"/>
          <w:kern w:val="2"/>
          <w:sz w:val="32"/>
          <w:szCs w:val="32"/>
          <w:lang w:val="en-US" w:eastAsia="zh-CN" w:bidi="ar-SA"/>
        </w:rPr>
        <w:t>二、谈判文件</w:t>
      </w:r>
      <w:bookmarkEnd w:id="50"/>
      <w:bookmarkEnd w:id="51"/>
      <w:bookmarkEnd w:id="52"/>
      <w:bookmarkEnd w:id="53"/>
      <w:bookmarkEnd w:id="54"/>
      <w:bookmarkEnd w:id="55"/>
      <w:bookmarkEnd w:id="56"/>
      <w:bookmarkEnd w:id="57"/>
      <w:bookmarkEnd w:id="58"/>
    </w:p>
    <w:p w14:paraId="17268893">
      <w:pPr>
        <w:pStyle w:val="4"/>
        <w:widowControl w:val="0"/>
        <w:wordWrap/>
        <w:adjustRightInd w:val="0"/>
        <w:snapToGrid w:val="0"/>
        <w:spacing w:before="157" w:beforeLines="50" w:after="0" w:line="560" w:lineRule="exact"/>
        <w:ind w:firstLine="0" w:firstLineChars="0"/>
        <w:textAlignment w:val="auto"/>
        <w:outlineLvl w:val="2"/>
        <w:rPr>
          <w:rFonts w:hint="eastAsia" w:ascii="仿宋" w:hAnsi="仿宋" w:eastAsia="仿宋" w:cs="仿宋"/>
          <w:b/>
          <w:bCs/>
          <w:kern w:val="2"/>
          <w:sz w:val="32"/>
          <w:szCs w:val="32"/>
          <w:lang w:val="en-US" w:eastAsia="zh-CN" w:bidi="ar-SA"/>
        </w:rPr>
      </w:pPr>
      <w:bookmarkStart w:id="59" w:name="_Toc30208"/>
      <w:bookmarkStart w:id="60" w:name="_Toc14464"/>
      <w:bookmarkStart w:id="61" w:name="_Toc18786_WPSOffice_Level3"/>
      <w:bookmarkStart w:id="62" w:name="_Toc1826"/>
      <w:bookmarkStart w:id="63" w:name="_Toc29785_WPSOffice_Level3"/>
      <w:r>
        <w:rPr>
          <w:rFonts w:hint="eastAsia" w:ascii="楷体_GB2312" w:hAnsi="楷体_GB2312" w:eastAsia="楷体_GB2312" w:cs="楷体_GB2312"/>
          <w:b/>
          <w:bCs/>
          <w:kern w:val="2"/>
          <w:sz w:val="32"/>
          <w:szCs w:val="32"/>
          <w:lang w:val="en-US" w:eastAsia="zh-CN" w:bidi="ar-SA"/>
        </w:rPr>
        <w:t>5.</w:t>
      </w:r>
      <w:r>
        <w:rPr>
          <w:rFonts w:hint="eastAsia" w:ascii="仿宋" w:hAnsi="仿宋" w:eastAsia="仿宋" w:cs="仿宋"/>
          <w:b/>
          <w:bCs/>
          <w:kern w:val="2"/>
          <w:sz w:val="32"/>
          <w:szCs w:val="32"/>
          <w:lang w:val="en-US" w:eastAsia="zh-CN" w:bidi="ar-SA"/>
        </w:rPr>
        <w:t>谈判文件的组成</w:t>
      </w:r>
      <w:bookmarkEnd w:id="59"/>
      <w:bookmarkEnd w:id="60"/>
      <w:bookmarkEnd w:id="61"/>
      <w:bookmarkEnd w:id="62"/>
      <w:bookmarkEnd w:id="63"/>
    </w:p>
    <w:p w14:paraId="027C9997">
      <w:pPr>
        <w:pStyle w:val="11"/>
        <w:widowControl w:val="0"/>
        <w:wordWrap/>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5.1谈判文件由下列文件组成：</w:t>
      </w:r>
    </w:p>
    <w:p w14:paraId="0D52242E">
      <w:pPr>
        <w:pStyle w:val="11"/>
        <w:widowControl w:val="0"/>
        <w:numPr>
          <w:ilvl w:val="0"/>
          <w:numId w:val="2"/>
        </w:numPr>
        <w:wordWrap/>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谈判邀请</w:t>
      </w:r>
    </w:p>
    <w:p w14:paraId="0282BD99">
      <w:pPr>
        <w:pStyle w:val="11"/>
        <w:widowControl w:val="0"/>
        <w:wordWrap/>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（2）谈判须知</w:t>
      </w:r>
    </w:p>
    <w:p w14:paraId="02EE4BA2">
      <w:pPr>
        <w:pStyle w:val="11"/>
        <w:widowControl w:val="0"/>
        <w:numPr>
          <w:ilvl w:val="0"/>
          <w:numId w:val="0"/>
        </w:numPr>
        <w:wordWrap/>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（3）采购需求</w:t>
      </w:r>
    </w:p>
    <w:p w14:paraId="60746B45">
      <w:pPr>
        <w:pStyle w:val="11"/>
        <w:widowControl w:val="0"/>
        <w:numPr>
          <w:ilvl w:val="0"/>
          <w:numId w:val="0"/>
        </w:numPr>
        <w:wordWrap/>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（4）谈判响应文件格式</w:t>
      </w:r>
    </w:p>
    <w:p w14:paraId="14C1097F">
      <w:pPr>
        <w:pStyle w:val="11"/>
        <w:widowControl w:val="0"/>
        <w:numPr>
          <w:ilvl w:val="0"/>
          <w:numId w:val="0"/>
        </w:numPr>
        <w:wordWrap/>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（5）政府采购项目合同书范本</w:t>
      </w:r>
    </w:p>
    <w:p w14:paraId="26B8C876">
      <w:pPr>
        <w:pStyle w:val="11"/>
        <w:widowControl w:val="0"/>
        <w:wordWrap/>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5.2采购人、采购代理机构或者谈判小组在提交首次响应文件截止之日前对已发出的谈判文件进行的澄清或者修改，构成谈判文件的组成部分。</w:t>
      </w:r>
    </w:p>
    <w:p w14:paraId="322EF782">
      <w:pPr>
        <w:pStyle w:val="11"/>
        <w:widowControl w:val="0"/>
        <w:wordWrap/>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5.3谈判文件中，谈判小组根据与供应商谈判情况可能实质性变动的内容见【谈判邀请】。对谈判文件作出的实质性变动是谈判文件的有效组成部分。</w:t>
      </w:r>
    </w:p>
    <w:p w14:paraId="1771EA69">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64" w:name="_Toc4686"/>
      <w:bookmarkStart w:id="65" w:name="_Toc31604_WPSOffice_Level3"/>
      <w:bookmarkStart w:id="66" w:name="_Toc25455_WPSOffice_Level3"/>
      <w:bookmarkStart w:id="67" w:name="_Toc1317"/>
      <w:bookmarkStart w:id="68" w:name="_Toc18056"/>
      <w:r>
        <w:rPr>
          <w:rFonts w:hint="eastAsia" w:ascii="楷体_GB2312" w:hAnsi="楷体_GB2312" w:eastAsia="楷体_GB2312" w:cs="楷体_GB2312"/>
          <w:b/>
          <w:bCs/>
          <w:kern w:val="2"/>
          <w:sz w:val="32"/>
          <w:szCs w:val="32"/>
          <w:lang w:val="en-US" w:eastAsia="zh-CN" w:bidi="ar-SA"/>
        </w:rPr>
        <w:t>6.</w:t>
      </w:r>
      <w:r>
        <w:rPr>
          <w:rFonts w:hint="eastAsia" w:ascii="仿宋" w:hAnsi="仿宋" w:eastAsia="仿宋" w:cs="仿宋"/>
          <w:b/>
          <w:bCs/>
          <w:kern w:val="2"/>
          <w:sz w:val="32"/>
          <w:szCs w:val="32"/>
          <w:lang w:val="en-US" w:eastAsia="zh-CN" w:bidi="ar-SA"/>
        </w:rPr>
        <w:t>谈判文件的澄清</w:t>
      </w:r>
      <w:r>
        <w:rPr>
          <w:rFonts w:hint="eastAsia" w:ascii="仿宋" w:hAnsi="仿宋" w:eastAsia="仿宋" w:cs="仿宋"/>
          <w:b/>
          <w:bCs/>
          <w:kern w:val="2"/>
          <w:sz w:val="32"/>
          <w:szCs w:val="32"/>
          <w:lang w:val="zh-CN" w:eastAsia="zh-CN" w:bidi="ar-SA"/>
        </w:rPr>
        <w:t>或者</w:t>
      </w:r>
      <w:r>
        <w:rPr>
          <w:rFonts w:hint="eastAsia" w:ascii="仿宋" w:hAnsi="仿宋" w:eastAsia="仿宋" w:cs="仿宋"/>
          <w:b/>
          <w:bCs/>
          <w:kern w:val="2"/>
          <w:sz w:val="32"/>
          <w:szCs w:val="32"/>
          <w:lang w:val="en-US" w:eastAsia="zh-CN" w:bidi="ar-SA"/>
        </w:rPr>
        <w:t>修改</w:t>
      </w:r>
      <w:bookmarkEnd w:id="64"/>
      <w:bookmarkEnd w:id="65"/>
      <w:bookmarkEnd w:id="66"/>
      <w:bookmarkEnd w:id="67"/>
      <w:bookmarkEnd w:id="68"/>
    </w:p>
    <w:p w14:paraId="2A8ABE94">
      <w:pPr>
        <w:pStyle w:val="11"/>
        <w:widowControl w:val="0"/>
        <w:wordWrap/>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6.1在提交首次响应文件截止之日前，采购人、采购代理机构或者谈判小组可以对已发出的谈判文件进行必要的澄清或者修改。</w:t>
      </w:r>
    </w:p>
    <w:p w14:paraId="1A59E047">
      <w:pPr>
        <w:pStyle w:val="11"/>
        <w:widowControl w:val="0"/>
        <w:wordWrap/>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6.2澄清或者修改的内容可能影响响应文件编制的，采购人、</w:t>
      </w:r>
      <w:r>
        <w:rPr>
          <w:rFonts w:hint="eastAsia" w:ascii="仿宋_GB2312" w:hAnsi="仿宋_GB2312" w:eastAsia="仿宋_GB2312" w:cs="仿宋_GB2312"/>
          <w:kern w:val="2"/>
          <w:sz w:val="32"/>
          <w:szCs w:val="32"/>
          <w:highlight w:val="none"/>
          <w:lang w:val="en-US" w:eastAsia="zh-CN" w:bidi="ar-SA"/>
        </w:rPr>
        <w:t>采购代理机构或者谈判小组应当在提交首次响应文件截止之日3个工作日前，以书面形式通知所有接收谈判文件的供应商，不足3个工作日的，顺延供应商提交首次响应文件截止时间。</w:t>
      </w:r>
    </w:p>
    <w:p w14:paraId="35E5A066">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69" w:name="_Toc27004"/>
      <w:bookmarkStart w:id="70" w:name="_Toc14420"/>
      <w:bookmarkStart w:id="71" w:name="_Toc30"/>
      <w:bookmarkStart w:id="72" w:name="_Toc25126"/>
      <w:bookmarkStart w:id="73" w:name="_Toc6866_WPSOffice_Level3"/>
      <w:bookmarkStart w:id="74" w:name="_Toc4138_WPSOffice_Level3"/>
      <w:bookmarkStart w:id="75" w:name="_Toc34637767"/>
      <w:r>
        <w:rPr>
          <w:rFonts w:hint="eastAsia" w:ascii="楷体_GB2312" w:hAnsi="楷体_GB2312" w:eastAsia="楷体_GB2312" w:cs="楷体_GB2312"/>
          <w:b/>
          <w:bCs/>
          <w:kern w:val="2"/>
          <w:sz w:val="32"/>
          <w:szCs w:val="32"/>
          <w:lang w:val="en-US" w:eastAsia="zh-CN" w:bidi="ar-SA"/>
        </w:rPr>
        <w:t>7.</w:t>
      </w:r>
      <w:r>
        <w:rPr>
          <w:rFonts w:hint="eastAsia" w:ascii="仿宋" w:hAnsi="仿宋" w:eastAsia="仿宋" w:cs="仿宋"/>
          <w:b/>
          <w:bCs/>
          <w:kern w:val="2"/>
          <w:sz w:val="32"/>
          <w:szCs w:val="32"/>
          <w:lang w:val="en-US" w:eastAsia="zh-CN" w:bidi="ar-SA"/>
        </w:rPr>
        <w:t>谈判文件的询问或质疑</w:t>
      </w:r>
      <w:bookmarkEnd w:id="69"/>
      <w:bookmarkEnd w:id="70"/>
      <w:bookmarkEnd w:id="71"/>
      <w:bookmarkEnd w:id="72"/>
      <w:bookmarkEnd w:id="73"/>
      <w:bookmarkEnd w:id="74"/>
    </w:p>
    <w:p w14:paraId="12D518B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7.1供应商对谈判文件有疑问的，可以向采购人、采购代理机构提出询问。</w:t>
      </w:r>
    </w:p>
    <w:p w14:paraId="31B0946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7.2提出质疑的供应商应当符合《中华人民共和国政府采购法》第二十二条的相关规定，对谈判文件提出质疑的，应当在获取采购文件或者采购文件公告期限届满之日起7个工作日内，按法律法规及其规章的规定向采购人、采购代理机构书面提出质疑。</w:t>
      </w:r>
    </w:p>
    <w:p w14:paraId="39885BC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7.3供应商认为谈判文件使自己的权益受到损害的，应以书面形式提出质疑（不接受匿名质疑），供应商须在法定质疑期内一次性提出针对同一采购程序环节的质疑。</w:t>
      </w:r>
    </w:p>
    <w:p w14:paraId="175E6A0E">
      <w:pPr>
        <w:widowControl w:val="0"/>
        <w:wordWrap/>
        <w:adjustRightInd w:val="0"/>
        <w:snapToGrid w:val="0"/>
        <w:spacing w:before="157" w:beforeLines="50" w:line="560" w:lineRule="exact"/>
        <w:ind w:firstLine="640" w:firstLineChars="200"/>
        <w:jc w:val="center"/>
        <w:textAlignment w:val="auto"/>
        <w:outlineLvl w:val="1"/>
        <w:rPr>
          <w:rFonts w:hint="eastAsia" w:ascii="黑体" w:hAnsi="黑体" w:eastAsia="黑体" w:cs="黑体"/>
          <w:kern w:val="2"/>
          <w:sz w:val="32"/>
          <w:szCs w:val="32"/>
          <w:lang w:val="en-US" w:eastAsia="zh-CN" w:bidi="ar-SA"/>
        </w:rPr>
      </w:pPr>
      <w:bookmarkStart w:id="76" w:name="_Toc17633"/>
      <w:bookmarkStart w:id="77" w:name="_Toc955_WPSOffice_Level2"/>
      <w:bookmarkStart w:id="78" w:name="_Toc2847"/>
      <w:bookmarkStart w:id="79" w:name="_Toc23235_WPSOffice_Level2"/>
      <w:bookmarkStart w:id="80" w:name="_Toc5732_WPSOffice_Level2"/>
      <w:bookmarkStart w:id="81" w:name="_Toc28815"/>
      <w:bookmarkStart w:id="82" w:name="_Toc16902"/>
      <w:r>
        <w:rPr>
          <w:rFonts w:hint="eastAsia" w:ascii="黑体" w:hAnsi="黑体" w:eastAsia="黑体" w:cs="黑体"/>
          <w:kern w:val="2"/>
          <w:sz w:val="32"/>
          <w:szCs w:val="32"/>
          <w:lang w:val="en-US" w:eastAsia="zh-CN" w:bidi="ar-SA"/>
        </w:rPr>
        <w:t>三、响应文件</w:t>
      </w:r>
      <w:bookmarkEnd w:id="75"/>
      <w:bookmarkEnd w:id="76"/>
      <w:bookmarkEnd w:id="77"/>
      <w:bookmarkEnd w:id="78"/>
      <w:bookmarkEnd w:id="79"/>
      <w:bookmarkEnd w:id="80"/>
      <w:bookmarkEnd w:id="81"/>
      <w:bookmarkEnd w:id="82"/>
    </w:p>
    <w:p w14:paraId="0AE41F04">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83" w:name="_Toc22063"/>
      <w:bookmarkStart w:id="84" w:name="_Toc17983"/>
      <w:bookmarkStart w:id="85" w:name="_Toc10843_WPSOffice_Level3"/>
      <w:bookmarkStart w:id="86" w:name="_Toc2475"/>
      <w:bookmarkStart w:id="87" w:name="_Toc25372"/>
      <w:bookmarkStart w:id="88" w:name="_Toc1096_WPSOffice_Level3"/>
      <w:r>
        <w:rPr>
          <w:rFonts w:hint="eastAsia" w:ascii="楷体_GB2312" w:hAnsi="楷体_GB2312" w:eastAsia="楷体_GB2312" w:cs="楷体_GB2312"/>
          <w:b/>
          <w:bCs/>
          <w:kern w:val="2"/>
          <w:sz w:val="32"/>
          <w:szCs w:val="32"/>
          <w:lang w:val="en-US" w:eastAsia="zh-CN" w:bidi="ar-SA"/>
        </w:rPr>
        <w:t>8.</w:t>
      </w:r>
      <w:r>
        <w:rPr>
          <w:rFonts w:hint="eastAsia" w:ascii="仿宋" w:hAnsi="仿宋" w:eastAsia="仿宋" w:cs="仿宋"/>
          <w:b/>
          <w:bCs/>
          <w:kern w:val="2"/>
          <w:sz w:val="32"/>
          <w:szCs w:val="32"/>
          <w:lang w:val="en-US" w:eastAsia="zh-CN" w:bidi="ar-SA"/>
        </w:rPr>
        <w:t>一般要求</w:t>
      </w:r>
      <w:bookmarkEnd w:id="83"/>
      <w:bookmarkEnd w:id="84"/>
      <w:bookmarkEnd w:id="85"/>
      <w:bookmarkEnd w:id="86"/>
      <w:bookmarkEnd w:id="87"/>
      <w:bookmarkEnd w:id="88"/>
    </w:p>
    <w:p w14:paraId="3F49030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8.1供应商应仔细阅读谈判文件的所有内容，按谈判文件的要求编制响应文件，并保证所提供的全部资料的真实性，以使其响应文件对谈判文件做出实质性的响应。任何对谈判文件的忽略或误解不能作为响应文件存在缺陷或瑕疵的理由，其风险由供应商承担。</w:t>
      </w:r>
    </w:p>
    <w:p w14:paraId="4E18CA5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lang w:val="en-US" w:eastAsia="zh-CN" w:bidi="ar-SA"/>
        </w:rPr>
        <w:t>8.2</w:t>
      </w:r>
      <w:r>
        <w:rPr>
          <w:rFonts w:hint="eastAsia" w:ascii="仿宋_GB2312" w:hAnsi="仿宋_GB2312" w:eastAsia="仿宋_GB2312" w:cs="仿宋_GB2312"/>
          <w:kern w:val="2"/>
          <w:sz w:val="32"/>
          <w:szCs w:val="32"/>
          <w:highlight w:val="none"/>
          <w:lang w:val="en-US" w:eastAsia="zh-CN" w:bidi="ar-SA"/>
        </w:rPr>
        <w:t>供应商提交的响应文件及供应商与采购人或采购代理机构、谈判小组就有关谈判的所有来往函电均使用中文。附有外文资料的，须翻译成中文并加盖供应商公章，若翻译的中文资料与外文资料存在差异和矛盾，则以中文资料为准。其准确性由供应商负责。</w:t>
      </w:r>
    </w:p>
    <w:p w14:paraId="5B9EDC0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highlight w:val="none"/>
          <w:lang w:val="en-US" w:eastAsia="zh-CN" w:bidi="ar-SA"/>
        </w:rPr>
        <w:t>8.3除谈判文件中另有规定外，谈判响应文件所使用的度量衡单位，均须</w:t>
      </w:r>
      <w:r>
        <w:rPr>
          <w:rFonts w:hint="eastAsia" w:ascii="仿宋_GB2312" w:hAnsi="仿宋_GB2312" w:eastAsia="仿宋_GB2312" w:cs="仿宋_GB2312"/>
          <w:kern w:val="2"/>
          <w:sz w:val="32"/>
          <w:szCs w:val="32"/>
          <w:lang w:val="en-US" w:eastAsia="zh-CN" w:bidi="ar-SA"/>
        </w:rPr>
        <w:t>采用国家法定计量单位。未列明时应默认为我国法定计量单位。</w:t>
      </w:r>
    </w:p>
    <w:p w14:paraId="0D6A340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8.4响应文件应采用书面形式，电报、传真、电子邮件形式的响应文件概不接受。</w:t>
      </w:r>
    </w:p>
    <w:p w14:paraId="3DA141E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8.5供应商应按谈判文件中提供的响应文件格式进行填写。</w:t>
      </w:r>
    </w:p>
    <w:p w14:paraId="79AAE4E9">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89" w:name="_Toc14527_WPSOffice_Level3"/>
      <w:bookmarkStart w:id="90" w:name="_Toc12007"/>
      <w:bookmarkStart w:id="91" w:name="_Toc16030"/>
      <w:bookmarkStart w:id="92" w:name="_Toc19769"/>
      <w:bookmarkStart w:id="93" w:name="_Toc20423_WPSOffice_Level3"/>
      <w:r>
        <w:rPr>
          <w:rFonts w:hint="eastAsia" w:ascii="楷体_GB2312" w:hAnsi="楷体_GB2312" w:eastAsia="楷体_GB2312" w:cs="楷体_GB2312"/>
          <w:b/>
          <w:bCs/>
          <w:kern w:val="2"/>
          <w:sz w:val="32"/>
          <w:szCs w:val="32"/>
          <w:lang w:val="en-US" w:eastAsia="zh-CN" w:bidi="ar-SA"/>
        </w:rPr>
        <w:t>9.报价要求</w:t>
      </w:r>
      <w:bookmarkEnd w:id="89"/>
      <w:bookmarkEnd w:id="90"/>
      <w:bookmarkEnd w:id="91"/>
      <w:bookmarkEnd w:id="92"/>
      <w:bookmarkEnd w:id="93"/>
    </w:p>
    <w:p w14:paraId="4038927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9.1供应商应当根据谈判文件“分项报价表”逐一报价；</w:t>
      </w:r>
    </w:p>
    <w:p w14:paraId="5468046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9.2在首次报价表、分项报价表、最后报价表填写报价时应注意下列要求：</w:t>
      </w:r>
    </w:p>
    <w:p w14:paraId="484A41A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（1）采购需求要求的投标报价应包含</w:t>
      </w:r>
      <w:bookmarkStart w:id="94" w:name="OLE_LINK23"/>
      <w:r>
        <w:rPr>
          <w:rFonts w:hint="eastAsia" w:ascii="仿宋_GB2312" w:hAnsi="仿宋_GB2312" w:eastAsia="仿宋_GB2312" w:cs="仿宋_GB2312"/>
          <w:kern w:val="2"/>
          <w:sz w:val="32"/>
          <w:szCs w:val="32"/>
          <w:highlight w:val="none"/>
          <w:lang w:val="en-US" w:eastAsia="zh-CN" w:bidi="ar-SA"/>
        </w:rPr>
        <w:t xml:space="preserve">全部产品费、验收费、手续费、包装费、运输费、保险费、安装费、调试费、售前、售中、售后服务费、税金及不可预见费等全部费用。 </w:t>
      </w:r>
      <w:bookmarkEnd w:id="94"/>
      <w:r>
        <w:rPr>
          <w:rFonts w:hint="eastAsia" w:ascii="仿宋_GB2312" w:hAnsi="仿宋_GB2312" w:eastAsia="仿宋_GB2312" w:cs="仿宋_GB2312"/>
          <w:kern w:val="2"/>
          <w:sz w:val="32"/>
          <w:szCs w:val="32"/>
          <w:highlight w:val="none"/>
          <w:lang w:val="en-US" w:eastAsia="zh-CN" w:bidi="ar-SA"/>
        </w:rPr>
        <w:t xml:space="preserve">         </w:t>
      </w:r>
    </w:p>
    <w:p w14:paraId="39CC801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highlight w:val="none"/>
          <w:lang w:val="en-US" w:eastAsia="zh-CN" w:bidi="ar-SA"/>
        </w:rPr>
        <w:t>（2）所有根据合同或其它原因应由供应商交纳和支付的</w:t>
      </w:r>
      <w:r>
        <w:rPr>
          <w:rFonts w:hint="eastAsia" w:ascii="仿宋_GB2312" w:hAnsi="仿宋_GB2312" w:eastAsia="仿宋_GB2312" w:cs="仿宋_GB2312"/>
          <w:kern w:val="2"/>
          <w:sz w:val="32"/>
          <w:szCs w:val="32"/>
          <w:lang w:val="en-US" w:eastAsia="zh-CN" w:bidi="ar-SA"/>
        </w:rPr>
        <w:t>税款和费用。</w:t>
      </w:r>
    </w:p>
    <w:p w14:paraId="17F81F4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highlight w:val="none"/>
          <w:lang w:val="en-US" w:eastAsia="zh-CN" w:bidi="ar-SA"/>
        </w:rPr>
        <w:t>（3）供</w:t>
      </w:r>
      <w:r>
        <w:rPr>
          <w:rFonts w:hint="eastAsia" w:ascii="仿宋_GB2312" w:hAnsi="仿宋_GB2312" w:eastAsia="仿宋_GB2312" w:cs="仿宋_GB2312"/>
          <w:kern w:val="2"/>
          <w:sz w:val="32"/>
          <w:szCs w:val="32"/>
          <w:lang w:val="en-US" w:eastAsia="zh-CN" w:bidi="ar-SA"/>
        </w:rPr>
        <w:t>应商报价应为完成本竞争性谈判文件中所要求的货物所应包括内容的所有价格。</w:t>
      </w:r>
    </w:p>
    <w:p w14:paraId="1904B9B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9.3</w:t>
      </w:r>
      <w:r>
        <w:rPr>
          <w:rFonts w:hint="eastAsia" w:ascii="仿宋_GB2312" w:hAnsi="仿宋_GB2312" w:eastAsia="仿宋_GB2312" w:cs="仿宋_GB2312"/>
          <w:kern w:val="2"/>
          <w:sz w:val="32"/>
          <w:szCs w:val="32"/>
          <w:lang w:val="zh-CN" w:eastAsia="zh-CN" w:bidi="ar-SA"/>
        </w:rPr>
        <w:t>供应商</w:t>
      </w:r>
      <w:r>
        <w:rPr>
          <w:rFonts w:hint="eastAsia" w:ascii="仿宋_GB2312" w:hAnsi="仿宋_GB2312" w:eastAsia="仿宋_GB2312" w:cs="仿宋_GB2312"/>
          <w:kern w:val="2"/>
          <w:sz w:val="32"/>
          <w:szCs w:val="32"/>
          <w:lang w:val="en-US" w:eastAsia="zh-CN" w:bidi="ar-SA"/>
        </w:rPr>
        <w:t>的每次报价均不得超过采购项目预算，否则视为无效响应。采购项目预算见【谈判邀请】。</w:t>
      </w:r>
    </w:p>
    <w:p w14:paraId="79E23B9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9.4供应商提交的最后报价在合同执行过程中是固定不变的，不得以任何理由予以变更。以可变动价格提交的报价将被认为是非实质响应而被拒绝。</w:t>
      </w:r>
    </w:p>
    <w:p w14:paraId="25CF214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9.5谈判报价为总价。供应商须按要求填写谈判总报价，最后报价不得出现两个或两个以上的报价方案。 </w:t>
      </w:r>
    </w:p>
    <w:p w14:paraId="782AE7B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9.6报价币种为人民币。</w:t>
      </w:r>
    </w:p>
    <w:p w14:paraId="0AB72129">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95" w:name="_Toc30481"/>
      <w:bookmarkStart w:id="96" w:name="_Toc30839"/>
      <w:bookmarkStart w:id="97" w:name="_Toc24956_WPSOffice_Level3"/>
      <w:bookmarkStart w:id="98" w:name="_Toc20247"/>
      <w:bookmarkStart w:id="99" w:name="_Toc19609_WPSOffice_Level3"/>
      <w:r>
        <w:rPr>
          <w:rFonts w:hint="eastAsia" w:ascii="楷体_GB2312" w:hAnsi="楷体_GB2312" w:eastAsia="楷体_GB2312" w:cs="楷体_GB2312"/>
          <w:b/>
          <w:bCs/>
          <w:kern w:val="2"/>
          <w:sz w:val="32"/>
          <w:szCs w:val="32"/>
          <w:lang w:val="en-US" w:eastAsia="zh-CN" w:bidi="ar-SA"/>
        </w:rPr>
        <w:t>10.保证金</w:t>
      </w:r>
      <w:bookmarkEnd w:id="95"/>
      <w:bookmarkEnd w:id="96"/>
      <w:bookmarkEnd w:id="97"/>
      <w:bookmarkEnd w:id="98"/>
      <w:bookmarkEnd w:id="99"/>
    </w:p>
    <w:p w14:paraId="0D68349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10.1供应商应按【谈判邀请】的规定，在提交响应文件的截止时间前提交不少于本谈判文件规定的人民币金额的谈判保证金。谈判保证金应当以转账、支票、本票或者金融机构、担保机构出具的保函等非现金形式提交。供应商未按照谈判文件要求提交谈判保证金的，视为非实质性响应，其响应文件不予接受。谈判保证金所有递交方式均以到账时间为准。</w:t>
      </w:r>
    </w:p>
    <w:p w14:paraId="22DB10EC">
      <w:pPr>
        <w:widowControl w:val="0"/>
        <w:wordWrap/>
        <w:adjustRightInd w:val="0"/>
        <w:snapToGrid w:val="0"/>
        <w:spacing w:line="560" w:lineRule="exact"/>
        <w:ind w:firstLine="640" w:firstLineChars="200"/>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10.2</w:t>
      </w:r>
      <w:r>
        <w:rPr>
          <w:rFonts w:hint="eastAsia" w:ascii="仿宋_GB2312" w:hAnsi="仿宋_GB2312" w:eastAsia="仿宋_GB2312" w:cs="仿宋_GB2312"/>
          <w:kern w:val="2"/>
          <w:sz w:val="32"/>
          <w:szCs w:val="32"/>
          <w:lang w:val="zh-CN" w:eastAsia="zh-CN" w:bidi="ar-SA"/>
        </w:rPr>
        <w:t>供应商为联合体的，可以由联合体中的一方或者共同交纳保证金，其交纳的保证金，对联合体各方均具有约束力。</w:t>
      </w:r>
      <w:r>
        <w:rPr>
          <w:rFonts w:hint="eastAsia" w:ascii="仿宋_GB2312" w:hAnsi="仿宋_GB2312" w:eastAsia="仿宋_GB2312" w:cs="仿宋_GB2312"/>
          <w:kern w:val="2"/>
          <w:sz w:val="32"/>
          <w:szCs w:val="32"/>
          <w:lang w:val="en-US" w:eastAsia="zh-CN" w:bidi="ar-SA"/>
        </w:rPr>
        <w:t xml:space="preserve">                                           </w:t>
      </w:r>
    </w:p>
    <w:p w14:paraId="2746FC7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10.3保证金的退还按以下规定办理：</w:t>
      </w:r>
    </w:p>
    <w:p w14:paraId="1BF156A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（1）成交供应商的保证金，在政府采购合同签订后5个工作日内退还，但因供应商自身原因导致无法退还的除外。</w:t>
      </w:r>
    </w:p>
    <w:p w14:paraId="61733A7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（2）未成交供应商的保证金，在成交通知书发出后5个工作日内退还。</w:t>
      </w:r>
    </w:p>
    <w:p w14:paraId="6005540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（3）终止竞争性谈判采购活动的，在发布项目终止公告后5个工作日内退还。</w:t>
      </w:r>
    </w:p>
    <w:p w14:paraId="41E0D39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10.4有下列情形之一的，保证金不予退还，并上缴同级财政国库：</w:t>
      </w:r>
    </w:p>
    <w:p w14:paraId="3387476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lang w:val="en-US" w:eastAsia="zh-CN" w:bidi="ar-SA"/>
        </w:rPr>
        <w:t>（1）供应商在提交</w:t>
      </w:r>
      <w:r>
        <w:rPr>
          <w:rFonts w:hint="eastAsia" w:ascii="仿宋_GB2312" w:hAnsi="仿宋_GB2312" w:eastAsia="仿宋_GB2312" w:cs="仿宋_GB2312"/>
          <w:kern w:val="2"/>
          <w:sz w:val="32"/>
          <w:szCs w:val="32"/>
          <w:highlight w:val="none"/>
          <w:lang w:val="en-US" w:eastAsia="zh-CN" w:bidi="ar-SA"/>
        </w:rPr>
        <w:t>响应文件截止时间后撤回响应文件的；</w:t>
      </w:r>
    </w:p>
    <w:p w14:paraId="40D3617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（2）供应商在响应文件中提供虚假材料的；</w:t>
      </w:r>
    </w:p>
    <w:p w14:paraId="168F553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 xml:space="preserve">（3）除因不可抗力或谈判文件认可的情形以外，成交供应商不与采购人签订合同的； </w:t>
      </w:r>
    </w:p>
    <w:p w14:paraId="0672911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 xml:space="preserve">（4）供应商与采购人、其他供应商或者采购代理机构恶意串通的； </w:t>
      </w:r>
    </w:p>
    <w:p w14:paraId="512DF83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（5）谈判文件规定的其他情形。</w:t>
      </w:r>
    </w:p>
    <w:p w14:paraId="2C7D41FB">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highlight w:val="none"/>
          <w:lang w:val="en-US" w:eastAsia="zh-CN" w:bidi="ar-SA"/>
        </w:rPr>
      </w:pPr>
      <w:bookmarkStart w:id="100" w:name="_Toc18765_WPSOffice_Level3"/>
      <w:bookmarkStart w:id="101" w:name="_Toc1416"/>
      <w:bookmarkStart w:id="102" w:name="_Toc4945_WPSOffice_Level3"/>
      <w:bookmarkStart w:id="103" w:name="_Toc14144"/>
      <w:bookmarkStart w:id="104" w:name="_Toc5897"/>
      <w:r>
        <w:rPr>
          <w:rFonts w:hint="eastAsia" w:ascii="楷体_GB2312" w:hAnsi="楷体_GB2312" w:eastAsia="楷体_GB2312" w:cs="楷体_GB2312"/>
          <w:b/>
          <w:bCs/>
          <w:kern w:val="2"/>
          <w:sz w:val="32"/>
          <w:szCs w:val="32"/>
          <w:highlight w:val="none"/>
          <w:lang w:val="en-US" w:eastAsia="zh-CN" w:bidi="ar-SA"/>
        </w:rPr>
        <w:t>11.响应文件的组成</w:t>
      </w:r>
      <w:bookmarkEnd w:id="100"/>
      <w:bookmarkEnd w:id="101"/>
      <w:bookmarkEnd w:id="102"/>
      <w:bookmarkEnd w:id="103"/>
      <w:bookmarkEnd w:id="104"/>
    </w:p>
    <w:p w14:paraId="36E96FA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 xml:space="preserve">11.1响应文件包括下列内容： </w:t>
      </w:r>
    </w:p>
    <w:p w14:paraId="09F1BCA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供应商应提交相关证明材料，作为其参加谈判和成交后有能力履行合同的证明。编写的谈判响应文件须包括以下内容（格式详见谈判文件第四部分内容）：</w:t>
      </w:r>
    </w:p>
    <w:p w14:paraId="6FC25970">
      <w:pPr>
        <w:widowControl w:val="0"/>
        <w:wordWrap/>
        <w:adjustRightInd w:val="0"/>
        <w:snapToGrid w:val="0"/>
        <w:spacing w:line="560" w:lineRule="exact"/>
        <w:ind w:firstLine="643" w:firstLineChars="200"/>
        <w:jc w:val="left"/>
        <w:textAlignment w:val="auto"/>
        <w:rPr>
          <w:rFonts w:hint="eastAsia" w:ascii="仿宋_GB2312" w:hAnsi="仿宋_GB2312" w:eastAsia="仿宋_GB2312" w:cs="仿宋_GB2312"/>
          <w:b/>
          <w:bCs/>
          <w:kern w:val="2"/>
          <w:sz w:val="32"/>
          <w:szCs w:val="32"/>
          <w:highlight w:val="none"/>
          <w:lang w:val="zh-CN" w:eastAsia="zh-CN" w:bidi="ar-SA"/>
        </w:rPr>
      </w:pPr>
      <w:bookmarkStart w:id="105" w:name="OLE_LINK22"/>
      <w:r>
        <w:rPr>
          <w:rFonts w:hint="eastAsia" w:ascii="仿宋_GB2312" w:hAnsi="仿宋_GB2312" w:eastAsia="仿宋_GB2312" w:cs="仿宋_GB2312"/>
          <w:b/>
          <w:bCs/>
          <w:kern w:val="2"/>
          <w:sz w:val="32"/>
          <w:szCs w:val="32"/>
          <w:highlight w:val="none"/>
          <w:lang w:val="en-US" w:eastAsia="zh-CN" w:bidi="ar-SA"/>
        </w:rPr>
        <w:t>11.1.1</w:t>
      </w:r>
      <w:r>
        <w:rPr>
          <w:rFonts w:hint="eastAsia" w:ascii="仿宋_GB2312" w:hAnsi="仿宋_GB2312" w:eastAsia="仿宋_GB2312" w:cs="仿宋_GB2312"/>
          <w:b/>
          <w:bCs/>
          <w:kern w:val="2"/>
          <w:sz w:val="32"/>
          <w:szCs w:val="32"/>
          <w:highlight w:val="none"/>
          <w:lang w:val="zh-CN" w:eastAsia="zh-CN" w:bidi="ar-SA"/>
        </w:rPr>
        <w:t>资格审查部分</w:t>
      </w:r>
    </w:p>
    <w:p w14:paraId="106622D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1、响应函（见附件1）</w:t>
      </w:r>
    </w:p>
    <w:p w14:paraId="4843D37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2、法定代表人证明书（见附件2）</w:t>
      </w:r>
    </w:p>
    <w:p w14:paraId="1227A11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3、法定代表人授权书（见附件3）</w:t>
      </w:r>
    </w:p>
    <w:p w14:paraId="7D3B41F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4、供应商承诺函（见附件4）</w:t>
      </w:r>
    </w:p>
    <w:p w14:paraId="6EC2C4A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5、供应商诚信承诺书（见附件5）</w:t>
      </w:r>
    </w:p>
    <w:p w14:paraId="7B832DA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6、供应商资格证明文件（见附件6）</w:t>
      </w:r>
    </w:p>
    <w:p w14:paraId="2D3B41E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7、财务状况、缴纳税收和社会保障资金证明（见附件7）</w:t>
      </w:r>
    </w:p>
    <w:p w14:paraId="6D8E2B0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8、无重大违法记录声明（见附件8）</w:t>
      </w:r>
    </w:p>
    <w:p w14:paraId="43206BC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9、谈判保证金证明（见附件9）</w:t>
      </w:r>
    </w:p>
    <w:p w14:paraId="4A44958F">
      <w:pPr>
        <w:widowControl w:val="0"/>
        <w:wordWrap/>
        <w:adjustRightInd w:val="0"/>
        <w:snapToGrid w:val="0"/>
        <w:spacing w:line="560" w:lineRule="exact"/>
        <w:ind w:firstLine="643" w:firstLineChars="200"/>
        <w:jc w:val="left"/>
        <w:textAlignment w:val="auto"/>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11.1.2有效性、完整性、响应程度审查部分</w:t>
      </w:r>
    </w:p>
    <w:p w14:paraId="6DB6A13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10、谈判首次报价表（见附件10）</w:t>
      </w:r>
    </w:p>
    <w:p w14:paraId="52BB8AA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11、分项报价表（见附件11）</w:t>
      </w:r>
    </w:p>
    <w:p w14:paraId="40E5566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12、技术规格响应表（见附件12）</w:t>
      </w:r>
    </w:p>
    <w:p w14:paraId="7D00CE1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13、产品相关资料（具备履行合同所必须的设备和专业技术能力证明（见附件13）</w:t>
      </w:r>
    </w:p>
    <w:p w14:paraId="5A49199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14、享受政府采购政策优惠的证明资料（见附件14）</w:t>
      </w:r>
    </w:p>
    <w:p w14:paraId="20B4746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15、谈判最后报价表（见附件15）</w:t>
      </w:r>
    </w:p>
    <w:bookmarkEnd w:id="105"/>
    <w:p w14:paraId="469BD36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zh-CN" w:eastAsia="zh-CN" w:bidi="ar-SA"/>
        </w:rPr>
        <w:t>供应商须按上述内容、顺序和格式编制响应文件，并按要求编制目录、页码，并保证所提供的全部资料真实可信，自愿承担相应责任。</w:t>
      </w:r>
    </w:p>
    <w:p w14:paraId="028A322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11.2在谈判过程中，供应商根据谈判小组要求提交的最终报价(或者重新提交的响应文件和最终报价)是响应文件的有效组成部分。</w:t>
      </w:r>
    </w:p>
    <w:p w14:paraId="1EA136C4">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106" w:name="_Toc3694_WPSOffice_Level3"/>
      <w:bookmarkStart w:id="107" w:name="_Toc14930_WPSOffice_Level3"/>
      <w:bookmarkStart w:id="108" w:name="_Toc30728"/>
      <w:bookmarkStart w:id="109" w:name="_Toc11674"/>
      <w:bookmarkStart w:id="110" w:name="_Toc26621"/>
      <w:r>
        <w:rPr>
          <w:rFonts w:hint="eastAsia" w:ascii="楷体_GB2312" w:hAnsi="楷体_GB2312" w:eastAsia="楷体_GB2312" w:cs="楷体_GB2312"/>
          <w:b/>
          <w:bCs/>
          <w:kern w:val="2"/>
          <w:sz w:val="32"/>
          <w:szCs w:val="32"/>
          <w:lang w:val="en-US" w:eastAsia="zh-CN" w:bidi="ar-SA"/>
        </w:rPr>
        <w:t>12.响应文件有效期</w:t>
      </w:r>
      <w:bookmarkEnd w:id="106"/>
      <w:bookmarkEnd w:id="107"/>
      <w:bookmarkEnd w:id="108"/>
      <w:bookmarkEnd w:id="109"/>
      <w:bookmarkEnd w:id="110"/>
    </w:p>
    <w:p w14:paraId="2C18A895">
      <w:pPr>
        <w:widowControl w:val="0"/>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响应文件有效期见【谈判邀请】，在此期间响应文件对供应商具有法律约束力，从提交首次响应文件截止时间之日起计算。响应文件有效期不足的将被视为无效响应。</w:t>
      </w:r>
    </w:p>
    <w:p w14:paraId="5EE09C8B">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111" w:name="_Toc20265"/>
      <w:bookmarkStart w:id="112" w:name="_Toc16703"/>
      <w:bookmarkStart w:id="113" w:name="_Toc21033"/>
      <w:bookmarkStart w:id="114" w:name="_Toc8507_WPSOffice_Level3"/>
      <w:bookmarkStart w:id="115" w:name="_Toc31682_WPSOffice_Level3"/>
      <w:r>
        <w:rPr>
          <w:rFonts w:hint="eastAsia" w:ascii="楷体_GB2312" w:hAnsi="楷体_GB2312" w:eastAsia="楷体_GB2312" w:cs="楷体_GB2312"/>
          <w:b/>
          <w:bCs/>
          <w:kern w:val="2"/>
          <w:sz w:val="32"/>
          <w:szCs w:val="32"/>
          <w:lang w:val="en-US" w:eastAsia="zh-CN" w:bidi="ar-SA"/>
        </w:rPr>
        <w:t>13.响应文件的签署及规定</w:t>
      </w:r>
      <w:bookmarkEnd w:id="111"/>
      <w:bookmarkEnd w:id="112"/>
      <w:bookmarkEnd w:id="113"/>
      <w:bookmarkEnd w:id="114"/>
      <w:bookmarkEnd w:id="115"/>
    </w:p>
    <w:p w14:paraId="781C421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13.1响应文件应按谈判文件要求签字盖章。供应商代表可为供应商法定代表人(非法人组织为负责人或合伙人、个体工商户为负责人，谈判文件统称单位负责人)；供应商代表不是供应商的法定代表人（单位负责人）的，应提供法定代表人（单位负责人）授权委托书。</w:t>
      </w:r>
    </w:p>
    <w:p w14:paraId="5F0A5D8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13.2 </w:t>
      </w:r>
      <w:r>
        <w:rPr>
          <w:rFonts w:hint="eastAsia" w:ascii="仿宋_GB2312" w:hAnsi="仿宋_GB2312" w:eastAsia="仿宋_GB2312" w:cs="仿宋_GB2312"/>
          <w:kern w:val="2"/>
          <w:sz w:val="32"/>
          <w:szCs w:val="32"/>
          <w:lang w:val="zh-CN" w:eastAsia="zh-CN" w:bidi="ar-SA"/>
        </w:rPr>
        <w:t>供应商应按照谈判文件所提供的文件格式，分别填写谈判文件</w:t>
      </w:r>
      <w:r>
        <w:rPr>
          <w:rFonts w:hint="eastAsia" w:ascii="仿宋_GB2312" w:hAnsi="仿宋_GB2312" w:eastAsia="仿宋_GB2312" w:cs="仿宋_GB2312"/>
          <w:kern w:val="2"/>
          <w:sz w:val="32"/>
          <w:szCs w:val="32"/>
          <w:highlight w:val="none"/>
          <w:lang w:val="zh-CN" w:eastAsia="zh-CN" w:bidi="ar-SA"/>
        </w:rPr>
        <w:t>第四部分</w:t>
      </w:r>
      <w:r>
        <w:rPr>
          <w:rFonts w:hint="eastAsia" w:ascii="仿宋_GB2312" w:hAnsi="仿宋_GB2312" w:eastAsia="仿宋_GB2312" w:cs="仿宋_GB2312"/>
          <w:kern w:val="2"/>
          <w:sz w:val="32"/>
          <w:szCs w:val="32"/>
          <w:lang w:val="zh-CN" w:eastAsia="zh-CN" w:bidi="ar-SA"/>
        </w:rPr>
        <w:t>的内容，应分别注明所提供货物的名称、技术配置及参数、数量和价格等内容；谈判文件要求签字、盖章的地方必须由供应商的法定代表人或委托代理人签字、盖章。</w:t>
      </w:r>
    </w:p>
    <w:p w14:paraId="19A627D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13.3 谈判响应文件格式及编制要求：</w:t>
      </w:r>
    </w:p>
    <w:p w14:paraId="3592A50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13.3.1 谈判响应文件编制格式为 word 系统签章保存后转换为 pdf 格式上传，格式须按谈判响应文件第四部分“谈判响应文件格式 ”要求制作，并按“政采云 ”平台要求上传。</w:t>
      </w:r>
    </w:p>
    <w:p w14:paraId="5B471CB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13.3.2 谈判响应文件中的扫描或复印件内容应清晰可辨，且要求正向放置。</w:t>
      </w:r>
    </w:p>
    <w:p w14:paraId="6C1D2A0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13.3.3 谈判响应文件要求签字、盖章的地方必须由供应商的法定代表人或委托代 理人按要求签字、盖章。</w:t>
      </w:r>
    </w:p>
    <w:p w14:paraId="3776BAA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13.3.4 上传的谈判响应文件不得超过政采云平台规定的大小。</w:t>
      </w:r>
    </w:p>
    <w:p w14:paraId="0D0E128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13.3.5 供应商应在提交谈判响应文件截止时间前上传谈判响应文件。因目录格式不准确、不能索引定位到内容、文件过大、未提交全部文件内容或文件内容错误、上传效果差等原因导致无法评审的，有可能判定为无效投标。</w:t>
      </w:r>
    </w:p>
    <w:p w14:paraId="11FF680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13.4 谈判响应文件编制要求：按照供应商须知 11.1 项规定的响应文件的组成编制， 并上传至政采云平台（https://www.zcygov.cn/）上。</w:t>
      </w:r>
    </w:p>
    <w:p w14:paraId="4ED80DE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13.5 供应商须在“法定代表人授权书 ”中提供被授权人（委托代理人）准确的联系方式（手机或固定电话）。</w:t>
      </w:r>
    </w:p>
    <w:p w14:paraId="0863E31C">
      <w:pPr>
        <w:widowControl w:val="0"/>
        <w:wordWrap/>
        <w:adjustRightInd w:val="0"/>
        <w:snapToGrid w:val="0"/>
        <w:spacing w:before="157" w:beforeLines="50" w:line="560" w:lineRule="exact"/>
        <w:jc w:val="center"/>
        <w:textAlignment w:val="auto"/>
        <w:outlineLvl w:val="1"/>
        <w:rPr>
          <w:rFonts w:hint="default" w:ascii="黑体" w:hAnsi="黑体" w:eastAsia="黑体" w:cs="黑体"/>
          <w:b w:val="0"/>
          <w:bCs w:val="0"/>
          <w:kern w:val="2"/>
          <w:sz w:val="32"/>
          <w:szCs w:val="32"/>
          <w:lang w:val="en-US" w:eastAsia="zh-CN" w:bidi="ar-SA"/>
        </w:rPr>
      </w:pPr>
      <w:bookmarkStart w:id="116" w:name="_Toc30575"/>
      <w:bookmarkStart w:id="117" w:name="_Toc32627_WPSOffice_Level2"/>
      <w:bookmarkStart w:id="118" w:name="_Toc24112_WPSOffice_Level2"/>
      <w:bookmarkStart w:id="119" w:name="_Toc34637768"/>
      <w:bookmarkStart w:id="120" w:name="_Toc7395"/>
      <w:bookmarkStart w:id="121" w:name="_Toc8361"/>
      <w:bookmarkStart w:id="122" w:name="_Toc25869"/>
      <w:bookmarkStart w:id="123" w:name="_Toc31349_WPSOffice_Level2"/>
      <w:bookmarkStart w:id="124" w:name="_Toc6407"/>
      <w:r>
        <w:rPr>
          <w:rFonts w:hint="eastAsia" w:ascii="黑体" w:hAnsi="黑体" w:eastAsia="黑体" w:cs="黑体"/>
          <w:b w:val="0"/>
          <w:bCs w:val="0"/>
          <w:kern w:val="2"/>
          <w:sz w:val="32"/>
          <w:szCs w:val="32"/>
          <w:lang w:val="en-US" w:eastAsia="zh-CN" w:bidi="ar-SA"/>
        </w:rPr>
        <w:t>四、响应文件的递交</w:t>
      </w:r>
      <w:bookmarkEnd w:id="116"/>
      <w:bookmarkEnd w:id="117"/>
      <w:bookmarkEnd w:id="118"/>
      <w:bookmarkEnd w:id="119"/>
      <w:bookmarkEnd w:id="120"/>
      <w:bookmarkEnd w:id="121"/>
      <w:bookmarkEnd w:id="122"/>
      <w:bookmarkEnd w:id="123"/>
      <w:bookmarkEnd w:id="124"/>
      <w:r>
        <w:rPr>
          <w:rFonts w:hint="eastAsia" w:ascii="黑体" w:hAnsi="黑体" w:eastAsia="黑体" w:cs="黑体"/>
          <w:b w:val="0"/>
          <w:bCs w:val="0"/>
          <w:kern w:val="2"/>
          <w:sz w:val="32"/>
          <w:szCs w:val="32"/>
          <w:lang w:val="en-US" w:eastAsia="zh-CN" w:bidi="ar-SA"/>
        </w:rPr>
        <w:t>、开启</w:t>
      </w:r>
    </w:p>
    <w:p w14:paraId="65B9A028">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125" w:name="_Toc7845_WPSOffice_Level3"/>
      <w:bookmarkStart w:id="126" w:name="_Toc13231_WPSOffice_Level3"/>
      <w:bookmarkStart w:id="127" w:name="_Toc1241"/>
      <w:bookmarkStart w:id="128" w:name="_Toc18048"/>
      <w:bookmarkStart w:id="129" w:name="_Toc8837"/>
      <w:r>
        <w:rPr>
          <w:rFonts w:hint="eastAsia" w:ascii="楷体_GB2312" w:hAnsi="楷体_GB2312" w:eastAsia="楷体_GB2312" w:cs="楷体_GB2312"/>
          <w:b/>
          <w:bCs/>
          <w:kern w:val="2"/>
          <w:sz w:val="32"/>
          <w:szCs w:val="32"/>
          <w:lang w:val="en-US" w:eastAsia="zh-CN" w:bidi="ar-SA"/>
        </w:rPr>
        <w:t>14.响应文件的递交与接收</w:t>
      </w:r>
      <w:bookmarkEnd w:id="125"/>
      <w:bookmarkEnd w:id="126"/>
      <w:bookmarkEnd w:id="127"/>
      <w:bookmarkEnd w:id="128"/>
      <w:bookmarkEnd w:id="129"/>
    </w:p>
    <w:p w14:paraId="587B2CA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14.1 供应商应在政采云平台（https://www.zcygov.cn/）上按包报价并上传电子 谈判响应文件。</w:t>
      </w:r>
    </w:p>
    <w:p w14:paraId="134BF83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14.2 投标人应按所投包报价，填写交货时间。</w:t>
      </w:r>
    </w:p>
    <w:p w14:paraId="7A38D2A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14.3 开启时的“谈判首次报价表 ”由各供应商网上报价生成。</w:t>
      </w:r>
    </w:p>
    <w:p w14:paraId="4B5DBF1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14.4投标供应商在采购文件要求提交谈判响应文件的截止时间及开标时间前，未将谈判响应文件上传至政采云投标客户端、或文件解密失败的，视为无效投标。</w:t>
      </w:r>
    </w:p>
    <w:p w14:paraId="7D609F3D">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130" w:name="_Toc5063_WPSOffice_Level3"/>
      <w:bookmarkStart w:id="131" w:name="_Toc31959"/>
      <w:bookmarkStart w:id="132" w:name="_Toc24880"/>
      <w:bookmarkStart w:id="133" w:name="_Toc17912"/>
      <w:bookmarkStart w:id="134" w:name="_Toc19521_WPSOffice_Level3"/>
      <w:r>
        <w:rPr>
          <w:rFonts w:hint="eastAsia" w:ascii="楷体_GB2312" w:hAnsi="楷体_GB2312" w:eastAsia="楷体_GB2312" w:cs="楷体_GB2312"/>
          <w:b/>
          <w:bCs/>
          <w:kern w:val="2"/>
          <w:sz w:val="32"/>
          <w:szCs w:val="32"/>
          <w:lang w:val="en-US" w:eastAsia="zh-CN" w:bidi="ar-SA"/>
        </w:rPr>
        <w:t>15.响应文件的</w:t>
      </w:r>
      <w:r>
        <w:rPr>
          <w:rFonts w:hint="eastAsia" w:ascii="楷体_GB2312" w:hAnsi="楷体_GB2312" w:eastAsia="楷体_GB2312" w:cs="楷体_GB2312"/>
          <w:b/>
          <w:bCs/>
          <w:kern w:val="2"/>
          <w:sz w:val="32"/>
          <w:szCs w:val="32"/>
          <w:lang w:val="zh-CN" w:eastAsia="zh-CN" w:bidi="ar-SA"/>
        </w:rPr>
        <w:t>补充、修改或者撤回</w:t>
      </w:r>
      <w:bookmarkEnd w:id="130"/>
      <w:bookmarkEnd w:id="131"/>
      <w:bookmarkEnd w:id="132"/>
      <w:bookmarkEnd w:id="133"/>
      <w:bookmarkEnd w:id="134"/>
    </w:p>
    <w:p w14:paraId="04B6377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bookmarkStart w:id="135" w:name="_Toc8881"/>
      <w:bookmarkStart w:id="136" w:name="_Toc31993"/>
      <w:bookmarkStart w:id="137" w:name="_Toc34637769"/>
      <w:bookmarkStart w:id="138" w:name="_Toc10968"/>
      <w:bookmarkStart w:id="139" w:name="_Toc25721_WPSOffice_Level2"/>
      <w:bookmarkStart w:id="140" w:name="_Toc21782"/>
      <w:bookmarkStart w:id="141" w:name="_Toc18610_WPSOffice_Level2"/>
      <w:bookmarkStart w:id="142" w:name="_Toc29785_WPSOffice_Level2"/>
      <w:bookmarkStart w:id="143" w:name="_Toc12974"/>
      <w:r>
        <w:rPr>
          <w:rFonts w:hint="eastAsia" w:ascii="仿宋_GB2312" w:hAnsi="仿宋_GB2312" w:eastAsia="仿宋_GB2312" w:cs="仿宋_GB2312"/>
          <w:kern w:val="2"/>
          <w:sz w:val="32"/>
          <w:szCs w:val="32"/>
          <w:lang w:val="en-US" w:eastAsia="zh-CN" w:bidi="ar-SA"/>
        </w:rPr>
        <w:t>供应商在谈判截止时间前，可以对所递交的响应文件进行补充、修改或者撤回， 并书面通知采购人或者采购代理机构。补充、修改的内容作为响应文件的组成部分，补充、修改的内容与响应文件不一致的，以补充、修改的内容为准。</w:t>
      </w:r>
    </w:p>
    <w:p w14:paraId="43F7BA00">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16.谈判响应文件开启</w:t>
      </w:r>
    </w:p>
    <w:p w14:paraId="3EB5159C">
      <w:pPr>
        <w:pStyle w:val="7"/>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16.1采购代理机构按本文件中确定的时间和地点组织招标谈判文件开启。</w:t>
      </w:r>
    </w:p>
    <w:p w14:paraId="34AC8C09">
      <w:pPr>
        <w:pStyle w:val="7"/>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16.2谈判文件开启工作由采购代理机构组织，采购人、采购管理、纪检监察等有关方面代表可根据采购项目的具体情况列席，谈判现场全程录音、录像。</w:t>
      </w:r>
    </w:p>
    <w:p w14:paraId="0821FE2E">
      <w:pPr>
        <w:pStyle w:val="7"/>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16.3开标时，由采购代理机构工作人员当众通过政采云客户端进行解密程序。投标供应商不足3家的，不得开标。</w:t>
      </w:r>
    </w:p>
    <w:p w14:paraId="548D69F8">
      <w:pPr>
        <w:pStyle w:val="7"/>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16.4谈判响应文件中大写金额与小写金额不一致的，以大写金额为准；总价金额与按单价汇总金额不一致的，以单价汇总金额计算结果为准；单价金额小数点有明显错位的，以总价为准，并修改单价；对不同文字文本谈判响应文件的解释发生异议的，以中文文本为准。若竞争性谈判供应商拒绝接受，其谈判将被拒绝。</w:t>
      </w:r>
    </w:p>
    <w:p w14:paraId="31933DE3">
      <w:pPr>
        <w:wordWrap/>
        <w:adjustRightInd w:val="0"/>
        <w:snapToGrid w:val="0"/>
        <w:spacing w:before="157" w:beforeLines="50" w:line="560" w:lineRule="exact"/>
        <w:jc w:val="center"/>
        <w:outlineLvl w:val="1"/>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五、响应文件的评审与谈判</w:t>
      </w:r>
      <w:bookmarkEnd w:id="135"/>
      <w:bookmarkEnd w:id="136"/>
      <w:bookmarkEnd w:id="137"/>
      <w:bookmarkEnd w:id="138"/>
      <w:bookmarkEnd w:id="139"/>
      <w:bookmarkEnd w:id="140"/>
      <w:bookmarkEnd w:id="141"/>
      <w:bookmarkEnd w:id="142"/>
      <w:bookmarkEnd w:id="143"/>
    </w:p>
    <w:p w14:paraId="02D18E36">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144" w:name="_Toc174"/>
      <w:bookmarkStart w:id="145" w:name="_Toc1120"/>
      <w:bookmarkStart w:id="146" w:name="_Toc19596_WPSOffice_Level3"/>
      <w:bookmarkStart w:id="147" w:name="_Toc26446"/>
      <w:bookmarkStart w:id="148" w:name="_Toc18713_WPSOffice_Level3"/>
      <w:r>
        <w:rPr>
          <w:rFonts w:hint="eastAsia" w:ascii="楷体_GB2312" w:hAnsi="楷体_GB2312" w:eastAsia="楷体_GB2312" w:cs="楷体_GB2312"/>
          <w:b/>
          <w:bCs/>
          <w:kern w:val="2"/>
          <w:sz w:val="32"/>
          <w:szCs w:val="32"/>
          <w:lang w:val="en-US" w:eastAsia="zh-CN" w:bidi="ar-SA"/>
        </w:rPr>
        <w:t>17.谈判小组</w:t>
      </w:r>
      <w:bookmarkEnd w:id="144"/>
      <w:bookmarkEnd w:id="145"/>
      <w:bookmarkEnd w:id="146"/>
      <w:bookmarkEnd w:id="147"/>
      <w:bookmarkEnd w:id="148"/>
    </w:p>
    <w:p w14:paraId="6B304FD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17.1竞争性谈判小组由采购人代表和评审专家共</w:t>
      </w:r>
      <w:r>
        <w:rPr>
          <w:rFonts w:hint="eastAsia" w:ascii="仿宋_GB2312" w:hAnsi="仿宋_GB2312" w:eastAsia="仿宋_GB2312" w:cs="仿宋_GB2312"/>
          <w:kern w:val="2"/>
          <w:sz w:val="32"/>
          <w:szCs w:val="32"/>
          <w:u w:val="single"/>
          <w:lang w:val="en-US" w:eastAsia="zh-CN" w:bidi="ar-SA"/>
        </w:rPr>
        <w:t>3</w:t>
      </w:r>
      <w:r>
        <w:rPr>
          <w:rFonts w:hint="eastAsia" w:ascii="仿宋_GB2312" w:hAnsi="仿宋_GB2312" w:eastAsia="仿宋_GB2312" w:cs="仿宋_GB2312"/>
          <w:kern w:val="2"/>
          <w:sz w:val="32"/>
          <w:szCs w:val="32"/>
          <w:lang w:val="en-US" w:eastAsia="zh-CN" w:bidi="ar-SA"/>
        </w:rPr>
        <w:t>人组成（3人以上单数组成），其中评审专家</w:t>
      </w:r>
      <w:r>
        <w:rPr>
          <w:rFonts w:hint="eastAsia" w:ascii="仿宋_GB2312" w:hAnsi="仿宋_GB2312" w:eastAsia="仿宋_GB2312" w:cs="仿宋_GB2312"/>
          <w:kern w:val="2"/>
          <w:sz w:val="32"/>
          <w:szCs w:val="32"/>
          <w:u w:val="single"/>
          <w:lang w:val="en-US" w:eastAsia="zh-CN" w:bidi="ar-SA"/>
        </w:rPr>
        <w:t>2</w:t>
      </w:r>
      <w:r>
        <w:rPr>
          <w:rFonts w:hint="eastAsia" w:ascii="仿宋_GB2312" w:hAnsi="仿宋_GB2312" w:eastAsia="仿宋_GB2312" w:cs="仿宋_GB2312"/>
          <w:kern w:val="2"/>
          <w:sz w:val="32"/>
          <w:szCs w:val="32"/>
          <w:lang w:val="en-US" w:eastAsia="zh-CN" w:bidi="ar-SA"/>
        </w:rPr>
        <w:t>名（评审专家人数不得少于竞争性谈判小组成员总数的2/3）。采购人不得以评审专家身份参加本采购项目的评审。谈判小组评审专家从政府采购评审专家库内相关专业的专家名单中随机抽取。</w:t>
      </w:r>
    </w:p>
    <w:p w14:paraId="049A5A3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17.2谈判由采购代理机构负责组织，具体谈判事务由依法组建的谈判小组负责，并独立履行下列职责：</w:t>
      </w:r>
    </w:p>
    <w:p w14:paraId="0DA9E2B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kern w:val="2"/>
          <w:sz w:val="32"/>
          <w:szCs w:val="32"/>
          <w:u w:val="none"/>
          <w:lang w:val="en-US" w:eastAsia="zh-CN" w:bidi="ar-SA"/>
        </w:rPr>
        <w:t>确认谈判文件</w:t>
      </w:r>
      <w:r>
        <w:rPr>
          <w:rFonts w:hint="eastAsia" w:ascii="仿宋_GB2312" w:hAnsi="仿宋_GB2312" w:eastAsia="仿宋_GB2312" w:cs="仿宋_GB2312"/>
          <w:kern w:val="2"/>
          <w:sz w:val="32"/>
          <w:szCs w:val="32"/>
          <w:lang w:val="en-US" w:eastAsia="zh-CN" w:bidi="ar-SA"/>
        </w:rPr>
        <w:t>；</w:t>
      </w:r>
    </w:p>
    <w:p w14:paraId="421A531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（2）审查供应商的响应文件并作出评价；</w:t>
      </w:r>
    </w:p>
    <w:p w14:paraId="469452C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（3）要求供应商对谈判文件有关事项作出澄清或者说明；</w:t>
      </w:r>
    </w:p>
    <w:p w14:paraId="6F3AD3A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（4）编写评审报告；</w:t>
      </w:r>
    </w:p>
    <w:p w14:paraId="14015CF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（5）确定成交候选人名单，以及根据采购人委托直接确定成交供应商；</w:t>
      </w:r>
    </w:p>
    <w:p w14:paraId="1F4AA40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（6）告知采购人、采购代理机构在评审过程中发现的供应商的违法违规行为。</w:t>
      </w:r>
    </w:p>
    <w:p w14:paraId="0612DD3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17.3谈判小组应遵守并履行下列义务：</w:t>
      </w:r>
    </w:p>
    <w:p w14:paraId="0637D35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（1）遵纪守法，客观、公正、廉洁地履行职责；</w:t>
      </w:r>
    </w:p>
    <w:p w14:paraId="7EB9F1B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（2）按照谈判文件规定的成交方法评审，对评审意见承担谈判小组成员责任；</w:t>
      </w:r>
    </w:p>
    <w:p w14:paraId="298E0C5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（3）对谈判响应文件、谈判情况和谈判中获悉的国家秘密、商业秘密保密；</w:t>
      </w:r>
    </w:p>
    <w:p w14:paraId="2ABFD59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（4）参与评审报告的起草；</w:t>
      </w:r>
    </w:p>
    <w:p w14:paraId="75C1323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（5）配合采购人、采购代理机构答复供应商提出的质疑；</w:t>
      </w:r>
    </w:p>
    <w:p w14:paraId="71F89A1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（6）配合财政部门的投诉处理和监督检查工作。</w:t>
      </w:r>
    </w:p>
    <w:p w14:paraId="4F29B44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17.4谈判小组成员有下列情形之一的，应当回避：</w:t>
      </w:r>
    </w:p>
    <w:p w14:paraId="137E4F6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（1）参加采购活动前 3 年内与供应商存在劳动关系；</w:t>
      </w:r>
    </w:p>
    <w:p w14:paraId="7729FB2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（2）参加采购活动前 3 年内担任供应商的董事、监事；</w:t>
      </w:r>
    </w:p>
    <w:p w14:paraId="3553D0E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（3）参加采购活动前 3 年内是供应商的控股股东或者实际控制人；</w:t>
      </w:r>
    </w:p>
    <w:p w14:paraId="7CD4045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（4）与供应商的法定代表人或者负责人有夫妻、直系血亲、三代以内旁系血亲或者近姻亲关系；</w:t>
      </w:r>
    </w:p>
    <w:p w14:paraId="4FED091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（5）与供应商有其他可能影响政府采购活动公平、公正进行的关系。</w:t>
      </w:r>
      <w:bookmarkStart w:id="149" w:name="_Toc19122"/>
      <w:bookmarkStart w:id="150" w:name="_Toc16350_WPSOffice_Level3"/>
    </w:p>
    <w:p w14:paraId="29F0B580">
      <w:pPr>
        <w:pStyle w:val="4"/>
        <w:widowControl w:val="0"/>
        <w:wordWrap/>
        <w:adjustRightInd w:val="0"/>
        <w:snapToGrid w:val="0"/>
        <w:spacing w:before="157" w:beforeLines="50" w:after="0" w:line="560" w:lineRule="exact"/>
        <w:ind w:firstLine="0" w:firstLineChars="0"/>
        <w:textAlignment w:val="auto"/>
        <w:outlineLvl w:val="2"/>
        <w:rPr>
          <w:rFonts w:hint="default" w:ascii="楷体_GB2312" w:hAnsi="楷体_GB2312" w:eastAsia="楷体_GB2312" w:cs="楷体_GB2312"/>
          <w:b/>
          <w:bCs/>
          <w:kern w:val="2"/>
          <w:sz w:val="32"/>
          <w:szCs w:val="32"/>
          <w:lang w:val="en-US" w:eastAsia="zh-CN" w:bidi="ar-SA"/>
        </w:rPr>
      </w:pPr>
      <w:bookmarkStart w:id="151" w:name="_Toc22044_WPSOffice_Level3"/>
      <w:bookmarkStart w:id="152" w:name="_Toc17792"/>
      <w:r>
        <w:rPr>
          <w:rFonts w:hint="eastAsia" w:ascii="楷体_GB2312" w:hAnsi="楷体_GB2312" w:eastAsia="楷体_GB2312" w:cs="楷体_GB2312"/>
          <w:b/>
          <w:bCs/>
          <w:kern w:val="2"/>
          <w:sz w:val="32"/>
          <w:szCs w:val="32"/>
          <w:lang w:val="en-US" w:eastAsia="zh-CN" w:bidi="ar-SA"/>
        </w:rPr>
        <w:t>18.响应文件审查</w:t>
      </w:r>
      <w:bookmarkEnd w:id="149"/>
      <w:bookmarkEnd w:id="150"/>
      <w:bookmarkEnd w:id="151"/>
      <w:bookmarkEnd w:id="152"/>
    </w:p>
    <w:p w14:paraId="5742203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bookmarkStart w:id="153" w:name="_Toc17887_WPSOffice_Level3"/>
      <w:bookmarkStart w:id="154" w:name="_Toc17197"/>
      <w:bookmarkStart w:id="155" w:name="_Toc1366"/>
      <w:bookmarkStart w:id="156" w:name="_Toc11154"/>
      <w:bookmarkStart w:id="157" w:name="_Toc1673_WPSOffice_Level3"/>
      <w:r>
        <w:rPr>
          <w:rFonts w:hint="eastAsia" w:ascii="仿宋_GB2312" w:hAnsi="仿宋_GB2312" w:eastAsia="仿宋_GB2312" w:cs="仿宋_GB2312"/>
          <w:kern w:val="2"/>
          <w:sz w:val="32"/>
          <w:szCs w:val="32"/>
          <w:lang w:val="en-US" w:eastAsia="zh-CN" w:bidi="ar-SA"/>
        </w:rPr>
        <w:t>18.1 开标解密阶段后，谈判小组成员按照客观、公正、审慎的原则，根据谈判文 件规定的评审程序、评审方法和评审标准进行独立开展评审工作，负责审议所有响应 文件，并按先初审、后详审的程序对响应文件进行评审、评分。</w:t>
      </w:r>
    </w:p>
    <w:p w14:paraId="0F294A4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18.2 资格性审查和符合性审查。</w:t>
      </w:r>
    </w:p>
    <w:p w14:paraId="347CCF4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bookmarkStart w:id="158" w:name="OLE_LINK51"/>
      <w:r>
        <w:rPr>
          <w:rFonts w:hint="eastAsia" w:ascii="仿宋_GB2312" w:hAnsi="仿宋_GB2312" w:eastAsia="仿宋_GB2312" w:cs="仿宋_GB2312"/>
          <w:kern w:val="2"/>
          <w:sz w:val="32"/>
          <w:szCs w:val="32"/>
          <w:lang w:val="en-US" w:eastAsia="zh-CN" w:bidi="ar-SA"/>
        </w:rPr>
        <w:t>18.2.1 资格审查时，存在下列情况之一的，按无效投标处理：</w:t>
      </w:r>
    </w:p>
    <w:p w14:paraId="2B236D9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bookmarkStart w:id="159" w:name="OLE_LINK50"/>
      <w:bookmarkStart w:id="160" w:name="OLE_LINK52"/>
      <w:r>
        <w:rPr>
          <w:rFonts w:hint="eastAsia" w:ascii="仿宋_GB2312" w:hAnsi="仿宋_GB2312" w:eastAsia="仿宋_GB2312" w:cs="仿宋_GB2312"/>
          <w:kern w:val="2"/>
          <w:sz w:val="32"/>
          <w:szCs w:val="32"/>
          <w:lang w:val="en-US" w:eastAsia="zh-CN" w:bidi="ar-SA"/>
        </w:rPr>
        <w:t>（1）不</w:t>
      </w:r>
      <w:bookmarkStart w:id="161" w:name="OLE_LINK7"/>
      <w:r>
        <w:rPr>
          <w:rFonts w:hint="eastAsia" w:ascii="仿宋_GB2312" w:hAnsi="仿宋_GB2312" w:eastAsia="仿宋_GB2312" w:cs="仿宋_GB2312"/>
          <w:kern w:val="2"/>
          <w:sz w:val="32"/>
          <w:szCs w:val="32"/>
          <w:lang w:val="en-US" w:eastAsia="zh-CN" w:bidi="ar-SA"/>
        </w:rPr>
        <w:t>符合谈判文件第一部分谈判邀请“供应商资格条件 ”的；</w:t>
      </w:r>
    </w:p>
    <w:bookmarkEnd w:id="161"/>
    <w:p w14:paraId="7D9BC52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（2）未</w:t>
      </w:r>
      <w:bookmarkStart w:id="162" w:name="OLE_LINK8"/>
      <w:r>
        <w:rPr>
          <w:rFonts w:hint="eastAsia" w:ascii="仿宋_GB2312" w:hAnsi="仿宋_GB2312" w:eastAsia="仿宋_GB2312" w:cs="仿宋_GB2312"/>
          <w:kern w:val="2"/>
          <w:sz w:val="32"/>
          <w:szCs w:val="32"/>
          <w:highlight w:val="none"/>
          <w:lang w:val="en-US" w:eastAsia="zh-CN" w:bidi="ar-SA"/>
        </w:rPr>
        <w:t>按第 11.1.1 款（1）-（9）要求提供相关资料的</w:t>
      </w:r>
      <w:bookmarkEnd w:id="162"/>
      <w:r>
        <w:rPr>
          <w:rFonts w:hint="eastAsia" w:ascii="仿宋_GB2312" w:hAnsi="仿宋_GB2312" w:eastAsia="仿宋_GB2312" w:cs="仿宋_GB2312"/>
          <w:kern w:val="2"/>
          <w:sz w:val="32"/>
          <w:szCs w:val="32"/>
          <w:highlight w:val="none"/>
          <w:lang w:val="en-US" w:eastAsia="zh-CN" w:bidi="ar-SA"/>
        </w:rPr>
        <w:t>；</w:t>
      </w:r>
    </w:p>
    <w:p w14:paraId="583EE4C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（3）</w:t>
      </w:r>
      <w:bookmarkStart w:id="163" w:name="OLE_LINK9"/>
      <w:r>
        <w:rPr>
          <w:rFonts w:hint="eastAsia" w:ascii="仿宋_GB2312" w:hAnsi="仿宋_GB2312" w:eastAsia="仿宋_GB2312" w:cs="仿宋_GB2312"/>
          <w:kern w:val="2"/>
          <w:sz w:val="32"/>
          <w:szCs w:val="32"/>
          <w:highlight w:val="none"/>
          <w:lang w:val="en-US" w:eastAsia="zh-CN" w:bidi="ar-SA"/>
        </w:rPr>
        <w:t>资格审查部分未按谈判文件规定和要求签字、盖章的</w:t>
      </w:r>
      <w:bookmarkEnd w:id="163"/>
      <w:r>
        <w:rPr>
          <w:rFonts w:hint="eastAsia" w:ascii="仿宋_GB2312" w:hAnsi="仿宋_GB2312" w:eastAsia="仿宋_GB2312" w:cs="仿宋_GB2312"/>
          <w:kern w:val="2"/>
          <w:sz w:val="32"/>
          <w:szCs w:val="32"/>
          <w:highlight w:val="none"/>
          <w:lang w:val="en-US" w:eastAsia="zh-CN" w:bidi="ar-SA"/>
        </w:rPr>
        <w:t>；</w:t>
      </w:r>
    </w:p>
    <w:p w14:paraId="3D6F19A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w:t>
      </w:r>
      <w:bookmarkStart w:id="164" w:name="OLE_LINK10"/>
      <w:r>
        <w:rPr>
          <w:rFonts w:hint="eastAsia" w:ascii="仿宋_GB2312" w:hAnsi="仿宋_GB2312" w:eastAsia="仿宋_GB2312" w:cs="仿宋_GB2312"/>
          <w:kern w:val="2"/>
          <w:sz w:val="32"/>
          <w:szCs w:val="32"/>
          <w:highlight w:val="none"/>
          <w:lang w:val="en-US" w:eastAsia="zh-CN" w:bidi="ar-SA"/>
        </w:rPr>
        <w:t>擅自修改谈判文件规定的谈判响应文件资格审查格式以及编制要求的</w:t>
      </w:r>
      <w:bookmarkEnd w:id="164"/>
      <w:r>
        <w:rPr>
          <w:rFonts w:hint="eastAsia" w:ascii="仿宋_GB2312" w:hAnsi="仿宋_GB2312" w:eastAsia="仿宋_GB2312" w:cs="仿宋_GB2312"/>
          <w:kern w:val="2"/>
          <w:sz w:val="32"/>
          <w:szCs w:val="32"/>
          <w:highlight w:val="none"/>
          <w:lang w:val="en-US" w:eastAsia="zh-CN" w:bidi="ar-SA"/>
        </w:rPr>
        <w:t>。</w:t>
      </w:r>
    </w:p>
    <w:bookmarkEnd w:id="159"/>
    <w:p w14:paraId="2A0F303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bookmarkStart w:id="165" w:name="_Toc26450_WPSOffice_Level3"/>
      <w:r>
        <w:rPr>
          <w:rFonts w:hint="eastAsia" w:ascii="仿宋_GB2312" w:hAnsi="仿宋_GB2312" w:eastAsia="仿宋_GB2312" w:cs="仿宋_GB2312"/>
          <w:kern w:val="2"/>
          <w:sz w:val="32"/>
          <w:szCs w:val="32"/>
          <w:lang w:val="en-US" w:eastAsia="zh-CN" w:bidi="ar-SA"/>
        </w:rPr>
        <w:t>17.8.2 符合性审查时，存在下列情况之一的，按无效投标处理：</w:t>
      </w:r>
      <w:bookmarkEnd w:id="165"/>
    </w:p>
    <w:p w14:paraId="6ECE005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（1）未</w:t>
      </w:r>
      <w:bookmarkStart w:id="166" w:name="OLE_LINK12"/>
      <w:r>
        <w:rPr>
          <w:rFonts w:hint="eastAsia" w:ascii="仿宋_GB2312" w:hAnsi="仿宋_GB2312" w:eastAsia="仿宋_GB2312" w:cs="仿宋_GB2312"/>
          <w:kern w:val="2"/>
          <w:sz w:val="32"/>
          <w:szCs w:val="32"/>
          <w:lang w:val="en-US" w:eastAsia="zh-CN" w:bidi="ar-SA"/>
        </w:rPr>
        <w:t>按</w:t>
      </w:r>
      <w:r>
        <w:rPr>
          <w:rFonts w:hint="eastAsia" w:ascii="仿宋_GB2312" w:hAnsi="仿宋_GB2312" w:eastAsia="仿宋_GB2312" w:cs="仿宋_GB2312"/>
          <w:kern w:val="2"/>
          <w:sz w:val="32"/>
          <w:szCs w:val="32"/>
          <w:highlight w:val="none"/>
          <w:lang w:val="en-US" w:eastAsia="zh-CN" w:bidi="ar-SA"/>
        </w:rPr>
        <w:t>第 11.1.2（10）-（13）要求</w:t>
      </w:r>
      <w:r>
        <w:rPr>
          <w:rFonts w:hint="eastAsia" w:ascii="仿宋_GB2312" w:hAnsi="仿宋_GB2312" w:eastAsia="仿宋_GB2312" w:cs="仿宋_GB2312"/>
          <w:kern w:val="2"/>
          <w:sz w:val="32"/>
          <w:szCs w:val="32"/>
          <w:lang w:val="en-US" w:eastAsia="zh-CN" w:bidi="ar-SA"/>
        </w:rPr>
        <w:t>提供相关资料的</w:t>
      </w:r>
      <w:bookmarkEnd w:id="166"/>
      <w:r>
        <w:rPr>
          <w:rFonts w:hint="eastAsia" w:ascii="仿宋_GB2312" w:hAnsi="仿宋_GB2312" w:eastAsia="仿宋_GB2312" w:cs="仿宋_GB2312"/>
          <w:kern w:val="2"/>
          <w:sz w:val="32"/>
          <w:szCs w:val="32"/>
          <w:lang w:val="en-US" w:eastAsia="zh-CN" w:bidi="ar-SA"/>
        </w:rPr>
        <w:t>；</w:t>
      </w:r>
    </w:p>
    <w:p w14:paraId="0406BA2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w:t>
      </w:r>
      <w:bookmarkStart w:id="167" w:name="OLE_LINK13"/>
      <w:r>
        <w:rPr>
          <w:rFonts w:hint="eastAsia" w:ascii="仿宋_GB2312" w:hAnsi="仿宋_GB2312" w:eastAsia="仿宋_GB2312" w:cs="仿宋_GB2312"/>
          <w:kern w:val="2"/>
          <w:sz w:val="32"/>
          <w:szCs w:val="32"/>
          <w:lang w:val="en-US" w:eastAsia="zh-CN" w:bidi="ar-SA"/>
        </w:rPr>
        <w:t>响应文件内容没有按谈判文件规定和要求签字、盖章的</w:t>
      </w:r>
      <w:bookmarkEnd w:id="167"/>
      <w:r>
        <w:rPr>
          <w:rFonts w:hint="eastAsia" w:ascii="仿宋_GB2312" w:hAnsi="仿宋_GB2312" w:eastAsia="仿宋_GB2312" w:cs="仿宋_GB2312"/>
          <w:kern w:val="2"/>
          <w:sz w:val="32"/>
          <w:szCs w:val="32"/>
          <w:lang w:val="en-US" w:eastAsia="zh-CN" w:bidi="ar-SA"/>
        </w:rPr>
        <w:t>；</w:t>
      </w:r>
    </w:p>
    <w:p w14:paraId="2AAEB2D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w:t>
      </w:r>
      <w:bookmarkStart w:id="168" w:name="OLE_LINK14"/>
      <w:r>
        <w:rPr>
          <w:rFonts w:hint="eastAsia" w:ascii="仿宋_GB2312" w:hAnsi="仿宋_GB2312" w:eastAsia="仿宋_GB2312" w:cs="仿宋_GB2312"/>
          <w:kern w:val="2"/>
          <w:sz w:val="32"/>
          <w:szCs w:val="32"/>
          <w:lang w:val="en-US" w:eastAsia="zh-CN" w:bidi="ar-SA"/>
        </w:rPr>
        <w:t>响应文件编排混乱，且擅自修改谈判文件规定的格式内容的</w:t>
      </w:r>
      <w:bookmarkEnd w:id="168"/>
      <w:r>
        <w:rPr>
          <w:rFonts w:hint="eastAsia" w:ascii="仿宋_GB2312" w:hAnsi="仿宋_GB2312" w:eastAsia="仿宋_GB2312" w:cs="仿宋_GB2312"/>
          <w:kern w:val="2"/>
          <w:sz w:val="32"/>
          <w:szCs w:val="32"/>
          <w:lang w:val="en-US" w:eastAsia="zh-CN" w:bidi="ar-SA"/>
        </w:rPr>
        <w:t>；</w:t>
      </w:r>
    </w:p>
    <w:p w14:paraId="4C3FAB5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bookmarkStart w:id="169" w:name="OLE_LINK11"/>
      <w:r>
        <w:rPr>
          <w:rFonts w:hint="eastAsia" w:ascii="仿宋_GB2312" w:hAnsi="仿宋_GB2312" w:eastAsia="仿宋_GB2312" w:cs="仿宋_GB2312"/>
          <w:kern w:val="2"/>
          <w:sz w:val="32"/>
          <w:szCs w:val="32"/>
          <w:lang w:val="en-US" w:eastAsia="zh-CN" w:bidi="ar-SA"/>
        </w:rPr>
        <w:t>（4）</w:t>
      </w:r>
      <w:bookmarkEnd w:id="169"/>
      <w:r>
        <w:rPr>
          <w:rFonts w:hint="eastAsia" w:ascii="仿宋_GB2312" w:hAnsi="仿宋_GB2312" w:eastAsia="仿宋_GB2312" w:cs="仿宋_GB2312"/>
          <w:kern w:val="2"/>
          <w:sz w:val="32"/>
          <w:szCs w:val="32"/>
          <w:lang w:val="en-US" w:eastAsia="zh-CN" w:bidi="ar-SA"/>
        </w:rPr>
        <w:t>未</w:t>
      </w:r>
      <w:bookmarkStart w:id="170" w:name="OLE_LINK15"/>
      <w:r>
        <w:rPr>
          <w:rFonts w:hint="eastAsia" w:ascii="仿宋_GB2312" w:hAnsi="仿宋_GB2312" w:eastAsia="仿宋_GB2312" w:cs="仿宋_GB2312"/>
          <w:kern w:val="2"/>
          <w:sz w:val="32"/>
          <w:szCs w:val="32"/>
          <w:lang w:val="en-US" w:eastAsia="zh-CN" w:bidi="ar-SA"/>
        </w:rPr>
        <w:t>按谈判文件要求交纳或未足额交纳投标保证金的</w:t>
      </w:r>
      <w:bookmarkEnd w:id="170"/>
      <w:r>
        <w:rPr>
          <w:rFonts w:hint="eastAsia" w:ascii="仿宋_GB2312" w:hAnsi="仿宋_GB2312" w:eastAsia="仿宋_GB2312" w:cs="仿宋_GB2312"/>
          <w:kern w:val="2"/>
          <w:sz w:val="32"/>
          <w:szCs w:val="32"/>
          <w:lang w:val="en-US" w:eastAsia="zh-CN" w:bidi="ar-SA"/>
        </w:rPr>
        <w:t>；</w:t>
      </w:r>
    </w:p>
    <w:p w14:paraId="3DEF7DA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w:t>
      </w:r>
      <w:bookmarkStart w:id="171" w:name="OLE_LINK16"/>
      <w:r>
        <w:rPr>
          <w:rFonts w:hint="eastAsia" w:ascii="仿宋_GB2312" w:hAnsi="仿宋_GB2312" w:eastAsia="仿宋_GB2312" w:cs="仿宋_GB2312"/>
          <w:kern w:val="2"/>
          <w:sz w:val="32"/>
          <w:szCs w:val="32"/>
          <w:lang w:val="en-US" w:eastAsia="zh-CN" w:bidi="ar-SA"/>
        </w:rPr>
        <w:t>交货时间、谈判有效期不能满足谈判文件要求的</w:t>
      </w:r>
      <w:bookmarkEnd w:id="171"/>
      <w:r>
        <w:rPr>
          <w:rFonts w:hint="eastAsia" w:ascii="仿宋_GB2312" w:hAnsi="仿宋_GB2312" w:eastAsia="仿宋_GB2312" w:cs="仿宋_GB2312"/>
          <w:kern w:val="2"/>
          <w:sz w:val="32"/>
          <w:szCs w:val="32"/>
          <w:lang w:val="en-US" w:eastAsia="zh-CN" w:bidi="ar-SA"/>
        </w:rPr>
        <w:t>；</w:t>
      </w:r>
    </w:p>
    <w:p w14:paraId="252C153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w:t>
      </w:r>
      <w:bookmarkStart w:id="172" w:name="OLE_LINK17"/>
      <w:r>
        <w:rPr>
          <w:rFonts w:hint="eastAsia" w:ascii="仿宋_GB2312" w:hAnsi="仿宋_GB2312" w:eastAsia="仿宋_GB2312" w:cs="仿宋_GB2312"/>
          <w:kern w:val="2"/>
          <w:sz w:val="32"/>
          <w:szCs w:val="32"/>
          <w:lang w:val="en-US" w:eastAsia="zh-CN" w:bidi="ar-SA"/>
        </w:rPr>
        <w:t>所提供产品的技术规格、技术标准不符合采购项目要求的</w:t>
      </w:r>
      <w:bookmarkEnd w:id="172"/>
      <w:r>
        <w:rPr>
          <w:rFonts w:hint="eastAsia" w:ascii="仿宋_GB2312" w:hAnsi="仿宋_GB2312" w:eastAsia="仿宋_GB2312" w:cs="仿宋_GB2312"/>
          <w:kern w:val="2"/>
          <w:sz w:val="32"/>
          <w:szCs w:val="32"/>
          <w:lang w:val="en-US" w:eastAsia="zh-CN" w:bidi="ar-SA"/>
        </w:rPr>
        <w:t>；</w:t>
      </w:r>
    </w:p>
    <w:p w14:paraId="27C2AE6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w:t>
      </w:r>
      <w:bookmarkStart w:id="173" w:name="OLE_LINK18"/>
      <w:r>
        <w:rPr>
          <w:rFonts w:hint="eastAsia" w:ascii="仿宋_GB2312" w:hAnsi="仿宋_GB2312" w:eastAsia="仿宋_GB2312" w:cs="仿宋_GB2312"/>
          <w:kern w:val="2"/>
          <w:sz w:val="32"/>
          <w:szCs w:val="32"/>
          <w:lang w:val="en-US" w:eastAsia="zh-CN" w:bidi="ar-SA"/>
        </w:rPr>
        <w:t>谈判报价超过谈判文件规定的采购预算额度或最高限价的；</w:t>
      </w:r>
      <w:bookmarkEnd w:id="173"/>
    </w:p>
    <w:p w14:paraId="2CD97A2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w:t>
      </w:r>
      <w:bookmarkStart w:id="174" w:name="OLE_LINK19"/>
      <w:r>
        <w:rPr>
          <w:rFonts w:hint="eastAsia" w:ascii="仿宋_GB2312" w:hAnsi="仿宋_GB2312" w:eastAsia="仿宋_GB2312" w:cs="仿宋_GB2312"/>
          <w:kern w:val="2"/>
          <w:sz w:val="32"/>
          <w:szCs w:val="32"/>
          <w:lang w:val="en-US" w:eastAsia="zh-CN" w:bidi="ar-SA"/>
        </w:rPr>
        <w:t>响应文件中附有采购人不能接受的条件的</w:t>
      </w:r>
      <w:bookmarkEnd w:id="174"/>
      <w:r>
        <w:rPr>
          <w:rFonts w:hint="eastAsia" w:ascii="仿宋_GB2312" w:hAnsi="仿宋_GB2312" w:eastAsia="仿宋_GB2312" w:cs="仿宋_GB2312"/>
          <w:kern w:val="2"/>
          <w:sz w:val="32"/>
          <w:szCs w:val="32"/>
          <w:lang w:val="en-US" w:eastAsia="zh-CN" w:bidi="ar-SA"/>
        </w:rPr>
        <w:t>；</w:t>
      </w:r>
    </w:p>
    <w:p w14:paraId="72F9652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w:t>
      </w:r>
      <w:bookmarkStart w:id="175" w:name="OLE_LINK20"/>
      <w:r>
        <w:rPr>
          <w:rFonts w:hint="eastAsia" w:ascii="仿宋_GB2312" w:hAnsi="仿宋_GB2312" w:eastAsia="仿宋_GB2312" w:cs="仿宋_GB2312"/>
          <w:kern w:val="2"/>
          <w:sz w:val="32"/>
          <w:szCs w:val="32"/>
          <w:lang w:val="en-US" w:eastAsia="zh-CN" w:bidi="ar-SA"/>
        </w:rPr>
        <w:t>谈判小组认为应按无效响应处理的其他情况</w:t>
      </w:r>
      <w:bookmarkEnd w:id="175"/>
      <w:r>
        <w:rPr>
          <w:rFonts w:hint="eastAsia" w:ascii="仿宋_GB2312" w:hAnsi="仿宋_GB2312" w:eastAsia="仿宋_GB2312" w:cs="仿宋_GB2312"/>
          <w:kern w:val="2"/>
          <w:sz w:val="32"/>
          <w:szCs w:val="32"/>
          <w:lang w:val="en-US" w:eastAsia="zh-CN" w:bidi="ar-SA"/>
        </w:rPr>
        <w:t>；</w:t>
      </w:r>
    </w:p>
    <w:p w14:paraId="26B9C37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（10）</w:t>
      </w:r>
      <w:bookmarkStart w:id="176" w:name="OLE_LINK21"/>
      <w:r>
        <w:rPr>
          <w:rFonts w:hint="eastAsia" w:ascii="仿宋_GB2312" w:hAnsi="仿宋_GB2312" w:eastAsia="仿宋_GB2312" w:cs="仿宋_GB2312"/>
          <w:kern w:val="2"/>
          <w:sz w:val="32"/>
          <w:szCs w:val="32"/>
          <w:lang w:val="en-US" w:eastAsia="zh-CN" w:bidi="ar-SA"/>
        </w:rPr>
        <w:t>法律、法规规定的其他情形</w:t>
      </w:r>
      <w:bookmarkEnd w:id="176"/>
      <w:r>
        <w:rPr>
          <w:rFonts w:hint="eastAsia" w:ascii="仿宋_GB2312" w:hAnsi="仿宋_GB2312" w:eastAsia="仿宋_GB2312" w:cs="仿宋_GB2312"/>
          <w:kern w:val="2"/>
          <w:sz w:val="32"/>
          <w:szCs w:val="32"/>
          <w:lang w:val="en-US" w:eastAsia="zh-CN" w:bidi="ar-SA"/>
        </w:rPr>
        <w:t>。</w:t>
      </w:r>
      <w:bookmarkEnd w:id="158"/>
    </w:p>
    <w:bookmarkEnd w:id="160"/>
    <w:p w14:paraId="33C7171F">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19.谈判程序</w:t>
      </w:r>
      <w:bookmarkEnd w:id="153"/>
      <w:bookmarkEnd w:id="154"/>
      <w:bookmarkEnd w:id="155"/>
      <w:bookmarkEnd w:id="156"/>
      <w:bookmarkEnd w:id="157"/>
    </w:p>
    <w:p w14:paraId="66917C7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19.1在谈判过程中，谈判小组所有成员集中与单一供应商分别进行谈判，负责审议所有通过资格条件供应商的谈判响应文件，给予所有参加谈判的供应商平等的谈判机会。供应商应派其代表参加谈判。在谈判过程中谈判的任何一方不得向他人透露与谈判有关的技术资料、价格或其他信息。</w:t>
      </w:r>
    </w:p>
    <w:p w14:paraId="690BA18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19.2在谈判过程中，</w:t>
      </w:r>
      <w:r>
        <w:rPr>
          <w:rFonts w:hint="eastAsia" w:ascii="仿宋_GB2312" w:hAnsi="仿宋_GB2312" w:eastAsia="仿宋_GB2312" w:cs="仿宋_GB2312"/>
          <w:kern w:val="2"/>
          <w:sz w:val="32"/>
          <w:szCs w:val="32"/>
          <w:u w:val="none"/>
          <w:lang w:val="en-US" w:eastAsia="zh-CN" w:bidi="ar-SA"/>
        </w:rPr>
        <w:t>谈判小组可以根据谈判文件和谈判情况实质性变动技术标准及要求中的技术、服务要求以及合同草案条款，但不得变动谈判文件中的其他内容</w:t>
      </w:r>
      <w:r>
        <w:rPr>
          <w:rFonts w:hint="eastAsia" w:ascii="仿宋_GB2312" w:hAnsi="仿宋_GB2312" w:eastAsia="仿宋_GB2312" w:cs="仿宋_GB2312"/>
          <w:kern w:val="2"/>
          <w:sz w:val="32"/>
          <w:szCs w:val="32"/>
          <w:lang w:val="en-US" w:eastAsia="zh-CN" w:bidi="ar-SA"/>
        </w:rPr>
        <w:t>。实质性变动的内容，须经采购人代表确认，谈判小组将以书面形式将修改内容同时通知所有参加谈判的供应商。</w:t>
      </w:r>
    </w:p>
    <w:p w14:paraId="6428468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u w:val="none"/>
          <w:lang w:val="en-US" w:eastAsia="zh-CN" w:bidi="ar-SA"/>
        </w:rPr>
      </w:pPr>
      <w:r>
        <w:rPr>
          <w:rFonts w:hint="eastAsia" w:ascii="仿宋_GB2312" w:hAnsi="仿宋_GB2312" w:eastAsia="仿宋_GB2312" w:cs="仿宋_GB2312"/>
          <w:kern w:val="2"/>
          <w:sz w:val="32"/>
          <w:szCs w:val="32"/>
          <w:lang w:val="en-US" w:eastAsia="zh-CN" w:bidi="ar-SA"/>
        </w:rPr>
        <w:t>19.3</w:t>
      </w:r>
      <w:r>
        <w:rPr>
          <w:rFonts w:hint="eastAsia" w:ascii="仿宋_GB2312" w:hAnsi="仿宋_GB2312" w:eastAsia="仿宋_GB2312" w:cs="仿宋_GB2312"/>
          <w:kern w:val="2"/>
          <w:sz w:val="32"/>
          <w:szCs w:val="32"/>
          <w:u w:val="none"/>
          <w:lang w:val="en-US" w:eastAsia="zh-CN" w:bidi="ar-SA"/>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14:paraId="012BB42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19.4响应文件中首次报价表内的报价为首次报价，根据技术、服务等满足谈判文件要求的情况，供应商可进行二次报价。</w:t>
      </w:r>
    </w:p>
    <w:p w14:paraId="58447A6B">
      <w:pPr>
        <w:widowControl w:val="0"/>
        <w:wordWrap/>
        <w:adjustRightInd w:val="0"/>
        <w:snapToGrid w:val="0"/>
        <w:spacing w:line="560" w:lineRule="exact"/>
        <w:ind w:firstLine="643" w:firstLineChars="200"/>
        <w:jc w:val="left"/>
        <w:textAlignment w:val="auto"/>
        <w:rPr>
          <w:rFonts w:hint="eastAsia" w:ascii="仿宋_GB2312" w:hAnsi="仿宋_GB2312" w:eastAsia="仿宋_GB2312" w:cs="仿宋_GB2312"/>
          <w:b/>
          <w:bCs/>
          <w:kern w:val="2"/>
          <w:sz w:val="32"/>
          <w:szCs w:val="32"/>
          <w:u w:val="single" w:color="auto"/>
          <w:lang w:val="en-US" w:eastAsia="zh-CN" w:bidi="ar-SA"/>
        </w:rPr>
      </w:pPr>
      <w:r>
        <w:rPr>
          <w:rFonts w:hint="eastAsia" w:ascii="仿宋_GB2312" w:hAnsi="仿宋_GB2312" w:eastAsia="仿宋_GB2312" w:cs="仿宋_GB2312"/>
          <w:b/>
          <w:bCs/>
          <w:kern w:val="2"/>
          <w:sz w:val="32"/>
          <w:szCs w:val="32"/>
          <w:lang w:val="en-US" w:eastAsia="zh-CN" w:bidi="ar-SA"/>
        </w:rPr>
        <w:t>19.</w:t>
      </w:r>
      <w:r>
        <w:rPr>
          <w:rFonts w:hint="eastAsia" w:ascii="仿宋_GB2312" w:hAnsi="仿宋_GB2312" w:eastAsia="仿宋_GB2312" w:cs="仿宋_GB2312"/>
          <w:b/>
          <w:bCs/>
          <w:kern w:val="2"/>
          <w:sz w:val="32"/>
          <w:szCs w:val="32"/>
          <w:u w:val="none" w:color="auto"/>
          <w:lang w:val="en-US" w:eastAsia="zh-CN" w:bidi="ar-SA"/>
        </w:rPr>
        <w:t>5谈判小组认为供应商的最后报价明显低于其他通过有效性、完整性、响应程度审查供应商的报价，有可能影响产品质量或者不能诚信履约的，应当要求其在谈判现场合理的时间内提供书面说明，必要时提交相关证明材料；供应商不能证明其报价合理性的，谈判小组应当将其作为无效谈判处理。</w:t>
      </w:r>
    </w:p>
    <w:p w14:paraId="1E048D2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19.6谈判工作在有关部门的监督下依法开展，任何单位和个人不得非法干预、影响谈判工作和谈判结果。</w:t>
      </w:r>
    </w:p>
    <w:p w14:paraId="4B5AE807">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177" w:name="_Toc25644_WPSOffice_Level3"/>
      <w:bookmarkStart w:id="178" w:name="_Toc2176"/>
      <w:bookmarkStart w:id="179" w:name="_Toc11173"/>
      <w:bookmarkStart w:id="180" w:name="_Toc14903"/>
      <w:bookmarkStart w:id="181" w:name="_Toc24288_WPSOffice_Level3"/>
      <w:r>
        <w:rPr>
          <w:rFonts w:hint="eastAsia" w:ascii="楷体_GB2312" w:hAnsi="楷体_GB2312" w:eastAsia="楷体_GB2312" w:cs="楷体_GB2312"/>
          <w:b/>
          <w:bCs/>
          <w:kern w:val="2"/>
          <w:sz w:val="32"/>
          <w:szCs w:val="32"/>
          <w:lang w:val="en-US" w:eastAsia="zh-CN" w:bidi="ar-SA"/>
        </w:rPr>
        <w:t>20.澄清</w:t>
      </w:r>
      <w:bookmarkEnd w:id="177"/>
      <w:bookmarkEnd w:id="178"/>
      <w:bookmarkEnd w:id="179"/>
      <w:bookmarkEnd w:id="180"/>
      <w:bookmarkEnd w:id="181"/>
    </w:p>
    <w:p w14:paraId="5A73690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20.1谈判小组在对响应文件(包括首次提交的响应文件、重新提交的响应文件)的有效性、完整性和对谈判文件的响应程度进行审查时，可以要求供应商对响应文件中含义不明确、同类问题表述不一致或者有明显文字和计算错误的内容等作出必要的澄清、说明或者更正。</w:t>
      </w:r>
    </w:p>
    <w:p w14:paraId="0A02F96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供应商的澄清、说明或者更正响应文件应当采用书面形式，由法定代表人或其授权代表签字或者加盖公章。由授权代表签字的，应当附法定代表人授权书。供应商为自然人的，应当由本人签字并附身份证明，供应商的澄清、说明或者更正不得超出谈判文件的范围或者改变响应文件的实质性内容。</w:t>
      </w:r>
    </w:p>
    <w:p w14:paraId="5B554927">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182" w:name="_Toc13262_WPSOffice_Level3"/>
      <w:bookmarkStart w:id="183" w:name="_Toc6898_WPSOffice_Level3"/>
      <w:bookmarkStart w:id="184" w:name="_Toc4997"/>
      <w:bookmarkStart w:id="185" w:name="_Toc30967"/>
      <w:bookmarkStart w:id="186" w:name="_Toc8374"/>
      <w:r>
        <w:rPr>
          <w:rFonts w:hint="eastAsia" w:ascii="楷体_GB2312" w:hAnsi="楷体_GB2312" w:eastAsia="楷体_GB2312" w:cs="楷体_GB2312"/>
          <w:b/>
          <w:bCs/>
          <w:kern w:val="2"/>
          <w:sz w:val="32"/>
          <w:szCs w:val="32"/>
          <w:lang w:val="en-US" w:eastAsia="zh-CN" w:bidi="ar-SA"/>
        </w:rPr>
        <w:t>21.退出谈判</w:t>
      </w:r>
      <w:bookmarkEnd w:id="182"/>
      <w:bookmarkEnd w:id="183"/>
      <w:bookmarkEnd w:id="184"/>
      <w:bookmarkEnd w:id="185"/>
      <w:bookmarkEnd w:id="186"/>
    </w:p>
    <w:p w14:paraId="59BBB1E1">
      <w:pPr>
        <w:widowControl w:val="0"/>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供应商在提交最后报价之前，可以根据谈判情况退出谈判，并由法定代表人或其授权代表签字或加盖公章书面通知采购人、采购代理机构或者谈判小组。采购人、采购代理机构按规定退还退出谈判的供应商的保证金。</w:t>
      </w:r>
    </w:p>
    <w:p w14:paraId="6720CC12">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187" w:name="_Toc18169_WPSOffice_Level3"/>
      <w:bookmarkStart w:id="188" w:name="_Toc5048_WPSOffice_Level3"/>
      <w:bookmarkStart w:id="189" w:name="_Toc32003"/>
      <w:bookmarkStart w:id="190" w:name="_Toc15158"/>
      <w:bookmarkStart w:id="191" w:name="_Toc14748"/>
      <w:r>
        <w:rPr>
          <w:rFonts w:hint="eastAsia" w:ascii="楷体_GB2312" w:hAnsi="楷体_GB2312" w:eastAsia="楷体_GB2312" w:cs="楷体_GB2312"/>
          <w:b/>
          <w:bCs/>
          <w:kern w:val="2"/>
          <w:sz w:val="32"/>
          <w:szCs w:val="32"/>
          <w:lang w:val="en-US" w:eastAsia="zh-CN" w:bidi="ar-SA"/>
        </w:rPr>
        <w:t>22.最后报价</w:t>
      </w:r>
      <w:bookmarkEnd w:id="187"/>
      <w:bookmarkEnd w:id="188"/>
      <w:bookmarkEnd w:id="189"/>
      <w:bookmarkEnd w:id="190"/>
      <w:bookmarkEnd w:id="191"/>
    </w:p>
    <w:p w14:paraId="4A3C973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22.1谈判结束后，符合谈判文件规定的实质性要求和条件的供应商不少于3家的，谈判小组应当要求符合谈判文件规定的实质性要求和条件的供应商在规定时间内提交最后报价。最后报价应由供应商代表签字或者加盖供应商单位公章。</w:t>
      </w:r>
    </w:p>
    <w:p w14:paraId="652563A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u w:val="single" w:color="auto"/>
          <w:lang w:val="en-US" w:eastAsia="zh-CN" w:bidi="ar-SA"/>
        </w:rPr>
      </w:pPr>
      <w:r>
        <w:rPr>
          <w:rFonts w:hint="eastAsia" w:ascii="仿宋_GB2312" w:hAnsi="仿宋_GB2312" w:eastAsia="仿宋_GB2312" w:cs="仿宋_GB2312"/>
          <w:kern w:val="2"/>
          <w:sz w:val="32"/>
          <w:szCs w:val="32"/>
          <w:lang w:val="en-US" w:eastAsia="zh-CN" w:bidi="ar-SA"/>
        </w:rPr>
        <w:t>22.2</w:t>
      </w:r>
      <w:r>
        <w:rPr>
          <w:rFonts w:hint="eastAsia" w:ascii="仿宋_GB2312" w:hAnsi="仿宋_GB2312" w:eastAsia="仿宋_GB2312" w:cs="仿宋_GB2312"/>
          <w:kern w:val="2"/>
          <w:sz w:val="32"/>
          <w:szCs w:val="32"/>
          <w:u w:val="none" w:color="auto"/>
          <w:lang w:val="en-US" w:eastAsia="zh-CN" w:bidi="ar-SA"/>
        </w:rPr>
        <w:t>谈判文件不能详细列明采购需求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65AC26E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22.3最后报价的评审</w:t>
      </w:r>
    </w:p>
    <w:p w14:paraId="4388777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（1）最后报价出现大写金额和小写金额不一致的，以大写金额为准。</w:t>
      </w:r>
    </w:p>
    <w:p w14:paraId="2DAE652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（2）需落实政府采购政策的，按相关规定进行价格扣除。</w:t>
      </w:r>
    </w:p>
    <w:p w14:paraId="6A1177D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u w:val="none" w:color="auto"/>
          <w:lang w:val="en-US" w:eastAsia="zh-CN" w:bidi="ar-SA"/>
        </w:rPr>
      </w:pPr>
      <w:r>
        <w:rPr>
          <w:rFonts w:hint="eastAsia" w:ascii="仿宋_GB2312" w:hAnsi="仿宋_GB2312" w:eastAsia="仿宋_GB2312" w:cs="仿宋_GB2312"/>
          <w:kern w:val="2"/>
          <w:sz w:val="32"/>
          <w:szCs w:val="32"/>
          <w:lang w:val="en-US" w:eastAsia="zh-CN" w:bidi="ar-SA"/>
        </w:rPr>
        <w:t>22.4</w:t>
      </w:r>
      <w:r>
        <w:rPr>
          <w:rFonts w:hint="eastAsia" w:ascii="仿宋_GB2312" w:hAnsi="仿宋_GB2312" w:eastAsia="仿宋_GB2312" w:cs="仿宋_GB2312"/>
          <w:kern w:val="2"/>
          <w:sz w:val="32"/>
          <w:szCs w:val="32"/>
          <w:u w:val="none" w:color="auto"/>
          <w:lang w:val="en-US" w:eastAsia="zh-CN" w:bidi="ar-SA"/>
        </w:rPr>
        <w:t>最后报价如果高于其响应文件中的首次报价的，以最后报价为准。</w:t>
      </w:r>
    </w:p>
    <w:p w14:paraId="35BB940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u w:val="none" w:color="auto"/>
          <w:lang w:val="en-US" w:eastAsia="zh-CN" w:bidi="ar-SA"/>
        </w:rPr>
      </w:pPr>
      <w:r>
        <w:rPr>
          <w:rFonts w:hint="eastAsia" w:ascii="仿宋_GB2312" w:hAnsi="仿宋_GB2312" w:eastAsia="仿宋_GB2312" w:cs="仿宋_GB2312"/>
          <w:kern w:val="2"/>
          <w:sz w:val="32"/>
          <w:szCs w:val="32"/>
          <w:u w:val="none" w:color="auto"/>
          <w:lang w:val="en-US" w:eastAsia="zh-CN" w:bidi="ar-SA"/>
        </w:rPr>
        <w:t>22.5采购人、采购代理机构在按规定公布供应商的最后报价前，不得公开供应商的技术资料、价格和其他信息。</w:t>
      </w:r>
    </w:p>
    <w:p w14:paraId="2D5716C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u w:val="none" w:color="auto"/>
          <w:lang w:val="en-US" w:eastAsia="zh-CN" w:bidi="ar-SA"/>
        </w:rPr>
      </w:pPr>
      <w:r>
        <w:rPr>
          <w:rFonts w:hint="eastAsia" w:ascii="仿宋_GB2312" w:hAnsi="仿宋_GB2312" w:eastAsia="仿宋_GB2312" w:cs="仿宋_GB2312"/>
          <w:kern w:val="2"/>
          <w:sz w:val="32"/>
          <w:szCs w:val="32"/>
          <w:u w:val="none" w:color="auto"/>
          <w:lang w:val="en-US" w:eastAsia="zh-CN" w:bidi="ar-SA"/>
        </w:rPr>
        <w:t>22.6若最后报价时出现最低价相同的情形，谈判小组应召集报价相同的供应商进行再</w:t>
      </w:r>
      <w:r>
        <w:rPr>
          <w:rFonts w:hint="eastAsia" w:ascii="仿宋_GB2312" w:hAnsi="仿宋_GB2312" w:eastAsia="仿宋_GB2312" w:cs="仿宋_GB2312"/>
          <w:kern w:val="2"/>
          <w:sz w:val="32"/>
          <w:szCs w:val="32"/>
          <w:highlight w:val="none"/>
          <w:u w:val="none" w:color="auto"/>
          <w:lang w:val="en-US" w:eastAsia="zh-CN" w:bidi="ar-SA"/>
        </w:rPr>
        <w:t>次报价（或直接提出成交候选人）（由采购人、代理机构自主选择）。</w:t>
      </w:r>
    </w:p>
    <w:p w14:paraId="1632D0A9">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highlight w:val="none"/>
          <w:lang w:val="en-US" w:eastAsia="zh-CN" w:bidi="ar-SA"/>
        </w:rPr>
      </w:pPr>
      <w:bookmarkStart w:id="192" w:name="_Toc8242_WPSOffice_Level3"/>
      <w:bookmarkStart w:id="193" w:name="_Toc7275"/>
      <w:bookmarkStart w:id="194" w:name="_Toc16084_WPSOffice_Level3"/>
      <w:bookmarkStart w:id="195" w:name="_Toc29957"/>
      <w:bookmarkStart w:id="196" w:name="_Toc1797"/>
      <w:r>
        <w:rPr>
          <w:rFonts w:hint="eastAsia" w:ascii="楷体_GB2312" w:hAnsi="楷体_GB2312" w:eastAsia="楷体_GB2312" w:cs="楷体_GB2312"/>
          <w:b/>
          <w:bCs/>
          <w:kern w:val="2"/>
          <w:sz w:val="32"/>
          <w:szCs w:val="32"/>
          <w:highlight w:val="none"/>
          <w:lang w:val="en-US" w:eastAsia="zh-CN" w:bidi="ar-SA"/>
        </w:rPr>
        <w:t>23.确定成交供应商</w:t>
      </w:r>
      <w:bookmarkEnd w:id="192"/>
      <w:bookmarkEnd w:id="193"/>
      <w:bookmarkEnd w:id="194"/>
      <w:bookmarkEnd w:id="195"/>
      <w:bookmarkEnd w:id="196"/>
    </w:p>
    <w:p w14:paraId="1356E8E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23.1谈判小组应当从质量和服务均能满足采购文件实质性响应要求的供应商中，按照最后报价由低到高的顺序提出3名以上成交候选人，并编写评审报告。供应商最后报价涉及算术修正、需落实政府采购政策的，按上款规定由低到高顺序排序。</w:t>
      </w:r>
    </w:p>
    <w:p w14:paraId="409CE9E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23.2谈判小组应当根据评审记录和评审结果编写评审报告。评审报告应当由谈判小组全体人员签字认可。谈判小组成员对评审报告有异议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1F0EC0A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23.3采购代理机构应当在评审结束后2个工作日内将评审报告送采购人确认。</w:t>
      </w:r>
    </w:p>
    <w:p w14:paraId="7A1AD80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23.4采购人应当在收到评审报告后5个工作日内，从评审报告提出的成交候选人中，根据质量和服务均能满足采购文件实质性响应要求且最后报价最低的原则确定成交供应商，也可以书面授权谈判小组直接确定成交供应商。</w:t>
      </w:r>
    </w:p>
    <w:p w14:paraId="58E936F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23.5采购人逾期未确定成交供应商且不提出异议的，视为确定评审报告提出的最后报价最低的供应商为成交供应商。</w:t>
      </w:r>
    </w:p>
    <w:p w14:paraId="36CF2604">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197" w:name="_Toc17639_WPSOffice_Level3"/>
      <w:bookmarkStart w:id="198" w:name="_Toc24684"/>
      <w:bookmarkStart w:id="199" w:name="_Toc20869_WPSOffice_Level3"/>
      <w:bookmarkStart w:id="200" w:name="_Toc10295"/>
      <w:bookmarkStart w:id="201" w:name="_Toc2143"/>
      <w:r>
        <w:rPr>
          <w:rFonts w:hint="eastAsia" w:ascii="楷体_GB2312" w:hAnsi="楷体_GB2312" w:eastAsia="楷体_GB2312" w:cs="楷体_GB2312"/>
          <w:b/>
          <w:bCs/>
          <w:kern w:val="2"/>
          <w:sz w:val="32"/>
          <w:szCs w:val="32"/>
          <w:lang w:val="en-US" w:eastAsia="zh-CN" w:bidi="ar-SA"/>
        </w:rPr>
        <w:t>24.重新评审</w:t>
      </w:r>
      <w:bookmarkEnd w:id="197"/>
      <w:bookmarkEnd w:id="198"/>
      <w:bookmarkEnd w:id="199"/>
      <w:bookmarkEnd w:id="200"/>
      <w:bookmarkEnd w:id="201"/>
    </w:p>
    <w:p w14:paraId="4735062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24.1除资格审查认定错误和价格计算错误外，采购人、采购代理机构不以任何理由组织重新评审。</w:t>
      </w:r>
    </w:p>
    <w:p w14:paraId="4B3AF65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24.2采购人、采购代理机构发现谈判小组未按照谈判文件规定的评定成交标准进行评审的，应当重新开展采购活动，并同时书面报告同级财政部门。</w:t>
      </w:r>
    </w:p>
    <w:p w14:paraId="578A2853">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202" w:name="_Toc3509"/>
      <w:bookmarkStart w:id="203" w:name="_Toc12673"/>
      <w:bookmarkStart w:id="204" w:name="_Toc26374_WPSOffice_Level3"/>
      <w:bookmarkStart w:id="205" w:name="_Toc1198"/>
      <w:bookmarkStart w:id="206" w:name="_Toc1388_WPSOffice_Level3"/>
      <w:r>
        <w:rPr>
          <w:rFonts w:hint="eastAsia" w:ascii="楷体_GB2312" w:hAnsi="楷体_GB2312" w:eastAsia="楷体_GB2312" w:cs="楷体_GB2312"/>
          <w:b/>
          <w:bCs/>
          <w:kern w:val="2"/>
          <w:sz w:val="32"/>
          <w:szCs w:val="32"/>
          <w:lang w:val="en-US" w:eastAsia="zh-CN" w:bidi="ar-SA"/>
        </w:rPr>
        <w:t>25.谈判终止</w:t>
      </w:r>
      <w:bookmarkEnd w:id="202"/>
      <w:bookmarkEnd w:id="203"/>
      <w:bookmarkEnd w:id="204"/>
      <w:bookmarkEnd w:id="205"/>
      <w:bookmarkEnd w:id="206"/>
    </w:p>
    <w:p w14:paraId="0D15A94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25.1出现下列情形之一的，采购人、采购代理机构应当终止竞争性谈判采购活动，在指定的媒体上发布项目终止公告并说明原因，重新开展采购活动： </w:t>
      </w:r>
    </w:p>
    <w:p w14:paraId="1DFAC62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（1）因情况变化，不再符合规定的竞争性谈判采购方式适用情形的；</w:t>
      </w:r>
    </w:p>
    <w:p w14:paraId="3BBE1BF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（2）出现影响采购公正的违法、违规行为的；</w:t>
      </w:r>
    </w:p>
    <w:p w14:paraId="1753E11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（3）在采购过程中符合谈判要求的供应商或者报价未超过采购预算的供应商不足3家的，或者提交最后报价的供应商少于3家的；</w:t>
      </w:r>
    </w:p>
    <w:p w14:paraId="6954B61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（4）因重大变故，采购任务取消的。</w:t>
      </w:r>
    </w:p>
    <w:p w14:paraId="341449A3">
      <w:pPr>
        <w:pStyle w:val="4"/>
        <w:keepNext/>
        <w:keepLines/>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kern w:val="2"/>
          <w:sz w:val="32"/>
          <w:szCs w:val="32"/>
          <w:lang w:val="en-US" w:eastAsia="zh-CN" w:bidi="ar-SA"/>
        </w:rPr>
      </w:pPr>
      <w:bookmarkStart w:id="207" w:name="_Toc11721"/>
      <w:bookmarkStart w:id="208" w:name="_Toc20688_WPSOffice_Level3"/>
      <w:bookmarkStart w:id="209" w:name="_Toc18635_WPSOffice_Level3"/>
      <w:bookmarkStart w:id="210" w:name="_Toc17052"/>
      <w:bookmarkStart w:id="211" w:name="_Toc32730"/>
      <w:r>
        <w:rPr>
          <w:rFonts w:hint="eastAsia" w:ascii="楷体_GB2312" w:hAnsi="楷体_GB2312" w:eastAsia="楷体_GB2312" w:cs="楷体_GB2312"/>
          <w:b/>
          <w:bCs/>
          <w:kern w:val="2"/>
          <w:sz w:val="32"/>
          <w:szCs w:val="32"/>
          <w:lang w:val="en-US" w:eastAsia="zh-CN" w:bidi="ar-SA"/>
        </w:rPr>
        <w:t>26.串通情形认定及处理</w:t>
      </w:r>
      <w:bookmarkEnd w:id="207"/>
      <w:bookmarkEnd w:id="208"/>
      <w:bookmarkEnd w:id="209"/>
      <w:bookmarkEnd w:id="210"/>
      <w:bookmarkEnd w:id="211"/>
    </w:p>
    <w:p w14:paraId="3EA7BEA9">
      <w:pPr>
        <w:widowControl w:val="0"/>
        <w:wordWrap/>
        <w:spacing w:line="560" w:lineRule="exact"/>
        <w:ind w:right="0" w:firstLine="640" w:firstLineChars="200"/>
        <w:textAlignment w:val="auto"/>
        <w:outlineLvl w:val="9"/>
        <w:rPr>
          <w:rFonts w:hint="eastAsia" w:ascii="仿宋" w:hAnsi="仿宋" w:eastAsia="仿宋" w:cs="仿宋"/>
          <w:sz w:val="32"/>
          <w:szCs w:val="32"/>
          <w:lang w:val="en-US" w:eastAsia="zh-CN"/>
        </w:rPr>
      </w:pPr>
      <w:r>
        <w:rPr>
          <w:rFonts w:hint="eastAsia" w:ascii="仿宋_GB2312" w:hAnsi="仿宋_GB2312" w:eastAsia="仿宋_GB2312" w:cs="仿宋_GB2312"/>
          <w:kern w:val="2"/>
          <w:sz w:val="32"/>
          <w:szCs w:val="32"/>
          <w:lang w:val="en-US" w:eastAsia="zh-CN" w:bidi="ar-SA"/>
        </w:rPr>
        <w:t>26.1供应商不得与采购人、采购代理机构、其他供应商恶意串通；不得向采购人、采购代理机构或者谈判小组成员行贿或者提供其他不正当利益；不得提供虚假材料谋取成交；不得以任何方式干扰、影响</w:t>
      </w:r>
      <w:r>
        <w:rPr>
          <w:rFonts w:hint="eastAsia" w:ascii="仿宋" w:hAnsi="仿宋" w:eastAsia="仿宋" w:cs="仿宋"/>
          <w:sz w:val="32"/>
          <w:szCs w:val="32"/>
          <w:lang w:val="en-US" w:eastAsia="zh-CN"/>
        </w:rPr>
        <w:t>采购工作。</w:t>
      </w:r>
    </w:p>
    <w:p w14:paraId="2318ACB7">
      <w:pPr>
        <w:widowControl w:val="0"/>
        <w:wordWrap/>
        <w:spacing w:line="560" w:lineRule="exact"/>
        <w:ind w:right="0" w:firstLine="640" w:firstLineChars="200"/>
        <w:textAlignment w:val="auto"/>
        <w:outlineLvl w:val="9"/>
        <w:rPr>
          <w:rFonts w:hint="eastAsia" w:ascii="仿宋_GB2312" w:hAnsi="仿宋_GB2312" w:eastAsia="仿宋_GB2312" w:cs="仿宋_GB2312"/>
          <w:kern w:val="2"/>
          <w:sz w:val="32"/>
          <w:szCs w:val="32"/>
          <w:lang w:val="zh-CN" w:eastAsia="zh-CN" w:bidi="ar-SA"/>
        </w:rPr>
      </w:pPr>
      <w:r>
        <w:rPr>
          <w:rFonts w:hint="eastAsia" w:ascii="仿宋" w:hAnsi="仿宋" w:eastAsia="仿宋" w:cs="仿宋"/>
          <w:sz w:val="32"/>
          <w:szCs w:val="32"/>
          <w:lang w:val="en-US" w:eastAsia="zh-CN"/>
        </w:rPr>
        <w:t>26.2</w:t>
      </w:r>
      <w:r>
        <w:rPr>
          <w:rFonts w:hint="eastAsia" w:ascii="仿宋_GB2312" w:hAnsi="仿宋_GB2312" w:eastAsia="仿宋_GB2312" w:cs="仿宋_GB2312"/>
          <w:kern w:val="2"/>
          <w:sz w:val="32"/>
          <w:szCs w:val="32"/>
          <w:lang w:val="en-US" w:eastAsia="zh-CN" w:bidi="ar-SA"/>
        </w:rPr>
        <w:t>有下列情形之一的，成交无效，对供应商</w:t>
      </w:r>
      <w:r>
        <w:rPr>
          <w:rFonts w:hint="eastAsia" w:ascii="仿宋_GB2312" w:hAnsi="仿宋_GB2312" w:eastAsia="仿宋_GB2312" w:cs="仿宋_GB2312"/>
          <w:kern w:val="2"/>
          <w:sz w:val="32"/>
          <w:szCs w:val="32"/>
          <w:lang w:val="zh-CN" w:eastAsia="zh-CN" w:bidi="ar-SA"/>
        </w:rPr>
        <w:t>依照《政府采购法》第七十七条的规定追究法律责任：</w:t>
      </w:r>
    </w:p>
    <w:p w14:paraId="0451ABB5">
      <w:pPr>
        <w:widowControl w:val="0"/>
        <w:wordWrap/>
        <w:spacing w:line="560" w:lineRule="exact"/>
        <w:ind w:right="0" w:firstLine="320" w:firstLineChars="100"/>
        <w:textAlignment w:val="auto"/>
        <w:outlineLvl w:val="9"/>
        <w:rPr>
          <w:rFonts w:hint="eastAsia" w:ascii="仿宋_GB2312" w:hAnsi="仿宋_GB2312" w:eastAsia="仿宋_GB2312" w:cs="仿宋_GB2312"/>
          <w:kern w:val="2"/>
          <w:sz w:val="32"/>
          <w:szCs w:val="32"/>
          <w:lang w:val="en-US" w:eastAsia="zh-CN" w:bidi="ar-SA"/>
        </w:rPr>
      </w:pPr>
      <w:bookmarkStart w:id="212" w:name="_Toc22761"/>
      <w:bookmarkStart w:id="213" w:name="_Toc34637770"/>
      <w:r>
        <w:rPr>
          <w:rFonts w:hint="eastAsia" w:ascii="仿宋_GB2312" w:hAnsi="仿宋_GB2312" w:eastAsia="仿宋_GB2312" w:cs="仿宋_GB2312"/>
          <w:kern w:val="2"/>
          <w:sz w:val="32"/>
          <w:szCs w:val="32"/>
          <w:lang w:val="en-US" w:eastAsia="zh-CN" w:bidi="ar-SA"/>
        </w:rPr>
        <w:t>（1）供应商直接或者间接从采购人或者采购代理机构处获得其他供应商的相关情况并修改其响应文件；</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 xml:space="preserve">   （2）供应商按照采购人或者采购代理机构的授意撤换、修改响应文件；</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 xml:space="preserve">   （3）供应商之间协商报价、技术方案等响应文件的实质性内容；</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 xml:space="preserve">   （4）属于同一集团、协会、商会等组织成员的供应商按照该组织要求协同参加政府采购活动；</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 xml:space="preserve">   （5）供应商之间事先约定由某一特定供应商成交；</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 xml:space="preserve">   （6）供应商之间商定部分供应商放弃参加政府采购活动或者放弃成交；</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 xml:space="preserve">   （7）供应商与采购人或者采购代理机构之间、供应商相互之间，为谋求特定供应商成交或者排斥其他供应商的其他串通行为。</w:t>
      </w:r>
    </w:p>
    <w:p w14:paraId="295AE9A0">
      <w:pPr>
        <w:widowControl w:val="0"/>
        <w:wordWrap/>
        <w:spacing w:line="560" w:lineRule="exact"/>
        <w:ind w:right="0"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26.3 有下列情形之一的，视为供应商串通，其响应无效：</w:t>
      </w:r>
    </w:p>
    <w:p w14:paraId="28C4F65D">
      <w:pPr>
        <w:widowControl w:val="0"/>
        <w:wordWrap/>
        <w:spacing w:line="560" w:lineRule="exact"/>
        <w:ind w:right="0"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（1）不同供应商的响应文件由同一单位或者个人编制；</w:t>
      </w:r>
    </w:p>
    <w:p w14:paraId="4BE8D38B">
      <w:pPr>
        <w:widowControl w:val="0"/>
        <w:wordWrap/>
        <w:spacing w:line="560" w:lineRule="exact"/>
        <w:ind w:right="0"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（2）不同供应商委托同一单位或者个人办理谈判事宜；</w:t>
      </w:r>
    </w:p>
    <w:p w14:paraId="0AABC043">
      <w:pPr>
        <w:widowControl w:val="0"/>
        <w:wordWrap/>
        <w:spacing w:line="560" w:lineRule="exact"/>
        <w:ind w:right="0"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（3）不同供应商的响应文件载明的项目管理成员或者联系人员为同一人；</w:t>
      </w:r>
    </w:p>
    <w:p w14:paraId="694E24E9">
      <w:pPr>
        <w:widowControl w:val="0"/>
        <w:wordWrap/>
        <w:spacing w:line="560" w:lineRule="exact"/>
        <w:ind w:right="0"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（4）不同供应商的响应文件异常一致或者报价呈规律性差异；</w:t>
      </w:r>
    </w:p>
    <w:p w14:paraId="53AFC24F">
      <w:pPr>
        <w:widowControl w:val="0"/>
        <w:wordWrap/>
        <w:spacing w:line="560" w:lineRule="exact"/>
        <w:ind w:right="0"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（5）不同供应商的响应文件相互混装；</w:t>
      </w:r>
    </w:p>
    <w:p w14:paraId="12CEAF9F">
      <w:pPr>
        <w:widowControl w:val="0"/>
        <w:wordWrap/>
        <w:spacing w:line="560" w:lineRule="exact"/>
        <w:ind w:right="0" w:firstLine="640" w:firstLineChars="200"/>
        <w:textAlignment w:val="auto"/>
        <w:outlineLvl w:val="9"/>
        <w:rPr>
          <w:rFonts w:hint="eastAsia" w:ascii="仿宋" w:hAnsi="仿宋" w:eastAsia="仿宋" w:cs="仿宋"/>
          <w:sz w:val="32"/>
          <w:szCs w:val="32"/>
          <w:lang w:val="en-US" w:eastAsia="zh-CN"/>
        </w:rPr>
      </w:pPr>
      <w:r>
        <w:rPr>
          <w:rFonts w:hint="eastAsia" w:ascii="仿宋_GB2312" w:hAnsi="仿宋_GB2312" w:eastAsia="仿宋_GB2312" w:cs="仿宋_GB2312"/>
          <w:kern w:val="2"/>
          <w:sz w:val="32"/>
          <w:szCs w:val="32"/>
          <w:lang w:val="en-US" w:eastAsia="zh-CN" w:bidi="ar-SA"/>
        </w:rPr>
        <w:t>（6）不同供应商的保证金从同一单位或者个人的账户转出</w:t>
      </w:r>
      <w:r>
        <w:rPr>
          <w:rFonts w:hint="eastAsia" w:ascii="仿宋" w:hAnsi="仿宋" w:eastAsia="仿宋" w:cs="仿宋"/>
          <w:sz w:val="32"/>
          <w:szCs w:val="32"/>
          <w:lang w:val="en-US" w:eastAsia="zh-CN"/>
        </w:rPr>
        <w:t>。</w:t>
      </w:r>
    </w:p>
    <w:p w14:paraId="656BB7D3">
      <w:pPr>
        <w:widowControl w:val="0"/>
        <w:wordWrap/>
        <w:spacing w:line="560" w:lineRule="exact"/>
        <w:ind w:right="0" w:firstLine="640" w:firstLineChars="200"/>
        <w:textAlignment w:val="auto"/>
        <w:outlineLvl w:val="9"/>
        <w:rPr>
          <w:rFonts w:hint="eastAsia" w:ascii="黑体" w:hAnsi="黑体" w:eastAsia="黑体" w:cs="黑体"/>
          <w:b w:val="0"/>
          <w:bCs w:val="0"/>
          <w:kern w:val="2"/>
          <w:sz w:val="32"/>
          <w:szCs w:val="32"/>
          <w:highlight w:val="none"/>
          <w:lang w:val="en-US" w:eastAsia="zh-CN" w:bidi="ar-SA"/>
        </w:rPr>
      </w:pPr>
      <w:r>
        <w:rPr>
          <w:rFonts w:hint="eastAsia" w:ascii="仿宋_GB2312" w:hAnsi="仿宋_GB2312" w:eastAsia="仿宋_GB2312" w:cs="仿宋_GB2312"/>
          <w:kern w:val="2"/>
          <w:sz w:val="32"/>
          <w:szCs w:val="32"/>
          <w:lang w:val="en-US" w:eastAsia="zh-CN" w:bidi="ar-SA"/>
        </w:rPr>
        <w:t>（7）不同供应商的“IP地址、Mac地址、硬件号字段”出现异常的</w:t>
      </w:r>
      <w:r>
        <w:rPr>
          <w:rFonts w:hint="eastAsia" w:ascii="仿宋" w:hAnsi="仿宋" w:eastAsia="仿宋" w:cs="仿宋"/>
          <w:sz w:val="32"/>
          <w:szCs w:val="32"/>
          <w:lang w:val="en-US" w:eastAsia="zh-CN"/>
        </w:rPr>
        <w:br w:type="textWrapping"/>
      </w:r>
      <w:r>
        <w:rPr>
          <w:rFonts w:hint="eastAsia" w:ascii="黑体" w:hAnsi="黑体" w:eastAsia="黑体" w:cs="黑体"/>
          <w:b w:val="0"/>
          <w:bCs w:val="0"/>
          <w:kern w:val="2"/>
          <w:sz w:val="32"/>
          <w:szCs w:val="32"/>
          <w:lang w:val="en-US" w:eastAsia="zh-CN" w:bidi="ar-SA"/>
        </w:rPr>
        <w:t xml:space="preserve">    六、成交结果信息公布与授予合同</w:t>
      </w:r>
      <w:bookmarkEnd w:id="212"/>
      <w:bookmarkEnd w:id="213"/>
    </w:p>
    <w:p w14:paraId="0D8E3AD4">
      <w:pPr>
        <w:pStyle w:val="4"/>
        <w:keepNext/>
        <w:keepLines/>
        <w:widowControl w:val="0"/>
        <w:wordWrap/>
        <w:adjustRightInd w:val="0"/>
        <w:snapToGrid w:val="0"/>
        <w:spacing w:before="157" w:beforeLines="50" w:after="0" w:line="560" w:lineRule="exact"/>
        <w:textAlignment w:val="auto"/>
        <w:outlineLvl w:val="2"/>
        <w:rPr>
          <w:rFonts w:hint="eastAsia" w:ascii="仿宋_GB2312" w:hAnsi="仿宋_GB2312" w:eastAsia="仿宋_GB2312" w:cs="仿宋_GB2312"/>
          <w:b/>
          <w:bCs/>
          <w:kern w:val="2"/>
          <w:sz w:val="30"/>
          <w:szCs w:val="30"/>
          <w:lang w:val="en-US" w:eastAsia="zh-CN" w:bidi="ar-SA"/>
        </w:rPr>
      </w:pPr>
      <w:bookmarkStart w:id="214" w:name="_Toc23126"/>
      <w:bookmarkStart w:id="215" w:name="_Toc30784_WPSOffice_Level3"/>
      <w:bookmarkStart w:id="216" w:name="_Toc947"/>
      <w:bookmarkStart w:id="217" w:name="_Toc8339_WPSOffice_Level3"/>
      <w:bookmarkStart w:id="218" w:name="_Toc11891"/>
      <w:r>
        <w:rPr>
          <w:rFonts w:hint="eastAsia" w:ascii="楷体_GB2312" w:hAnsi="楷体_GB2312" w:eastAsia="楷体_GB2312" w:cs="楷体_GB2312"/>
          <w:b/>
          <w:bCs/>
          <w:kern w:val="2"/>
          <w:sz w:val="32"/>
          <w:szCs w:val="32"/>
          <w:lang w:val="en-US" w:eastAsia="zh-CN" w:bidi="ar-SA"/>
        </w:rPr>
        <w:t>27.成交信息的公布与通知</w:t>
      </w:r>
      <w:bookmarkEnd w:id="214"/>
      <w:bookmarkEnd w:id="215"/>
      <w:bookmarkEnd w:id="216"/>
      <w:bookmarkEnd w:id="217"/>
      <w:bookmarkEnd w:id="218"/>
    </w:p>
    <w:p w14:paraId="54A5C8E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27.1代理机构应自确定成交供应商之日起2个工作日内在青海政府采购信息网上公告成交结果，同时向成交供应商发出《成交通知书》。成交通知书对采购人和成交供应商具有同等法律效力。</w:t>
      </w:r>
    </w:p>
    <w:p w14:paraId="44C5461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27.2成交结果公告应当包括以下内容：</w:t>
      </w:r>
    </w:p>
    <w:p w14:paraId="00B1D03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（1）采购人和采购代理机构的名称、地址和联系方式；</w:t>
      </w:r>
    </w:p>
    <w:p w14:paraId="0FC55B3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（2）项目名称和项目编号；</w:t>
      </w:r>
    </w:p>
    <w:p w14:paraId="0A4A02F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（3）成交供应商名称、地址和成交金额；</w:t>
      </w:r>
    </w:p>
    <w:p w14:paraId="70CF43E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（4）主要成交标的的名称、规格型号、数量、单价、服务要求；</w:t>
      </w:r>
    </w:p>
    <w:p w14:paraId="69BAF89B">
      <w:pPr>
        <w:widowControl w:val="0"/>
        <w:wordWrap/>
        <w:adjustRightInd w:val="0"/>
        <w:snapToGrid w:val="0"/>
        <w:spacing w:line="560" w:lineRule="exact"/>
        <w:ind w:firstLine="640" w:firstLineChars="200"/>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（5）谈判小组成员名单。</w:t>
      </w:r>
    </w:p>
    <w:p w14:paraId="6596047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27.3《成交通知书》发出后，采购人不得违法改变采购结果，成交供应商无正当理由不得放弃。</w:t>
      </w:r>
    </w:p>
    <w:p w14:paraId="2E04AA86">
      <w:pPr>
        <w:pStyle w:val="4"/>
        <w:keepNext/>
        <w:keepLines/>
        <w:widowControl w:val="0"/>
        <w:wordWrap/>
        <w:adjustRightInd w:val="0"/>
        <w:snapToGrid w:val="0"/>
        <w:spacing w:before="157" w:beforeLines="50" w:after="0" w:line="560" w:lineRule="exact"/>
        <w:textAlignment w:val="auto"/>
        <w:outlineLvl w:val="2"/>
        <w:rPr>
          <w:rFonts w:hint="eastAsia" w:ascii="楷体_GB2312" w:hAnsi="楷体_GB2312" w:eastAsia="楷体_GB2312" w:cs="楷体_GB2312"/>
          <w:b/>
          <w:bCs/>
          <w:kern w:val="2"/>
          <w:sz w:val="32"/>
          <w:szCs w:val="32"/>
          <w:lang w:val="en-US" w:eastAsia="zh-CN" w:bidi="ar-SA"/>
        </w:rPr>
      </w:pPr>
      <w:bookmarkStart w:id="219" w:name="_Toc13860_WPSOffice_Level3"/>
      <w:bookmarkStart w:id="220" w:name="_Toc29441"/>
      <w:bookmarkStart w:id="221" w:name="_Toc5068_WPSOffice_Level3"/>
      <w:bookmarkStart w:id="222" w:name="_Toc20586"/>
      <w:bookmarkStart w:id="223" w:name="_Toc32630"/>
      <w:r>
        <w:rPr>
          <w:rFonts w:hint="eastAsia" w:ascii="楷体_GB2312" w:hAnsi="楷体_GB2312" w:eastAsia="楷体_GB2312" w:cs="楷体_GB2312"/>
          <w:b/>
          <w:bCs/>
          <w:kern w:val="2"/>
          <w:sz w:val="32"/>
          <w:szCs w:val="32"/>
          <w:lang w:val="en-US" w:eastAsia="zh-CN" w:bidi="ar-SA"/>
        </w:rPr>
        <w:t>28.授予合同</w:t>
      </w:r>
      <w:bookmarkEnd w:id="219"/>
      <w:bookmarkEnd w:id="220"/>
      <w:bookmarkEnd w:id="221"/>
      <w:bookmarkEnd w:id="222"/>
      <w:bookmarkEnd w:id="223"/>
    </w:p>
    <w:p w14:paraId="7317025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28.1谈判文件、成交供应商的响应文件及其补充的响应文件、成交通知书等均为签订政府采购合同的依据。</w:t>
      </w:r>
    </w:p>
    <w:p w14:paraId="5B0C565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28.2采购人与成交供应商双方应当自《成交通知书》发出之日起30日内，按照谈判文件确定的合同文本以及采购标的、规格型号、采购金额、采购数量、技术和服务要求等事项签订政府采购合同。</w:t>
      </w:r>
    </w:p>
    <w:p w14:paraId="2D7D89A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28.3采购人不得向成交供应商提出超出谈判文件以外的任何要求作为订立合同的条件，不得与成交供应商订立背离谈判文件确定的合同文本以及采购标的、规格型号、采购金额、采购数量、技术和服务要求等实质性内容的协议。</w:t>
      </w:r>
    </w:p>
    <w:p w14:paraId="3449889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bookmarkStart w:id="224" w:name="_Toc376936761"/>
      <w:bookmarkStart w:id="225" w:name="_Toc325726030"/>
      <w:r>
        <w:rPr>
          <w:rFonts w:hint="eastAsia" w:ascii="仿宋_GB2312" w:hAnsi="仿宋_GB2312" w:eastAsia="仿宋_GB2312" w:cs="仿宋_GB2312"/>
          <w:kern w:val="2"/>
          <w:sz w:val="32"/>
          <w:szCs w:val="32"/>
          <w:lang w:val="en-US" w:eastAsia="zh-CN" w:bidi="ar-SA"/>
        </w:rPr>
        <w:t>28.4采购人或采购代理机构应当自采购合同签订之日起2个工作日内，将采购合同在青海政府采购信息网上公告，但政府采购合同中涉及国家秘密、商业秘密的内容除外。</w:t>
      </w:r>
    </w:p>
    <w:p w14:paraId="61C8D7FD">
      <w:pPr>
        <w:pStyle w:val="4"/>
        <w:keepNext/>
        <w:keepLines/>
        <w:widowControl w:val="0"/>
        <w:wordWrap/>
        <w:adjustRightInd w:val="0"/>
        <w:snapToGrid w:val="0"/>
        <w:spacing w:before="157" w:beforeLines="50" w:after="0" w:line="560" w:lineRule="exact"/>
        <w:textAlignment w:val="auto"/>
        <w:outlineLvl w:val="2"/>
        <w:rPr>
          <w:rFonts w:hint="eastAsia" w:ascii="楷体_GB2312" w:hAnsi="楷体_GB2312" w:eastAsia="楷体_GB2312" w:cs="楷体_GB2312"/>
          <w:b/>
          <w:bCs/>
          <w:kern w:val="2"/>
          <w:sz w:val="32"/>
          <w:szCs w:val="32"/>
          <w:lang w:val="en-US" w:eastAsia="zh-CN" w:bidi="ar-SA"/>
        </w:rPr>
      </w:pPr>
      <w:bookmarkStart w:id="226" w:name="_Toc8740_WPSOffice_Level3"/>
      <w:bookmarkStart w:id="227" w:name="_Toc16258_WPSOffice_Level3"/>
      <w:bookmarkStart w:id="228" w:name="_Toc32538"/>
      <w:bookmarkStart w:id="229" w:name="_Toc32390"/>
      <w:bookmarkStart w:id="230" w:name="_Toc16374"/>
      <w:r>
        <w:rPr>
          <w:rFonts w:hint="eastAsia" w:ascii="楷体_GB2312" w:hAnsi="楷体_GB2312" w:eastAsia="楷体_GB2312" w:cs="楷体_GB2312"/>
          <w:b/>
          <w:bCs/>
          <w:kern w:val="2"/>
          <w:sz w:val="32"/>
          <w:szCs w:val="32"/>
          <w:lang w:val="en-US" w:eastAsia="zh-CN" w:bidi="ar-SA"/>
        </w:rPr>
        <w:t>29.履约验收</w:t>
      </w:r>
      <w:bookmarkEnd w:id="226"/>
      <w:bookmarkEnd w:id="227"/>
      <w:bookmarkEnd w:id="228"/>
      <w:bookmarkEnd w:id="229"/>
      <w:bookmarkEnd w:id="230"/>
    </w:p>
    <w:p w14:paraId="229BCF4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29.1履约保证金：按合同约定执行（或根据《政府采购实施条例》第四十八条明确约定保证金缴纳数额及方式）</w:t>
      </w:r>
    </w:p>
    <w:p w14:paraId="539C30B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29.2采购人或者采购代理机构应当按照政府采购合同规定的技术、服务、安全标准组织对供应商履约情况进行验收，并出具验收书。验收书应当包括每一项技术、服务、安全标准的履约情况。</w:t>
      </w:r>
    </w:p>
    <w:p w14:paraId="5545D22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29.3采购人可以邀请参加本项目的其他供应商或者第三方机构参与验收。参与验收的供应商或者第三方机构的意见作为验收书的参考资料一并存档。</w:t>
      </w:r>
    </w:p>
    <w:p w14:paraId="00D5269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29.4采购人应当加强履约管理，并按照采购合同约定，及时向成交供应商支付采购资金。对于成交供应商违反采购合同约定的行为，采购人应当及时处理，依法追究其违约责任。</w:t>
      </w:r>
    </w:p>
    <w:p w14:paraId="3030AC01">
      <w:pPr>
        <w:widowControl w:val="0"/>
        <w:wordWrap/>
        <w:adjustRightInd w:val="0"/>
        <w:snapToGrid w:val="0"/>
        <w:spacing w:line="560" w:lineRule="exact"/>
        <w:ind w:firstLine="640" w:firstLineChars="200"/>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29.5采购人、采购代理机构应当建立真实完整的谈判档案，妥善保存谈判的相关资料。</w:t>
      </w:r>
    </w:p>
    <w:p w14:paraId="0577A7F6">
      <w:pPr>
        <w:widowControl w:val="0"/>
        <w:wordWrap/>
        <w:adjustRightInd w:val="0"/>
        <w:snapToGrid w:val="0"/>
        <w:spacing w:before="157" w:beforeLines="50" w:line="560" w:lineRule="exact"/>
        <w:jc w:val="center"/>
        <w:textAlignment w:val="auto"/>
        <w:outlineLvl w:val="1"/>
        <w:rPr>
          <w:rFonts w:hint="eastAsia" w:ascii="黑体" w:hAnsi="黑体" w:eastAsia="黑体" w:cs="黑体"/>
          <w:b w:val="0"/>
          <w:bCs w:val="0"/>
          <w:kern w:val="2"/>
          <w:sz w:val="32"/>
          <w:szCs w:val="32"/>
          <w:highlight w:val="none"/>
          <w:lang w:val="en-US" w:eastAsia="zh-CN" w:bidi="ar-SA"/>
        </w:rPr>
      </w:pPr>
      <w:bookmarkStart w:id="231" w:name="_Toc23550"/>
      <w:bookmarkStart w:id="232" w:name="_Toc6881"/>
      <w:bookmarkStart w:id="233" w:name="_Toc2658_WPSOffice_Level2"/>
      <w:bookmarkStart w:id="234" w:name="_Toc32362"/>
      <w:bookmarkStart w:id="235" w:name="_Toc18067"/>
      <w:bookmarkStart w:id="236" w:name="_Toc31604_WPSOffice_Level2"/>
      <w:bookmarkStart w:id="237" w:name="_Toc4328"/>
      <w:bookmarkStart w:id="238" w:name="_Toc3517_WPSOffice_Level2"/>
      <w:r>
        <w:rPr>
          <w:rFonts w:hint="eastAsia" w:ascii="黑体" w:hAnsi="黑体" w:eastAsia="黑体" w:cs="黑体"/>
          <w:b w:val="0"/>
          <w:bCs w:val="0"/>
          <w:kern w:val="2"/>
          <w:sz w:val="32"/>
          <w:szCs w:val="32"/>
          <w:highlight w:val="none"/>
          <w:lang w:val="en-US" w:eastAsia="zh-CN" w:bidi="ar-SA"/>
        </w:rPr>
        <w:t>七、询问与质疑</w:t>
      </w:r>
      <w:bookmarkEnd w:id="224"/>
      <w:bookmarkEnd w:id="225"/>
      <w:bookmarkEnd w:id="231"/>
      <w:bookmarkEnd w:id="232"/>
      <w:bookmarkEnd w:id="233"/>
      <w:bookmarkEnd w:id="234"/>
      <w:bookmarkEnd w:id="235"/>
      <w:bookmarkEnd w:id="236"/>
      <w:bookmarkEnd w:id="237"/>
      <w:bookmarkEnd w:id="238"/>
    </w:p>
    <w:p w14:paraId="2A91AAD6">
      <w:pPr>
        <w:pStyle w:val="4"/>
        <w:keepNext/>
        <w:keepLines/>
        <w:widowControl w:val="0"/>
        <w:wordWrap/>
        <w:adjustRightInd w:val="0"/>
        <w:snapToGrid w:val="0"/>
        <w:spacing w:before="157" w:beforeLines="50" w:after="0" w:line="560" w:lineRule="exact"/>
        <w:textAlignment w:val="auto"/>
        <w:outlineLvl w:val="2"/>
        <w:rPr>
          <w:rFonts w:hint="eastAsia" w:ascii="楷体_GB2312" w:hAnsi="楷体_GB2312" w:eastAsia="楷体_GB2312" w:cs="楷体_GB2312"/>
          <w:b/>
          <w:bCs/>
          <w:kern w:val="2"/>
          <w:sz w:val="32"/>
          <w:szCs w:val="32"/>
          <w:lang w:val="en-US" w:eastAsia="zh-CN" w:bidi="ar-SA"/>
        </w:rPr>
      </w:pPr>
      <w:bookmarkStart w:id="239" w:name="_Toc24778"/>
      <w:bookmarkStart w:id="240" w:name="_Toc25982_WPSOffice_Level3"/>
      <w:bookmarkStart w:id="241" w:name="_Toc21641"/>
      <w:bookmarkStart w:id="242" w:name="_Toc23314_WPSOffice_Level3"/>
      <w:bookmarkStart w:id="243" w:name="_Toc29785"/>
      <w:r>
        <w:rPr>
          <w:rFonts w:hint="eastAsia" w:ascii="楷体_GB2312" w:hAnsi="楷体_GB2312" w:eastAsia="楷体_GB2312" w:cs="楷体_GB2312"/>
          <w:b/>
          <w:bCs/>
          <w:kern w:val="2"/>
          <w:sz w:val="32"/>
          <w:szCs w:val="32"/>
          <w:lang w:val="en-US" w:eastAsia="zh-CN" w:bidi="ar-SA"/>
        </w:rPr>
        <w:t>30.对采购过程、结果的询问及质疑</w:t>
      </w:r>
      <w:bookmarkEnd w:id="239"/>
      <w:bookmarkEnd w:id="240"/>
      <w:bookmarkEnd w:id="241"/>
      <w:bookmarkEnd w:id="242"/>
      <w:bookmarkEnd w:id="243"/>
    </w:p>
    <w:p w14:paraId="44DB1D3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30.1供应商对政府采购过程、结果有疑问的，可以向采购人、采购代理机构提出询问。</w:t>
      </w:r>
    </w:p>
    <w:p w14:paraId="4AD571D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30.2参与所质疑项目的供应商认为采购过程、成交结果使自己的权益受到损害的，可以在知道或者应知其权益受到损害之日起7个工作日内，以书面形式向采购人、采购代理机构提出质疑。</w:t>
      </w:r>
    </w:p>
    <w:p w14:paraId="559FE98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30.3供应商应在法定质疑期内一次性提出针对同一采购程序环节的质疑。</w:t>
      </w:r>
    </w:p>
    <w:p w14:paraId="1357CB06">
      <w:pPr>
        <w:widowControl w:val="0"/>
        <w:wordWrap/>
        <w:adjustRightInd w:val="0"/>
        <w:snapToGrid w:val="0"/>
        <w:spacing w:before="157" w:beforeLines="50" w:line="560" w:lineRule="exact"/>
        <w:jc w:val="center"/>
        <w:textAlignment w:val="auto"/>
        <w:outlineLvl w:val="1"/>
        <w:rPr>
          <w:rFonts w:hint="eastAsia" w:ascii="黑体" w:hAnsi="黑体" w:eastAsia="黑体" w:cs="黑体"/>
          <w:b w:val="0"/>
          <w:bCs w:val="0"/>
          <w:kern w:val="2"/>
          <w:sz w:val="32"/>
          <w:szCs w:val="32"/>
          <w:highlight w:val="none"/>
          <w:lang w:val="en-US" w:eastAsia="zh-CN" w:bidi="ar-SA"/>
        </w:rPr>
      </w:pPr>
      <w:bookmarkStart w:id="244" w:name="_Toc9701_WPSOffice_Level2"/>
      <w:bookmarkStart w:id="245" w:name="_Toc22889"/>
      <w:bookmarkStart w:id="246" w:name="_Toc4534"/>
      <w:bookmarkStart w:id="247" w:name="_Toc34637771"/>
      <w:bookmarkStart w:id="248" w:name="_Toc11509_WPSOffice_Level2"/>
      <w:bookmarkStart w:id="249" w:name="_Toc13115"/>
      <w:bookmarkStart w:id="250" w:name="_Toc24256"/>
      <w:bookmarkStart w:id="251" w:name="_Toc22201076"/>
      <w:bookmarkStart w:id="252" w:name="_Toc21832"/>
      <w:bookmarkStart w:id="253" w:name="_Toc6866_WPSOffice_Level2"/>
      <w:r>
        <w:rPr>
          <w:rFonts w:hint="eastAsia" w:ascii="黑体" w:hAnsi="黑体" w:eastAsia="黑体" w:cs="黑体"/>
          <w:b w:val="0"/>
          <w:bCs w:val="0"/>
          <w:kern w:val="2"/>
          <w:sz w:val="32"/>
          <w:szCs w:val="32"/>
          <w:highlight w:val="none"/>
          <w:lang w:val="en-US" w:eastAsia="zh-CN" w:bidi="ar-SA"/>
        </w:rPr>
        <w:t>八、政府采购政策</w:t>
      </w:r>
      <w:bookmarkEnd w:id="244"/>
      <w:bookmarkEnd w:id="245"/>
      <w:bookmarkEnd w:id="246"/>
      <w:bookmarkEnd w:id="247"/>
      <w:bookmarkEnd w:id="248"/>
      <w:bookmarkEnd w:id="249"/>
      <w:bookmarkEnd w:id="250"/>
      <w:bookmarkEnd w:id="251"/>
      <w:bookmarkEnd w:id="252"/>
      <w:bookmarkEnd w:id="253"/>
    </w:p>
    <w:p w14:paraId="7CD6F0F1">
      <w:pPr>
        <w:pStyle w:val="4"/>
        <w:keepNext/>
        <w:keepLines/>
        <w:widowControl w:val="0"/>
        <w:wordWrap/>
        <w:adjustRightInd w:val="0"/>
        <w:snapToGrid w:val="0"/>
        <w:spacing w:before="157" w:beforeLines="50" w:after="0" w:line="560" w:lineRule="exact"/>
        <w:textAlignment w:val="auto"/>
        <w:outlineLvl w:val="2"/>
        <w:rPr>
          <w:rFonts w:hint="eastAsia" w:ascii="楷体_GB2312" w:hAnsi="楷体_GB2312" w:eastAsia="楷体_GB2312" w:cs="楷体_GB2312"/>
          <w:b/>
          <w:bCs/>
          <w:kern w:val="2"/>
          <w:sz w:val="32"/>
          <w:szCs w:val="32"/>
          <w:lang w:val="en-US" w:eastAsia="zh-CN" w:bidi="ar-SA"/>
        </w:rPr>
      </w:pPr>
      <w:bookmarkStart w:id="254" w:name="_Toc12312"/>
      <w:bookmarkStart w:id="255" w:name="_Toc27584"/>
      <w:bookmarkStart w:id="256" w:name="_Toc16893"/>
      <w:bookmarkStart w:id="257" w:name="_Toc19360_WPSOffice_Level3"/>
      <w:bookmarkStart w:id="258" w:name="_Toc17253_WPSOffice_Level3"/>
      <w:r>
        <w:rPr>
          <w:rFonts w:hint="eastAsia" w:ascii="楷体_GB2312" w:hAnsi="楷体_GB2312" w:eastAsia="楷体_GB2312" w:cs="楷体_GB2312"/>
          <w:b/>
          <w:bCs/>
          <w:kern w:val="2"/>
          <w:sz w:val="32"/>
          <w:szCs w:val="32"/>
          <w:lang w:val="en-US" w:eastAsia="zh-CN" w:bidi="ar-SA"/>
        </w:rPr>
        <w:t>31.政府采购政策</w:t>
      </w:r>
      <w:bookmarkEnd w:id="254"/>
      <w:bookmarkEnd w:id="255"/>
      <w:bookmarkEnd w:id="256"/>
      <w:bookmarkEnd w:id="257"/>
      <w:bookmarkEnd w:id="258"/>
    </w:p>
    <w:p w14:paraId="47A4E1B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bookmarkStart w:id="259" w:name="_Toc15805"/>
      <w:bookmarkStart w:id="260" w:name="_Toc10843_WPSOffice_Level2"/>
      <w:bookmarkStart w:id="261" w:name="_Toc30960"/>
      <w:bookmarkStart w:id="262" w:name="_Toc945"/>
      <w:bookmarkStart w:id="263" w:name="_Toc15316"/>
      <w:bookmarkStart w:id="264" w:name="_Toc28078_WPSOffice_Level2"/>
      <w:bookmarkStart w:id="265" w:name="_Toc34637772"/>
      <w:bookmarkStart w:id="266" w:name="_Toc3719_WPSOffice_Level2"/>
      <w:bookmarkStart w:id="267" w:name="_Toc22758"/>
      <w:r>
        <w:rPr>
          <w:rFonts w:hint="eastAsia" w:ascii="仿宋_GB2312" w:hAnsi="仿宋_GB2312" w:eastAsia="仿宋_GB2312" w:cs="仿宋_GB2312"/>
          <w:kern w:val="2"/>
          <w:sz w:val="32"/>
          <w:szCs w:val="32"/>
          <w:lang w:val="en-US" w:eastAsia="zh-CN" w:bidi="ar-SA"/>
        </w:rPr>
        <w:t>31.1 节能产品、环境标志产品的采购：</w:t>
      </w:r>
    </w:p>
    <w:p w14:paraId="5650CC0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根据《关于调整优化节能产品、环境标志产品政府采购执行机制的通知》（财库 〔2019〕9 号）的要求，采购人拟采购的产品属于品目清单范围的，采购人及其委托的 采购代理机构应当依据国家确定的认证机构出具的、处于有效期之内的节能产品、环 境标志产品认证证书，对获得证书的产品实施政府优先采购或强制采购。</w:t>
      </w:r>
    </w:p>
    <w:p w14:paraId="10DC236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31.2 政策认定：</w:t>
      </w:r>
    </w:p>
    <w:p w14:paraId="6E8BDDC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监狱企业、残疾人福利性单位视同小型、微型企业，享受预留份额等促进中小企业发展的政府采购政策。</w:t>
      </w:r>
    </w:p>
    <w:p w14:paraId="5DB6F72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政府采购促进中小企业发展管理办法》，属小型、微型企业制造的货物（产品），投标人须提供该制造（生产）企业出具的《中小企业声明函》，并由投标人加盖公章，其划型标准严格按照国家工信部、国家统计局、国家发改委、财政部出台的 《中小企业划型标准规定》（工信部联企业[2011]300 号）执行。投标人提供的《中小企业声明函》资料必须真实，否则，按照有关规定予以处理。</w:t>
      </w:r>
    </w:p>
    <w:p w14:paraId="45C9A65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根据财政部、民政部、中国残疾人联合会出台的《关于促进残疾人就业政府采购 政策的通知》（财库[2017]141 号），属残疾人福利性单位的，投标人须提供《残疾人 福利性单位声明函》，并由投标人加盖公章。投标人提供的《残疾人福利性单位声明 函》资料必须真实，否则，按照有关规定予以处理。</w:t>
      </w:r>
    </w:p>
    <w:p w14:paraId="218466D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根据《工业和信息化部、国家统计局、国家发展和改革委员会、财政部关于印发  中小企业划型标准规定的通知》（工信部联企业〔2011〕300 号）或《政府采购支持监 狱企业发展有关问题的通知》（财库〔2014〕68 号）规定的划分标准，属监狱企业的， 投标人须提供《中小企业（监狱企业）声明函》，并由投标人加盖公章，投标人提供  的《中小企业（监狱企业）声明函》资料必须真实，否则，按照有关规定予以处理。</w:t>
      </w:r>
    </w:p>
    <w:p w14:paraId="3394377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31.3 供应商同时符合小型、微型企业及监狱企业、残疾人福利性单位要求的，评审时只有一种类型享受价格评审优惠政策；</w:t>
      </w:r>
    </w:p>
    <w:p w14:paraId="1405896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31.4 响应文件符合本章前款规定的，供应商应提供相关证明资料，且所提供资料 必须真实可信。如有虚假，将依法承担相应责任。</w:t>
      </w:r>
    </w:p>
    <w:p w14:paraId="21E914E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31.5 进口产品是指符合《政府采购进口产品管理办法》（财库〔2007〕119 号）和《关于政府采购进口产品管理有关问题的通知》（财办库〔2008〕248 号）文件规定 的产品。除【谈判邀请】另有规定外，采购项目拒绝进口产品参加谈判。本款规定同 意购买进口产品的，不限制满足谈判文件要求的国内产品参与谈判竞争。</w:t>
      </w:r>
    </w:p>
    <w:p w14:paraId="7B9F2CE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31.6对符合《国务院办公厅关于在政府采购中实施本国产品标准及相关政策的通知》规定的本国产品的报价给予20%的扣除，用扣除后的价格计算投标报价得分，须提供《关于符合本国产品标准的声明函》或财政部会同有关部门规定的有关证明文件。</w:t>
      </w:r>
    </w:p>
    <w:p w14:paraId="5B6949D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31.7</w:t>
      </w:r>
      <w:r>
        <w:rPr>
          <w:rFonts w:hint="eastAsia" w:ascii="仿宋_GB2312" w:hAnsi="仿宋_GB2312" w:eastAsia="仿宋_GB2312" w:cs="仿宋_GB2312"/>
          <w:kern w:val="2"/>
          <w:sz w:val="32"/>
          <w:szCs w:val="32"/>
          <w:lang w:val="zh-CN" w:eastAsia="zh-CN" w:bidi="ar-SA"/>
        </w:rPr>
        <w:t xml:space="preserve"> 评标委员会认为投标人的报价明显低于其他通过符合性审查投标人的报价，有可能影响产品质量或者不能诚信履约的，应当要求其在评标现场合理的时间内提供书面说明，必要时提交相关证明材料；投标人不能证</w:t>
      </w:r>
      <w:r>
        <w:rPr>
          <w:rFonts w:hint="eastAsia" w:ascii="仿宋_GB2312" w:hAnsi="仿宋_GB2312" w:eastAsia="仿宋_GB2312" w:cs="仿宋_GB2312"/>
          <w:kern w:val="2"/>
          <w:sz w:val="32"/>
          <w:szCs w:val="32"/>
          <w:lang w:val="en-US" w:eastAsia="zh-CN" w:bidi="ar-SA"/>
        </w:rPr>
        <w:t>明其报价合理性的，评标委员会应当将其作为无效投标处理。</w:t>
      </w:r>
    </w:p>
    <w:p w14:paraId="763422D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31.7.1 政府采购评审中出现下列情形之一的，评审委员会应当启动异常低价投标（响应）审查程序：</w:t>
      </w:r>
    </w:p>
    <w:p w14:paraId="2294EE7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1.投标（响应）报价低于全部通过符合性审查供应商投标（响应）报价平均值50%的，即投标（响应）报价&lt;全部通过符合性审查供应商投标（响应）报价平均值×50%；</w:t>
      </w:r>
    </w:p>
    <w:p w14:paraId="2DB7244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2.投标（响应）报价低于通过符合性审查的次低报价供应商投标（响应）报价50%的，即投标（响应）报价&lt;通过符合性审查的次低报价供应商投标（响应）报价×50%；</w:t>
      </w:r>
    </w:p>
    <w:p w14:paraId="149ADCE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3.投标（响应）报价低于采购项目最高限价45%的，即投标（响应）报价&lt;采购项目最高限价×45%；</w:t>
      </w:r>
    </w:p>
    <w:p w14:paraId="6FFABD3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4.评审委员会基于专业判断，认为供应商报价过低，有可能影响产品质量或者不能诚信履约的其他情形。</w:t>
      </w:r>
    </w:p>
    <w:p w14:paraId="0483C9A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31.7.2评审委员会启动异常低价投标（响应）审查后，属于前述第1项至第4项情形的，应当要求相关供应商在政采云电子系统中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可不再重复提交。</w:t>
      </w:r>
    </w:p>
    <w:p w14:paraId="0FE680E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386BAE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答疑方式：评审委员会根据响应情况确定答疑时间，答疑或澄清采用在青海省政府采购电子化平台上进行，供应商可在青海省政府采购电子化平台上的“我的澄清”界面了解答疑时间等信息。如在青海省政府采购电子化平台上未回复的答疑者，视同放弃答疑。</w:t>
      </w:r>
    </w:p>
    <w:p w14:paraId="07D513BB">
      <w:pPr>
        <w:widowControl w:val="0"/>
        <w:wordWrap/>
        <w:adjustRightInd w:val="0"/>
        <w:snapToGrid w:val="0"/>
        <w:spacing w:before="157" w:beforeLines="50" w:line="560" w:lineRule="exact"/>
        <w:jc w:val="center"/>
        <w:textAlignment w:val="auto"/>
        <w:outlineLvl w:val="1"/>
        <w:rPr>
          <w:rFonts w:hint="eastAsia" w:ascii="黑体" w:hAnsi="黑体" w:eastAsia="黑体" w:cs="黑体"/>
          <w:b w:val="0"/>
          <w:bCs w:val="0"/>
          <w:kern w:val="2"/>
          <w:sz w:val="32"/>
          <w:szCs w:val="32"/>
          <w:highlight w:val="none"/>
          <w:lang w:val="en-US" w:eastAsia="zh-CN" w:bidi="ar-SA"/>
        </w:rPr>
      </w:pPr>
      <w:r>
        <w:rPr>
          <w:rFonts w:hint="eastAsia" w:ascii="黑体" w:hAnsi="黑体" w:eastAsia="黑体" w:cs="黑体"/>
          <w:b w:val="0"/>
          <w:bCs w:val="0"/>
          <w:kern w:val="2"/>
          <w:sz w:val="32"/>
          <w:szCs w:val="32"/>
          <w:highlight w:val="none"/>
          <w:lang w:val="en-US" w:eastAsia="zh-CN" w:bidi="ar-SA"/>
        </w:rPr>
        <w:t>九、其他规定</w:t>
      </w:r>
      <w:bookmarkEnd w:id="259"/>
      <w:bookmarkEnd w:id="260"/>
      <w:bookmarkEnd w:id="261"/>
      <w:bookmarkEnd w:id="262"/>
      <w:bookmarkEnd w:id="263"/>
      <w:bookmarkEnd w:id="264"/>
      <w:bookmarkEnd w:id="265"/>
      <w:bookmarkEnd w:id="266"/>
      <w:bookmarkEnd w:id="267"/>
    </w:p>
    <w:p w14:paraId="10CCF2CE">
      <w:pPr>
        <w:pStyle w:val="4"/>
        <w:keepNext/>
        <w:keepLines/>
        <w:widowControl w:val="0"/>
        <w:wordWrap/>
        <w:adjustRightInd w:val="0"/>
        <w:snapToGrid w:val="0"/>
        <w:spacing w:before="157" w:beforeLines="50" w:after="0" w:line="560" w:lineRule="exact"/>
        <w:textAlignment w:val="auto"/>
        <w:outlineLvl w:val="2"/>
        <w:rPr>
          <w:rFonts w:hint="eastAsia" w:ascii="楷体_GB2312" w:hAnsi="楷体_GB2312" w:eastAsia="楷体_GB2312" w:cs="楷体_GB2312"/>
          <w:b/>
          <w:bCs/>
          <w:kern w:val="2"/>
          <w:sz w:val="32"/>
          <w:szCs w:val="32"/>
          <w:highlight w:val="none"/>
          <w:lang w:val="en-US" w:eastAsia="zh-CN" w:bidi="ar-SA"/>
        </w:rPr>
      </w:pPr>
      <w:bookmarkStart w:id="268" w:name="_Toc19580"/>
      <w:bookmarkStart w:id="269" w:name="_Toc22185_WPSOffice_Level3"/>
      <w:bookmarkStart w:id="270" w:name="_Toc10855"/>
      <w:bookmarkStart w:id="271" w:name="_Toc12390_WPSOffice_Level3"/>
      <w:bookmarkStart w:id="272" w:name="_Toc10247"/>
      <w:r>
        <w:rPr>
          <w:rFonts w:hint="eastAsia" w:ascii="楷体_GB2312" w:hAnsi="楷体_GB2312" w:eastAsia="楷体_GB2312" w:cs="楷体_GB2312"/>
          <w:b/>
          <w:bCs/>
          <w:kern w:val="2"/>
          <w:sz w:val="32"/>
          <w:szCs w:val="32"/>
          <w:lang w:val="en-US" w:eastAsia="zh-CN" w:bidi="ar-SA"/>
        </w:rPr>
        <w:t>32.代理服务费</w:t>
      </w:r>
      <w:bookmarkEnd w:id="268"/>
      <w:bookmarkEnd w:id="269"/>
      <w:bookmarkEnd w:id="270"/>
      <w:bookmarkEnd w:id="271"/>
      <w:bookmarkEnd w:id="272"/>
    </w:p>
    <w:p w14:paraId="001C703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采购代理服务费由成交供应商支付的，供应商应按【谈判邀请】规定向采购代理机构交纳代理服务费，并在谈判文件中提供代理服务费承诺书。</w:t>
      </w:r>
    </w:p>
    <w:p w14:paraId="04F81C33">
      <w:pPr>
        <w:pStyle w:val="4"/>
        <w:wordWrap/>
        <w:adjustRightInd w:val="0"/>
        <w:snapToGrid w:val="0"/>
        <w:spacing w:before="157" w:beforeLines="50" w:after="0" w:line="560" w:lineRule="exact"/>
        <w:outlineLvl w:val="2"/>
        <w:rPr>
          <w:rFonts w:hint="eastAsia" w:ascii="楷体_GB2312" w:hAnsi="楷体_GB2312" w:eastAsia="楷体_GB2312" w:cs="楷体_GB2312"/>
          <w:b/>
          <w:bCs/>
          <w:kern w:val="2"/>
          <w:sz w:val="32"/>
          <w:szCs w:val="32"/>
          <w:highlight w:val="none"/>
          <w:lang w:val="en-US" w:eastAsia="zh-CN" w:bidi="ar-SA"/>
        </w:rPr>
      </w:pPr>
      <w:bookmarkStart w:id="273" w:name="_Toc14580"/>
      <w:bookmarkStart w:id="274" w:name="_Toc27699_WPSOffice_Level3"/>
      <w:bookmarkStart w:id="275" w:name="_Toc809"/>
      <w:bookmarkStart w:id="276" w:name="_Toc18975"/>
      <w:bookmarkStart w:id="277" w:name="_Toc1461_WPSOffice_Level3"/>
      <w:r>
        <w:rPr>
          <w:rFonts w:hint="eastAsia" w:ascii="楷体_GB2312" w:hAnsi="楷体_GB2312" w:eastAsia="楷体_GB2312" w:cs="楷体_GB2312"/>
          <w:b/>
          <w:bCs/>
          <w:kern w:val="2"/>
          <w:sz w:val="32"/>
          <w:szCs w:val="32"/>
          <w:highlight w:val="none"/>
          <w:lang w:val="en-US" w:eastAsia="zh-CN" w:bidi="ar-SA"/>
        </w:rPr>
        <w:t>33.其他规定</w:t>
      </w:r>
      <w:bookmarkEnd w:id="273"/>
      <w:bookmarkEnd w:id="274"/>
      <w:bookmarkEnd w:id="275"/>
      <w:bookmarkEnd w:id="276"/>
      <w:bookmarkEnd w:id="277"/>
    </w:p>
    <w:p w14:paraId="3DFCDB3F">
      <w:pPr>
        <w:widowControl w:val="0"/>
        <w:wordWrap/>
        <w:adjustRightInd w:val="0"/>
        <w:snapToGrid w:val="0"/>
        <w:spacing w:line="560" w:lineRule="exact"/>
        <w:ind w:firstLine="640" w:firstLineChars="200"/>
        <w:jc w:val="left"/>
        <w:textAlignment w:val="auto"/>
        <w:rPr>
          <w:rFonts w:hint="eastAsia" w:ascii="宋体" w:hAnsi="宋体"/>
          <w:szCs w:val="21"/>
        </w:rPr>
      </w:pPr>
      <w:r>
        <w:rPr>
          <w:rFonts w:hint="eastAsia" w:ascii="仿宋_GB2312" w:hAnsi="仿宋_GB2312" w:eastAsia="仿宋_GB2312" w:cs="仿宋_GB2312"/>
          <w:kern w:val="2"/>
          <w:sz w:val="32"/>
          <w:szCs w:val="32"/>
          <w:lang w:val="en-US" w:eastAsia="zh-CN" w:bidi="ar-SA"/>
        </w:rPr>
        <w:t>谈判文件的其他规定见【谈判邀请】</w:t>
      </w:r>
      <w:r>
        <w:rPr>
          <w:rFonts w:hint="eastAsia" w:ascii="仿宋_GB2312" w:hAnsi="仿宋_GB2312" w:eastAsia="仿宋_GB2312" w:cs="仿宋_GB2312"/>
          <w:kern w:val="2"/>
          <w:sz w:val="30"/>
          <w:szCs w:val="30"/>
          <w:lang w:val="en-US" w:eastAsia="zh-CN" w:bidi="ar-SA"/>
        </w:rPr>
        <w:t>。</w:t>
      </w:r>
    </w:p>
    <w:p w14:paraId="347C48AD">
      <w:pPr>
        <w:pStyle w:val="2"/>
        <w:keepNext/>
        <w:widowControl w:val="0"/>
        <w:numPr>
          <w:ilvl w:val="0"/>
          <w:numId w:val="0"/>
        </w:numPr>
        <w:wordWrap/>
        <w:adjustRightInd w:val="0"/>
        <w:snapToGrid w:val="0"/>
        <w:spacing w:before="157" w:beforeLines="50" w:line="560" w:lineRule="exact"/>
        <w:jc w:val="center"/>
        <w:textAlignment w:val="auto"/>
        <w:outlineLvl w:val="0"/>
        <w:rPr>
          <w:rFonts w:hint="eastAsia" w:ascii="华文中宋" w:hAnsi="华文中宋" w:eastAsia="华文中宋" w:cs="华文中宋"/>
          <w:b w:val="0"/>
          <w:bCs w:val="0"/>
          <w:sz w:val="44"/>
          <w:szCs w:val="44"/>
          <w:highlight w:val="none"/>
          <w:lang w:val="en-US" w:eastAsia="zh-CN"/>
        </w:rPr>
      </w:pPr>
      <w:bookmarkStart w:id="278" w:name="_Toc29561_WPSOffice_Level1"/>
      <w:bookmarkStart w:id="279" w:name="_Toc18130_WPSOffice_Level1"/>
      <w:bookmarkStart w:id="280" w:name="_Toc4912_WPSOffice_Level1"/>
      <w:bookmarkStart w:id="281" w:name="_Toc7566"/>
      <w:bookmarkStart w:id="282" w:name="_Toc7780_WPSOffice_Level1"/>
      <w:bookmarkStart w:id="283" w:name="_Toc13204"/>
      <w:bookmarkStart w:id="284" w:name="_Toc34637773"/>
      <w:bookmarkStart w:id="285" w:name="_Toc20750"/>
      <w:bookmarkStart w:id="286" w:name="_Toc31765_WPSOffice_Level1"/>
      <w:bookmarkStart w:id="287" w:name="_Toc2404_WPSOffice_Level1"/>
      <w:r>
        <w:rPr>
          <w:rFonts w:hint="eastAsia" w:ascii="华文中宋" w:hAnsi="华文中宋" w:eastAsia="华文中宋" w:cs="华文中宋"/>
          <w:b w:val="0"/>
          <w:bCs w:val="0"/>
          <w:sz w:val="44"/>
          <w:szCs w:val="44"/>
          <w:highlight w:val="none"/>
          <w:lang w:val="en-US" w:eastAsia="zh-CN"/>
        </w:rPr>
        <w:br w:type="page"/>
      </w:r>
      <w:bookmarkStart w:id="288" w:name="_Toc22660"/>
      <w:bookmarkStart w:id="289" w:name="_Toc11821"/>
      <w:r>
        <w:rPr>
          <w:rFonts w:hint="eastAsia" w:ascii="华文中宋" w:hAnsi="华文中宋" w:eastAsia="华文中宋" w:cs="华文中宋"/>
          <w:b w:val="0"/>
          <w:bCs w:val="0"/>
          <w:sz w:val="44"/>
          <w:szCs w:val="44"/>
          <w:highlight w:val="none"/>
          <w:lang w:val="en-US" w:eastAsia="zh-CN"/>
        </w:rPr>
        <w:t>第三部分 采购需求</w:t>
      </w:r>
      <w:bookmarkEnd w:id="278"/>
      <w:bookmarkEnd w:id="279"/>
      <w:bookmarkEnd w:id="280"/>
      <w:bookmarkEnd w:id="281"/>
      <w:bookmarkEnd w:id="282"/>
      <w:bookmarkEnd w:id="283"/>
      <w:bookmarkEnd w:id="284"/>
      <w:bookmarkEnd w:id="285"/>
      <w:bookmarkEnd w:id="286"/>
      <w:bookmarkEnd w:id="287"/>
      <w:bookmarkEnd w:id="288"/>
      <w:bookmarkEnd w:id="289"/>
    </w:p>
    <w:p w14:paraId="5C5F52EE">
      <w:pPr>
        <w:widowControl w:val="0"/>
        <w:wordWrap/>
        <w:adjustRightInd w:val="0"/>
        <w:snapToGrid w:val="0"/>
        <w:spacing w:before="157" w:beforeLines="50" w:line="560" w:lineRule="exact"/>
        <w:jc w:val="center"/>
        <w:textAlignment w:val="auto"/>
        <w:outlineLvl w:val="1"/>
        <w:rPr>
          <w:rFonts w:hint="eastAsia" w:ascii="黑体" w:hAnsi="黑体" w:eastAsia="黑体" w:cs="黑体"/>
          <w:b w:val="0"/>
          <w:bCs w:val="0"/>
          <w:kern w:val="2"/>
          <w:sz w:val="32"/>
          <w:szCs w:val="32"/>
          <w:highlight w:val="none"/>
          <w:lang w:val="zh-CN" w:eastAsia="zh-CN" w:bidi="ar-SA"/>
        </w:rPr>
      </w:pPr>
      <w:bookmarkStart w:id="290" w:name="_Toc20423_WPSOffice_Level2"/>
      <w:bookmarkStart w:id="291" w:name="_Toc515908232"/>
      <w:bookmarkStart w:id="292" w:name="_Toc13326_WPSOffice_Level2"/>
      <w:bookmarkStart w:id="293" w:name="_Toc19812_WPSOffice_Level2"/>
      <w:bookmarkStart w:id="294" w:name="_Toc4601"/>
      <w:bookmarkStart w:id="295" w:name="_Toc17070"/>
      <w:bookmarkStart w:id="296" w:name="_Toc8656"/>
      <w:bookmarkStart w:id="297" w:name="_Toc2653"/>
      <w:bookmarkStart w:id="298" w:name="_Toc9023"/>
      <w:r>
        <w:rPr>
          <w:rFonts w:hint="eastAsia" w:ascii="黑体" w:hAnsi="黑体" w:eastAsia="黑体" w:cs="黑体"/>
          <w:b w:val="0"/>
          <w:bCs w:val="0"/>
          <w:kern w:val="2"/>
          <w:sz w:val="32"/>
          <w:szCs w:val="32"/>
          <w:highlight w:val="none"/>
          <w:lang w:val="zh-CN" w:eastAsia="zh-CN" w:bidi="ar-SA"/>
        </w:rPr>
        <w:t>十、响应说明</w:t>
      </w:r>
      <w:bookmarkEnd w:id="290"/>
      <w:bookmarkEnd w:id="291"/>
      <w:bookmarkEnd w:id="292"/>
      <w:bookmarkEnd w:id="293"/>
      <w:bookmarkEnd w:id="294"/>
      <w:bookmarkEnd w:id="295"/>
      <w:bookmarkEnd w:id="296"/>
      <w:bookmarkEnd w:id="297"/>
      <w:bookmarkEnd w:id="298"/>
    </w:p>
    <w:p w14:paraId="469298FB">
      <w:pPr>
        <w:widowControl w:val="0"/>
        <w:wordWrap/>
        <w:adjustRightInd w:val="0"/>
        <w:snapToGrid w:val="0"/>
        <w:spacing w:line="560" w:lineRule="exact"/>
        <w:ind w:left="0" w:leftChars="0" w:right="0" w:firstLine="640" w:firstLineChars="200"/>
        <w:jc w:val="left"/>
        <w:textAlignment w:val="auto"/>
        <w:rPr>
          <w:rFonts w:hint="eastAsia" w:ascii="仿宋_GB2312" w:hAnsi="仿宋_GB2312" w:eastAsia="仿宋_GB2312" w:cs="仿宋_GB2312"/>
          <w:kern w:val="2"/>
          <w:sz w:val="32"/>
          <w:szCs w:val="32"/>
          <w:highlight w:val="none"/>
          <w:lang w:val="zh-CN" w:eastAsia="zh-CN" w:bidi="ar-SA"/>
        </w:rPr>
      </w:pPr>
      <w:r>
        <w:rPr>
          <w:rFonts w:hint="eastAsia" w:ascii="仿宋_GB2312" w:hAnsi="仿宋_GB2312" w:eastAsia="仿宋_GB2312" w:cs="仿宋_GB2312"/>
          <w:kern w:val="2"/>
          <w:sz w:val="32"/>
          <w:szCs w:val="32"/>
          <w:highlight w:val="none"/>
          <w:lang w:val="en-US" w:eastAsia="zh-CN" w:bidi="ar-SA"/>
        </w:rPr>
        <w:t>1.</w:t>
      </w:r>
      <w:r>
        <w:rPr>
          <w:rFonts w:hint="eastAsia" w:ascii="仿宋_GB2312" w:hAnsi="仿宋_GB2312" w:eastAsia="仿宋_GB2312" w:cs="仿宋_GB2312"/>
          <w:kern w:val="2"/>
          <w:sz w:val="32"/>
          <w:szCs w:val="32"/>
          <w:highlight w:val="none"/>
          <w:lang w:val="zh-CN" w:eastAsia="zh-CN" w:bidi="ar-SA"/>
        </w:rPr>
        <w:t>供应商可以按照谈判文件规定的包号选择响应，但必须对所响应包号中的所有内容作为一个整体进行响应，不能拆分或少报，</w:t>
      </w:r>
      <w:r>
        <w:rPr>
          <w:rFonts w:hint="eastAsia" w:ascii="仿宋_GB2312" w:hAnsi="仿宋_GB2312" w:eastAsia="仿宋_GB2312" w:cs="仿宋_GB2312"/>
          <w:kern w:val="2"/>
          <w:sz w:val="32"/>
          <w:szCs w:val="32"/>
          <w:highlight w:val="none"/>
          <w:lang w:val="en-US" w:eastAsia="zh-CN" w:bidi="ar-SA"/>
        </w:rPr>
        <w:t>如有缺项、漏项，其响应无效。</w:t>
      </w:r>
    </w:p>
    <w:p w14:paraId="097BF6FC">
      <w:pPr>
        <w:widowControl w:val="0"/>
        <w:wordWrap/>
        <w:adjustRightInd w:val="0"/>
        <w:snapToGrid w:val="0"/>
        <w:spacing w:line="560" w:lineRule="exact"/>
        <w:ind w:left="0" w:leftChars="0" w:right="0" w:firstLine="640" w:firstLineChars="200"/>
        <w:jc w:val="left"/>
        <w:textAlignment w:val="auto"/>
        <w:rPr>
          <w:rFonts w:hint="eastAsia" w:ascii="仿宋_GB2312" w:hAnsi="仿宋_GB2312" w:eastAsia="仿宋_GB2312" w:cs="仿宋_GB2312"/>
          <w:kern w:val="2"/>
          <w:sz w:val="32"/>
          <w:szCs w:val="32"/>
          <w:highlight w:val="none"/>
          <w:lang w:val="zh-CN" w:eastAsia="zh-CN" w:bidi="ar-SA"/>
        </w:rPr>
      </w:pPr>
      <w:r>
        <w:rPr>
          <w:rFonts w:hint="eastAsia" w:ascii="仿宋_GB2312" w:hAnsi="仿宋_GB2312" w:eastAsia="仿宋_GB2312" w:cs="仿宋_GB2312"/>
          <w:kern w:val="2"/>
          <w:sz w:val="32"/>
          <w:szCs w:val="32"/>
          <w:highlight w:val="none"/>
          <w:lang w:val="en-US" w:eastAsia="zh-CN" w:bidi="ar-SA"/>
        </w:rPr>
        <w:t>2.</w:t>
      </w:r>
      <w:r>
        <w:rPr>
          <w:rFonts w:hint="eastAsia" w:ascii="仿宋_GB2312" w:hAnsi="仿宋_GB2312" w:eastAsia="仿宋_GB2312" w:cs="仿宋_GB2312"/>
          <w:kern w:val="2"/>
          <w:sz w:val="32"/>
          <w:szCs w:val="32"/>
          <w:highlight w:val="none"/>
          <w:lang w:val="zh-CN" w:eastAsia="zh-CN" w:bidi="ar-SA"/>
        </w:rPr>
        <w:t>供应商必须如实填写“项目需求及技术参数表”（样表如下），在响应产品“技术参数”栏中列出所响应产品的具体技术参数、指标；如果与谈判文件中提供的产品检测报告或彩页等证明材料中的实质性响应情况不一致或直接复制谈判文件“技术参数”内容的，按无效响应处理。</w:t>
      </w:r>
    </w:p>
    <w:p w14:paraId="4FB586F4">
      <w:pPr>
        <w:widowControl w:val="0"/>
        <w:wordWrap/>
        <w:adjustRightInd w:val="0"/>
        <w:snapToGrid w:val="0"/>
        <w:spacing w:line="560" w:lineRule="exact"/>
        <w:ind w:left="0" w:leftChars="0" w:right="0"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3.谈判</w:t>
      </w:r>
      <w:r>
        <w:rPr>
          <w:rFonts w:hint="eastAsia" w:ascii="仿宋_GB2312" w:hAnsi="仿宋_GB2312" w:eastAsia="仿宋_GB2312" w:cs="仿宋_GB2312"/>
          <w:color w:val="auto"/>
          <w:kern w:val="2"/>
          <w:sz w:val="32"/>
          <w:szCs w:val="32"/>
          <w:highlight w:val="none"/>
          <w:lang w:val="zh-CN" w:eastAsia="zh-CN" w:bidi="ar-SA"/>
        </w:rPr>
        <w:t>内容中未特别标注为“</w:t>
      </w:r>
      <w:r>
        <w:rPr>
          <w:rFonts w:hint="eastAsia" w:ascii="仿宋_GB2312" w:hAnsi="仿宋_GB2312" w:eastAsia="仿宋_GB2312" w:cs="仿宋_GB2312"/>
          <w:color w:val="auto"/>
          <w:sz w:val="32"/>
          <w:szCs w:val="32"/>
          <w:lang w:val="zh-CN"/>
        </w:rPr>
        <w:t>原装进口</w:t>
      </w:r>
      <w:r>
        <w:rPr>
          <w:rFonts w:hint="eastAsia" w:ascii="仿宋_GB2312" w:hAnsi="仿宋_GB2312" w:eastAsia="仿宋_GB2312" w:cs="仿宋_GB2312"/>
          <w:color w:val="auto"/>
          <w:kern w:val="2"/>
          <w:sz w:val="32"/>
          <w:szCs w:val="32"/>
          <w:highlight w:val="none"/>
          <w:lang w:val="zh-CN" w:eastAsia="zh-CN" w:bidi="ar-SA"/>
        </w:rPr>
        <w:t>”字样的产品，供应商必须提供国产产品；标注为“</w:t>
      </w:r>
      <w:r>
        <w:rPr>
          <w:rFonts w:hint="eastAsia" w:ascii="仿宋_GB2312" w:hAnsi="仿宋_GB2312" w:eastAsia="仿宋_GB2312" w:cs="仿宋_GB2312"/>
          <w:color w:val="auto"/>
          <w:sz w:val="32"/>
          <w:szCs w:val="32"/>
          <w:lang w:val="zh-CN"/>
        </w:rPr>
        <w:t>原装进口</w:t>
      </w:r>
      <w:r>
        <w:rPr>
          <w:rFonts w:hint="eastAsia" w:ascii="仿宋_GB2312" w:hAnsi="仿宋_GB2312" w:eastAsia="仿宋_GB2312" w:cs="仿宋_GB2312"/>
          <w:color w:val="auto"/>
          <w:kern w:val="2"/>
          <w:sz w:val="32"/>
          <w:szCs w:val="32"/>
          <w:highlight w:val="none"/>
          <w:lang w:val="zh-CN" w:eastAsia="zh-CN" w:bidi="ar-SA"/>
        </w:rPr>
        <w:t>”字样的产品，供应商应该提供进口产品，但如果因信息不对称等原因，仍有满足采购需求的国内产品要求参与采购竞争的，可以提供国产产品，并且按照公平竞争原则实施采购。</w:t>
      </w:r>
    </w:p>
    <w:p w14:paraId="3DB76B39">
      <w:pPr>
        <w:widowControl w:val="0"/>
        <w:wordWrap/>
        <w:adjustRightInd w:val="0"/>
        <w:snapToGrid w:val="0"/>
        <w:spacing w:line="560" w:lineRule="exact"/>
        <w:ind w:left="0" w:leftChars="0" w:right="0" w:firstLine="640" w:firstLineChars="200"/>
        <w:jc w:val="left"/>
        <w:textAlignment w:val="auto"/>
        <w:rPr>
          <w:rFonts w:hint="eastAsia" w:ascii="仿宋_GB2312" w:hAnsi="仿宋_GB2312" w:eastAsia="仿宋_GB2312" w:cs="仿宋_GB2312"/>
          <w:kern w:val="2"/>
          <w:sz w:val="32"/>
          <w:szCs w:val="32"/>
          <w:highlight w:val="none"/>
          <w:lang w:val="zh-CN" w:eastAsia="zh-CN" w:bidi="ar-SA"/>
        </w:rPr>
      </w:pPr>
      <w:r>
        <w:rPr>
          <w:rFonts w:hint="eastAsia" w:ascii="仿宋_GB2312" w:hAnsi="仿宋_GB2312" w:eastAsia="仿宋_GB2312" w:cs="仿宋_GB2312"/>
          <w:kern w:val="2"/>
          <w:sz w:val="32"/>
          <w:szCs w:val="32"/>
          <w:highlight w:val="none"/>
          <w:lang w:val="en-US" w:eastAsia="zh-CN" w:bidi="ar-SA"/>
        </w:rPr>
        <w:t>4.所提供产品或其任何一部分不得侵犯专利权、著作权、商标权和工业设计权等知识产权。</w:t>
      </w:r>
    </w:p>
    <w:p w14:paraId="148303EE">
      <w:pPr>
        <w:widowControl w:val="0"/>
        <w:wordWrap/>
        <w:adjustRightInd w:val="0"/>
        <w:snapToGrid w:val="0"/>
        <w:spacing w:before="157" w:beforeLines="50" w:line="560" w:lineRule="exact"/>
        <w:ind w:left="0" w:leftChars="0" w:right="0" w:firstLine="640" w:firstLineChars="200"/>
        <w:jc w:val="center"/>
        <w:textAlignment w:val="auto"/>
        <w:outlineLvl w:val="1"/>
        <w:rPr>
          <w:rFonts w:hint="eastAsia" w:ascii="黑体" w:hAnsi="黑体" w:eastAsia="黑体" w:cs="黑体"/>
          <w:b w:val="0"/>
          <w:bCs w:val="0"/>
          <w:kern w:val="2"/>
          <w:sz w:val="32"/>
          <w:szCs w:val="32"/>
          <w:highlight w:val="none"/>
          <w:lang w:val="zh-CN" w:eastAsia="zh-CN" w:bidi="ar-SA"/>
        </w:rPr>
      </w:pPr>
      <w:bookmarkStart w:id="299" w:name="_Toc32215"/>
      <w:bookmarkStart w:id="300" w:name="_Toc28791"/>
      <w:bookmarkStart w:id="301" w:name="_Toc1475"/>
      <w:bookmarkStart w:id="302" w:name="_Toc16271_WPSOffice_Level2"/>
      <w:bookmarkStart w:id="303" w:name="_Toc26560_WPSOffice_Level2"/>
      <w:bookmarkStart w:id="304" w:name="_Toc515908233"/>
      <w:bookmarkStart w:id="305" w:name="_Toc18062"/>
      <w:bookmarkStart w:id="306" w:name="_Toc22092"/>
      <w:bookmarkStart w:id="307" w:name="_Toc19609_WPSOffice_Level2"/>
      <w:r>
        <w:rPr>
          <w:rFonts w:hint="eastAsia" w:ascii="黑体" w:hAnsi="黑体" w:eastAsia="黑体" w:cs="黑体"/>
          <w:b w:val="0"/>
          <w:bCs w:val="0"/>
          <w:kern w:val="2"/>
          <w:sz w:val="32"/>
          <w:szCs w:val="32"/>
          <w:highlight w:val="none"/>
          <w:lang w:val="zh-CN" w:eastAsia="zh-CN" w:bidi="ar-SA"/>
        </w:rPr>
        <w:t>十一、重要指标</w:t>
      </w:r>
      <w:bookmarkEnd w:id="299"/>
      <w:bookmarkEnd w:id="300"/>
      <w:bookmarkEnd w:id="301"/>
      <w:bookmarkEnd w:id="302"/>
      <w:bookmarkEnd w:id="303"/>
      <w:bookmarkEnd w:id="304"/>
      <w:bookmarkEnd w:id="305"/>
      <w:bookmarkEnd w:id="306"/>
      <w:bookmarkEnd w:id="307"/>
    </w:p>
    <w:p w14:paraId="6CE6031E">
      <w:pPr>
        <w:widowControl w:val="0"/>
        <w:wordWrap/>
        <w:adjustRightInd w:val="0"/>
        <w:snapToGrid w:val="0"/>
        <w:spacing w:line="560" w:lineRule="exact"/>
        <w:ind w:left="0" w:leftChars="0" w:right="0" w:firstLine="640" w:firstLineChars="200"/>
        <w:jc w:val="left"/>
        <w:textAlignment w:val="auto"/>
        <w:rPr>
          <w:rFonts w:hint="eastAsia" w:ascii="仿宋_GB2312" w:hAnsi="仿宋_GB2312" w:eastAsia="仿宋_GB2312" w:cs="仿宋_GB2312"/>
          <w:kern w:val="2"/>
          <w:sz w:val="32"/>
          <w:szCs w:val="32"/>
          <w:highlight w:val="none"/>
          <w:lang w:val="zh-CN" w:eastAsia="zh-CN" w:bidi="ar-SA"/>
        </w:rPr>
      </w:pPr>
      <w:bookmarkStart w:id="308" w:name="_Toc18880"/>
      <w:r>
        <w:rPr>
          <w:rFonts w:hint="eastAsia" w:ascii="仿宋_GB2312" w:hAnsi="仿宋_GB2312" w:eastAsia="仿宋_GB2312" w:cs="仿宋_GB2312"/>
          <w:kern w:val="2"/>
          <w:sz w:val="32"/>
          <w:szCs w:val="32"/>
          <w:highlight w:val="none"/>
          <w:lang w:val="en-US" w:eastAsia="zh-CN" w:bidi="ar-SA"/>
        </w:rPr>
        <w:t>1.</w:t>
      </w:r>
      <w:r>
        <w:rPr>
          <w:rFonts w:hint="eastAsia" w:ascii="仿宋_GB2312" w:hAnsi="仿宋_GB2312" w:eastAsia="仿宋_GB2312" w:cs="仿宋_GB2312"/>
          <w:kern w:val="2"/>
          <w:sz w:val="32"/>
          <w:szCs w:val="32"/>
          <w:highlight w:val="none"/>
          <w:lang w:val="zh-CN" w:eastAsia="zh-CN" w:bidi="ar-SA"/>
        </w:rPr>
        <w:t>谈判文件在技术参数中列出了采购人可以接受的最低技术指标，供应商必须对“项目概况及技术参数表”中各项产品和指标进行实质性响应，所推荐的每一项产品在性能上不能低于所列的各项指标。否则，响应无效。</w:t>
      </w:r>
    </w:p>
    <w:p w14:paraId="1BFFEC07">
      <w:pPr>
        <w:widowControl w:val="0"/>
        <w:wordWrap/>
        <w:adjustRightInd w:val="0"/>
        <w:snapToGrid w:val="0"/>
        <w:spacing w:line="560" w:lineRule="exact"/>
        <w:ind w:left="0" w:leftChars="0" w:right="0" w:firstLine="640" w:firstLineChars="200"/>
        <w:jc w:val="left"/>
        <w:textAlignment w:val="auto"/>
        <w:rPr>
          <w:rFonts w:hint="eastAsia" w:ascii="仿宋_GB2312" w:hAnsi="仿宋_GB2312" w:eastAsia="仿宋_GB2312" w:cs="仿宋_GB2312"/>
          <w:kern w:val="2"/>
          <w:sz w:val="32"/>
          <w:szCs w:val="32"/>
          <w:highlight w:val="none"/>
          <w:lang w:val="zh-CN" w:eastAsia="zh-CN" w:bidi="ar-SA"/>
        </w:rPr>
      </w:pPr>
      <w:r>
        <w:rPr>
          <w:rFonts w:hint="eastAsia" w:ascii="仿宋_GB2312" w:hAnsi="仿宋_GB2312" w:eastAsia="仿宋_GB2312" w:cs="仿宋_GB2312"/>
          <w:kern w:val="2"/>
          <w:sz w:val="32"/>
          <w:szCs w:val="32"/>
          <w:highlight w:val="none"/>
          <w:lang w:val="en-US" w:eastAsia="zh-CN" w:bidi="ar-SA"/>
        </w:rPr>
        <w:t>2.</w:t>
      </w:r>
      <w:r>
        <w:rPr>
          <w:rFonts w:hint="eastAsia" w:ascii="仿宋_GB2312" w:hAnsi="仿宋_GB2312" w:eastAsia="仿宋_GB2312" w:cs="仿宋_GB2312"/>
          <w:kern w:val="2"/>
          <w:sz w:val="32"/>
          <w:szCs w:val="32"/>
          <w:highlight w:val="none"/>
          <w:lang w:val="zh-CN" w:eastAsia="zh-CN" w:bidi="ar-SA"/>
        </w:rPr>
        <w:t>谈判文件中凡需与原有设备、系统并机、兼容、匹配等要求的，请主动和采购人联系，取得原有设备、系统相关资料。若有谈判文件未提及或变更内容的，请及时与采购人或者采购代理机构联系。</w:t>
      </w:r>
    </w:p>
    <w:p w14:paraId="520992B6">
      <w:pPr>
        <w:widowControl w:val="0"/>
        <w:wordWrap/>
        <w:adjustRightInd w:val="0"/>
        <w:snapToGrid w:val="0"/>
        <w:spacing w:line="560" w:lineRule="exact"/>
        <w:ind w:left="0" w:leftChars="0" w:right="0"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3.“</w:t>
      </w:r>
      <w:r>
        <w:rPr>
          <w:rFonts w:hint="eastAsia" w:ascii="仿宋_GB2312" w:hAnsi="仿宋_GB2312" w:eastAsia="仿宋_GB2312" w:cs="仿宋_GB2312"/>
          <w:kern w:val="2"/>
          <w:sz w:val="32"/>
          <w:szCs w:val="32"/>
          <w:highlight w:val="none"/>
          <w:lang w:val="zh-CN" w:eastAsia="zh-CN" w:bidi="ar-SA"/>
        </w:rPr>
        <w:t>技术参数”中除注明签订合同时提供</w:t>
      </w:r>
      <w:r>
        <w:rPr>
          <w:rFonts w:hint="eastAsia" w:ascii="仿宋_GB2312" w:hAnsi="仿宋_GB2312" w:eastAsia="仿宋_GB2312" w:cs="仿宋_GB2312"/>
          <w:kern w:val="2"/>
          <w:sz w:val="32"/>
          <w:szCs w:val="32"/>
          <w:highlight w:val="none"/>
          <w:lang w:val="en-US" w:eastAsia="zh-CN" w:bidi="ar-SA"/>
        </w:rPr>
        <w:t>的相关授权、服务承诺等资料以外，其余相关资料在响应时必须附在响应文件中。</w:t>
      </w:r>
    </w:p>
    <w:p w14:paraId="4701ADAD">
      <w:pPr>
        <w:widowControl w:val="0"/>
        <w:wordWrap/>
        <w:adjustRightInd w:val="0"/>
        <w:snapToGrid w:val="0"/>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4.商务要求</w:t>
      </w:r>
    </w:p>
    <w:p w14:paraId="4CDFB092">
      <w:pPr>
        <w:widowControl w:val="0"/>
        <w:wordWrap/>
        <w:adjustRightInd w:val="0"/>
        <w:snapToGrid w:val="0"/>
        <w:spacing w:line="560" w:lineRule="exact"/>
        <w:ind w:firstLine="640" w:firstLineChars="200"/>
        <w:jc w:val="both"/>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4.1采购内容：购置藏医头部热疗康复仪、冲击波疼痛康复治疗仪、便携式生命体征监护仪等设备。</w:t>
      </w:r>
    </w:p>
    <w:p w14:paraId="0EF1C589">
      <w:pPr>
        <w:widowControl w:val="0"/>
        <w:wordWrap/>
        <w:adjustRightInd w:val="0"/>
        <w:snapToGrid w:val="0"/>
        <w:spacing w:line="560" w:lineRule="exact"/>
        <w:ind w:firstLine="640" w:firstLineChars="200"/>
        <w:jc w:val="both"/>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4.2.交货时间：甲乙双方签订合同后45日内供货完成。</w:t>
      </w:r>
    </w:p>
    <w:p w14:paraId="69115718">
      <w:pPr>
        <w:widowControl w:val="0"/>
        <w:wordWrap/>
        <w:adjustRightInd w:val="0"/>
        <w:snapToGrid w:val="0"/>
        <w:spacing w:line="560" w:lineRule="exact"/>
        <w:ind w:firstLine="640" w:firstLineChars="200"/>
        <w:jc w:val="both"/>
        <w:textAlignment w:val="auto"/>
      </w:pPr>
      <w:r>
        <w:rPr>
          <w:rFonts w:hint="eastAsia" w:ascii="仿宋_GB2312" w:hAnsi="仿宋_GB2312" w:eastAsia="仿宋_GB2312" w:cs="仿宋_GB2312"/>
          <w:kern w:val="2"/>
          <w:sz w:val="32"/>
          <w:szCs w:val="32"/>
          <w:highlight w:val="none"/>
          <w:lang w:val="en-US" w:eastAsia="zh-CN" w:bidi="ar-SA"/>
        </w:rPr>
        <w:t>4.3.交货地点：刚察县沙柳河镇卫生院。</w:t>
      </w:r>
    </w:p>
    <w:p w14:paraId="3187CD7E">
      <w:pPr>
        <w:widowControl w:val="0"/>
        <w:wordWrap/>
        <w:adjustRightInd w:val="0"/>
        <w:snapToGrid w:val="0"/>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4.4质保期：3年。</w:t>
      </w:r>
    </w:p>
    <w:p w14:paraId="5B7F1CE7">
      <w:pPr>
        <w:widowControl w:val="0"/>
        <w:wordWrap/>
        <w:adjustRightInd w:val="0"/>
        <w:snapToGrid w:val="0"/>
        <w:spacing w:line="56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4.5.付款方式：详见“第四部分 青海省政府采购项目合同书范本”中“四、付款方式”的规定。</w:t>
      </w:r>
    </w:p>
    <w:p w14:paraId="46D2DBC9">
      <w:pPr>
        <w:pStyle w:val="7"/>
        <w:rPr>
          <w:rFonts w:hint="eastAsia" w:ascii="仿宋_GB2312" w:hAnsi="仿宋_GB2312" w:eastAsia="仿宋_GB2312" w:cs="仿宋_GB2312"/>
          <w:kern w:val="2"/>
          <w:sz w:val="32"/>
          <w:szCs w:val="32"/>
          <w:highlight w:val="none"/>
          <w:lang w:val="en-US" w:eastAsia="zh-CN" w:bidi="ar-SA"/>
        </w:rPr>
      </w:pPr>
    </w:p>
    <w:p w14:paraId="3490F1F3">
      <w:pPr>
        <w:pStyle w:val="35"/>
        <w:outlineLvl w:val="9"/>
        <w:rPr>
          <w:rFonts w:hint="eastAsia" w:ascii="仿宋_GB2312" w:hAnsi="仿宋_GB2312" w:eastAsia="仿宋_GB2312" w:cs="仿宋_GB2312"/>
          <w:kern w:val="2"/>
          <w:sz w:val="32"/>
          <w:szCs w:val="32"/>
          <w:highlight w:val="none"/>
          <w:lang w:val="en-US" w:eastAsia="zh-CN" w:bidi="ar-SA"/>
        </w:rPr>
      </w:pPr>
    </w:p>
    <w:p w14:paraId="192847FE">
      <w:pPr>
        <w:rPr>
          <w:rFonts w:hint="eastAsia" w:ascii="仿宋_GB2312" w:hAnsi="仿宋_GB2312" w:eastAsia="仿宋_GB2312" w:cs="仿宋_GB2312"/>
          <w:kern w:val="2"/>
          <w:sz w:val="32"/>
          <w:szCs w:val="32"/>
          <w:highlight w:val="none"/>
          <w:lang w:val="en-US" w:eastAsia="zh-CN" w:bidi="ar-SA"/>
        </w:rPr>
      </w:pPr>
    </w:p>
    <w:p w14:paraId="4FA3ED1F">
      <w:pPr>
        <w:pStyle w:val="7"/>
        <w:rPr>
          <w:rFonts w:hint="eastAsia"/>
          <w:lang w:val="en-US" w:eastAsia="zh-CN"/>
        </w:rPr>
        <w:sectPr>
          <w:footerReference r:id="rId3" w:type="default"/>
          <w:pgSz w:w="11906" w:h="16838"/>
          <w:pgMar w:top="1984" w:right="1474" w:bottom="1871" w:left="1474"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bookmarkEnd w:id="308"/>
    <w:p w14:paraId="6C2817CD">
      <w:pPr>
        <w:widowControl w:val="0"/>
        <w:wordWrap/>
        <w:adjustRightInd w:val="0"/>
        <w:snapToGrid w:val="0"/>
        <w:spacing w:line="560" w:lineRule="exact"/>
        <w:jc w:val="center"/>
        <w:textAlignment w:val="auto"/>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b/>
          <w:bCs/>
          <w:kern w:val="2"/>
          <w:sz w:val="32"/>
          <w:szCs w:val="32"/>
          <w:highlight w:val="none"/>
          <w:lang w:val="en-US" w:eastAsia="zh-CN" w:bidi="ar-SA"/>
        </w:rPr>
        <w:t>项目概况及技术参数表</w:t>
      </w:r>
    </w:p>
    <w:tbl>
      <w:tblPr>
        <w:tblStyle w:val="19"/>
        <w:tblpPr w:leftFromText="180" w:rightFromText="180" w:vertAnchor="text" w:horzAnchor="page" w:tblpX="1451" w:tblpY="463"/>
        <w:tblOverlap w:val="never"/>
        <w:tblW w:w="13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992"/>
        <w:gridCol w:w="920"/>
        <w:gridCol w:w="1460"/>
        <w:gridCol w:w="8500"/>
      </w:tblGrid>
      <w:tr w14:paraId="61C7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vAlign w:val="center"/>
          </w:tcPr>
          <w:p w14:paraId="4876CCBE">
            <w:pPr>
              <w:widowControl w:val="0"/>
              <w:kinsoku w:val="0"/>
              <w:autoSpaceDE w:val="0"/>
              <w:autoSpaceDN w:val="0"/>
              <w:adjustRightInd w:val="0"/>
              <w:snapToGrid w:val="0"/>
              <w:spacing w:line="240" w:lineRule="auto"/>
              <w:jc w:val="center"/>
              <w:textAlignment w:val="baseline"/>
              <w:rPr>
                <w:rFonts w:hint="eastAsia" w:ascii="仿宋" w:hAnsi="仿宋" w:eastAsia="仿宋" w:cs="仿宋"/>
                <w:b/>
                <w:bCs/>
                <w:snapToGrid w:val="0"/>
                <w:color w:val="000000"/>
                <w:kern w:val="0"/>
                <w:sz w:val="20"/>
                <w:szCs w:val="20"/>
                <w:vertAlign w:val="baseline"/>
                <w:lang w:val="en-US" w:eastAsia="zh-CN"/>
              </w:rPr>
            </w:pPr>
            <w:r>
              <w:rPr>
                <w:rFonts w:hint="eastAsia" w:ascii="仿宋" w:hAnsi="仿宋" w:eastAsia="仿宋" w:cs="仿宋"/>
                <w:b/>
                <w:bCs/>
                <w:snapToGrid w:val="0"/>
                <w:color w:val="000000"/>
                <w:kern w:val="0"/>
                <w:sz w:val="20"/>
                <w:szCs w:val="20"/>
                <w:vertAlign w:val="baseline"/>
                <w:lang w:val="en-US" w:eastAsia="zh-CN"/>
              </w:rPr>
              <w:t>序号</w:t>
            </w:r>
          </w:p>
        </w:tc>
        <w:tc>
          <w:tcPr>
            <w:tcW w:w="1992" w:type="dxa"/>
            <w:vAlign w:val="center"/>
          </w:tcPr>
          <w:p w14:paraId="46562C9E">
            <w:pPr>
              <w:widowControl w:val="0"/>
              <w:kinsoku w:val="0"/>
              <w:autoSpaceDE w:val="0"/>
              <w:autoSpaceDN w:val="0"/>
              <w:adjustRightInd w:val="0"/>
              <w:snapToGrid w:val="0"/>
              <w:spacing w:line="240" w:lineRule="auto"/>
              <w:jc w:val="center"/>
              <w:textAlignment w:val="baseline"/>
              <w:rPr>
                <w:rFonts w:hint="eastAsia" w:ascii="仿宋" w:hAnsi="仿宋" w:eastAsia="仿宋" w:cs="仿宋"/>
                <w:b/>
                <w:bCs/>
                <w:snapToGrid w:val="0"/>
                <w:color w:val="000000"/>
                <w:kern w:val="0"/>
                <w:sz w:val="20"/>
                <w:szCs w:val="20"/>
                <w:vertAlign w:val="baseline"/>
                <w:lang w:val="en-US" w:eastAsia="zh-CN"/>
              </w:rPr>
            </w:pPr>
            <w:r>
              <w:rPr>
                <w:rFonts w:hint="eastAsia" w:ascii="仿宋" w:hAnsi="仿宋" w:eastAsia="仿宋" w:cs="仿宋"/>
                <w:b/>
                <w:bCs/>
                <w:snapToGrid w:val="0"/>
                <w:color w:val="000000"/>
                <w:kern w:val="0"/>
                <w:sz w:val="20"/>
                <w:szCs w:val="20"/>
                <w:vertAlign w:val="baseline"/>
                <w:lang w:val="en-US" w:eastAsia="zh-CN"/>
              </w:rPr>
              <w:t>设备名称</w:t>
            </w:r>
          </w:p>
        </w:tc>
        <w:tc>
          <w:tcPr>
            <w:tcW w:w="920" w:type="dxa"/>
            <w:vAlign w:val="center"/>
          </w:tcPr>
          <w:p w14:paraId="6A1B5628">
            <w:pPr>
              <w:widowControl w:val="0"/>
              <w:kinsoku w:val="0"/>
              <w:autoSpaceDE w:val="0"/>
              <w:autoSpaceDN w:val="0"/>
              <w:adjustRightInd w:val="0"/>
              <w:snapToGrid w:val="0"/>
              <w:spacing w:line="240" w:lineRule="auto"/>
              <w:jc w:val="center"/>
              <w:textAlignment w:val="baseline"/>
              <w:rPr>
                <w:rFonts w:hint="eastAsia" w:ascii="仿宋" w:hAnsi="仿宋" w:eastAsia="仿宋" w:cs="仿宋"/>
                <w:b/>
                <w:bCs/>
                <w:snapToGrid w:val="0"/>
                <w:color w:val="000000"/>
                <w:kern w:val="0"/>
                <w:sz w:val="20"/>
                <w:szCs w:val="20"/>
                <w:vertAlign w:val="baseline"/>
                <w:lang w:val="en-US" w:eastAsia="zh-CN"/>
              </w:rPr>
            </w:pPr>
            <w:r>
              <w:rPr>
                <w:rFonts w:hint="eastAsia" w:ascii="仿宋" w:hAnsi="仿宋" w:eastAsia="仿宋" w:cs="仿宋"/>
                <w:b/>
                <w:bCs/>
                <w:snapToGrid w:val="0"/>
                <w:color w:val="000000"/>
                <w:kern w:val="0"/>
                <w:sz w:val="20"/>
                <w:szCs w:val="20"/>
                <w:vertAlign w:val="baseline"/>
                <w:lang w:val="en-US" w:eastAsia="zh-CN"/>
              </w:rPr>
              <w:t>单位</w:t>
            </w:r>
          </w:p>
        </w:tc>
        <w:tc>
          <w:tcPr>
            <w:tcW w:w="1460" w:type="dxa"/>
            <w:vAlign w:val="center"/>
          </w:tcPr>
          <w:p w14:paraId="194E3F39">
            <w:pPr>
              <w:widowControl w:val="0"/>
              <w:kinsoku w:val="0"/>
              <w:autoSpaceDE w:val="0"/>
              <w:autoSpaceDN w:val="0"/>
              <w:adjustRightInd w:val="0"/>
              <w:snapToGrid w:val="0"/>
              <w:spacing w:line="240" w:lineRule="auto"/>
              <w:jc w:val="center"/>
              <w:textAlignment w:val="baseline"/>
              <w:rPr>
                <w:rFonts w:hint="eastAsia" w:ascii="仿宋" w:hAnsi="仿宋" w:eastAsia="仿宋" w:cs="仿宋"/>
                <w:b/>
                <w:bCs/>
                <w:snapToGrid w:val="0"/>
                <w:color w:val="000000"/>
                <w:kern w:val="0"/>
                <w:sz w:val="20"/>
                <w:szCs w:val="20"/>
                <w:vertAlign w:val="baseline"/>
                <w:lang w:val="en-US" w:eastAsia="zh-CN"/>
              </w:rPr>
            </w:pPr>
            <w:r>
              <w:rPr>
                <w:rFonts w:hint="eastAsia" w:ascii="仿宋" w:hAnsi="仿宋" w:eastAsia="仿宋" w:cs="仿宋"/>
                <w:b/>
                <w:bCs/>
                <w:snapToGrid w:val="0"/>
                <w:color w:val="000000"/>
                <w:kern w:val="0"/>
                <w:sz w:val="20"/>
                <w:szCs w:val="20"/>
                <w:vertAlign w:val="baseline"/>
                <w:lang w:val="en-US" w:eastAsia="zh-CN"/>
              </w:rPr>
              <w:t>数量</w:t>
            </w:r>
          </w:p>
        </w:tc>
        <w:tc>
          <w:tcPr>
            <w:tcW w:w="8500" w:type="dxa"/>
            <w:vAlign w:val="center"/>
          </w:tcPr>
          <w:p w14:paraId="0CCA9979">
            <w:pPr>
              <w:widowControl w:val="0"/>
              <w:kinsoku w:val="0"/>
              <w:autoSpaceDE w:val="0"/>
              <w:autoSpaceDN w:val="0"/>
              <w:adjustRightInd w:val="0"/>
              <w:snapToGrid w:val="0"/>
              <w:spacing w:line="240" w:lineRule="auto"/>
              <w:jc w:val="center"/>
              <w:textAlignment w:val="baseline"/>
              <w:rPr>
                <w:rFonts w:hint="eastAsia" w:ascii="仿宋" w:hAnsi="仿宋" w:eastAsia="仿宋" w:cs="仿宋"/>
                <w:b/>
                <w:bCs/>
                <w:snapToGrid w:val="0"/>
                <w:color w:val="000000"/>
                <w:kern w:val="0"/>
                <w:sz w:val="21"/>
                <w:szCs w:val="21"/>
                <w:vertAlign w:val="baseline"/>
                <w:lang w:val="en-US" w:eastAsia="zh-CN"/>
              </w:rPr>
            </w:pPr>
            <w:r>
              <w:rPr>
                <w:rFonts w:hint="eastAsia" w:ascii="仿宋" w:hAnsi="仿宋" w:eastAsia="仿宋" w:cs="仿宋"/>
                <w:b/>
                <w:bCs/>
                <w:snapToGrid w:val="0"/>
                <w:color w:val="000000"/>
                <w:kern w:val="0"/>
                <w:sz w:val="21"/>
                <w:szCs w:val="21"/>
                <w:vertAlign w:val="baseline"/>
                <w:lang w:val="en-US" w:eastAsia="zh-CN"/>
              </w:rPr>
              <w:t>技术参数</w:t>
            </w:r>
          </w:p>
        </w:tc>
      </w:tr>
      <w:tr w14:paraId="2312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4" w:hRule="atLeast"/>
        </w:trPr>
        <w:tc>
          <w:tcPr>
            <w:tcW w:w="563" w:type="dxa"/>
            <w:vAlign w:val="center"/>
          </w:tcPr>
          <w:p w14:paraId="04716E5D">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w:t>
            </w:r>
          </w:p>
        </w:tc>
        <w:tc>
          <w:tcPr>
            <w:tcW w:w="1992" w:type="dxa"/>
            <w:shd w:val="clear" w:color="auto" w:fill="auto"/>
            <w:vAlign w:val="center"/>
          </w:tcPr>
          <w:p w14:paraId="3CE4627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专用污水净化处理设备 </w:t>
            </w:r>
          </w:p>
        </w:tc>
        <w:tc>
          <w:tcPr>
            <w:tcW w:w="920" w:type="dxa"/>
            <w:shd w:val="clear" w:color="auto" w:fill="auto"/>
            <w:vAlign w:val="top"/>
          </w:tcPr>
          <w:p w14:paraId="17F7EA7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053DB3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1731D5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38C6A9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B70903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90CE36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65BC4A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CF2B9E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159F51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F5A553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3D47D9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CA7FFA7">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套</w:t>
            </w:r>
          </w:p>
        </w:tc>
        <w:tc>
          <w:tcPr>
            <w:tcW w:w="1460" w:type="dxa"/>
            <w:shd w:val="clear" w:color="auto" w:fill="auto"/>
            <w:vAlign w:val="center"/>
          </w:tcPr>
          <w:p w14:paraId="1258877B">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w:t>
            </w:r>
          </w:p>
        </w:tc>
        <w:tc>
          <w:tcPr>
            <w:tcW w:w="8500" w:type="dxa"/>
            <w:vAlign w:val="center"/>
          </w:tcPr>
          <w:p w14:paraId="70D84195">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一、技术参数</w:t>
            </w:r>
          </w:p>
          <w:p w14:paraId="2E5F714E">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水量</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24t医疗污水处理。</w:t>
            </w:r>
          </w:p>
          <w:p w14:paraId="79C84CE1">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处理工艺</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主体为“调节池+厌氧池+兼氧池+好氧池+沉淀池+消毒池”处理工艺。</w:t>
            </w:r>
          </w:p>
          <w:p w14:paraId="483DA26C">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设备间里有配电柜、风机等设备。</w:t>
            </w:r>
          </w:p>
          <w:p w14:paraId="28A65E84">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停留时间</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水力总停留时间≥20h</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p>
          <w:p w14:paraId="53B5C8D9">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4、</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材质</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Q235碳钢防腐或玻璃钢材质，内壁均有十字槽钢支撑。</w:t>
            </w:r>
          </w:p>
          <w:p w14:paraId="79F27E09">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5、</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防腐方式</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设备内表面环氧煤沥青漆防腐，</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外层</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环氧沥青漆底漆</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p>
          <w:p w14:paraId="49F2ABAC">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安全技术配置</w:t>
            </w:r>
          </w:p>
          <w:p w14:paraId="3C96730A">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1、采用全自动控制系统。</w:t>
            </w:r>
          </w:p>
          <w:p w14:paraId="3B21A086">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2、废水提升泵具有高液位启动，低液位停止功能。</w:t>
            </w:r>
          </w:p>
          <w:p w14:paraId="189070CF">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3、设备外表应平整光滑，其易触及的零部件棱边和尖角应圆滑或加以防护等</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p>
          <w:p w14:paraId="0334A977">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4、设备安装过程中出现任何安全问题由设备厂家自行负责。</w:t>
            </w:r>
          </w:p>
          <w:p w14:paraId="744ACCF5">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5、缺氧池、好氧池填料立体弹性填料</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p>
          <w:p w14:paraId="518A2B65">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6、设备埋于地表下。</w:t>
            </w:r>
          </w:p>
          <w:p w14:paraId="06AEB6CD">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二、配置参数</w:t>
            </w:r>
          </w:p>
          <w:p w14:paraId="5F062B72">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1、调节池及配件</w:t>
            </w:r>
          </w:p>
          <w:p w14:paraId="4ED1ADD4">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1.1、污水提升泵：Q=5m³ /hh=8mN=0.37kw，2台</w:t>
            </w:r>
          </w:p>
          <w:p w14:paraId="7353373F">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1.2、人工格栅：HF-500, a=5mm，1台</w:t>
            </w:r>
          </w:p>
          <w:p w14:paraId="4A91E783">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1.3、液位控制：高中低液位自控，1台</w:t>
            </w:r>
          </w:p>
          <w:p w14:paraId="712AC9DF">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1.4、配套电缆及管路：配套2套</w:t>
            </w:r>
          </w:p>
          <w:p w14:paraId="61730F8B">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2、一体化污水处理设备：1套，碳钢防腐材质(厌氧池、好氧池、除磷沉淀池、消毒池)，尺寸</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4150*1500*2310（长*宽*高）mm;</w:t>
            </w:r>
          </w:p>
          <w:p w14:paraId="0AA8803E">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2.1、厌氧池</w:t>
            </w:r>
          </w:p>
          <w:p w14:paraId="6F583E36">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2.1.1、弹性填料：Φ150mm弹性填料长</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1.5米，装填率:</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90%，1套</w:t>
            </w:r>
          </w:p>
          <w:p w14:paraId="46BC01FB">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2.1.2、填料支架：组合件，环氧树脂防腐，1套</w:t>
            </w:r>
          </w:p>
          <w:p w14:paraId="06E8169D">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2.1.3、布水器：Φ50mm,PVC，1套</w:t>
            </w:r>
          </w:p>
          <w:p w14:paraId="6022D8BA">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2.2、缺氧池</w:t>
            </w:r>
          </w:p>
          <w:p w14:paraId="1A03052E">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2.2.1、弹性填料：Φ150mm新型组合弹性填料，装填率:</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90%，1套</w:t>
            </w:r>
          </w:p>
          <w:p w14:paraId="3BD667E3">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2.2.2、填料支架：组合件，环氧树脂防腐，1套</w:t>
            </w:r>
          </w:p>
          <w:p w14:paraId="5A02892F">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2.2.3、布水器：Φ50mm,PVC，1套</w:t>
            </w:r>
          </w:p>
          <w:p w14:paraId="6691A8C1">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2.2.4、穿孔曝气装置：材质:ABS尼龙;服务面积:0.45-0.55㎡/个;充氧效率:η=16-20%;尺寸:215mm，1套</w:t>
            </w:r>
          </w:p>
          <w:p w14:paraId="549A263B">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2.2.5、曝气管路：Φ50mm.PVC，1套</w:t>
            </w:r>
          </w:p>
          <w:p w14:paraId="1807EE82">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2.3、好氧池</w:t>
            </w:r>
          </w:p>
          <w:p w14:paraId="02FB8205">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2.3.1、旋混曝气器：材质:ABS尼龙;服务面积:0.45-0.55㎡/个;充氧效率:η=16-20%;尺寸:215mm，9套</w:t>
            </w:r>
          </w:p>
          <w:p w14:paraId="7A2C4B8F">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2.3.2、组合填料：Φ150新型组合弹性填料，装填率:90%，9㎡</w:t>
            </w:r>
          </w:p>
          <w:p w14:paraId="6D16496A">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2.3.3、填料支架：组合件，环氧树脂防腐，1套</w:t>
            </w:r>
          </w:p>
          <w:p w14:paraId="7539C5AB">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2.3.4、风机：Q=85m³/h,P=240mbar, N=1.1kw，1台</w:t>
            </w:r>
          </w:p>
          <w:p w14:paraId="3410A683">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2.3.5、进气口消音器：风机配套，1套</w:t>
            </w:r>
          </w:p>
          <w:p w14:paraId="459CBA94">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2.3.6、</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出气口消音器</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：风机配套，1套</w:t>
            </w:r>
          </w:p>
          <w:p w14:paraId="2C04D5ED">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2.3.7、</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曝气管路</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PVC</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21F09DB4">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2.3.8、</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布水器</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PVC</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4667B7F3">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2.4、</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沉淀池</w:t>
            </w:r>
          </w:p>
          <w:p w14:paraId="3F430F89">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2.4.1、</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污泥回流泵</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Q=8</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m³</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 xml:space="preserve"> /hh=5mN=0.55kw</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，1台</w:t>
            </w:r>
          </w:p>
          <w:p w14:paraId="79CE6100">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2.4.2、</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中心沉淀器</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配套</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2A1B1F4B">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2.5、</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消毒池</w:t>
            </w:r>
          </w:p>
          <w:p w14:paraId="5DCBDB25">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2.5.1、</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次氯酸钠消毒装置</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：1台</w:t>
            </w:r>
          </w:p>
          <w:p w14:paraId="0A2F6F14">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2.5.2、</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控制屏</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07FFC82F">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2.5.3、</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计量泵</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008225C7">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2.5.4、</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混合系统</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1F347EF0">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2.6、</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附件</w:t>
            </w:r>
          </w:p>
          <w:p w14:paraId="329E8D3B">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2.6.1、</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电控柜</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全系统自动控制</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525BA0D1">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2.6.2、</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交流接触器</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配套</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5FDA6A5D">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2.6.3、</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时间继电器</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配套</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06AE5679">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2.6.4、</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过载保护器</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配套</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6EE0B0EE">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2.6.5、</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断路器</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配套</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35B32EF4">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三、</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安装附件及自动化控制系统</w:t>
            </w:r>
          </w:p>
          <w:p w14:paraId="1D4D4A4A">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3.11、</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系统配件</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配套(设备内)</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136A3DD5">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3.1.2、</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电线电缆</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配套(设备内)</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，1套</w:t>
            </w:r>
          </w:p>
          <w:p w14:paraId="58639160">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3.1.3、</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管道、阀门</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配套(设备内)</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，1批</w:t>
            </w:r>
          </w:p>
          <w:p w14:paraId="712661B1">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3.1.4、</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直通、弯头</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DN40，PVC</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，按项目实施需求确定</w:t>
            </w:r>
          </w:p>
          <w:p w14:paraId="5B854E67">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3.1.5、</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直通、弯头</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DN</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0，PVC</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，按项目实施需求确定</w:t>
            </w:r>
          </w:p>
          <w:p w14:paraId="2F1ECB4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3.1.6、</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法兰</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DN50</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，按项目实施需求确定</w:t>
            </w:r>
          </w:p>
          <w:p w14:paraId="50213A0A">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3.1.7、</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角铁</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5X5</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，按项目实施需求确定</w:t>
            </w:r>
          </w:p>
          <w:p w14:paraId="67382B26">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3.1.8、</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镀锌螺栓</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M12X60</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，按项目实施需求确定</w:t>
            </w:r>
          </w:p>
          <w:p w14:paraId="71D6ED3C">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3.1.9、膨胀螺栓：M12</w:t>
            </w:r>
            <w: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X</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60，按项目实施需求确定</w:t>
            </w:r>
          </w:p>
          <w:p w14:paraId="47DAA045">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3.1.10、穿线管：Φ32mm，按项目实施需求确定</w:t>
            </w:r>
          </w:p>
          <w:p w14:paraId="3A109278">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3.1.11管卡：Φ32mm，按项目实施需求确定</w:t>
            </w:r>
          </w:p>
          <w:p w14:paraId="591496A9">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四：其他需求：</w:t>
            </w:r>
          </w:p>
          <w:p w14:paraId="1F55B2D8">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4.1、配地面设备间1套，含保温装置，面积以现场实际需求为准；</w:t>
            </w:r>
          </w:p>
          <w:p w14:paraId="5906ED9F">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4.2、管路需与本院化粪池、市政管网联网；</w:t>
            </w:r>
          </w:p>
          <w:p w14:paraId="4FA18172">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4.3、安装、调试完成后出具符合国家标准的净化检测报告；</w:t>
            </w:r>
          </w:p>
          <w:p w14:paraId="25D9C21A">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4.3、投药装置为自动投药；</w:t>
            </w:r>
          </w:p>
          <w:p w14:paraId="647F2FDA">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4.4、配消毒剂两年使用量，按需供货；</w:t>
            </w:r>
          </w:p>
          <w:p w14:paraId="44917242">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4.5、提供两年水质检测，每季度一次。</w:t>
            </w:r>
          </w:p>
        </w:tc>
      </w:tr>
      <w:tr w14:paraId="6956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vAlign w:val="center"/>
          </w:tcPr>
          <w:p w14:paraId="707B5DB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126C25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A4F599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843FAF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0DADF5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FF28235">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w:t>
            </w:r>
          </w:p>
        </w:tc>
        <w:tc>
          <w:tcPr>
            <w:tcW w:w="1992" w:type="dxa"/>
            <w:shd w:val="clear" w:color="auto" w:fill="auto"/>
            <w:vAlign w:val="center"/>
          </w:tcPr>
          <w:p w14:paraId="72375E7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9C5962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B117F1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C8AEB1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37BAC2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B7D34F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电动三维牵引床</w:t>
            </w:r>
          </w:p>
        </w:tc>
        <w:tc>
          <w:tcPr>
            <w:tcW w:w="920" w:type="dxa"/>
            <w:shd w:val="clear" w:color="auto" w:fill="auto"/>
            <w:vAlign w:val="top"/>
          </w:tcPr>
          <w:p w14:paraId="5275AA22">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5CF94E72">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7B8A4374">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2B507EB3">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35D18A48">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345C212F">
            <w:pPr>
              <w:keepNext w:val="0"/>
              <w:keepLines w:val="0"/>
              <w:widowControl/>
              <w:suppressLineNumbers w:val="0"/>
              <w:kinsoku w:val="0"/>
              <w:autoSpaceDE w:val="0"/>
              <w:autoSpaceDN w:val="0"/>
              <w:adjustRightInd w:val="0"/>
              <w:snapToGrid w:val="0"/>
              <w:spacing w:line="240" w:lineRule="auto"/>
              <w:jc w:val="both"/>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176FB09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6B8FA3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0512F8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59F58A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8E822C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19A5FCC">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w:t>
            </w:r>
          </w:p>
        </w:tc>
        <w:tc>
          <w:tcPr>
            <w:tcW w:w="8500" w:type="dxa"/>
            <w:vAlign w:val="center"/>
          </w:tcPr>
          <w:p w14:paraId="07A1E745">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技术参数</w:t>
            </w:r>
          </w:p>
          <w:p w14:paraId="55346B33">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1、输入功率:≤180VA;</w:t>
            </w:r>
          </w:p>
          <w:p w14:paraId="5AABE1BF">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2、牵引模式:颈椎牵引、腰椎牵引;</w:t>
            </w:r>
          </w:p>
          <w:p w14:paraId="3857CB0C">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3、床板尺寸(长*宽*高):</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2200mm*580mm*780mm，背板长度</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1000mm，腿板长度</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1150mm;</w:t>
            </w:r>
          </w:p>
          <w:p w14:paraId="1D5F2419">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4、内置8种牵引模式:持续式牵引模式、持续式上阶梯牵引模式、间歇式牵引模式、间歇式上阶梯牵引模式、间歇式上下阶梯牵引模式、反复式牵引模式、反复式上阶梯牵引模式、反复式上下阶梯牵引模式;</w:t>
            </w:r>
          </w:p>
          <w:p w14:paraId="675D8D86">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lang w:val="en-US" w:eastAsia="zh-CN" w:bidi="ar"/>
                <w14:textFill>
                  <w14:solidFill>
                    <w14:schemeClr w14:val="tx1"/>
                  </w14:solidFill>
                </w14:textFill>
              </w:rPr>
              <w:t>5、</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输出指示:在整个治疗过程中，所选择的牵引模式以及至少包括牵引力、牵引相时间、间歇相时间和治疗时间在内的输出参数，应在设备上连续显示;</w:t>
            </w:r>
          </w:p>
          <w:p w14:paraId="3B54659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lang w:val="en-US" w:eastAsia="zh-CN" w:bidi="ar"/>
                <w14:textFill>
                  <w14:solidFill>
                    <w14:schemeClr w14:val="tx1"/>
                  </w14:solidFill>
                </w14:textFill>
              </w:rPr>
              <w:t>6、</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牵引力:</w:t>
            </w:r>
          </w:p>
          <w:p w14:paraId="06A61374">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6.1、颈椎牵引力可调范围:0</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300N，步长为1N，在牵引力调节至200N以上时;</w:t>
            </w:r>
          </w:p>
          <w:p w14:paraId="409ECAB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6.2、腰椎牵引力可调范围:0</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990N，步长为1N;</w:t>
            </w:r>
          </w:p>
          <w:p w14:paraId="06B3C7CF">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6.3、颈椎牵引渐进期和渐退期平均牵引力变化速率</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60N/s;</w:t>
            </w:r>
          </w:p>
          <w:p w14:paraId="69AC89F6">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6.4、腰椎牵引渐进期和渐退期平均牵引力变化速率</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90N/s;</w:t>
            </w:r>
          </w:p>
          <w:p w14:paraId="497347F3">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6.5、牵引补偿:由于外力作用而使患者端突然拉紧或松弛时，设备应自动恢复预设值;</w:t>
            </w:r>
          </w:p>
          <w:p w14:paraId="3045F0BB">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6.6、设备具有牵引力实时监测功能，允差土30N;治疗时间可调范围:0</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99min，步长为1min;</w:t>
            </w:r>
          </w:p>
          <w:p w14:paraId="7BBC30ED">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6.7、牵引相时间可调范围:0</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9min，步长为lmin；</w:t>
            </w:r>
          </w:p>
          <w:p w14:paraId="69121156">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6.8、间歇相时间可调范围:0</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9min，步长为lmin;</w:t>
            </w:r>
          </w:p>
          <w:p w14:paraId="53419160">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6.9、设备具有紧急保护措施，在牵引治疗过程中，按下急退按键，可使牵引力松弛至初始状态;</w:t>
            </w:r>
          </w:p>
          <w:p w14:paraId="632E9E00">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6.10、行程范围:腰牵滑动行程范围为:0</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200mm，颈牵滑动行程范围为:0</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250mm:</w:t>
            </w:r>
          </w:p>
          <w:p w14:paraId="7B55A38E">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6.11、角度牵引范围：</w:t>
            </w:r>
          </w:p>
          <w:p w14:paraId="2C0C1FC2">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6.11.1、牵引床上折可调节最大角度10°，下折可调节最大角度30°，允差士2°，步长为1°;</w:t>
            </w:r>
          </w:p>
          <w:p w14:paraId="579F7583">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6.11.2、牵引床左平摆可调节最大角度20°，右平摆可调节最大角度20°，允差士2°，步长为5°</w:t>
            </w:r>
          </w:p>
          <w:p w14:paraId="587ACF88">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6.11.3、牵引床左旋转可调节最大角度25°，右旋转可调节最大角度25°，允差士2°，步长为5°;</w:t>
            </w:r>
          </w:p>
          <w:p w14:paraId="1D1D24D6">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6.12、运动速度</w:t>
            </w:r>
          </w:p>
          <w:p w14:paraId="05BB4D9F">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6.12.1、上下折牵引:1.2°/s，允差士15%;</w:t>
            </w:r>
          </w:p>
          <w:p w14:paraId="724D6384">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6.12.2、左右平摆牵引:2.6°/s，允差士15%;</w:t>
            </w:r>
          </w:p>
          <w:p w14:paraId="39DA0C05">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6.12.3、左右旋转牵引:3.5°/s，允差士15%;</w:t>
            </w:r>
          </w:p>
          <w:p w14:paraId="7959F000">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6.13、承载:</w:t>
            </w:r>
          </w:p>
          <w:p w14:paraId="0BF3F90A">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6.13.1、牵引用床能够承受的最大患者体重</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180kg;</w:t>
            </w:r>
          </w:p>
          <w:p w14:paraId="09C86E20">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7.13.2、牵引用椅能够承受的最大患者体重</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180kg;</w:t>
            </w:r>
          </w:p>
          <w:p w14:paraId="39730D74">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7.13.3、设备具有加热床垫、颈部加热带，加热功能可单独开启或关闭。最高温度不超过41°C;</w:t>
            </w:r>
          </w:p>
          <w:p w14:paraId="3E6EE00A">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7.14、稳定性:</w:t>
            </w:r>
          </w:p>
          <w:p w14:paraId="3DF111E3">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7.14.1、牵引用床应定位稳定，在200N水平力作用下应不发生位移和失衡;</w:t>
            </w:r>
          </w:p>
          <w:p w14:paraId="3EADF514">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7.14.2、牵引用椅应定位稳定，在均布50kg负载时，在200N水平力作用下应不发生移动，且任意方向施加200N作用下应不会使椅的任何部分离开地面或倾翻。</w:t>
            </w:r>
          </w:p>
          <w:p w14:paraId="2A63B6B4">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7.15、连接牢固度:</w:t>
            </w:r>
          </w:p>
          <w:p w14:paraId="1BFC56C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7.15.1、牵引用床与固定带、固定架、滑轮或牵引绳直接连接的结构件应牢固可靠，在任意方向500N和牵引方向2000N作用下，应不发生松脱、塑性变形或断裂</w:t>
            </w:r>
          </w:p>
          <w:p w14:paraId="3D5466EF">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7.15.2、牵引用椅与固定带、固定架、滑轮或牵引绳直接连接的结构件应牢固可靠，在任意方向200N和牵引方向500N作用下，应不发生松脱、塑性变形或断裂;</w:t>
            </w:r>
          </w:p>
          <w:p w14:paraId="0DB3232A">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snapToGrid w:val="0"/>
                <w:color w:val="000000" w:themeColor="text1"/>
                <w:kern w:val="0"/>
                <w:sz w:val="24"/>
                <w:szCs w:val="24"/>
                <w:highlight w:val="none"/>
                <w:u w:val="none"/>
                <w:lang w:val="en-US" w:eastAsia="zh-CN" w:bidi="ar"/>
                <w14:textFill>
                  <w14:solidFill>
                    <w14:schemeClr w14:val="tx1"/>
                  </w14:solidFill>
                </w14:textFill>
              </w:rPr>
              <w:t>7.15.3、电源中断及恢复通电后，设备牵引力恢复至初始状态;在正常工作时噪声不大于60dB;</w:t>
            </w:r>
          </w:p>
        </w:tc>
      </w:tr>
      <w:tr w14:paraId="3F0F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vAlign w:val="center"/>
          </w:tcPr>
          <w:p w14:paraId="440F765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w:t>
            </w:r>
          </w:p>
        </w:tc>
        <w:tc>
          <w:tcPr>
            <w:tcW w:w="1992" w:type="dxa"/>
            <w:shd w:val="clear" w:color="auto" w:fill="auto"/>
            <w:vAlign w:val="center"/>
          </w:tcPr>
          <w:p w14:paraId="603FBD5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红外热辐射治疗仪</w:t>
            </w:r>
          </w:p>
        </w:tc>
        <w:tc>
          <w:tcPr>
            <w:tcW w:w="920" w:type="dxa"/>
            <w:shd w:val="clear" w:color="auto" w:fill="auto"/>
            <w:vAlign w:val="top"/>
          </w:tcPr>
          <w:p w14:paraId="3705177C">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70F1CF1D">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4227E54B">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套</w:t>
            </w:r>
          </w:p>
        </w:tc>
        <w:tc>
          <w:tcPr>
            <w:tcW w:w="1460" w:type="dxa"/>
            <w:shd w:val="clear" w:color="auto" w:fill="auto"/>
            <w:vAlign w:val="center"/>
          </w:tcPr>
          <w:p w14:paraId="0BF786ED">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w:t>
            </w:r>
          </w:p>
        </w:tc>
        <w:tc>
          <w:tcPr>
            <w:tcW w:w="8500" w:type="dxa"/>
            <w:vAlign w:val="center"/>
          </w:tcPr>
          <w:p w14:paraId="204CCCCE">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技术参数：</w:t>
            </w:r>
          </w:p>
          <w:p w14:paraId="20583A03">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default" w:ascii="仿宋" w:hAnsi="仿宋" w:eastAsia="仿宋" w:cs="仿宋"/>
                <w:i w:val="0"/>
                <w:iCs w:val="0"/>
                <w:snapToGrid w:val="0"/>
                <w:color w:val="0D0D0D"/>
                <w:kern w:val="0"/>
                <w:sz w:val="24"/>
                <w:szCs w:val="24"/>
                <w:u w:val="none"/>
                <w:lang w:val="en-US" w:eastAsia="zh-CN" w:bidi="ar"/>
              </w:rPr>
              <w:t>1、额定输入功率:≤900VA;</w:t>
            </w:r>
          </w:p>
          <w:p w14:paraId="3C7C1CE4">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w:t>
            </w:r>
            <w:r>
              <w:rPr>
                <w:rFonts w:hint="default" w:ascii="仿宋" w:hAnsi="仿宋" w:eastAsia="仿宋" w:cs="仿宋"/>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屏幕尺寸:≥</w:t>
            </w:r>
            <w:r>
              <w:rPr>
                <w:rFonts w:hint="eastAsia" w:ascii="仿宋" w:hAnsi="仿宋" w:eastAsia="仿宋" w:cs="仿宋"/>
                <w:i w:val="0"/>
                <w:iCs w:val="0"/>
                <w:snapToGrid w:val="0"/>
                <w:color w:val="0D0D0D"/>
                <w:kern w:val="0"/>
                <w:sz w:val="24"/>
                <w:szCs w:val="24"/>
                <w:highlight w:val="none"/>
                <w:u w:val="none"/>
                <w:lang w:val="en-US" w:eastAsia="zh-CN" w:bidi="ar"/>
              </w:rPr>
              <w:t>5</w:t>
            </w:r>
            <w:r>
              <w:rPr>
                <w:rFonts w:hint="default" w:ascii="仿宋" w:hAnsi="仿宋" w:eastAsia="仿宋" w:cs="仿宋"/>
                <w:i w:val="0"/>
                <w:iCs w:val="0"/>
                <w:snapToGrid w:val="0"/>
                <w:color w:val="0D0D0D"/>
                <w:kern w:val="0"/>
                <w:sz w:val="24"/>
                <w:szCs w:val="24"/>
                <w:highlight w:val="none"/>
                <w:u w:val="none"/>
                <w:lang w:val="en-US" w:eastAsia="zh-CN" w:bidi="ar"/>
              </w:rPr>
              <w:t>英寸;操作方式:电容触摸;</w:t>
            </w:r>
          </w:p>
          <w:p w14:paraId="682C0E99">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w:t>
            </w:r>
            <w:r>
              <w:rPr>
                <w:rFonts w:hint="default" w:ascii="仿宋" w:hAnsi="仿宋" w:eastAsia="仿宋" w:cs="仿宋"/>
                <w:i w:val="0"/>
                <w:iCs w:val="0"/>
                <w:snapToGrid w:val="0"/>
                <w:color w:val="0D0D0D"/>
                <w:kern w:val="0"/>
                <w:sz w:val="24"/>
                <w:szCs w:val="24"/>
                <w:u w:val="none"/>
                <w:lang w:val="en-US" w:eastAsia="zh-CN" w:bidi="ar"/>
              </w:rPr>
              <w:t>、工作模式:连续模式、脉冲模式;</w:t>
            </w:r>
          </w:p>
          <w:p w14:paraId="34F299CF">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w:t>
            </w:r>
            <w:r>
              <w:rPr>
                <w:rFonts w:hint="default" w:ascii="仿宋" w:hAnsi="仿宋" w:eastAsia="仿宋" w:cs="仿宋"/>
                <w:i w:val="0"/>
                <w:iCs w:val="0"/>
                <w:snapToGrid w:val="0"/>
                <w:color w:val="0D0D0D"/>
                <w:kern w:val="0"/>
                <w:sz w:val="24"/>
                <w:szCs w:val="24"/>
                <w:u w:val="none"/>
                <w:lang w:val="en-US" w:eastAsia="zh-CN" w:bidi="ar"/>
              </w:rPr>
              <w:t>、治疗时间:1</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99分钟可调;</w:t>
            </w:r>
          </w:p>
          <w:p w14:paraId="08CD5E92">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w:t>
            </w:r>
            <w:r>
              <w:rPr>
                <w:rFonts w:hint="default" w:ascii="仿宋" w:hAnsi="仿宋" w:eastAsia="仿宋" w:cs="仿宋"/>
                <w:i w:val="0"/>
                <w:iCs w:val="0"/>
                <w:snapToGrid w:val="0"/>
                <w:color w:val="0D0D0D"/>
                <w:kern w:val="0"/>
                <w:sz w:val="24"/>
                <w:szCs w:val="24"/>
                <w:u w:val="none"/>
                <w:lang w:val="en-US" w:eastAsia="zh-CN" w:bidi="ar"/>
              </w:rPr>
              <w:t>、能量调节方式:五级能量调节;</w:t>
            </w:r>
          </w:p>
          <w:p w14:paraId="1FE89BBB">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w:t>
            </w:r>
            <w:r>
              <w:rPr>
                <w:rFonts w:hint="default" w:ascii="仿宋" w:hAnsi="仿宋" w:eastAsia="仿宋" w:cs="仿宋"/>
                <w:i w:val="0"/>
                <w:iCs w:val="0"/>
                <w:snapToGrid w:val="0"/>
                <w:color w:val="0D0D0D"/>
                <w:kern w:val="0"/>
                <w:sz w:val="24"/>
                <w:szCs w:val="24"/>
                <w:u w:val="none"/>
                <w:lang w:val="en-US" w:eastAsia="zh-CN" w:bidi="ar"/>
              </w:rPr>
              <w:t>、波长范围:560nm~1400nm;</w:t>
            </w:r>
          </w:p>
          <w:p w14:paraId="4412A0DC">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7</w:t>
            </w:r>
            <w:r>
              <w:rPr>
                <w:rFonts w:hint="default" w:ascii="仿宋" w:hAnsi="仿宋" w:eastAsia="仿宋" w:cs="仿宋"/>
                <w:i w:val="0"/>
                <w:iCs w:val="0"/>
                <w:snapToGrid w:val="0"/>
                <w:color w:val="0D0D0D"/>
                <w:kern w:val="0"/>
                <w:sz w:val="24"/>
                <w:szCs w:val="24"/>
                <w:u w:val="none"/>
                <w:lang w:val="en-US" w:eastAsia="zh-CN" w:bidi="ar"/>
              </w:rPr>
              <w:t>、光功率密度:最大能量</w:t>
            </w:r>
            <w:bookmarkStart w:id="309" w:name="OLE_LINK1"/>
            <w:r>
              <w:rPr>
                <w:rFonts w:hint="default" w:ascii="仿宋" w:hAnsi="仿宋" w:eastAsia="仿宋" w:cs="仿宋"/>
                <w:i w:val="0"/>
                <w:iCs w:val="0"/>
                <w:snapToGrid w:val="0"/>
                <w:color w:val="0D0D0D"/>
                <w:kern w:val="0"/>
                <w:sz w:val="24"/>
                <w:szCs w:val="24"/>
                <w:u w:val="none"/>
                <w:lang w:val="en-US" w:eastAsia="zh-CN" w:bidi="ar"/>
              </w:rPr>
              <w:t>≥</w:t>
            </w:r>
            <w:bookmarkEnd w:id="309"/>
            <w:r>
              <w:rPr>
                <w:rFonts w:hint="default" w:ascii="仿宋" w:hAnsi="仿宋" w:eastAsia="仿宋" w:cs="仿宋"/>
                <w:i w:val="0"/>
                <w:iCs w:val="0"/>
                <w:snapToGrid w:val="0"/>
                <w:color w:val="0D0D0D"/>
                <w:kern w:val="0"/>
                <w:sz w:val="24"/>
                <w:szCs w:val="24"/>
                <w:u w:val="none"/>
                <w:lang w:val="en-US" w:eastAsia="zh-CN" w:bidi="ar"/>
              </w:rPr>
              <w:t>4000mW/</w:t>
            </w:r>
            <w:r>
              <w:rPr>
                <w:rFonts w:hint="eastAsia" w:ascii="仿宋" w:hAnsi="仿宋" w:eastAsia="仿宋" w:cs="仿宋"/>
                <w:i w:val="0"/>
                <w:iCs w:val="0"/>
                <w:snapToGrid w:val="0"/>
                <w:color w:val="0D0D0D"/>
                <w:kern w:val="0"/>
                <w:sz w:val="24"/>
                <w:szCs w:val="24"/>
                <w:u w:val="none"/>
                <w:lang w:val="en-US" w:eastAsia="zh-CN" w:bidi="ar"/>
              </w:rPr>
              <w:t>c</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(距离光杯口表面);</w:t>
            </w:r>
          </w:p>
          <w:p w14:paraId="27019CE6">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w:t>
            </w:r>
            <w:r>
              <w:rPr>
                <w:rFonts w:hint="default" w:ascii="仿宋" w:hAnsi="仿宋" w:eastAsia="仿宋" w:cs="仿宋"/>
                <w:i w:val="0"/>
                <w:iCs w:val="0"/>
                <w:snapToGrid w:val="0"/>
                <w:color w:val="0D0D0D"/>
                <w:kern w:val="0"/>
                <w:sz w:val="24"/>
                <w:szCs w:val="24"/>
                <w:u w:val="none"/>
                <w:lang w:val="en-US" w:eastAsia="zh-CN" w:bidi="ar"/>
              </w:rPr>
              <w:t>、光功率密度:最大能量≥260mW/</w:t>
            </w:r>
            <w:r>
              <w:rPr>
                <w:rFonts w:hint="eastAsia" w:ascii="仿宋" w:hAnsi="仿宋" w:eastAsia="仿宋" w:cs="仿宋"/>
                <w:i w:val="0"/>
                <w:iCs w:val="0"/>
                <w:snapToGrid w:val="0"/>
                <w:color w:val="0D0D0D"/>
                <w:kern w:val="0"/>
                <w:sz w:val="24"/>
                <w:szCs w:val="24"/>
                <w:u w:val="none"/>
                <w:lang w:val="en-US" w:eastAsia="zh-CN" w:bidi="ar"/>
              </w:rPr>
              <w:t>c</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(距离光杯口25cm);</w:t>
            </w:r>
          </w:p>
          <w:p w14:paraId="27B2049E">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9</w:t>
            </w:r>
            <w:r>
              <w:rPr>
                <w:rFonts w:hint="default" w:ascii="仿宋" w:hAnsi="仿宋" w:eastAsia="仿宋" w:cs="仿宋"/>
                <w:i w:val="0"/>
                <w:iCs w:val="0"/>
                <w:snapToGrid w:val="0"/>
                <w:color w:val="0D0D0D"/>
                <w:kern w:val="0"/>
                <w:sz w:val="24"/>
                <w:szCs w:val="24"/>
                <w:u w:val="none"/>
                <w:lang w:val="en-US" w:eastAsia="zh-CN" w:bidi="ar"/>
              </w:rPr>
              <w:t>、有效辐照面积:≥850</w:t>
            </w:r>
            <w:r>
              <w:rPr>
                <w:rFonts w:hint="eastAsia" w:ascii="仿宋" w:hAnsi="仿宋" w:eastAsia="仿宋" w:cs="仿宋"/>
                <w:i w:val="0"/>
                <w:iCs w:val="0"/>
                <w:snapToGrid w:val="0"/>
                <w:color w:val="0D0D0D"/>
                <w:kern w:val="0"/>
                <w:sz w:val="24"/>
                <w:szCs w:val="24"/>
                <w:u w:val="none"/>
                <w:lang w:val="en-US" w:eastAsia="zh-CN" w:bidi="ar"/>
              </w:rPr>
              <w:t>c</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(距离光杯口25cm);</w:t>
            </w:r>
          </w:p>
          <w:p w14:paraId="08EBD1ED">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10</w:t>
            </w:r>
            <w:r>
              <w:rPr>
                <w:rFonts w:hint="default" w:ascii="仿宋" w:hAnsi="仿宋" w:eastAsia="仿宋" w:cs="仿宋"/>
                <w:i w:val="0"/>
                <w:iCs w:val="0"/>
                <w:snapToGrid w:val="0"/>
                <w:color w:val="0D0D0D"/>
                <w:kern w:val="0"/>
                <w:sz w:val="24"/>
                <w:szCs w:val="24"/>
                <w:highlight w:val="none"/>
                <w:u w:val="none"/>
                <w:lang w:val="en-US" w:eastAsia="zh-CN" w:bidi="ar"/>
              </w:rPr>
              <w:t>、出光口面积:≥70</w:t>
            </w:r>
            <w:r>
              <w:rPr>
                <w:rFonts w:hint="eastAsia" w:ascii="仿宋" w:hAnsi="仿宋" w:eastAsia="仿宋" w:cs="仿宋"/>
                <w:i w:val="0"/>
                <w:iCs w:val="0"/>
                <w:snapToGrid w:val="0"/>
                <w:color w:val="0D0D0D"/>
                <w:kern w:val="0"/>
                <w:sz w:val="24"/>
                <w:szCs w:val="24"/>
                <w:highlight w:val="none"/>
                <w:u w:val="none"/>
                <w:lang w:val="en-US" w:eastAsia="zh-CN" w:bidi="ar"/>
              </w:rPr>
              <w:t>c</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w:t>
            </w:r>
          </w:p>
          <w:p w14:paraId="4FA0B93E">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default" w:ascii="仿宋" w:hAnsi="仿宋" w:eastAsia="仿宋" w:cs="仿宋"/>
                <w:i w:val="0"/>
                <w:iCs w:val="0"/>
                <w:snapToGrid w:val="0"/>
                <w:color w:val="0D0D0D"/>
                <w:kern w:val="0"/>
                <w:sz w:val="24"/>
                <w:szCs w:val="24"/>
                <w:highlight w:val="none"/>
                <w:u w:val="none"/>
                <w:lang w:val="en-US" w:eastAsia="zh-CN" w:bidi="ar"/>
              </w:rPr>
              <w:t>1</w:t>
            </w:r>
            <w:r>
              <w:rPr>
                <w:rFonts w:hint="eastAsia" w:ascii="仿宋" w:hAnsi="仿宋" w:eastAsia="仿宋" w:cs="仿宋"/>
                <w:i w:val="0"/>
                <w:iCs w:val="0"/>
                <w:snapToGrid w:val="0"/>
                <w:color w:val="0D0D0D"/>
                <w:kern w:val="0"/>
                <w:sz w:val="24"/>
                <w:szCs w:val="24"/>
                <w:highlight w:val="none"/>
                <w:u w:val="none"/>
                <w:lang w:val="en-US" w:eastAsia="zh-CN" w:bidi="ar"/>
              </w:rPr>
              <w:t>1</w:t>
            </w:r>
            <w:r>
              <w:rPr>
                <w:rFonts w:hint="default" w:ascii="仿宋" w:hAnsi="仿宋" w:eastAsia="仿宋" w:cs="仿宋"/>
                <w:i w:val="0"/>
                <w:iCs w:val="0"/>
                <w:snapToGrid w:val="0"/>
                <w:color w:val="0D0D0D"/>
                <w:kern w:val="0"/>
                <w:sz w:val="24"/>
                <w:szCs w:val="24"/>
                <w:highlight w:val="none"/>
                <w:u w:val="none"/>
                <w:lang w:val="en-US" w:eastAsia="zh-CN" w:bidi="ar"/>
              </w:rPr>
              <w:t>、提示功能:时间设置安全提示功能，设置超过15分钟，界面弹框警示;</w:t>
            </w:r>
          </w:p>
          <w:p w14:paraId="4F3F34F1">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default" w:ascii="仿宋" w:hAnsi="仿宋" w:eastAsia="仿宋" w:cs="仿宋"/>
                <w:i w:val="0"/>
                <w:iCs w:val="0"/>
                <w:snapToGrid w:val="0"/>
                <w:color w:val="0D0D0D"/>
                <w:kern w:val="0"/>
                <w:sz w:val="24"/>
                <w:szCs w:val="24"/>
                <w:highlight w:val="none"/>
                <w:u w:val="none"/>
                <w:lang w:val="en-US" w:eastAsia="zh-CN" w:bidi="ar"/>
              </w:rPr>
              <w:t>1</w:t>
            </w:r>
            <w:r>
              <w:rPr>
                <w:rFonts w:hint="eastAsia" w:ascii="仿宋" w:hAnsi="仿宋" w:eastAsia="仿宋" w:cs="仿宋"/>
                <w:i w:val="0"/>
                <w:iCs w:val="0"/>
                <w:snapToGrid w:val="0"/>
                <w:color w:val="0D0D0D"/>
                <w:kern w:val="0"/>
                <w:sz w:val="24"/>
                <w:szCs w:val="24"/>
                <w:highlight w:val="none"/>
                <w:u w:val="none"/>
                <w:lang w:val="en-US" w:eastAsia="zh-CN" w:bidi="ar"/>
              </w:rPr>
              <w:t>2</w:t>
            </w:r>
            <w:r>
              <w:rPr>
                <w:rFonts w:hint="default" w:ascii="仿宋" w:hAnsi="仿宋" w:eastAsia="仿宋" w:cs="仿宋"/>
                <w:i w:val="0"/>
                <w:iCs w:val="0"/>
                <w:snapToGrid w:val="0"/>
                <w:color w:val="0D0D0D"/>
                <w:kern w:val="0"/>
                <w:sz w:val="24"/>
                <w:szCs w:val="24"/>
                <w:highlight w:val="none"/>
                <w:u w:val="none"/>
                <w:lang w:val="en-US" w:eastAsia="zh-CN" w:bidi="ar"/>
              </w:rPr>
              <w:t>、治疗方案:</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5种自定义存储方案;</w:t>
            </w:r>
          </w:p>
          <w:p w14:paraId="594CBDBE">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default" w:ascii="仿宋" w:hAnsi="仿宋" w:eastAsia="仿宋" w:cs="仿宋"/>
                <w:i w:val="0"/>
                <w:iCs w:val="0"/>
                <w:snapToGrid w:val="0"/>
                <w:color w:val="0D0D0D"/>
                <w:kern w:val="0"/>
                <w:sz w:val="24"/>
                <w:szCs w:val="24"/>
                <w:highlight w:val="none"/>
                <w:u w:val="none"/>
                <w:lang w:val="en-US" w:eastAsia="zh-CN" w:bidi="ar"/>
              </w:rPr>
              <w:t>1</w:t>
            </w:r>
            <w:r>
              <w:rPr>
                <w:rFonts w:hint="eastAsia" w:ascii="仿宋" w:hAnsi="仿宋" w:eastAsia="仿宋" w:cs="仿宋"/>
                <w:i w:val="0"/>
                <w:iCs w:val="0"/>
                <w:snapToGrid w:val="0"/>
                <w:color w:val="0D0D0D"/>
                <w:kern w:val="0"/>
                <w:sz w:val="24"/>
                <w:szCs w:val="24"/>
                <w:highlight w:val="none"/>
                <w:u w:val="none"/>
                <w:lang w:val="en-US" w:eastAsia="zh-CN" w:bidi="ar"/>
              </w:rPr>
              <w:t>3</w:t>
            </w:r>
            <w:r>
              <w:rPr>
                <w:rFonts w:hint="default" w:ascii="仿宋" w:hAnsi="仿宋" w:eastAsia="仿宋" w:cs="仿宋"/>
                <w:i w:val="0"/>
                <w:iCs w:val="0"/>
                <w:snapToGrid w:val="0"/>
                <w:color w:val="0D0D0D"/>
                <w:kern w:val="0"/>
                <w:sz w:val="24"/>
                <w:szCs w:val="24"/>
                <w:highlight w:val="none"/>
                <w:u w:val="none"/>
                <w:lang w:val="en-US" w:eastAsia="zh-CN" w:bidi="ar"/>
              </w:rPr>
              <w:t>、升降功能:电动升降，</w:t>
            </w:r>
            <w:r>
              <w:rPr>
                <w:rFonts w:hint="eastAsia" w:ascii="仿宋" w:hAnsi="仿宋" w:eastAsia="仿宋" w:cs="仿宋"/>
                <w:i w:val="0"/>
                <w:iCs w:val="0"/>
                <w:snapToGrid w:val="0"/>
                <w:color w:val="0D0D0D"/>
                <w:kern w:val="0"/>
                <w:sz w:val="24"/>
                <w:szCs w:val="24"/>
                <w:highlight w:val="none"/>
                <w:u w:val="none"/>
                <w:lang w:val="en-US" w:eastAsia="zh-CN" w:bidi="ar"/>
              </w:rPr>
              <w:t>升降</w:t>
            </w:r>
            <w:r>
              <w:rPr>
                <w:rFonts w:hint="default" w:ascii="仿宋" w:hAnsi="仿宋" w:eastAsia="仿宋" w:cs="仿宋"/>
                <w:i w:val="0"/>
                <w:iCs w:val="0"/>
                <w:snapToGrid w:val="0"/>
                <w:color w:val="0D0D0D"/>
                <w:kern w:val="0"/>
                <w:sz w:val="24"/>
                <w:szCs w:val="24"/>
                <w:highlight w:val="none"/>
                <w:u w:val="none"/>
                <w:lang w:val="en-US" w:eastAsia="zh-CN" w:bidi="ar"/>
              </w:rPr>
              <w:t>高度≥400mm;</w:t>
            </w:r>
          </w:p>
          <w:p w14:paraId="6CC10029">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default" w:ascii="仿宋" w:hAnsi="仿宋" w:eastAsia="仿宋" w:cs="仿宋"/>
                <w:i w:val="0"/>
                <w:iCs w:val="0"/>
                <w:snapToGrid w:val="0"/>
                <w:color w:val="0D0D0D"/>
                <w:kern w:val="0"/>
                <w:sz w:val="24"/>
                <w:szCs w:val="24"/>
                <w:highlight w:val="none"/>
                <w:u w:val="none"/>
                <w:lang w:val="en-US" w:eastAsia="zh-CN" w:bidi="ar"/>
              </w:rPr>
              <w:t>1</w:t>
            </w:r>
            <w:r>
              <w:rPr>
                <w:rFonts w:hint="eastAsia" w:ascii="仿宋" w:hAnsi="仿宋" w:eastAsia="仿宋" w:cs="仿宋"/>
                <w:i w:val="0"/>
                <w:iCs w:val="0"/>
                <w:snapToGrid w:val="0"/>
                <w:color w:val="0D0D0D"/>
                <w:kern w:val="0"/>
                <w:sz w:val="24"/>
                <w:szCs w:val="24"/>
                <w:highlight w:val="none"/>
                <w:u w:val="none"/>
                <w:lang w:val="en-US" w:eastAsia="zh-CN" w:bidi="ar"/>
              </w:rPr>
              <w:t>4</w:t>
            </w:r>
            <w:r>
              <w:rPr>
                <w:rFonts w:hint="default" w:ascii="仿宋" w:hAnsi="仿宋" w:eastAsia="仿宋" w:cs="仿宋"/>
                <w:i w:val="0"/>
                <w:iCs w:val="0"/>
                <w:snapToGrid w:val="0"/>
                <w:color w:val="0D0D0D"/>
                <w:kern w:val="0"/>
                <w:sz w:val="24"/>
                <w:szCs w:val="24"/>
                <w:highlight w:val="none"/>
                <w:u w:val="none"/>
                <w:lang w:val="en-US" w:eastAsia="zh-CN" w:bidi="ar"/>
              </w:rPr>
              <w:t>、光学透镜:反光杯聚光以及液体过滤系统;</w:t>
            </w:r>
          </w:p>
          <w:p w14:paraId="3D9C9569">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default" w:ascii="仿宋" w:hAnsi="仿宋" w:eastAsia="仿宋" w:cs="仿宋"/>
                <w:i w:val="0"/>
                <w:iCs w:val="0"/>
                <w:snapToGrid w:val="0"/>
                <w:color w:val="0D0D0D"/>
                <w:kern w:val="0"/>
                <w:sz w:val="24"/>
                <w:szCs w:val="24"/>
                <w:highlight w:val="none"/>
                <w:u w:val="none"/>
                <w:lang w:val="en-US" w:eastAsia="zh-CN" w:bidi="ar"/>
              </w:rPr>
              <w:t>1</w:t>
            </w:r>
            <w:r>
              <w:rPr>
                <w:rFonts w:hint="eastAsia" w:ascii="仿宋" w:hAnsi="仿宋" w:eastAsia="仿宋" w:cs="仿宋"/>
                <w:i w:val="0"/>
                <w:iCs w:val="0"/>
                <w:snapToGrid w:val="0"/>
                <w:color w:val="0D0D0D"/>
                <w:kern w:val="0"/>
                <w:sz w:val="24"/>
                <w:szCs w:val="24"/>
                <w:highlight w:val="none"/>
                <w:u w:val="none"/>
                <w:lang w:val="en-US" w:eastAsia="zh-CN" w:bidi="ar"/>
              </w:rPr>
              <w:t>5</w:t>
            </w:r>
            <w:r>
              <w:rPr>
                <w:rFonts w:hint="default" w:ascii="仿宋" w:hAnsi="仿宋" w:eastAsia="仿宋" w:cs="仿宋"/>
                <w:i w:val="0"/>
                <w:iCs w:val="0"/>
                <w:snapToGrid w:val="0"/>
                <w:color w:val="0D0D0D"/>
                <w:kern w:val="0"/>
                <w:sz w:val="24"/>
                <w:szCs w:val="24"/>
                <w:highlight w:val="none"/>
                <w:u w:val="none"/>
                <w:lang w:val="en-US" w:eastAsia="zh-CN" w:bidi="ar"/>
              </w:rPr>
              <w:t>、卤素光源为发光体;</w:t>
            </w:r>
          </w:p>
          <w:p w14:paraId="06B68964">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16、自适应阻尼多角度治疗头设计，线缆隐藏式设计</w:t>
            </w:r>
          </w:p>
          <w:p w14:paraId="63FDB5D9">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default" w:ascii="仿宋" w:hAnsi="仿宋" w:eastAsia="仿宋" w:cs="仿宋"/>
                <w:i w:val="0"/>
                <w:iCs w:val="0"/>
                <w:snapToGrid w:val="0"/>
                <w:color w:val="0D0D0D"/>
                <w:kern w:val="0"/>
                <w:sz w:val="24"/>
                <w:szCs w:val="24"/>
                <w:u w:val="none"/>
                <w:lang w:val="en-US" w:eastAsia="zh-CN" w:bidi="ar"/>
              </w:rPr>
              <w:t>1</w:t>
            </w:r>
            <w:r>
              <w:rPr>
                <w:rFonts w:hint="eastAsia" w:ascii="仿宋" w:hAnsi="仿宋" w:eastAsia="仿宋" w:cs="仿宋"/>
                <w:i w:val="0"/>
                <w:iCs w:val="0"/>
                <w:snapToGrid w:val="0"/>
                <w:color w:val="0D0D0D"/>
                <w:kern w:val="0"/>
                <w:sz w:val="24"/>
                <w:szCs w:val="24"/>
                <w:u w:val="none"/>
                <w:lang w:val="en-US" w:eastAsia="zh-CN" w:bidi="ar"/>
              </w:rPr>
              <w:t>7</w:t>
            </w:r>
            <w:r>
              <w:rPr>
                <w:rFonts w:hint="default" w:ascii="仿宋" w:hAnsi="仿宋" w:eastAsia="仿宋" w:cs="仿宋"/>
                <w:i w:val="0"/>
                <w:iCs w:val="0"/>
                <w:snapToGrid w:val="0"/>
                <w:color w:val="0D0D0D"/>
                <w:kern w:val="0"/>
                <w:sz w:val="24"/>
                <w:szCs w:val="24"/>
                <w:u w:val="none"/>
                <w:lang w:val="en-US" w:eastAsia="zh-CN" w:bidi="ar"/>
              </w:rPr>
              <w:t>、适应范围:用于对疼痛和炎症的辅助治疗，</w:t>
            </w:r>
            <w:r>
              <w:rPr>
                <w:rFonts w:hint="eastAsia" w:ascii="仿宋" w:hAnsi="仿宋" w:eastAsia="仿宋" w:cs="仿宋"/>
                <w:i w:val="0"/>
                <w:iCs w:val="0"/>
                <w:snapToGrid w:val="0"/>
                <w:color w:val="0D0D0D"/>
                <w:kern w:val="0"/>
                <w:sz w:val="24"/>
                <w:szCs w:val="24"/>
                <w:u w:val="none"/>
                <w:lang w:val="en-US" w:eastAsia="zh-CN" w:bidi="ar"/>
              </w:rPr>
              <w:t>改善局部血液循环</w:t>
            </w:r>
            <w:r>
              <w:rPr>
                <w:rFonts w:hint="default" w:ascii="仿宋" w:hAnsi="仿宋" w:eastAsia="仿宋" w:cs="仿宋"/>
                <w:i w:val="0"/>
                <w:iCs w:val="0"/>
                <w:snapToGrid w:val="0"/>
                <w:color w:val="0D0D0D"/>
                <w:kern w:val="0"/>
                <w:sz w:val="24"/>
                <w:szCs w:val="24"/>
                <w:u w:val="none"/>
                <w:lang w:val="en-US" w:eastAsia="zh-CN" w:bidi="ar"/>
              </w:rPr>
              <w:t>，加速创面愈合。</w:t>
            </w:r>
          </w:p>
        </w:tc>
      </w:tr>
      <w:tr w14:paraId="7620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vAlign w:val="center"/>
          </w:tcPr>
          <w:p w14:paraId="3BB3662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1C96C5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9CF688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63A91C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5E58F9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633284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w:t>
            </w:r>
          </w:p>
        </w:tc>
        <w:tc>
          <w:tcPr>
            <w:tcW w:w="1992" w:type="dxa"/>
            <w:shd w:val="clear" w:color="auto" w:fill="auto"/>
            <w:vAlign w:val="center"/>
          </w:tcPr>
          <w:p w14:paraId="5FCEF4A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4D2F7E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05EBDA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0D752E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C5F827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97406F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无障碍诊疗监护辅助设备 </w:t>
            </w:r>
          </w:p>
        </w:tc>
        <w:tc>
          <w:tcPr>
            <w:tcW w:w="920" w:type="dxa"/>
            <w:shd w:val="clear" w:color="auto" w:fill="auto"/>
            <w:vAlign w:val="top"/>
          </w:tcPr>
          <w:p w14:paraId="6D21F16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AA6547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0B99A3D">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20777F50">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163CE65C">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70982863">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套</w:t>
            </w:r>
          </w:p>
        </w:tc>
        <w:tc>
          <w:tcPr>
            <w:tcW w:w="1460" w:type="dxa"/>
            <w:shd w:val="clear" w:color="auto" w:fill="auto"/>
            <w:vAlign w:val="center"/>
          </w:tcPr>
          <w:p w14:paraId="6D0D3D5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DD77C2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EE3734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2B4F5B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B1428D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002F3E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w:t>
            </w:r>
          </w:p>
        </w:tc>
        <w:tc>
          <w:tcPr>
            <w:tcW w:w="8500" w:type="dxa"/>
            <w:vAlign w:val="center"/>
          </w:tcPr>
          <w:p w14:paraId="253C4CA7">
            <w:pPr>
              <w:keepNext w:val="0"/>
              <w:keepLines w:val="0"/>
              <w:widowControl/>
              <w:numPr>
                <w:ilvl w:val="0"/>
                <w:numId w:val="3"/>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体质辨识系统</w:t>
            </w:r>
          </w:p>
          <w:p w14:paraId="46FEA29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（一）主要功能:</w:t>
            </w:r>
          </w:p>
          <w:p w14:paraId="65D2EC1E">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1.配备网络接口，与本院信息管理系统对接;</w:t>
            </w:r>
          </w:p>
          <w:p w14:paraId="7426014F">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2.中医健康档案客观化采集与数字化存储;</w:t>
            </w:r>
          </w:p>
          <w:p w14:paraId="362C2FC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3.中医健康状态评价;</w:t>
            </w:r>
          </w:p>
          <w:p w14:paraId="0357A67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4.中医养生调理建议;</w:t>
            </w:r>
          </w:p>
          <w:p w14:paraId="16FC18D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5.中医预防保健、亚健康检测、疗效评估、慢病管理;</w:t>
            </w:r>
          </w:p>
          <w:p w14:paraId="53AC676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6.体质辨识系统需经过国家食品药品监督管理局的软件检测并附检测报告。</w:t>
            </w:r>
          </w:p>
          <w:p w14:paraId="355D556B">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(二)、设备正常工作条件:</w:t>
            </w:r>
          </w:p>
          <w:p w14:paraId="276DD823">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1、环境温度:+10°C</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+40°C</w:t>
            </w:r>
          </w:p>
          <w:p w14:paraId="7F8D6526">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2、相对湿度:≤80%</w:t>
            </w:r>
          </w:p>
          <w:p w14:paraId="12B0F563">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3、大气压力:700hPa</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1060hPa</w:t>
            </w:r>
          </w:p>
          <w:p w14:paraId="6F0F91FF">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4、电源:50Hz220V</w:t>
            </w:r>
          </w:p>
          <w:p w14:paraId="737AFB54">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(三)、设备配置要求:</w:t>
            </w:r>
          </w:p>
          <w:p w14:paraId="2EBFFCBD">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1、系统组成:体质辨识、老年人中医健康管理、高血压中医健康管理、II型糖尿病患者中医健康管理、0-12个月婴儿健康管理、1-3岁幼儿健康管理、4-6岁学龄前儿童健康管理、7-14岁健康管理、孕产妇健康管理。</w:t>
            </w:r>
          </w:p>
          <w:p w14:paraId="4BE4AEA6">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2、个性化养生调理系统。</w:t>
            </w:r>
          </w:p>
          <w:p w14:paraId="204AC8DB">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3、具备工作台车，仪器可自由移动，方便病人信息采集。</w:t>
            </w:r>
          </w:p>
          <w:p w14:paraId="7A1BCE96">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(四)、功能参数要求:</w:t>
            </w:r>
          </w:p>
          <w:p w14:paraId="0C6073B0">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1、中医体质辨识系统:</w:t>
            </w:r>
          </w:p>
          <w:p w14:paraId="36E45D36">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1.1、体质辨识量表依据中华中医药学会标准《中医体质分类与判定》、《中医药健康管理服务技术规范》老年人中医药健康管理服务的要求制定。</w:t>
            </w:r>
          </w:p>
          <w:p w14:paraId="409086EF">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1.2、可得出检测者的体质类型，体质特征，发病倾向，环境适应力等。</w:t>
            </w:r>
          </w:p>
          <w:p w14:paraId="4DB0A07C">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1.3、对</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9种基本体质及</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63种复合体质进行自动判别;</w:t>
            </w:r>
          </w:p>
          <w:p w14:paraId="33058EA0">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1.4、高血压病慢病人群中医养生指导方案:针对高血压慢病患者，系统提供中医饮食调养、中医起居养生、中医运动养生、中医情志养生;中医特色保健法及高血压病的科普知识问答篇等中医健康指导方案。</w:t>
            </w:r>
          </w:p>
          <w:p w14:paraId="1BF6F13C">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1.5、II型糖尿病慢病人群中医养生指导方案:针对II型糖尿病慢病患者，系统提供中医饮食调养、中医起居养生、中医运动养生、中医情志养生、中医特色保健法及II型糖尿病的科普知识问答篇等中医健康指导方案。</w:t>
            </w:r>
          </w:p>
          <w:p w14:paraId="4B93319B">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1.6、0-12个月婴儿健康管理、1-3岁幼儿健康管理、4-6岁学龄前儿童健康管理、7-14岁健康管理;及孕产妇健康管理。问诊、信息记录、进行健康指导。出具相应的调理报告。</w:t>
            </w:r>
          </w:p>
          <w:p w14:paraId="579F6F8C">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1.7、通过问诊模块的人机交互信息，软件自动分析，给出直观量化的体质辨识分析结果。</w:t>
            </w:r>
          </w:p>
          <w:p w14:paraId="1333F5CB">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2、个体化养生调理系统:</w:t>
            </w:r>
          </w:p>
          <w:p w14:paraId="0F830DC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2.1、可提供体质成因解读，以及易发疾病的风险预警提示;</w:t>
            </w:r>
          </w:p>
          <w:p w14:paraId="7BDC9336">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2.2、所提供的个体化养生调理方案，包含饮食调理、药物调理，运动调理，食疗食谱等内容，为被测试者提供个体化的健康养生指导建议;</w:t>
            </w:r>
          </w:p>
          <w:p w14:paraId="17EF9938">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2.3、可建立电子健康档案，进行长期中医健康管理服务。</w:t>
            </w:r>
          </w:p>
          <w:p w14:paraId="375AC338">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3、配置清单:</w:t>
            </w:r>
          </w:p>
          <w:p w14:paraId="77BB011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3.1、工作台车1套</w:t>
            </w:r>
          </w:p>
          <w:p w14:paraId="3B6F3154">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3.2、打印机1台</w:t>
            </w:r>
          </w:p>
          <w:p w14:paraId="49446218">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3.3、软件:</w:t>
            </w:r>
          </w:p>
          <w:p w14:paraId="7DFC2F1C">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3.3.1、中医体质辨识系统1套</w:t>
            </w:r>
          </w:p>
          <w:p w14:paraId="6FAECBA5">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3.3.2、个体化养生调理系统1套</w:t>
            </w:r>
          </w:p>
          <w:p w14:paraId="3D3CD3EF">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二、马桶两侧扶手5套</w:t>
            </w:r>
          </w:p>
          <w:p w14:paraId="78A48593">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1、材质 外层:抗菌尼龙/ABS(防滑颗粒)</w:t>
            </w:r>
          </w:p>
          <w:p w14:paraId="1B344064">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2、内层:304不锈钢管(增强承重)</w:t>
            </w:r>
          </w:p>
          <w:p w14:paraId="089B0440">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3、管径：</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35mm</w:t>
            </w:r>
          </w:p>
          <w:p w14:paraId="627FF76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4、垂直高度:700-750mm(离地)</w:t>
            </w:r>
          </w:p>
          <w:p w14:paraId="229B5B96">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5、离墙距离:40-50mm</w:t>
            </w:r>
          </w:p>
          <w:p w14:paraId="75A7FF79">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6、承重能力 静态承重</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150kg</w:t>
            </w:r>
          </w:p>
          <w:p w14:paraId="3FDB906B">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7、表面需处理防滑颗粒/浮点设计</w:t>
            </w:r>
          </w:p>
          <w:p w14:paraId="2206F975">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三、一键紧器急呼叫5台</w:t>
            </w:r>
          </w:p>
          <w:p w14:paraId="6C3B5B93">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1、触发方式按键触发+下拉绳触发(拉绳长度</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0.6米)</w:t>
            </w:r>
          </w:p>
          <w:p w14:paraId="35C5F023">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2、通信方式NB-IoT/BLE蓝牙/433MHz(依型号)</w:t>
            </w:r>
          </w:p>
          <w:p w14:paraId="7AD2E030">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3、防水等级 IP68(最高级防水，可用于淋浴间)</w:t>
            </w:r>
          </w:p>
          <w:p w14:paraId="10DECED5">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4、供电2节5号电池，工作电压3V</w:t>
            </w:r>
          </w:p>
          <w:p w14:paraId="7E515A53">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5、续航时间 &gt;6年(低功耗设计)</w:t>
            </w:r>
          </w:p>
          <w:p w14:paraId="6A167FC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6、尺寸</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86X86X35mm</w:t>
            </w:r>
          </w:p>
          <w:p w14:paraId="233D8DFD">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7、安装方式 粘贴式/标准86盒嵌入式</w:t>
            </w:r>
          </w:p>
          <w:p w14:paraId="56537991">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8、一键求助、声光确认、防误触、取消报警等功能</w:t>
            </w:r>
          </w:p>
        </w:tc>
      </w:tr>
      <w:tr w14:paraId="539A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vAlign w:val="center"/>
          </w:tcPr>
          <w:p w14:paraId="74F4003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545CCD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81448E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B898E0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357993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7F5202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7C85B1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B9873D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72DFA2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7B9420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3EA98A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FF7165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67ABD00">
            <w:pPr>
              <w:pStyle w:val="7"/>
              <w:rPr>
                <w:rFonts w:hint="eastAsia" w:ascii="仿宋" w:hAnsi="仿宋" w:eastAsia="仿宋" w:cs="仿宋"/>
                <w:i w:val="0"/>
                <w:iCs w:val="0"/>
                <w:snapToGrid w:val="0"/>
                <w:color w:val="0D0D0D"/>
                <w:kern w:val="0"/>
                <w:sz w:val="24"/>
                <w:szCs w:val="24"/>
                <w:u w:val="none"/>
                <w:lang w:val="en-US" w:eastAsia="zh-CN" w:bidi="ar"/>
              </w:rPr>
            </w:pPr>
          </w:p>
          <w:p w14:paraId="03C64653">
            <w:pPr>
              <w:pStyle w:val="7"/>
              <w:rPr>
                <w:rFonts w:hint="eastAsia" w:ascii="仿宋" w:hAnsi="仿宋" w:eastAsia="仿宋" w:cs="仿宋"/>
                <w:i w:val="0"/>
                <w:iCs w:val="0"/>
                <w:snapToGrid w:val="0"/>
                <w:color w:val="0D0D0D"/>
                <w:kern w:val="0"/>
                <w:sz w:val="24"/>
                <w:szCs w:val="24"/>
                <w:u w:val="none"/>
                <w:lang w:val="en-US" w:eastAsia="zh-CN" w:bidi="ar"/>
              </w:rPr>
            </w:pPr>
          </w:p>
          <w:p w14:paraId="5E6F11A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w:t>
            </w:r>
          </w:p>
        </w:tc>
        <w:tc>
          <w:tcPr>
            <w:tcW w:w="1992" w:type="dxa"/>
            <w:shd w:val="clear" w:color="auto" w:fill="auto"/>
            <w:vAlign w:val="center"/>
          </w:tcPr>
          <w:p w14:paraId="3D95704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 </w:t>
            </w:r>
          </w:p>
          <w:p w14:paraId="29A865B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B54670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FE0980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586723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F4E9D5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6D5547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7BDD87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41B5FB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29174D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F375AE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9485FD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B19171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33E1A4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F88754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藏医特色足浴理疗设备</w:t>
            </w:r>
          </w:p>
        </w:tc>
        <w:tc>
          <w:tcPr>
            <w:tcW w:w="920" w:type="dxa"/>
            <w:shd w:val="clear" w:color="auto" w:fill="auto"/>
            <w:vAlign w:val="top"/>
          </w:tcPr>
          <w:p w14:paraId="26A7EC0E">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58B3999F">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2358058D">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2A23A4B8">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54F7B6CC">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40CCCA43">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1143B30A">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1E9E39A8">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23CCF56F">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3C805EBF">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5E673954">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2F262E3C">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36A92532">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40DE5B58">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31B5DAD4">
            <w:pPr>
              <w:keepNext w:val="0"/>
              <w:keepLines w:val="0"/>
              <w:widowControl/>
              <w:suppressLineNumbers w:val="0"/>
              <w:kinsoku w:val="0"/>
              <w:autoSpaceDE w:val="0"/>
              <w:autoSpaceDN w:val="0"/>
              <w:adjustRightInd w:val="0"/>
              <w:snapToGrid w:val="0"/>
              <w:spacing w:line="240" w:lineRule="auto"/>
              <w:jc w:val="both"/>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套</w:t>
            </w:r>
          </w:p>
        </w:tc>
        <w:tc>
          <w:tcPr>
            <w:tcW w:w="1460" w:type="dxa"/>
            <w:shd w:val="clear" w:color="auto" w:fill="auto"/>
            <w:vAlign w:val="center"/>
          </w:tcPr>
          <w:p w14:paraId="137CBB4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D07F69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8EFD64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D9C010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81DCD6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800BF1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67FFCC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5029EC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DC5FB8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9596B9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16E0C4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2AF393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B19D9A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38FF2E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6591C88">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w:t>
            </w:r>
          </w:p>
        </w:tc>
        <w:tc>
          <w:tcPr>
            <w:tcW w:w="8500" w:type="dxa"/>
            <w:vAlign w:val="center"/>
          </w:tcPr>
          <w:p w14:paraId="7A9EAF42">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一、足浴药液煎煮机(常温煎药机)</w:t>
            </w:r>
          </w:p>
          <w:p w14:paraId="1DEF9741">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1、常温煎煮功能，保留传统煎药方式特点。</w:t>
            </w:r>
          </w:p>
          <w:p w14:paraId="3136A22D">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2、药物先煎后下功能，满足不同处方需求。</w:t>
            </w:r>
          </w:p>
          <w:p w14:paraId="626E2FA9">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3、自动加热调节，文火、武火自动控制转换功能，节约电能。</w:t>
            </w:r>
          </w:p>
          <w:p w14:paraId="0798001C">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4、数控煎药定时功能，控制精准度更高</w:t>
            </w:r>
          </w:p>
          <w:p w14:paraId="1E6753FE">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5、密闭煎药功能，节能环保延长药液的保质期。</w:t>
            </w:r>
          </w:p>
          <w:p w14:paraId="066213E1">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6、不锈钢煎药煲，符合国家煎药室标准。</w:t>
            </w:r>
          </w:p>
          <w:p w14:paraId="2325494A">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7、容量:</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4个8L</w:t>
            </w:r>
          </w:p>
          <w:p w14:paraId="29356B98">
            <w:pPr>
              <w:widowControl w:val="0"/>
              <w:kinsoku w:val="0"/>
              <w:autoSpaceDE w:val="0"/>
              <w:autoSpaceDN w:val="0"/>
              <w:bidi w:val="0"/>
              <w:adjustRightInd w:val="0"/>
              <w:snapToGrid w:val="0"/>
              <w:spacing w:line="240" w:lineRule="auto"/>
              <w:jc w:val="left"/>
              <w:textAlignment w:val="baseline"/>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8、文火加热:4X300W士50W</w:t>
            </w:r>
          </w:p>
          <w:p w14:paraId="5C42BF70">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9、武火加热:4X500W士50W</w:t>
            </w:r>
          </w:p>
          <w:p w14:paraId="749836BD">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10、总功率:2000W士200W</w:t>
            </w:r>
          </w:p>
          <w:p w14:paraId="56090E15">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12、煎药产量:1-4付/次/锅</w:t>
            </w:r>
          </w:p>
          <w:p w14:paraId="7ADBCEC8">
            <w:pPr>
              <w:widowControl w:val="0"/>
              <w:numPr>
                <w:ilvl w:val="0"/>
                <w:numId w:val="4"/>
              </w:numPr>
              <w:kinsoku w:val="0"/>
              <w:autoSpaceDE w:val="0"/>
              <w:autoSpaceDN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配净水装置1台</w:t>
            </w:r>
          </w:p>
          <w:p w14:paraId="632062B5">
            <w:pPr>
              <w:widowControl w:val="0"/>
              <w:numPr>
                <w:ilvl w:val="0"/>
                <w:numId w:val="4"/>
              </w:numPr>
              <w:kinsoku w:val="0"/>
              <w:autoSpaceDE w:val="0"/>
              <w:autoSpaceDN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配煎药袋</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1000个</w:t>
            </w:r>
          </w:p>
          <w:p w14:paraId="56B4B739">
            <w:pPr>
              <w:widowControl w:val="0"/>
              <w:numPr>
                <w:ilvl w:val="0"/>
                <w:numId w:val="0"/>
              </w:numPr>
              <w:kinsoku w:val="0"/>
              <w:autoSpaceDE w:val="0"/>
              <w:autoSpaceDN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二、足部熏蒸仪</w:t>
            </w:r>
          </w:p>
          <w:p w14:paraId="792E112F">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1、定时:</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40分钟</w:t>
            </w:r>
          </w:p>
          <w:p w14:paraId="76CDE85E">
            <w:pPr>
              <w:widowControl w:val="0"/>
              <w:kinsoku w:val="0"/>
              <w:autoSpaceDE w:val="0"/>
              <w:autoSpaceDN w:val="0"/>
              <w:bidi w:val="0"/>
              <w:adjustRightInd w:val="0"/>
              <w:snapToGrid w:val="0"/>
              <w:spacing w:line="240" w:lineRule="auto"/>
              <w:jc w:val="left"/>
              <w:textAlignment w:val="baseline"/>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2、尺寸:45*42*69cm士5cm</w:t>
            </w:r>
          </w:p>
          <w:p w14:paraId="6ADAB858">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3、输出功率:≤350W(辅热);≤150(足熏)</w:t>
            </w:r>
          </w:p>
          <w:p w14:paraId="5035279F">
            <w:pPr>
              <w:widowControl w:val="0"/>
              <w:kinsoku w:val="0"/>
              <w:autoSpaceDE w:val="0"/>
              <w:autoSpaceDN w:val="0"/>
              <w:bidi w:val="0"/>
              <w:adjustRightInd w:val="0"/>
              <w:snapToGrid w:val="0"/>
              <w:spacing w:line="240" w:lineRule="auto"/>
              <w:jc w:val="left"/>
              <w:textAlignment w:val="baseline"/>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4、输出功能:足熏、雾化、红蓝光、光波、辅热等</w:t>
            </w:r>
          </w:p>
          <w:p w14:paraId="1122D371">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三、智能功能性足浴仪</w:t>
            </w:r>
          </w:p>
          <w:p w14:paraId="0BD11688">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1、杀菌消毒:UVC紫外线杀菌，物理消杀，无化学残留;</w:t>
            </w:r>
          </w:p>
          <w:p w14:paraId="724F571C">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2、加热方式:PTC恒温加热，35-48°C精准控温(可调节);</w:t>
            </w:r>
          </w:p>
          <w:p w14:paraId="63FABA0E">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3、按摩功能:可拆卸太极滚轮按摩盘，多档位按摩力度可调;</w:t>
            </w:r>
          </w:p>
          <w:p w14:paraId="3D1BE068">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4、熏蒸功能:上盖熏蒸设计，蒸汽热敷小腿，实现“蒸腿+按脚”-体;</w:t>
            </w:r>
          </w:p>
          <w:p w14:paraId="51FF58A3">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5、安全防护:防干烧保护、漏电保护(PICC承保)、过热保护;</w:t>
            </w:r>
          </w:p>
          <w:p w14:paraId="69742597">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6、操作方式:触控面板+智能记忆功能，可保存常用温度/模式;</w:t>
            </w:r>
          </w:p>
          <w:p w14:paraId="56231568">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7、排水方式:底部隐藏式排水管，便捷排水;</w:t>
            </w:r>
          </w:p>
          <w:p w14:paraId="3FAE3D87">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8、额定功率</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800W;</w:t>
            </w:r>
          </w:p>
          <w:p w14:paraId="4B536A5B">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9、防水等级:IPX4(防泼溅，适合浴室环境);</w:t>
            </w:r>
          </w:p>
          <w:p w14:paraId="07E43F2B">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10、大口径设计:桶口直径约</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38cm，方便双脚放入与清洁;</w:t>
            </w:r>
          </w:p>
          <w:p w14:paraId="05A15C34">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11、可拆卸按摩盘:可单独拆卸清洗，避免藏污纳垢;</w:t>
            </w:r>
          </w:p>
          <w:p w14:paraId="3D2BA1E1">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12、透明可视窗:实时观察水位与杀菌状态;</w:t>
            </w:r>
          </w:p>
          <w:p w14:paraId="417B9B70">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13、静音设计:运行噪音≤55dB。</w:t>
            </w:r>
          </w:p>
          <w:p w14:paraId="437A3876">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四、足浴凳</w:t>
            </w:r>
          </w:p>
          <w:p w14:paraId="44AB4CE2">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1、整体尺寸:现场定制</w:t>
            </w:r>
          </w:p>
          <w:p w14:paraId="7F61CA9F">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2、座面高度:现场定制</w:t>
            </w:r>
          </w:p>
          <w:p w14:paraId="1B0B1482">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3、靠背高度:现场定制</w:t>
            </w:r>
          </w:p>
          <w:p w14:paraId="0A3F709C">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4、座垫厚度:</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10cm</w:t>
            </w:r>
          </w:p>
          <w:p w14:paraId="683E6EDA">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5、靠背厚度:</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8cm</w:t>
            </w:r>
          </w:p>
          <w:p w14:paraId="48908CEA">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6、框架材质:全实木橡胶木框架</w:t>
            </w:r>
          </w:p>
          <w:p w14:paraId="585E3DAA">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7、扶手:全实木橡胶木</w:t>
            </w:r>
          </w:p>
          <w:p w14:paraId="143DD461">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8、框架:全实木橡胶木，榫卯+螺丝加固结构</w:t>
            </w:r>
          </w:p>
          <w:p w14:paraId="6B1D144B">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9、座面基层:实木多层板</w:t>
            </w:r>
          </w:p>
          <w:p w14:paraId="5FF53109">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10、座垫填充:高密度海绵</w:t>
            </w:r>
          </w:p>
          <w:p w14:paraId="700C60A6">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11、面料:麻布</w:t>
            </w:r>
          </w:p>
          <w:p w14:paraId="4C36DED2">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12、承重能力:静态承重≥150kg</w:t>
            </w:r>
          </w:p>
          <w:p w14:paraId="1E19ABE3">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13、清洁方式:麻布面料可拆洗，实木框架用干布擦拭保养</w:t>
            </w:r>
          </w:p>
          <w:p w14:paraId="64E07858">
            <w:pPr>
              <w:widowControl w:val="0"/>
              <w:kinsoku w:val="0"/>
              <w:autoSpaceDE w:val="0"/>
              <w:autoSpaceDN w:val="0"/>
              <w:bidi w:val="0"/>
              <w:adjustRightInd w:val="0"/>
              <w:snapToGrid w:val="0"/>
              <w:spacing w:line="240" w:lineRule="auto"/>
              <w:jc w:val="left"/>
              <w:textAlignment w:val="baseline"/>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五、足浴桶6个</w:t>
            </w:r>
          </w:p>
          <w:p w14:paraId="596FC922">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1、材质:桶体采用食品级环保PP/ABS材质，耐高温、耐腐蚀;接触皮肤部分无异味、无有害物质</w:t>
            </w:r>
          </w:p>
          <w:p w14:paraId="571E67C0">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2、电源:额定功率≤1200W(加热+按摩+烘干综合功率)</w:t>
            </w:r>
          </w:p>
          <w:p w14:paraId="2B8E8BA0">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3、防水等级:整机IPX4及以上防水</w:t>
            </w:r>
          </w:p>
          <w:p w14:paraId="0CD7B497">
            <w:pPr>
              <w:widowControl w:val="0"/>
              <w:kinsoku w:val="0"/>
              <w:autoSpaceDE w:val="0"/>
              <w:autoSpaceDN w:val="0"/>
              <w:bidi w:val="0"/>
              <w:adjustRightInd w:val="0"/>
              <w:snapToGrid w:val="0"/>
              <w:spacing w:line="240" w:lineRule="auto"/>
              <w:jc w:val="left"/>
              <w:textAlignment w:val="baseline"/>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六、进回水系统：按现场要求定制安装</w:t>
            </w:r>
          </w:p>
          <w:p w14:paraId="369EABA1">
            <w:pPr>
              <w:widowControl w:val="0"/>
              <w:kinsoku w:val="0"/>
              <w:autoSpaceDE w:val="0"/>
              <w:autoSpaceDN w:val="0"/>
              <w:bidi w:val="0"/>
              <w:adjustRightInd w:val="0"/>
              <w:snapToGrid w:val="0"/>
              <w:spacing w:line="240" w:lineRule="auto"/>
              <w:jc w:val="left"/>
              <w:textAlignment w:val="baseline"/>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七、恒温系统</w:t>
            </w:r>
          </w:p>
          <w:p w14:paraId="029CF0F0">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1、外壳材质:不锈钢拉丝面板(耐腐蚀、耐高温)</w:t>
            </w:r>
          </w:p>
          <w:p w14:paraId="38872597">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2、额定功率:约100-260W(依泵型配置)</w:t>
            </w:r>
          </w:p>
          <w:p w14:paraId="476F1901">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3、控制方式:触控面板+智能APP(WiFi联网)</w:t>
            </w:r>
          </w:p>
          <w:p w14:paraId="0400A63F">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4、显示方式:高清液晶显示屏(实时显示温度、时间、模式)</w:t>
            </w:r>
          </w:p>
          <w:p w14:paraId="103C610C">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5、温控范围:30°C-65°C可调</w:t>
            </w:r>
          </w:p>
          <w:p w14:paraId="328BFBB1">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6、循环模式:温控循环/定时循环/水流启动/APP远程控制</w:t>
            </w:r>
          </w:p>
          <w:p w14:paraId="56F7C54A">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7、定时功能:可设定工作延时，支持多时段预约</w:t>
            </w:r>
          </w:p>
          <w:p w14:paraId="336DB8FB">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8、水控功能:水流感应启动，即开即热</w:t>
            </w:r>
          </w:p>
          <w:p w14:paraId="078C2B54">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9、保护功能:过热保护、过载保护、防干烧保护</w:t>
            </w:r>
          </w:p>
          <w:p w14:paraId="0E7A7239">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10、通信方式:WiFi连接，支持手机APP远程操控</w:t>
            </w:r>
          </w:p>
          <w:p w14:paraId="4A7CE4DE">
            <w:pPr>
              <w:widowControl w:val="0"/>
              <w:kinsoku w:val="0"/>
              <w:autoSpaceDE w:val="0"/>
              <w:autoSpaceDN w:val="0"/>
              <w:bidi w:val="0"/>
              <w:adjustRightInd w:val="0"/>
              <w:snapToGrid w:val="0"/>
              <w:spacing w:line="240" w:lineRule="auto"/>
              <w:jc w:val="left"/>
              <w:textAlignment w:val="baseline"/>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11、接口规格:外丝G1/2"/G3/4"(适配家用热水管道)</w:t>
            </w:r>
          </w:p>
          <w:p w14:paraId="7B20E8D6">
            <w:pPr>
              <w:widowControl w:val="0"/>
              <w:kinsoku w:val="0"/>
              <w:autoSpaceDE w:val="0"/>
              <w:autoSpaceDN w:val="0"/>
              <w:bidi w:val="0"/>
              <w:adjustRightInd w:val="0"/>
              <w:snapToGrid w:val="0"/>
              <w:spacing w:line="240" w:lineRule="auto"/>
              <w:jc w:val="left"/>
              <w:textAlignment w:val="baseline"/>
              <w:rPr>
                <w:rFonts w:hint="eastAsia" w:ascii="Calibri Light" w:hAnsi="Calibri Light" w:eastAsia="黑体" w:cs="Times New Roman"/>
                <w:snapToGrid w:val="0"/>
                <w:color w:val="000000"/>
                <w:kern w:val="0"/>
                <w:sz w:val="24"/>
                <w:szCs w:val="24"/>
                <w:lang w:val="en-US" w:eastAsia="zh-CN"/>
              </w:rPr>
            </w:pPr>
            <w:r>
              <w:rPr>
                <w:rFonts w:hint="eastAsia" w:ascii="仿宋" w:hAnsi="仿宋" w:eastAsia="仿宋" w:cs="仿宋"/>
                <w:i w:val="0"/>
                <w:iCs w:val="0"/>
                <w:snapToGrid w:val="0"/>
                <w:color w:val="0D0D0D"/>
                <w:kern w:val="0"/>
                <w:sz w:val="24"/>
                <w:szCs w:val="24"/>
                <w:u w:val="none"/>
                <w:lang w:val="en-US" w:eastAsia="zh-CN" w:bidi="ar"/>
              </w:rPr>
              <w:t>12、工作噪音:≤55dB</w:t>
            </w:r>
          </w:p>
        </w:tc>
      </w:tr>
      <w:tr w14:paraId="07A8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vAlign w:val="center"/>
          </w:tcPr>
          <w:p w14:paraId="0577AD3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w:t>
            </w:r>
          </w:p>
        </w:tc>
        <w:tc>
          <w:tcPr>
            <w:tcW w:w="1992" w:type="dxa"/>
            <w:shd w:val="clear" w:color="auto" w:fill="auto"/>
            <w:vAlign w:val="center"/>
          </w:tcPr>
          <w:p w14:paraId="3DEC2D7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诊疗康复专用桌椅组 </w:t>
            </w:r>
          </w:p>
        </w:tc>
        <w:tc>
          <w:tcPr>
            <w:tcW w:w="920" w:type="dxa"/>
            <w:shd w:val="clear" w:color="auto" w:fill="auto"/>
            <w:vAlign w:val="top"/>
          </w:tcPr>
          <w:p w14:paraId="5B9E7F7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8135ED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19761F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E38BA7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498FA6F">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组</w:t>
            </w:r>
          </w:p>
        </w:tc>
        <w:tc>
          <w:tcPr>
            <w:tcW w:w="1460" w:type="dxa"/>
            <w:shd w:val="clear" w:color="auto" w:fill="auto"/>
            <w:vAlign w:val="center"/>
          </w:tcPr>
          <w:p w14:paraId="3050924C">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w:t>
            </w:r>
          </w:p>
        </w:tc>
        <w:tc>
          <w:tcPr>
            <w:tcW w:w="8500" w:type="dxa"/>
            <w:vAlign w:val="center"/>
          </w:tcPr>
          <w:p w14:paraId="42EA2339">
            <w:pPr>
              <w:keepNext w:val="0"/>
              <w:keepLines w:val="0"/>
              <w:widowControl/>
              <w:numPr>
                <w:ilvl w:val="0"/>
                <w:numId w:val="5"/>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default" w:ascii="仿宋" w:hAnsi="仿宋" w:eastAsia="仿宋" w:cs="仿宋"/>
                <w:i w:val="0"/>
                <w:iCs w:val="0"/>
                <w:snapToGrid w:val="0"/>
                <w:color w:val="0D0D0D"/>
                <w:kern w:val="0"/>
                <w:sz w:val="24"/>
                <w:szCs w:val="24"/>
                <w:u w:val="none"/>
                <w:lang w:val="en-US" w:eastAsia="zh-CN" w:bidi="ar"/>
              </w:rPr>
              <w:t>桌子</w:t>
            </w:r>
          </w:p>
          <w:p w14:paraId="09821A69">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1.1、</w:t>
            </w:r>
            <w:r>
              <w:rPr>
                <w:rFonts w:hint="default" w:ascii="仿宋" w:hAnsi="仿宋" w:eastAsia="仿宋" w:cs="仿宋"/>
                <w:i w:val="0"/>
                <w:iCs w:val="0"/>
                <w:snapToGrid w:val="0"/>
                <w:color w:val="0D0D0D"/>
                <w:kern w:val="0"/>
                <w:sz w:val="24"/>
                <w:szCs w:val="24"/>
                <w:u w:val="none"/>
                <w:lang w:val="en-US" w:eastAsia="zh-CN" w:bidi="ar"/>
              </w:rPr>
              <w:t>尺寸(长宽高)</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120x80x6</w:t>
            </w:r>
            <w:r>
              <w:rPr>
                <w:rFonts w:hint="eastAsia" w:ascii="仿宋" w:hAnsi="仿宋" w:eastAsia="仿宋" w:cs="仿宋"/>
                <w:i w:val="0"/>
                <w:iCs w:val="0"/>
                <w:snapToGrid w:val="0"/>
                <w:color w:val="0D0D0D"/>
                <w:kern w:val="0"/>
                <w:sz w:val="24"/>
                <w:szCs w:val="24"/>
                <w:u w:val="none"/>
                <w:lang w:val="en-US" w:eastAsia="zh-CN" w:bidi="ar"/>
              </w:rPr>
              <w:t>0</w:t>
            </w:r>
            <w:r>
              <w:rPr>
                <w:rFonts w:hint="default" w:ascii="仿宋" w:hAnsi="仿宋" w:eastAsia="仿宋" w:cs="仿宋"/>
                <w:i w:val="0"/>
                <w:iCs w:val="0"/>
                <w:snapToGrid w:val="0"/>
                <w:color w:val="0D0D0D"/>
                <w:kern w:val="0"/>
                <w:sz w:val="24"/>
                <w:szCs w:val="24"/>
                <w:u w:val="none"/>
                <w:lang w:val="en-US" w:eastAsia="zh-CN" w:bidi="ar"/>
              </w:rPr>
              <w:t>cm</w:t>
            </w:r>
          </w:p>
          <w:p w14:paraId="194F6C0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1.2、</w:t>
            </w:r>
            <w:r>
              <w:rPr>
                <w:rFonts w:hint="default" w:ascii="仿宋" w:hAnsi="仿宋" w:eastAsia="仿宋" w:cs="仿宋"/>
                <w:i w:val="0"/>
                <w:iCs w:val="0"/>
                <w:snapToGrid w:val="0"/>
                <w:color w:val="0D0D0D"/>
                <w:kern w:val="0"/>
                <w:sz w:val="24"/>
                <w:szCs w:val="24"/>
                <w:u w:val="none"/>
                <w:lang w:val="en-US" w:eastAsia="zh-CN" w:bidi="ar"/>
              </w:rPr>
              <w:t>桌面高度调节范围6</w:t>
            </w:r>
            <w:r>
              <w:rPr>
                <w:rFonts w:hint="eastAsia" w:ascii="仿宋" w:hAnsi="仿宋" w:eastAsia="仿宋" w:cs="仿宋"/>
                <w:i w:val="0"/>
                <w:iCs w:val="0"/>
                <w:snapToGrid w:val="0"/>
                <w:color w:val="0D0D0D"/>
                <w:kern w:val="0"/>
                <w:sz w:val="24"/>
                <w:szCs w:val="24"/>
                <w:u w:val="none"/>
                <w:lang w:val="en-US" w:eastAsia="zh-CN" w:bidi="ar"/>
              </w:rPr>
              <w:t>0</w:t>
            </w:r>
            <w:r>
              <w:rPr>
                <w:rFonts w:hint="default" w:ascii="仿宋" w:hAnsi="仿宋" w:eastAsia="仿宋" w:cs="仿宋"/>
                <w:i w:val="0"/>
                <w:iCs w:val="0"/>
                <w:snapToGrid w:val="0"/>
                <w:color w:val="0D0D0D"/>
                <w:kern w:val="0"/>
                <w:sz w:val="24"/>
                <w:szCs w:val="24"/>
                <w:u w:val="none"/>
                <w:lang w:val="en-US" w:eastAsia="zh-CN" w:bidi="ar"/>
              </w:rPr>
              <w:t>cm-8</w:t>
            </w:r>
            <w:r>
              <w:rPr>
                <w:rFonts w:hint="eastAsia" w:ascii="仿宋" w:hAnsi="仿宋" w:eastAsia="仿宋" w:cs="仿宋"/>
                <w:i w:val="0"/>
                <w:iCs w:val="0"/>
                <w:snapToGrid w:val="0"/>
                <w:color w:val="0D0D0D"/>
                <w:kern w:val="0"/>
                <w:sz w:val="24"/>
                <w:szCs w:val="24"/>
                <w:u w:val="none"/>
                <w:lang w:val="en-US" w:eastAsia="zh-CN" w:bidi="ar"/>
              </w:rPr>
              <w:t>0</w:t>
            </w:r>
            <w:r>
              <w:rPr>
                <w:rFonts w:hint="default" w:ascii="仿宋" w:hAnsi="仿宋" w:eastAsia="仿宋" w:cs="仿宋"/>
                <w:i w:val="0"/>
                <w:iCs w:val="0"/>
                <w:snapToGrid w:val="0"/>
                <w:color w:val="0D0D0D"/>
                <w:kern w:val="0"/>
                <w:sz w:val="24"/>
                <w:szCs w:val="24"/>
                <w:u w:val="none"/>
                <w:lang w:val="en-US" w:eastAsia="zh-CN" w:bidi="ar"/>
              </w:rPr>
              <w:t>cm</w:t>
            </w:r>
          </w:p>
          <w:p w14:paraId="2503F2D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1.3、</w:t>
            </w:r>
            <w:r>
              <w:rPr>
                <w:rFonts w:hint="default" w:ascii="仿宋" w:hAnsi="仿宋" w:eastAsia="仿宋" w:cs="仿宋"/>
                <w:i w:val="0"/>
                <w:iCs w:val="0"/>
                <w:snapToGrid w:val="0"/>
                <w:color w:val="0D0D0D"/>
                <w:kern w:val="0"/>
                <w:sz w:val="24"/>
                <w:szCs w:val="24"/>
                <w:u w:val="none"/>
                <w:lang w:val="en-US" w:eastAsia="zh-CN" w:bidi="ar"/>
              </w:rPr>
              <w:t>手柄转动力矩10N·m</w:t>
            </w:r>
          </w:p>
          <w:p w14:paraId="67F01BE6">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1.4、</w:t>
            </w:r>
            <w:r>
              <w:rPr>
                <w:rFonts w:hint="default" w:ascii="仿宋" w:hAnsi="仿宋" w:eastAsia="仿宋" w:cs="仿宋"/>
                <w:i w:val="0"/>
                <w:iCs w:val="0"/>
                <w:snapToGrid w:val="0"/>
                <w:color w:val="0D0D0D"/>
                <w:kern w:val="0"/>
                <w:sz w:val="24"/>
                <w:szCs w:val="24"/>
                <w:u w:val="none"/>
                <w:lang w:val="en-US" w:eastAsia="zh-CN" w:bidi="ar"/>
              </w:rPr>
              <w:t>桌面额定载荷</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50kg</w:t>
            </w:r>
          </w:p>
          <w:p w14:paraId="74C9A707">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1.5、</w:t>
            </w:r>
            <w:r>
              <w:rPr>
                <w:rFonts w:hint="default" w:ascii="仿宋" w:hAnsi="仿宋" w:eastAsia="仿宋" w:cs="仿宋"/>
                <w:i w:val="0"/>
                <w:iCs w:val="0"/>
                <w:snapToGrid w:val="0"/>
                <w:color w:val="0D0D0D"/>
                <w:kern w:val="0"/>
                <w:sz w:val="24"/>
                <w:szCs w:val="24"/>
                <w:u w:val="none"/>
                <w:lang w:val="en-US" w:eastAsia="zh-CN" w:bidi="ar"/>
              </w:rPr>
              <w:t>桌面尺寸</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12</w:t>
            </w:r>
            <w:r>
              <w:rPr>
                <w:rFonts w:hint="eastAsia" w:ascii="仿宋" w:hAnsi="仿宋" w:eastAsia="仿宋" w:cs="仿宋"/>
                <w:i w:val="0"/>
                <w:iCs w:val="0"/>
                <w:snapToGrid w:val="0"/>
                <w:color w:val="0D0D0D"/>
                <w:kern w:val="0"/>
                <w:sz w:val="24"/>
                <w:szCs w:val="24"/>
                <w:u w:val="none"/>
                <w:lang w:val="en-US" w:eastAsia="zh-CN" w:bidi="ar"/>
              </w:rPr>
              <w:t>0</w:t>
            </w:r>
            <w:r>
              <w:rPr>
                <w:rFonts w:hint="default" w:ascii="仿宋" w:hAnsi="仿宋" w:eastAsia="仿宋" w:cs="仿宋"/>
                <w:i w:val="0"/>
                <w:iCs w:val="0"/>
                <w:snapToGrid w:val="0"/>
                <w:color w:val="0D0D0D"/>
                <w:kern w:val="0"/>
                <w:sz w:val="24"/>
                <w:szCs w:val="24"/>
                <w:u w:val="none"/>
                <w:lang w:val="en-US" w:eastAsia="zh-CN" w:bidi="ar"/>
              </w:rPr>
              <w:t>cmx80cm</w:t>
            </w:r>
          </w:p>
          <w:p w14:paraId="36F1DDF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default" w:ascii="仿宋" w:hAnsi="仿宋" w:eastAsia="仿宋" w:cs="仿宋"/>
                <w:i w:val="0"/>
                <w:iCs w:val="0"/>
                <w:snapToGrid w:val="0"/>
                <w:color w:val="0D0D0D"/>
                <w:kern w:val="0"/>
                <w:sz w:val="24"/>
                <w:szCs w:val="24"/>
                <w:u w:val="none"/>
                <w:lang w:val="en-US" w:eastAsia="zh-CN" w:bidi="ar"/>
              </w:rPr>
              <w:t>2、椅子</w:t>
            </w:r>
          </w:p>
          <w:p w14:paraId="2B2AC2A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2.1、</w:t>
            </w:r>
            <w:r>
              <w:rPr>
                <w:rFonts w:hint="default" w:ascii="仿宋" w:hAnsi="仿宋" w:eastAsia="仿宋" w:cs="仿宋"/>
                <w:i w:val="0"/>
                <w:iCs w:val="0"/>
                <w:snapToGrid w:val="0"/>
                <w:color w:val="0D0D0D"/>
                <w:kern w:val="0"/>
                <w:sz w:val="24"/>
                <w:szCs w:val="24"/>
                <w:u w:val="none"/>
                <w:lang w:val="en-US" w:eastAsia="zh-CN" w:bidi="ar"/>
              </w:rPr>
              <w:t>尺寸(长宽高)</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60cmx43cmx4</w:t>
            </w:r>
            <w:r>
              <w:rPr>
                <w:rFonts w:hint="eastAsia" w:ascii="仿宋" w:hAnsi="仿宋" w:eastAsia="仿宋" w:cs="仿宋"/>
                <w:i w:val="0"/>
                <w:iCs w:val="0"/>
                <w:snapToGrid w:val="0"/>
                <w:color w:val="0D0D0D"/>
                <w:kern w:val="0"/>
                <w:sz w:val="24"/>
                <w:szCs w:val="24"/>
                <w:u w:val="none"/>
                <w:lang w:val="en-US" w:eastAsia="zh-CN" w:bidi="ar"/>
              </w:rPr>
              <w:t>0</w:t>
            </w:r>
            <w:r>
              <w:rPr>
                <w:rFonts w:hint="default" w:ascii="仿宋" w:hAnsi="仿宋" w:eastAsia="仿宋" w:cs="仿宋"/>
                <w:i w:val="0"/>
                <w:iCs w:val="0"/>
                <w:snapToGrid w:val="0"/>
                <w:color w:val="0D0D0D"/>
                <w:kern w:val="0"/>
                <w:sz w:val="24"/>
                <w:szCs w:val="24"/>
                <w:u w:val="none"/>
                <w:lang w:val="en-US" w:eastAsia="zh-CN" w:bidi="ar"/>
              </w:rPr>
              <w:t>cm</w:t>
            </w:r>
          </w:p>
          <w:p w14:paraId="16BC7C25">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2.2、可升降</w:t>
            </w:r>
            <w:r>
              <w:rPr>
                <w:rFonts w:hint="default" w:ascii="仿宋" w:hAnsi="仿宋" w:eastAsia="仿宋" w:cs="仿宋"/>
                <w:i w:val="0"/>
                <w:iCs w:val="0"/>
                <w:snapToGrid w:val="0"/>
                <w:color w:val="0D0D0D"/>
                <w:kern w:val="0"/>
                <w:sz w:val="24"/>
                <w:szCs w:val="24"/>
                <w:u w:val="none"/>
                <w:lang w:val="en-US" w:eastAsia="zh-CN" w:bidi="ar"/>
              </w:rPr>
              <w:t>，360°旋转</w:t>
            </w:r>
          </w:p>
          <w:p w14:paraId="624CC1E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2.3、</w:t>
            </w:r>
            <w:r>
              <w:rPr>
                <w:rFonts w:hint="default" w:ascii="仿宋" w:hAnsi="仿宋" w:eastAsia="仿宋" w:cs="仿宋"/>
                <w:i w:val="0"/>
                <w:iCs w:val="0"/>
                <w:snapToGrid w:val="0"/>
                <w:color w:val="0D0D0D"/>
                <w:kern w:val="0"/>
                <w:sz w:val="24"/>
                <w:szCs w:val="24"/>
                <w:u w:val="none"/>
                <w:lang w:val="en-US" w:eastAsia="zh-CN" w:bidi="ar"/>
              </w:rPr>
              <w:t>凳面上升载荷</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15kg，凳面下降载荷</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25k</w:t>
            </w:r>
            <w:r>
              <w:rPr>
                <w:rFonts w:hint="eastAsia" w:ascii="仿宋" w:hAnsi="仿宋" w:eastAsia="仿宋" w:cs="仿宋"/>
                <w:i w:val="0"/>
                <w:iCs w:val="0"/>
                <w:snapToGrid w:val="0"/>
                <w:color w:val="0D0D0D"/>
                <w:kern w:val="0"/>
                <w:sz w:val="24"/>
                <w:szCs w:val="24"/>
                <w:u w:val="none"/>
                <w:lang w:val="en-US" w:eastAsia="zh-CN" w:bidi="ar"/>
              </w:rPr>
              <w:t>g</w:t>
            </w:r>
          </w:p>
        </w:tc>
      </w:tr>
      <w:tr w14:paraId="371D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63" w:type="dxa"/>
            <w:vAlign w:val="center"/>
          </w:tcPr>
          <w:p w14:paraId="19DC183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7</w:t>
            </w:r>
          </w:p>
        </w:tc>
        <w:tc>
          <w:tcPr>
            <w:tcW w:w="1992" w:type="dxa"/>
            <w:shd w:val="clear" w:color="auto" w:fill="auto"/>
            <w:vAlign w:val="center"/>
          </w:tcPr>
          <w:p w14:paraId="28910CE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频谱康复治疗仪  </w:t>
            </w:r>
          </w:p>
        </w:tc>
        <w:tc>
          <w:tcPr>
            <w:tcW w:w="920" w:type="dxa"/>
            <w:shd w:val="clear" w:color="auto" w:fill="auto"/>
            <w:vAlign w:val="top"/>
          </w:tcPr>
          <w:p w14:paraId="7CA08EB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0AA63A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584D02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7138D2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A887471">
            <w:pPr>
              <w:pStyle w:val="7"/>
              <w:rPr>
                <w:rFonts w:hint="eastAsia"/>
                <w:lang w:val="en-US" w:eastAsia="zh-CN"/>
              </w:rPr>
            </w:pPr>
          </w:p>
          <w:p w14:paraId="3E63E296">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792ADB1A">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w:t>
            </w:r>
          </w:p>
        </w:tc>
        <w:tc>
          <w:tcPr>
            <w:tcW w:w="8500" w:type="dxa"/>
            <w:vAlign w:val="center"/>
          </w:tcPr>
          <w:p w14:paraId="3B402034">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一、功能：</w:t>
            </w:r>
          </w:p>
          <w:p w14:paraId="547FE254">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可满足腰肌劳损、腰痛、颈椎病、肩周炎、腰椎间盘突出;风湿关节炎、关节痛、老寒腿、痛风、积液、滑膜炎、坐骨神经痛;术后产后伤口前合等软组织损伤;妇科炎症、痛经等辅助治疗。</w:t>
            </w:r>
          </w:p>
          <w:p w14:paraId="18BB3049">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二、技术参数:</w:t>
            </w:r>
          </w:p>
          <w:p w14:paraId="23F726C6">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1、产品规格:</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746mmx446mmx438mm</w:t>
            </w:r>
          </w:p>
          <w:p w14:paraId="6D561503">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2、安全类型:I类</w:t>
            </w:r>
          </w:p>
          <w:p w14:paraId="7D0AB081">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3、温度设定:50°C-80°C</w:t>
            </w:r>
          </w:p>
          <w:p w14:paraId="71ECDA8B">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4、时间设定:30min 或45min</w:t>
            </w:r>
          </w:p>
          <w:p w14:paraId="7A13B16A">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5、波长范围:2.5~13.5um</w:t>
            </w:r>
          </w:p>
          <w:p w14:paraId="2BC85EAA">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6、储存温度:-20°C-55°C</w:t>
            </w:r>
          </w:p>
        </w:tc>
      </w:tr>
      <w:tr w14:paraId="199A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vAlign w:val="center"/>
          </w:tcPr>
          <w:p w14:paraId="5AFF2E6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15AA71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6D6BB3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559A23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9CFE49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560F50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F306B3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4049B5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B1ED2F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8A6140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w:t>
            </w:r>
          </w:p>
        </w:tc>
        <w:tc>
          <w:tcPr>
            <w:tcW w:w="1992" w:type="dxa"/>
            <w:shd w:val="clear" w:color="auto" w:fill="auto"/>
            <w:vAlign w:val="center"/>
          </w:tcPr>
          <w:p w14:paraId="5845B37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74B5FF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EC1666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A5DB5D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58F299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67E953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190CB2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B340F4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8A3314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89B9C0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冲击波疼痛康复治疗仪  </w:t>
            </w:r>
          </w:p>
        </w:tc>
        <w:tc>
          <w:tcPr>
            <w:tcW w:w="920" w:type="dxa"/>
            <w:shd w:val="clear" w:color="auto" w:fill="auto"/>
            <w:vAlign w:val="top"/>
          </w:tcPr>
          <w:p w14:paraId="5921CFC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8440BC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92A38C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7157DA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FBB2EB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1F7C5B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192F0F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8D31B7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6BD4865">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6DD08776">
            <w:pPr>
              <w:keepNext w:val="0"/>
              <w:keepLines w:val="0"/>
              <w:widowControl/>
              <w:suppressLineNumbers w:val="0"/>
              <w:kinsoku w:val="0"/>
              <w:autoSpaceDE w:val="0"/>
              <w:autoSpaceDN w:val="0"/>
              <w:adjustRightInd w:val="0"/>
              <w:snapToGrid w:val="0"/>
              <w:spacing w:line="240" w:lineRule="auto"/>
              <w:jc w:val="both"/>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4D1AAFD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A19A51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9BC178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5D23E9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34D3A2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64D7E3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4D0960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33B00E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AC7A9E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631FE66">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w:t>
            </w:r>
          </w:p>
        </w:tc>
        <w:tc>
          <w:tcPr>
            <w:tcW w:w="8500" w:type="dxa"/>
            <w:vAlign w:val="center"/>
          </w:tcPr>
          <w:p w14:paraId="02BF46A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技术参数:</w:t>
            </w:r>
          </w:p>
          <w:p w14:paraId="0110D71A">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1、台面结构，单通道，1个冲击手柄，1个按摩手柄;触摸显示屏，操作便捷;</w:t>
            </w:r>
          </w:p>
          <w:p w14:paraId="3A85C86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2、工作压力:</w:t>
            </w:r>
          </w:p>
          <w:p w14:paraId="3E07896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2.1、不同冲击探头的最大能量密度不同，最大能量密度高达5mJ/mm2;</w:t>
            </w:r>
          </w:p>
          <w:p w14:paraId="7F0CDAF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2.2、穿透深度:治疗头的穿透深度30mm士20%;</w:t>
            </w:r>
          </w:p>
          <w:p w14:paraId="7FDFAEDA">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2.3、</w:t>
            </w:r>
            <w:r>
              <w:rPr>
                <w:rFonts w:hint="eastAsia" w:ascii="仿宋" w:hAnsi="仿宋" w:eastAsia="仿宋" w:cs="仿宋"/>
                <w:i w:val="0"/>
                <w:iCs w:val="0"/>
                <w:snapToGrid w:val="0"/>
                <w:color w:val="0D0D0D"/>
                <w:kern w:val="0"/>
                <w:sz w:val="24"/>
                <w:szCs w:val="24"/>
                <w:u w:val="none"/>
                <w:lang w:val="en-US" w:eastAsia="zh-CN" w:bidi="ar"/>
              </w:rPr>
              <w:t>脉宽:输出压力波的脉宽为300us士10%;</w:t>
            </w:r>
          </w:p>
          <w:p w14:paraId="6C9E6145">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3、冲击探头及子弹体的使用寿命</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200万次;大冲击探头具有准直型和发散式两种治疗探头，标配6种治疗探头，满足不同的临床需求;</w:t>
            </w:r>
          </w:p>
          <w:p w14:paraId="423F998D">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4、准直式治疗探头规格:6mm、9mm、15mm;</w:t>
            </w:r>
          </w:p>
          <w:p w14:paraId="087B330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5、发散式治疗探头规格:15mm、20mm、25mm；</w:t>
            </w:r>
          </w:p>
          <w:p w14:paraId="0FFD7ABE">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6、按摩探头具有三种治疗探头，探头规格为:10mm、25mm、40mm;</w:t>
            </w:r>
          </w:p>
          <w:p w14:paraId="00B2A9F8">
            <w:pPr>
              <w:keepNext w:val="0"/>
              <w:keepLines w:val="0"/>
              <w:widowControl/>
              <w:numPr>
                <w:ilvl w:val="0"/>
                <w:numId w:val="0"/>
              </w:numPr>
              <w:suppressLineNumbers w:val="0"/>
              <w:kinsoku w:val="0"/>
              <w:autoSpaceDE w:val="0"/>
              <w:autoSpaceDN w:val="0"/>
              <w:adjustRightInd w:val="0"/>
              <w:snapToGrid w:val="0"/>
              <w:spacing w:line="240" w:lineRule="auto"/>
              <w:ind w:left="0" w:leftChars="0" w:firstLine="0" w:firstLineChars="0"/>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7、</w:t>
            </w:r>
            <w:r>
              <w:rPr>
                <w:rFonts w:hint="eastAsia" w:ascii="仿宋" w:hAnsi="仿宋" w:eastAsia="仿宋" w:cs="仿宋"/>
                <w:i w:val="0"/>
                <w:iCs w:val="0"/>
                <w:snapToGrid w:val="0"/>
                <w:color w:val="0D0D0D"/>
                <w:kern w:val="0"/>
                <w:sz w:val="24"/>
                <w:szCs w:val="24"/>
                <w:u w:val="none"/>
                <w:lang w:val="en-US" w:eastAsia="zh-CN" w:bidi="ar"/>
              </w:rPr>
              <w:t>按摩探头振动幅度为3mm，允差士1mm;</w:t>
            </w:r>
          </w:p>
          <w:p w14:paraId="127C8627">
            <w:pPr>
              <w:keepNext w:val="0"/>
              <w:keepLines w:val="0"/>
              <w:widowControl/>
              <w:numPr>
                <w:ilvl w:val="0"/>
                <w:numId w:val="0"/>
              </w:numPr>
              <w:suppressLineNumbers w:val="0"/>
              <w:kinsoku w:val="0"/>
              <w:autoSpaceDE w:val="0"/>
              <w:autoSpaceDN w:val="0"/>
              <w:adjustRightInd w:val="0"/>
              <w:snapToGrid w:val="0"/>
              <w:spacing w:line="240" w:lineRule="auto"/>
              <w:ind w:left="0" w:leftChars="0" w:firstLine="0" w:firstLineChars="0"/>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8、</w:t>
            </w:r>
            <w:r>
              <w:rPr>
                <w:rFonts w:hint="eastAsia" w:ascii="仿宋" w:hAnsi="仿宋" w:eastAsia="仿宋" w:cs="仿宋"/>
                <w:i w:val="0"/>
                <w:iCs w:val="0"/>
                <w:snapToGrid w:val="0"/>
                <w:color w:val="0D0D0D"/>
                <w:kern w:val="0"/>
                <w:sz w:val="24"/>
                <w:szCs w:val="24"/>
                <w:u w:val="none"/>
                <w:lang w:val="en-US" w:eastAsia="zh-CN" w:bidi="ar"/>
              </w:rPr>
              <w:t>工作频率:</w:t>
            </w:r>
          </w:p>
          <w:p w14:paraId="2E7B18EE">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8.1、冲击探头碰撞频率:1-25Hz可调，步长0.5Hz;</w:t>
            </w:r>
          </w:p>
          <w:p w14:paraId="611F30B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8.2、按摩探头振动频率0.5-35Hz可调;0.5-1Hz，步进0.1Hz;1-35Hz，步进1Hz;</w:t>
            </w:r>
          </w:p>
          <w:p w14:paraId="2BED0A9A">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9、内置</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200种全身各部位的治疗处方;</w:t>
            </w:r>
          </w:p>
          <w:p w14:paraId="6EAB8B96">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10、具有搜索、编辑、新增、删除、加载自定义处方的功能;</w:t>
            </w:r>
          </w:p>
          <w:p w14:paraId="0F62CA6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11、内置</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4种疼痛评估评价系统:动态VAS、静态VAS、睡眠VAS、面部表情测量等，可进行治疗前后的疼痛评估。完成治疗前疼痛评估后且治疗完成后，会自动弹出治疗后疼痛评估界面;</w:t>
            </w:r>
          </w:p>
          <w:p w14:paraId="0729DDA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12、</w:t>
            </w:r>
            <w:r>
              <w:rPr>
                <w:rFonts w:hint="eastAsia" w:ascii="仿宋" w:hAnsi="仿宋" w:eastAsia="仿宋" w:cs="仿宋"/>
                <w:i w:val="0"/>
                <w:iCs w:val="0"/>
                <w:snapToGrid w:val="0"/>
                <w:color w:val="0D0D0D"/>
                <w:kern w:val="0"/>
                <w:sz w:val="24"/>
                <w:szCs w:val="24"/>
                <w:u w:val="none"/>
                <w:lang w:val="en-US" w:eastAsia="zh-CN" w:bidi="ar"/>
              </w:rPr>
              <w:t>默认冲击次数</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2000，默认冲击强度</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2.0Bar，默认冲击频率</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8Hz;</w:t>
            </w:r>
          </w:p>
          <w:p w14:paraId="60576FF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13、</w:t>
            </w:r>
            <w:r>
              <w:rPr>
                <w:rFonts w:hint="eastAsia" w:ascii="仿宋" w:hAnsi="仿宋" w:eastAsia="仿宋" w:cs="仿宋"/>
                <w:i w:val="0"/>
                <w:iCs w:val="0"/>
                <w:snapToGrid w:val="0"/>
                <w:color w:val="0D0D0D"/>
                <w:kern w:val="0"/>
                <w:sz w:val="24"/>
                <w:szCs w:val="24"/>
                <w:u w:val="none"/>
                <w:lang w:val="en-US" w:eastAsia="zh-CN" w:bidi="ar"/>
              </w:rPr>
              <w:t>治疗计数范围:1-9999次可调，1-10时，步长为1;10-100时，步长为14;100-9900时，步长为100;9900-9999时，步长为99;</w:t>
            </w:r>
          </w:p>
          <w:p w14:paraId="3C4BC6A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19、</w:t>
            </w:r>
            <w:r>
              <w:rPr>
                <w:rFonts w:hint="eastAsia" w:ascii="仿宋" w:hAnsi="仿宋" w:eastAsia="仿宋" w:cs="仿宋"/>
                <w:i w:val="0"/>
                <w:iCs w:val="0"/>
                <w:snapToGrid w:val="0"/>
                <w:color w:val="0D0D0D"/>
                <w:kern w:val="0"/>
                <w:sz w:val="24"/>
                <w:szCs w:val="24"/>
                <w:u w:val="none"/>
                <w:lang w:val="en-US" w:eastAsia="zh-CN" w:bidi="ar"/>
              </w:rPr>
              <w:t>其他需求：配台车1台</w:t>
            </w:r>
          </w:p>
        </w:tc>
      </w:tr>
      <w:tr w14:paraId="4B88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563" w:type="dxa"/>
            <w:shd w:val="clear" w:color="auto" w:fill="auto"/>
            <w:vAlign w:val="center"/>
          </w:tcPr>
          <w:p w14:paraId="317A4C6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9</w:t>
            </w:r>
          </w:p>
        </w:tc>
        <w:tc>
          <w:tcPr>
            <w:tcW w:w="1992" w:type="dxa"/>
            <w:shd w:val="clear" w:color="auto" w:fill="auto"/>
            <w:vAlign w:val="center"/>
          </w:tcPr>
          <w:p w14:paraId="132D1F6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助行康复训练仪</w:t>
            </w:r>
          </w:p>
        </w:tc>
        <w:tc>
          <w:tcPr>
            <w:tcW w:w="920" w:type="dxa"/>
            <w:shd w:val="clear" w:color="auto" w:fill="auto"/>
            <w:vAlign w:val="top"/>
          </w:tcPr>
          <w:p w14:paraId="759BAA3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0BB7A3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DEAFEAA">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2D0984A7">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w:t>
            </w:r>
          </w:p>
        </w:tc>
        <w:tc>
          <w:tcPr>
            <w:tcW w:w="8500" w:type="dxa"/>
            <w:vAlign w:val="center"/>
          </w:tcPr>
          <w:p w14:paraId="65CF865D">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技术参数:</w:t>
            </w:r>
          </w:p>
          <w:p w14:paraId="6B2F4BF8">
            <w:pPr>
              <w:keepNext w:val="0"/>
              <w:keepLines w:val="0"/>
              <w:widowControl/>
              <w:numPr>
                <w:ilvl w:val="0"/>
                <w:numId w:val="6"/>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尺寸(长宽高)</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50*60*78cm</w:t>
            </w:r>
          </w:p>
          <w:p w14:paraId="62A2971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2、手柄套宽度2</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5cm</w:t>
            </w:r>
          </w:p>
          <w:p w14:paraId="06166F6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p>
        </w:tc>
      </w:tr>
      <w:tr w14:paraId="121B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shd w:val="clear" w:color="auto" w:fill="auto"/>
            <w:vAlign w:val="center"/>
          </w:tcPr>
          <w:p w14:paraId="0F110D3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10</w:t>
            </w:r>
          </w:p>
        </w:tc>
        <w:tc>
          <w:tcPr>
            <w:tcW w:w="1992" w:type="dxa"/>
            <w:shd w:val="clear" w:color="auto" w:fill="auto"/>
            <w:vAlign w:val="center"/>
          </w:tcPr>
          <w:p w14:paraId="0DF1427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藏医理疗烟雾净化设备 </w:t>
            </w:r>
          </w:p>
        </w:tc>
        <w:tc>
          <w:tcPr>
            <w:tcW w:w="920" w:type="dxa"/>
            <w:shd w:val="clear" w:color="auto" w:fill="auto"/>
            <w:vAlign w:val="top"/>
          </w:tcPr>
          <w:p w14:paraId="57DCD8D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BF6DAB1">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0FFC1B04">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w:t>
            </w:r>
          </w:p>
        </w:tc>
        <w:tc>
          <w:tcPr>
            <w:tcW w:w="8500" w:type="dxa"/>
            <w:vAlign w:val="center"/>
          </w:tcPr>
          <w:p w14:paraId="43A42C88">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技术参数:</w:t>
            </w:r>
          </w:p>
          <w:p w14:paraId="578E7407">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1、组合臂大方罩</w:t>
            </w:r>
          </w:p>
          <w:p w14:paraId="34642AD3">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2、</w:t>
            </w:r>
            <w:r>
              <w:rPr>
                <w:rFonts w:hint="eastAsia" w:ascii="仿宋" w:hAnsi="仿宋" w:eastAsia="仿宋" w:cs="仿宋"/>
                <w:i w:val="0"/>
                <w:iCs w:val="0"/>
                <w:snapToGrid w:val="0"/>
                <w:color w:val="0D0D0D"/>
                <w:kern w:val="0"/>
                <w:sz w:val="24"/>
                <w:szCs w:val="24"/>
                <w:u w:val="none"/>
                <w:lang w:val="en-US" w:eastAsia="zh-CN" w:bidi="ar"/>
              </w:rPr>
              <w:t>罩口规格:</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660*420MM</w:t>
            </w:r>
          </w:p>
          <w:p w14:paraId="2DA7CBE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3、</w:t>
            </w:r>
            <w:r>
              <w:rPr>
                <w:rFonts w:hint="eastAsia" w:ascii="仿宋" w:hAnsi="仿宋" w:eastAsia="仿宋" w:cs="仿宋"/>
                <w:i w:val="0"/>
                <w:iCs w:val="0"/>
                <w:snapToGrid w:val="0"/>
                <w:color w:val="0D0D0D"/>
                <w:kern w:val="0"/>
                <w:sz w:val="24"/>
                <w:szCs w:val="24"/>
                <w:u w:val="none"/>
                <w:lang w:val="en-US" w:eastAsia="zh-CN" w:bidi="ar"/>
              </w:rPr>
              <w:t>过虑级别:五层过滤</w:t>
            </w:r>
          </w:p>
          <w:p w14:paraId="74B3FAF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4、</w:t>
            </w:r>
            <w:r>
              <w:rPr>
                <w:rFonts w:hint="eastAsia" w:ascii="仿宋" w:hAnsi="仿宋" w:eastAsia="仿宋" w:cs="仿宋"/>
                <w:i w:val="0"/>
                <w:iCs w:val="0"/>
                <w:snapToGrid w:val="0"/>
                <w:color w:val="0D0D0D"/>
                <w:kern w:val="0"/>
                <w:sz w:val="24"/>
                <w:szCs w:val="24"/>
                <w:u w:val="none"/>
                <w:lang w:val="en-US" w:eastAsia="zh-CN" w:bidi="ar"/>
              </w:rPr>
              <w:t>功率:</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200W</w:t>
            </w:r>
          </w:p>
          <w:p w14:paraId="1D86597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5、</w:t>
            </w:r>
            <w:r>
              <w:rPr>
                <w:rFonts w:hint="eastAsia" w:ascii="仿宋" w:hAnsi="仿宋" w:eastAsia="仿宋" w:cs="仿宋"/>
                <w:i w:val="0"/>
                <w:iCs w:val="0"/>
                <w:snapToGrid w:val="0"/>
                <w:color w:val="0D0D0D"/>
                <w:kern w:val="0"/>
                <w:sz w:val="24"/>
                <w:szCs w:val="24"/>
                <w:u w:val="none"/>
                <w:lang w:val="en-US" w:eastAsia="zh-CN" w:bidi="ar"/>
              </w:rPr>
              <w:t>调速方式:无极调速</w:t>
            </w:r>
          </w:p>
          <w:p w14:paraId="1B45113A">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6、</w:t>
            </w:r>
            <w:r>
              <w:rPr>
                <w:rFonts w:hint="eastAsia" w:ascii="仿宋" w:hAnsi="仿宋" w:eastAsia="仿宋" w:cs="仿宋"/>
                <w:i w:val="0"/>
                <w:iCs w:val="0"/>
                <w:snapToGrid w:val="0"/>
                <w:color w:val="0D0D0D"/>
                <w:kern w:val="0"/>
                <w:sz w:val="24"/>
                <w:szCs w:val="24"/>
                <w:u w:val="none"/>
                <w:lang w:val="en-US" w:eastAsia="zh-CN" w:bidi="ar"/>
              </w:rPr>
              <w:t>风机风量:400m³ /h</w:t>
            </w:r>
          </w:p>
          <w:p w14:paraId="7EBD294B">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7、</w:t>
            </w:r>
            <w:r>
              <w:rPr>
                <w:rFonts w:hint="eastAsia" w:ascii="仿宋" w:hAnsi="仿宋" w:eastAsia="仿宋" w:cs="仿宋"/>
                <w:i w:val="0"/>
                <w:iCs w:val="0"/>
                <w:snapToGrid w:val="0"/>
                <w:color w:val="0D0D0D"/>
                <w:kern w:val="0"/>
                <w:sz w:val="24"/>
                <w:szCs w:val="24"/>
                <w:u w:val="none"/>
                <w:lang w:val="en-US" w:eastAsia="zh-CN" w:bidi="ar"/>
              </w:rPr>
              <w:t>噪音:≤58dB</w:t>
            </w:r>
          </w:p>
          <w:p w14:paraId="4A000CC8">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8、</w:t>
            </w:r>
            <w:r>
              <w:rPr>
                <w:rFonts w:hint="eastAsia" w:ascii="仿宋" w:hAnsi="仿宋" w:eastAsia="仿宋" w:cs="仿宋"/>
                <w:i w:val="0"/>
                <w:iCs w:val="0"/>
                <w:snapToGrid w:val="0"/>
                <w:color w:val="0D0D0D"/>
                <w:kern w:val="0"/>
                <w:sz w:val="24"/>
                <w:szCs w:val="24"/>
                <w:u w:val="none"/>
                <w:lang w:val="en-US" w:eastAsia="zh-CN" w:bidi="ar"/>
              </w:rPr>
              <w:t>其他需求：配过滤滤芯</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3套</w:t>
            </w:r>
          </w:p>
        </w:tc>
      </w:tr>
      <w:tr w14:paraId="53FD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shd w:val="clear" w:color="auto" w:fill="auto"/>
            <w:vAlign w:val="center"/>
          </w:tcPr>
          <w:p w14:paraId="0703CC1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11</w:t>
            </w:r>
          </w:p>
        </w:tc>
        <w:tc>
          <w:tcPr>
            <w:tcW w:w="1992" w:type="dxa"/>
            <w:shd w:val="clear" w:color="auto" w:fill="auto"/>
            <w:vAlign w:val="center"/>
          </w:tcPr>
          <w:p w14:paraId="2F43B86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藏医手足熏蒸治疗机 </w:t>
            </w:r>
          </w:p>
        </w:tc>
        <w:tc>
          <w:tcPr>
            <w:tcW w:w="920" w:type="dxa"/>
            <w:shd w:val="clear" w:color="auto" w:fill="auto"/>
            <w:vAlign w:val="top"/>
          </w:tcPr>
          <w:p w14:paraId="3DF009E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AEF131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25B0F1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BFFBD9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B67C02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7EE286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04365A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E5577A3">
            <w:pPr>
              <w:keepNext w:val="0"/>
              <w:keepLines w:val="0"/>
              <w:widowControl/>
              <w:suppressLineNumbers w:val="0"/>
              <w:kinsoku w:val="0"/>
              <w:autoSpaceDE w:val="0"/>
              <w:autoSpaceDN w:val="0"/>
              <w:adjustRightInd w:val="0"/>
              <w:snapToGrid w:val="0"/>
              <w:spacing w:line="240" w:lineRule="auto"/>
              <w:jc w:val="both"/>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4001C4D3">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w:t>
            </w:r>
          </w:p>
        </w:tc>
        <w:tc>
          <w:tcPr>
            <w:tcW w:w="8500" w:type="dxa"/>
            <w:vAlign w:val="center"/>
          </w:tcPr>
          <w:p w14:paraId="39A6E8DC">
            <w:pPr>
              <w:keepNext w:val="0"/>
              <w:keepLines w:val="0"/>
              <w:widowControl/>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技术参数：</w:t>
            </w:r>
          </w:p>
          <w:p w14:paraId="346A56AB">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default" w:ascii="仿宋" w:hAnsi="仿宋" w:eastAsia="仿宋" w:cs="仿宋"/>
                <w:i w:val="0"/>
                <w:iCs w:val="0"/>
                <w:snapToGrid w:val="0"/>
                <w:color w:val="0D0D0D"/>
                <w:kern w:val="0"/>
                <w:sz w:val="24"/>
                <w:szCs w:val="24"/>
                <w:u w:val="none"/>
                <w:lang w:val="en-US" w:eastAsia="zh-CN" w:bidi="ar"/>
              </w:rPr>
              <w:t>1、治疗时间:1</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99min</w:t>
            </w:r>
            <w:r>
              <w:rPr>
                <w:rFonts w:hint="eastAsia" w:ascii="仿宋" w:hAnsi="仿宋" w:eastAsia="仿宋" w:cs="仿宋"/>
                <w:i w:val="0"/>
                <w:iCs w:val="0"/>
                <w:snapToGrid w:val="0"/>
                <w:color w:val="0D0D0D"/>
                <w:kern w:val="0"/>
                <w:sz w:val="24"/>
                <w:szCs w:val="24"/>
                <w:u w:val="none"/>
                <w:lang w:val="en-US" w:eastAsia="zh-CN" w:bidi="ar"/>
              </w:rPr>
              <w:t>可调</w:t>
            </w:r>
            <w:r>
              <w:rPr>
                <w:rFonts w:hint="default" w:ascii="仿宋" w:hAnsi="仿宋" w:eastAsia="仿宋" w:cs="仿宋"/>
                <w:i w:val="0"/>
                <w:iCs w:val="0"/>
                <w:snapToGrid w:val="0"/>
                <w:color w:val="0D0D0D"/>
                <w:kern w:val="0"/>
                <w:sz w:val="24"/>
                <w:szCs w:val="24"/>
                <w:u w:val="none"/>
                <w:lang w:val="en-US" w:eastAsia="zh-CN" w:bidi="ar"/>
              </w:rPr>
              <w:t>;</w:t>
            </w:r>
          </w:p>
          <w:p w14:paraId="18716F9D">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w:t>
            </w:r>
            <w:r>
              <w:rPr>
                <w:rFonts w:hint="default" w:ascii="仿宋" w:hAnsi="仿宋" w:eastAsia="仿宋" w:cs="仿宋"/>
                <w:i w:val="0"/>
                <w:iCs w:val="0"/>
                <w:snapToGrid w:val="0"/>
                <w:color w:val="0D0D0D"/>
                <w:kern w:val="0"/>
                <w:sz w:val="24"/>
                <w:szCs w:val="24"/>
                <w:u w:val="none"/>
                <w:lang w:val="en-US" w:eastAsia="zh-CN" w:bidi="ar"/>
              </w:rPr>
              <w:t>治疗结束有提示音，加热装置自动断电;</w:t>
            </w:r>
          </w:p>
          <w:p w14:paraId="0CB4734A">
            <w:pPr>
              <w:keepNext w:val="0"/>
              <w:keepLines w:val="0"/>
              <w:widowControl/>
              <w:numPr>
                <w:ilvl w:val="0"/>
                <w:numId w:val="0"/>
              </w:numPr>
              <w:suppressLineNumbers w:val="0"/>
              <w:kinsoku w:val="0"/>
              <w:autoSpaceDE w:val="0"/>
              <w:autoSpaceDN w:val="0"/>
              <w:adjustRightInd w:val="0"/>
              <w:snapToGrid w:val="0"/>
              <w:spacing w:line="240" w:lineRule="auto"/>
              <w:ind w:left="0" w:leftChars="0" w:firstLine="0" w:firstLineChars="0"/>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3</w:t>
            </w:r>
            <w:r>
              <w:rPr>
                <w:rFonts w:hint="default" w:ascii="仿宋" w:hAnsi="仿宋" w:eastAsia="仿宋" w:cs="仿宋"/>
                <w:i w:val="0"/>
                <w:iCs w:val="0"/>
                <w:snapToGrid w:val="0"/>
                <w:color w:val="0D0D0D"/>
                <w:kern w:val="0"/>
                <w:sz w:val="24"/>
                <w:szCs w:val="24"/>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功率调节:≥12档调节;</w:t>
            </w:r>
          </w:p>
          <w:p w14:paraId="36E47DAA">
            <w:pPr>
              <w:keepNext w:val="0"/>
              <w:keepLines w:val="0"/>
              <w:widowControl/>
              <w:numPr>
                <w:ilvl w:val="0"/>
                <w:numId w:val="0"/>
              </w:numPr>
              <w:suppressLineNumbers w:val="0"/>
              <w:kinsoku w:val="0"/>
              <w:autoSpaceDE w:val="0"/>
              <w:autoSpaceDN w:val="0"/>
              <w:adjustRightInd w:val="0"/>
              <w:snapToGrid w:val="0"/>
              <w:spacing w:line="240" w:lineRule="auto"/>
              <w:ind w:left="0" w:leftChars="0" w:firstLine="0" w:firstLineChars="0"/>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4</w:t>
            </w:r>
            <w:r>
              <w:rPr>
                <w:rFonts w:hint="default" w:ascii="仿宋" w:hAnsi="仿宋" w:eastAsia="仿宋" w:cs="仿宋"/>
                <w:i w:val="0"/>
                <w:iCs w:val="0"/>
                <w:snapToGrid w:val="0"/>
                <w:color w:val="0D0D0D"/>
                <w:kern w:val="0"/>
                <w:sz w:val="24"/>
                <w:szCs w:val="24"/>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上水方式:手动，加液总容量:≥15L;</w:t>
            </w:r>
          </w:p>
          <w:p w14:paraId="010E7300">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w:t>
            </w:r>
            <w:r>
              <w:rPr>
                <w:rFonts w:hint="default" w:ascii="仿宋" w:hAnsi="仿宋" w:eastAsia="仿宋" w:cs="仿宋"/>
                <w:i w:val="0"/>
                <w:iCs w:val="0"/>
                <w:snapToGrid w:val="0"/>
                <w:color w:val="0D0D0D"/>
                <w:kern w:val="0"/>
                <w:sz w:val="24"/>
                <w:szCs w:val="24"/>
                <w:u w:val="none"/>
                <w:lang w:val="en-US" w:eastAsia="zh-CN" w:bidi="ar"/>
              </w:rPr>
              <w:t>、单个熏蒸舱可同时满足手、足中药汽化熏蒸;</w:t>
            </w:r>
          </w:p>
          <w:p w14:paraId="1889F560">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w:t>
            </w:r>
            <w:r>
              <w:rPr>
                <w:rFonts w:hint="default" w:ascii="仿宋" w:hAnsi="仿宋" w:eastAsia="仿宋" w:cs="仿宋"/>
                <w:i w:val="0"/>
                <w:iCs w:val="0"/>
                <w:snapToGrid w:val="0"/>
                <w:color w:val="0D0D0D"/>
                <w:kern w:val="0"/>
                <w:sz w:val="24"/>
                <w:szCs w:val="24"/>
                <w:u w:val="none"/>
                <w:lang w:val="en-US" w:eastAsia="zh-CN" w:bidi="ar"/>
              </w:rPr>
              <w:t>、三组熏蒸舱、蒸汽发生器、电控系统和消毒系统，每组可独立操控也可同时工作进行熏蒸;</w:t>
            </w:r>
          </w:p>
          <w:p w14:paraId="31C0EF09">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7</w:t>
            </w:r>
            <w:r>
              <w:rPr>
                <w:rFonts w:hint="default" w:ascii="仿宋" w:hAnsi="仿宋" w:eastAsia="仿宋" w:cs="仿宋"/>
                <w:i w:val="0"/>
                <w:iCs w:val="0"/>
                <w:snapToGrid w:val="0"/>
                <w:color w:val="0D0D0D"/>
                <w:kern w:val="0"/>
                <w:sz w:val="24"/>
                <w:szCs w:val="24"/>
                <w:u w:val="none"/>
                <w:lang w:val="en-US" w:eastAsia="zh-CN" w:bidi="ar"/>
              </w:rPr>
              <w:t>、微电脑控制操作系统，具有自动定时、自动控温、自动漏电保护、过载保护、预热功能;</w:t>
            </w:r>
          </w:p>
          <w:p w14:paraId="0AA6A80B">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w:t>
            </w:r>
            <w:r>
              <w:rPr>
                <w:rFonts w:hint="default" w:ascii="仿宋" w:hAnsi="仿宋" w:eastAsia="仿宋" w:cs="仿宋"/>
                <w:i w:val="0"/>
                <w:iCs w:val="0"/>
                <w:snapToGrid w:val="0"/>
                <w:color w:val="0D0D0D"/>
                <w:kern w:val="0"/>
                <w:sz w:val="24"/>
                <w:szCs w:val="24"/>
                <w:u w:val="none"/>
                <w:lang w:val="en-US" w:eastAsia="zh-CN" w:bidi="ar"/>
              </w:rPr>
              <w:t>、防干烧装置:当蒸汽发生器无液体时，不能加热，并有提示信息;</w:t>
            </w:r>
          </w:p>
          <w:p w14:paraId="3E8B7C86">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9</w:t>
            </w:r>
            <w:r>
              <w:rPr>
                <w:rFonts w:hint="default" w:ascii="仿宋" w:hAnsi="仿宋" w:eastAsia="仿宋" w:cs="仿宋"/>
                <w:i w:val="0"/>
                <w:iCs w:val="0"/>
                <w:snapToGrid w:val="0"/>
                <w:color w:val="0D0D0D"/>
                <w:kern w:val="0"/>
                <w:sz w:val="24"/>
                <w:szCs w:val="24"/>
                <w:u w:val="none"/>
                <w:lang w:val="en-US" w:eastAsia="zh-CN" w:bidi="ar"/>
              </w:rPr>
              <w:t>、有臭氧杀菌消毒功能;</w:t>
            </w:r>
          </w:p>
          <w:p w14:paraId="61063907">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default" w:ascii="仿宋" w:hAnsi="仿宋" w:eastAsia="仿宋" w:cs="仿宋"/>
                <w:i w:val="0"/>
                <w:iCs w:val="0"/>
                <w:snapToGrid w:val="0"/>
                <w:color w:val="0D0D0D"/>
                <w:kern w:val="0"/>
                <w:sz w:val="24"/>
                <w:szCs w:val="24"/>
                <w:u w:val="none"/>
                <w:lang w:val="en-US" w:eastAsia="zh-CN" w:bidi="ar"/>
              </w:rPr>
              <w:t>1</w:t>
            </w:r>
            <w:r>
              <w:rPr>
                <w:rFonts w:hint="eastAsia" w:ascii="仿宋" w:hAnsi="仿宋" w:eastAsia="仿宋" w:cs="仿宋"/>
                <w:i w:val="0"/>
                <w:iCs w:val="0"/>
                <w:snapToGrid w:val="0"/>
                <w:color w:val="0D0D0D"/>
                <w:kern w:val="0"/>
                <w:sz w:val="24"/>
                <w:szCs w:val="24"/>
                <w:u w:val="none"/>
                <w:lang w:val="en-US" w:eastAsia="zh-CN" w:bidi="ar"/>
              </w:rPr>
              <w:t>0</w:t>
            </w:r>
            <w:r>
              <w:rPr>
                <w:rFonts w:hint="default" w:ascii="仿宋" w:hAnsi="仿宋" w:eastAsia="仿宋" w:cs="仿宋"/>
                <w:i w:val="0"/>
                <w:iCs w:val="0"/>
                <w:snapToGrid w:val="0"/>
                <w:color w:val="0D0D0D"/>
                <w:kern w:val="0"/>
                <w:sz w:val="24"/>
                <w:szCs w:val="24"/>
                <w:u w:val="none"/>
                <w:lang w:val="en-US" w:eastAsia="zh-CN" w:bidi="ar"/>
              </w:rPr>
              <w:t>、有音乐播放功能(配备U盘);</w:t>
            </w:r>
          </w:p>
          <w:p w14:paraId="5B4D49AD">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default" w:ascii="仿宋" w:hAnsi="仿宋" w:eastAsia="仿宋" w:cs="仿宋"/>
                <w:i w:val="0"/>
                <w:iCs w:val="0"/>
                <w:snapToGrid w:val="0"/>
                <w:color w:val="0D0D0D"/>
                <w:kern w:val="0"/>
                <w:sz w:val="24"/>
                <w:szCs w:val="24"/>
                <w:u w:val="none"/>
                <w:lang w:val="en-US" w:eastAsia="zh-CN" w:bidi="ar"/>
              </w:rPr>
              <w:t>1</w:t>
            </w:r>
            <w:r>
              <w:rPr>
                <w:rFonts w:hint="eastAsia" w:ascii="仿宋" w:hAnsi="仿宋" w:eastAsia="仿宋" w:cs="仿宋"/>
                <w:i w:val="0"/>
                <w:iCs w:val="0"/>
                <w:snapToGrid w:val="0"/>
                <w:color w:val="0D0D0D"/>
                <w:kern w:val="0"/>
                <w:sz w:val="24"/>
                <w:szCs w:val="24"/>
                <w:u w:val="none"/>
                <w:lang w:val="en-US" w:eastAsia="zh-CN" w:bidi="ar"/>
              </w:rPr>
              <w:t>1</w:t>
            </w:r>
            <w:r>
              <w:rPr>
                <w:rFonts w:hint="default" w:ascii="仿宋" w:hAnsi="仿宋" w:eastAsia="仿宋" w:cs="仿宋"/>
                <w:i w:val="0"/>
                <w:iCs w:val="0"/>
                <w:snapToGrid w:val="0"/>
                <w:color w:val="0D0D0D"/>
                <w:kern w:val="0"/>
                <w:sz w:val="24"/>
                <w:szCs w:val="24"/>
                <w:u w:val="none"/>
                <w:lang w:val="en-US" w:eastAsia="zh-CN" w:bidi="ar"/>
              </w:rPr>
              <w:t>、有单独停止加热按钮;</w:t>
            </w:r>
          </w:p>
          <w:p w14:paraId="626ECECF">
            <w:pPr>
              <w:keepNext w:val="0"/>
              <w:keepLines w:val="0"/>
              <w:widowControl/>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default" w:ascii="仿宋" w:hAnsi="仿宋" w:eastAsia="仿宋" w:cs="仿宋"/>
                <w:i w:val="0"/>
                <w:iCs w:val="0"/>
                <w:snapToGrid w:val="0"/>
                <w:color w:val="0D0D0D"/>
                <w:kern w:val="0"/>
                <w:sz w:val="24"/>
                <w:szCs w:val="24"/>
                <w:u w:val="none"/>
                <w:lang w:val="en-US" w:eastAsia="zh-CN" w:bidi="ar"/>
              </w:rPr>
              <w:t>1</w:t>
            </w:r>
            <w:r>
              <w:rPr>
                <w:rFonts w:hint="eastAsia" w:ascii="仿宋" w:hAnsi="仿宋" w:eastAsia="仿宋" w:cs="仿宋"/>
                <w:i w:val="0"/>
                <w:iCs w:val="0"/>
                <w:snapToGrid w:val="0"/>
                <w:color w:val="0D0D0D"/>
                <w:kern w:val="0"/>
                <w:sz w:val="24"/>
                <w:szCs w:val="24"/>
                <w:u w:val="none"/>
                <w:lang w:val="en-US" w:eastAsia="zh-CN" w:bidi="ar"/>
              </w:rPr>
              <w:t>2</w:t>
            </w:r>
            <w:r>
              <w:rPr>
                <w:rFonts w:hint="default" w:ascii="仿宋" w:hAnsi="仿宋" w:eastAsia="仿宋" w:cs="仿宋"/>
                <w:i w:val="0"/>
                <w:iCs w:val="0"/>
                <w:snapToGrid w:val="0"/>
                <w:color w:val="0D0D0D"/>
                <w:kern w:val="0"/>
                <w:sz w:val="24"/>
                <w:szCs w:val="24"/>
                <w:u w:val="none"/>
                <w:lang w:val="en-US" w:eastAsia="zh-CN" w:bidi="ar"/>
              </w:rPr>
              <w:t>、控制台自配补水装置;</w:t>
            </w:r>
          </w:p>
          <w:p w14:paraId="2EE41F4E">
            <w:pPr>
              <w:keepNext w:val="0"/>
              <w:keepLines w:val="0"/>
              <w:widowControl/>
              <w:suppressLineNumbers w:val="0"/>
              <w:kinsoku w:val="0"/>
              <w:autoSpaceDE w:val="0"/>
              <w:autoSpaceDN w:val="0"/>
              <w:adjustRightInd w:val="0"/>
              <w:snapToGrid w:val="0"/>
              <w:spacing w:line="240" w:lineRule="auto"/>
              <w:jc w:val="left"/>
              <w:textAlignment w:val="center"/>
              <w:rPr>
                <w:rFonts w:hint="default" w:ascii="Arial" w:hAnsi="Arial" w:eastAsia="Arial" w:cs="Arial"/>
                <w:snapToGrid w:val="0"/>
                <w:color w:val="000000"/>
                <w:kern w:val="0"/>
                <w:sz w:val="24"/>
                <w:szCs w:val="24"/>
                <w:lang w:val="en-US" w:eastAsia="zh-CN"/>
              </w:rPr>
            </w:pPr>
            <w:r>
              <w:rPr>
                <w:rFonts w:hint="default" w:ascii="仿宋" w:hAnsi="仿宋" w:eastAsia="仿宋" w:cs="仿宋"/>
                <w:i w:val="0"/>
                <w:iCs w:val="0"/>
                <w:snapToGrid w:val="0"/>
                <w:color w:val="0D0D0D"/>
                <w:kern w:val="0"/>
                <w:sz w:val="24"/>
                <w:szCs w:val="24"/>
                <w:u w:val="none"/>
                <w:lang w:val="en-US" w:eastAsia="zh-CN" w:bidi="ar"/>
              </w:rPr>
              <w:t>1</w:t>
            </w:r>
            <w:r>
              <w:rPr>
                <w:rFonts w:hint="eastAsia" w:ascii="仿宋" w:hAnsi="仿宋" w:eastAsia="仿宋" w:cs="仿宋"/>
                <w:i w:val="0"/>
                <w:iCs w:val="0"/>
                <w:snapToGrid w:val="0"/>
                <w:color w:val="0D0D0D"/>
                <w:kern w:val="0"/>
                <w:sz w:val="24"/>
                <w:szCs w:val="24"/>
                <w:u w:val="none"/>
                <w:lang w:val="en-US" w:eastAsia="zh-CN" w:bidi="ar"/>
              </w:rPr>
              <w:t>3</w:t>
            </w:r>
            <w:r>
              <w:rPr>
                <w:rFonts w:hint="default" w:ascii="仿宋" w:hAnsi="仿宋" w:eastAsia="仿宋" w:cs="仿宋"/>
                <w:i w:val="0"/>
                <w:iCs w:val="0"/>
                <w:snapToGrid w:val="0"/>
                <w:color w:val="0D0D0D"/>
                <w:kern w:val="0"/>
                <w:sz w:val="24"/>
                <w:szCs w:val="24"/>
                <w:u w:val="none"/>
                <w:lang w:val="en-US" w:eastAsia="zh-CN" w:bidi="ar"/>
              </w:rPr>
              <w:t>、有双重超温保护功能。</w:t>
            </w:r>
          </w:p>
        </w:tc>
      </w:tr>
      <w:tr w14:paraId="2FCB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shd w:val="clear" w:color="auto" w:fill="auto"/>
            <w:vAlign w:val="center"/>
          </w:tcPr>
          <w:p w14:paraId="796394D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12</w:t>
            </w:r>
          </w:p>
        </w:tc>
        <w:tc>
          <w:tcPr>
            <w:tcW w:w="1992" w:type="dxa"/>
            <w:shd w:val="clear" w:color="auto" w:fill="auto"/>
            <w:vAlign w:val="center"/>
          </w:tcPr>
          <w:p w14:paraId="6EE96EA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藏医头部热疗康复仪 </w:t>
            </w:r>
          </w:p>
        </w:tc>
        <w:tc>
          <w:tcPr>
            <w:tcW w:w="920" w:type="dxa"/>
            <w:shd w:val="clear" w:color="auto" w:fill="auto"/>
            <w:vAlign w:val="top"/>
          </w:tcPr>
          <w:p w14:paraId="2BE93A4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D96D0E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0259E7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3AAD4F8">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04DDA65F">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w:t>
            </w:r>
          </w:p>
        </w:tc>
        <w:tc>
          <w:tcPr>
            <w:tcW w:w="8500" w:type="dxa"/>
            <w:vAlign w:val="center"/>
          </w:tcPr>
          <w:p w14:paraId="5A91DD8D">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技术参数：</w:t>
            </w:r>
          </w:p>
          <w:p w14:paraId="73A3698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1、外治功能定制配置</w:t>
            </w:r>
          </w:p>
          <w:p w14:paraId="3189907E">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1.1、具备数字版《四部医典》古籍珍藏版</w:t>
            </w:r>
          </w:p>
          <w:p w14:paraId="5CAE20A7">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1.2、带藏医传统音乐资源舒缓身心</w:t>
            </w:r>
          </w:p>
          <w:p w14:paraId="73ACC9ED">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1.3、外治疗法敷疗、</w:t>
            </w:r>
          </w:p>
          <w:p w14:paraId="3F6798D6">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1.4、中医非药物疗法五行音乐模块;</w:t>
            </w:r>
          </w:p>
          <w:p w14:paraId="5EC3D328">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1.5、带藏文操作软件系统</w:t>
            </w:r>
          </w:p>
          <w:p w14:paraId="278C9B7E">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1.6、锅体:黑砂杂脉(锅体带藏药敷着磨砂)</w:t>
            </w:r>
          </w:p>
          <w:p w14:paraId="39FE9D83">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1.7、搭载藏语宣教藏医新冠预防、心脑情志缓解、治未病宣讲、外治疗法</w:t>
            </w:r>
          </w:p>
          <w:p w14:paraId="291E7356">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2、外型概述</w:t>
            </w:r>
          </w:p>
          <w:p w14:paraId="107C9C2F">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2.1、长:490mm士10cm</w:t>
            </w:r>
          </w:p>
          <w:p w14:paraId="15186626">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2.2、宽:480mm士10cm</w:t>
            </w:r>
          </w:p>
          <w:p w14:paraId="4AB5F535">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2.3、高(设备自高度):1570mm士50cm</w:t>
            </w:r>
          </w:p>
          <w:p w14:paraId="797059AA">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高(外加锅体升降组件高度):1120mm</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1620mm</w:t>
            </w:r>
          </w:p>
          <w:p w14:paraId="349E46E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2.4、触摸屏:7-10寸;分辨率参考1024x600;比例16:9</w:t>
            </w:r>
          </w:p>
          <w:p w14:paraId="74B12286">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2.5、抽屉:抽拉式</w:t>
            </w:r>
          </w:p>
          <w:p w14:paraId="4AAA455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2.6、放药架:2个</w:t>
            </w:r>
          </w:p>
          <w:p w14:paraId="6F2C39C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2.7、移动方式:4轮万向推拉移动;带定位锁</w:t>
            </w:r>
          </w:p>
          <w:p w14:paraId="209FA53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3、理疗参数</w:t>
            </w:r>
          </w:p>
          <w:p w14:paraId="4A5F451B">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5.1、温度范围:0°C</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70°C可调</w:t>
            </w:r>
          </w:p>
          <w:p w14:paraId="118237E3">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5.2、时间范围:0min</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120min可调</w:t>
            </w:r>
          </w:p>
          <w:p w14:paraId="66661E6D">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5.3、温度误差:5°C(由环境影响;锅体材质影响)</w:t>
            </w:r>
          </w:p>
          <w:p w14:paraId="0959FD4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5.4、锅体翻转可调范围:上下0-180度(可锁定)，左右0-18度</w:t>
            </w:r>
          </w:p>
          <w:p w14:paraId="1D225B23">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6、设备功能：理疗时间、理疗温度、前后高度调节、音乐播放、温度保护设置</w:t>
            </w:r>
          </w:p>
        </w:tc>
      </w:tr>
      <w:tr w14:paraId="17CB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shd w:val="clear" w:color="auto" w:fill="auto"/>
            <w:vAlign w:val="center"/>
          </w:tcPr>
          <w:p w14:paraId="2D3E16B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13</w:t>
            </w:r>
          </w:p>
        </w:tc>
        <w:tc>
          <w:tcPr>
            <w:tcW w:w="1992" w:type="dxa"/>
            <w:shd w:val="clear" w:color="auto" w:fill="auto"/>
            <w:vAlign w:val="center"/>
          </w:tcPr>
          <w:p w14:paraId="7026AB4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专用灭菌消毒柜 </w:t>
            </w:r>
          </w:p>
        </w:tc>
        <w:tc>
          <w:tcPr>
            <w:tcW w:w="920" w:type="dxa"/>
            <w:shd w:val="clear" w:color="auto" w:fill="auto"/>
            <w:vAlign w:val="top"/>
          </w:tcPr>
          <w:p w14:paraId="72A80EF1">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19A985CD">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507E42BC">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2CD85DCE">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3C4659A6">
            <w:pPr>
              <w:keepNext w:val="0"/>
              <w:keepLines w:val="0"/>
              <w:widowControl/>
              <w:suppressLineNumbers w:val="0"/>
              <w:kinsoku w:val="0"/>
              <w:autoSpaceDE w:val="0"/>
              <w:autoSpaceDN w:val="0"/>
              <w:adjustRightInd w:val="0"/>
              <w:snapToGrid w:val="0"/>
              <w:spacing w:line="240" w:lineRule="auto"/>
              <w:jc w:val="both"/>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07352BDD">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w:t>
            </w:r>
          </w:p>
        </w:tc>
        <w:tc>
          <w:tcPr>
            <w:tcW w:w="8500" w:type="dxa"/>
            <w:vAlign w:val="center"/>
          </w:tcPr>
          <w:p w14:paraId="02753C57">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技术参数；</w:t>
            </w:r>
          </w:p>
          <w:p w14:paraId="16670619">
            <w:pPr>
              <w:keepNext w:val="0"/>
              <w:keepLines w:val="0"/>
              <w:widowControl/>
              <w:numPr>
                <w:ilvl w:val="0"/>
                <w:numId w:val="7"/>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default" w:ascii="仿宋" w:hAnsi="仿宋" w:eastAsia="仿宋" w:cs="仿宋"/>
                <w:i w:val="0"/>
                <w:iCs w:val="0"/>
                <w:snapToGrid w:val="0"/>
                <w:color w:val="0D0D0D"/>
                <w:kern w:val="0"/>
                <w:sz w:val="24"/>
                <w:szCs w:val="24"/>
                <w:u w:val="none"/>
                <w:lang w:val="en-US" w:eastAsia="zh-CN" w:bidi="ar"/>
              </w:rPr>
              <w:t>尺寸:</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1740X480X1700mm</w:t>
            </w:r>
          </w:p>
          <w:p w14:paraId="5D1D32F3">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w:t>
            </w:r>
            <w:r>
              <w:rPr>
                <w:rFonts w:hint="default" w:ascii="仿宋" w:hAnsi="仿宋" w:eastAsia="仿宋" w:cs="仿宋"/>
                <w:i w:val="0"/>
                <w:iCs w:val="0"/>
                <w:snapToGrid w:val="0"/>
                <w:color w:val="0D0D0D"/>
                <w:kern w:val="0"/>
                <w:sz w:val="24"/>
                <w:szCs w:val="24"/>
                <w:u w:val="none"/>
                <w:lang w:val="en-US" w:eastAsia="zh-CN" w:bidi="ar"/>
              </w:rPr>
              <w:t>消毒柜容量:</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1</w:t>
            </w:r>
            <w:r>
              <w:rPr>
                <w:rFonts w:hint="eastAsia" w:ascii="仿宋" w:hAnsi="仿宋" w:eastAsia="仿宋" w:cs="仿宋"/>
                <w:i w:val="0"/>
                <w:iCs w:val="0"/>
                <w:snapToGrid w:val="0"/>
                <w:color w:val="0D0D0D"/>
                <w:kern w:val="0"/>
                <w:sz w:val="24"/>
                <w:szCs w:val="24"/>
                <w:u w:val="none"/>
                <w:lang w:val="en-US" w:eastAsia="zh-CN" w:bidi="ar"/>
              </w:rPr>
              <w:t>3</w:t>
            </w:r>
            <w:r>
              <w:rPr>
                <w:rFonts w:hint="default" w:ascii="仿宋" w:hAnsi="仿宋" w:eastAsia="仿宋" w:cs="仿宋"/>
                <w:i w:val="0"/>
                <w:iCs w:val="0"/>
                <w:snapToGrid w:val="0"/>
                <w:color w:val="0D0D0D"/>
                <w:kern w:val="0"/>
                <w:sz w:val="24"/>
                <w:szCs w:val="24"/>
                <w:u w:val="none"/>
                <w:lang w:val="en-US" w:eastAsia="zh-CN" w:bidi="ar"/>
              </w:rPr>
              <w:t>00L</w:t>
            </w:r>
          </w:p>
          <w:p w14:paraId="1034FB2A">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w:t>
            </w:r>
            <w:r>
              <w:rPr>
                <w:rFonts w:hint="default" w:ascii="仿宋" w:hAnsi="仿宋" w:eastAsia="仿宋" w:cs="仿宋"/>
                <w:i w:val="0"/>
                <w:iCs w:val="0"/>
                <w:snapToGrid w:val="0"/>
                <w:color w:val="0D0D0D"/>
                <w:kern w:val="0"/>
                <w:sz w:val="24"/>
                <w:szCs w:val="24"/>
                <w:u w:val="none"/>
                <w:lang w:val="en-US" w:eastAsia="zh-CN" w:bidi="ar"/>
              </w:rPr>
              <w:t>消毒方式:臭氧+紫外线+红外线</w:t>
            </w:r>
          </w:p>
          <w:p w14:paraId="267FC3A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w:t>
            </w:r>
            <w:r>
              <w:rPr>
                <w:rFonts w:hint="default" w:ascii="仿宋" w:hAnsi="仿宋" w:eastAsia="仿宋" w:cs="仿宋"/>
                <w:i w:val="0"/>
                <w:iCs w:val="0"/>
                <w:snapToGrid w:val="0"/>
                <w:color w:val="0D0D0D"/>
                <w:kern w:val="0"/>
                <w:sz w:val="24"/>
                <w:szCs w:val="24"/>
                <w:u w:val="none"/>
                <w:lang w:val="en-US" w:eastAsia="zh-CN" w:bidi="ar"/>
              </w:rPr>
              <w:t>消毒温度:</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65°C</w:t>
            </w:r>
          </w:p>
          <w:p w14:paraId="3B9980EF">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w:t>
            </w:r>
            <w:r>
              <w:rPr>
                <w:rFonts w:hint="default" w:ascii="仿宋" w:hAnsi="仿宋" w:eastAsia="仿宋" w:cs="仿宋"/>
                <w:i w:val="0"/>
                <w:iCs w:val="0"/>
                <w:snapToGrid w:val="0"/>
                <w:color w:val="0D0D0D"/>
                <w:kern w:val="0"/>
                <w:sz w:val="24"/>
                <w:szCs w:val="24"/>
                <w:u w:val="none"/>
                <w:lang w:val="en-US" w:eastAsia="zh-CN" w:bidi="ar"/>
              </w:rPr>
              <w:t>消毒时间:30分钟</w:t>
            </w:r>
          </w:p>
          <w:p w14:paraId="34E57F6F">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7、</w:t>
            </w:r>
            <w:r>
              <w:rPr>
                <w:rFonts w:hint="default" w:ascii="仿宋" w:hAnsi="仿宋" w:eastAsia="仿宋" w:cs="仿宋"/>
                <w:i w:val="0"/>
                <w:iCs w:val="0"/>
                <w:snapToGrid w:val="0"/>
                <w:color w:val="0D0D0D"/>
                <w:kern w:val="0"/>
                <w:sz w:val="24"/>
                <w:szCs w:val="24"/>
                <w:u w:val="none"/>
                <w:lang w:val="en-US" w:eastAsia="zh-CN" w:bidi="ar"/>
              </w:rPr>
              <w:t>板材:质钢化玻璃</w:t>
            </w:r>
          </w:p>
          <w:p w14:paraId="0B66B079">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w:t>
            </w:r>
            <w:r>
              <w:rPr>
                <w:rFonts w:hint="default" w:ascii="仿宋" w:hAnsi="仿宋" w:eastAsia="仿宋" w:cs="仿宋"/>
                <w:i w:val="0"/>
                <w:iCs w:val="0"/>
                <w:snapToGrid w:val="0"/>
                <w:color w:val="0D0D0D"/>
                <w:kern w:val="0"/>
                <w:sz w:val="24"/>
                <w:szCs w:val="24"/>
                <w:u w:val="none"/>
                <w:lang w:val="en-US" w:eastAsia="zh-CN" w:bidi="ar"/>
              </w:rPr>
              <w:t>层架数量:</w:t>
            </w:r>
            <w:r>
              <w:rPr>
                <w:rFonts w:hint="eastAsia" w:ascii="宋体" w:hAnsi="宋体" w:eastAsia="宋体" w:cs="宋体"/>
                <w:i w:val="0"/>
                <w:iCs w:val="0"/>
                <w:snapToGrid w:val="0"/>
                <w:color w:val="0D0D0D"/>
                <w:kern w:val="0"/>
                <w:sz w:val="24"/>
                <w:szCs w:val="24"/>
                <w:u w:val="none"/>
                <w:lang w:val="en-US" w:eastAsia="zh-CN" w:bidi="ar"/>
              </w:rPr>
              <w:t>≧</w:t>
            </w:r>
            <w:r>
              <w:rPr>
                <w:rFonts w:hint="default" w:ascii="仿宋" w:hAnsi="仿宋" w:eastAsia="仿宋" w:cs="仿宋"/>
                <w:i w:val="0"/>
                <w:iCs w:val="0"/>
                <w:snapToGrid w:val="0"/>
                <w:color w:val="0D0D0D"/>
                <w:kern w:val="0"/>
                <w:sz w:val="24"/>
                <w:szCs w:val="24"/>
                <w:u w:val="none"/>
                <w:lang w:val="en-US" w:eastAsia="zh-CN" w:bidi="ar"/>
              </w:rPr>
              <w:t>3层</w:t>
            </w:r>
          </w:p>
          <w:p w14:paraId="4A44CA2F">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9、提供消毒产品卫生安全评价报告</w:t>
            </w:r>
          </w:p>
        </w:tc>
      </w:tr>
      <w:tr w14:paraId="7B3F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shd w:val="clear" w:color="auto" w:fill="auto"/>
            <w:vAlign w:val="center"/>
          </w:tcPr>
          <w:p w14:paraId="15566C9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61BFA2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9DE5EC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364E85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19F1C9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14</w:t>
            </w:r>
          </w:p>
        </w:tc>
        <w:tc>
          <w:tcPr>
            <w:tcW w:w="1992" w:type="dxa"/>
            <w:shd w:val="clear" w:color="auto" w:fill="auto"/>
            <w:vAlign w:val="center"/>
          </w:tcPr>
          <w:p w14:paraId="5654B27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E9B691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05B3A7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DC805C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17E01D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便携式生命体征监护仪 </w:t>
            </w:r>
          </w:p>
        </w:tc>
        <w:tc>
          <w:tcPr>
            <w:tcW w:w="920" w:type="dxa"/>
            <w:shd w:val="clear" w:color="auto" w:fill="auto"/>
            <w:vAlign w:val="top"/>
          </w:tcPr>
          <w:p w14:paraId="0DE10D6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E1CA5A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90D3740">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6B306640">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45345083">
            <w:pPr>
              <w:keepNext w:val="0"/>
              <w:keepLines w:val="0"/>
              <w:widowControl/>
              <w:suppressLineNumbers w:val="0"/>
              <w:kinsoku w:val="0"/>
              <w:autoSpaceDE w:val="0"/>
              <w:autoSpaceDN w:val="0"/>
              <w:adjustRightInd w:val="0"/>
              <w:snapToGrid w:val="0"/>
              <w:spacing w:line="240" w:lineRule="auto"/>
              <w:jc w:val="both"/>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5B2A698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4118E5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9ABA1A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6D90FF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308AB10">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w:t>
            </w:r>
          </w:p>
        </w:tc>
        <w:tc>
          <w:tcPr>
            <w:tcW w:w="8500" w:type="dxa"/>
            <w:vAlign w:val="center"/>
          </w:tcPr>
          <w:p w14:paraId="4F48BFB6">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一、整机要求:</w:t>
            </w:r>
          </w:p>
          <w:p w14:paraId="3959479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1.1、≥12.1英寸彩色液晶触摸屏，分辨率</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1280*800像素，≥10通道波形显示。</w:t>
            </w:r>
          </w:p>
          <w:p w14:paraId="1592E01B">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1.2、显示屏支持</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170度可视范围。</w:t>
            </w:r>
          </w:p>
          <w:p w14:paraId="1E3C3A3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1.3、屏幕倾斜10</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15度设计。</w:t>
            </w:r>
          </w:p>
          <w:p w14:paraId="3E3BAF0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1.4、配置锂电池，插槽式。</w:t>
            </w:r>
          </w:p>
          <w:p w14:paraId="41DAC70B">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1.5、安全规格:ECG，TEMP，IBP，Sp02，NIBP监测参数抗电击程度为防除颤CF型。</w:t>
            </w:r>
          </w:p>
          <w:p w14:paraId="62A6D3D1">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1.7、监护仪清洁消毒维护支持的消毒剂≥40种，在厂家手册中列举消毒剂的种类。</w:t>
            </w:r>
          </w:p>
          <w:p w14:paraId="2AA667C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二、监测参数:</w:t>
            </w:r>
          </w:p>
          <w:p w14:paraId="222AC64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2.1、配置3/5导心电，呼吸，无创血压，血氧饱和度，脉搏和双通道体温参数监测。</w:t>
            </w:r>
          </w:p>
          <w:p w14:paraId="27563A85">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2.2、心电监护支持心率，ST段测量，心律失常分析,QT/QTc连续实时测量和对应报警功能。</w:t>
            </w:r>
          </w:p>
          <w:p w14:paraId="04F9BC35">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2.3、心电算法通过数据库验证。</w:t>
            </w:r>
          </w:p>
          <w:p w14:paraId="5BA5B8FF">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2.4、心电波形扫描速度支持6.25mm/s、12.5mm/s、25 mm/s和50mm/s。</w:t>
            </w:r>
          </w:p>
          <w:p w14:paraId="48658C6F">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2.5、窗口支持心脏下壁，侧壁和前壁对应多个ST片段的同屏实时显示。</w:t>
            </w:r>
          </w:p>
          <w:p w14:paraId="7F0851F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2.6、支持≥20种心律失常分析，包括房颤分析。</w:t>
            </w:r>
          </w:p>
          <w:p w14:paraId="253E6DE5">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2.7、QT和QTc实时监测参数测量范围:200~800 ms。</w:t>
            </w:r>
          </w:p>
          <w:p w14:paraId="51CA938D">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2.8、升级提供过去24小时心电概览报告查看与打印，包括心率统计结果，心律失常统计结果，ST统计和QT/QTc统计结果。</w:t>
            </w:r>
          </w:p>
          <w:p w14:paraId="0321344F">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2.9、Sp02,PR和PI参数的实时监测，适用于成人，小儿和新生儿</w:t>
            </w:r>
          </w:p>
          <w:p w14:paraId="3722AD0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2.10、指套式血氧探头，IPX7防水等级，支持液体浸泡消毒和清洁。</w:t>
            </w:r>
          </w:p>
          <w:p w14:paraId="6F4C3FE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2.11、可无创血压测量，适用于成人，小儿和新生儿。</w:t>
            </w:r>
          </w:p>
          <w:p w14:paraId="02DD8D6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2.12、提供手动，自动，连续和序列4种测量模式，并提供24小时血压统计结果。</w:t>
            </w:r>
          </w:p>
          <w:p w14:paraId="7BF4CE8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2.13、无创血压成人测量范围:收缩压25</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290mmHg，舒张压10</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250mmHg，平均压15</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260mmHg.</w:t>
            </w:r>
          </w:p>
          <w:p w14:paraId="17B5744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2.14、辅助静脉穿刺功能</w:t>
            </w:r>
          </w:p>
          <w:p w14:paraId="6B561678">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2.15、双通道体温和温差参数的监测，并可根据需要更改体温通道标名。</w:t>
            </w:r>
          </w:p>
          <w:p w14:paraId="5D19FCD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三、系统功能:</w:t>
            </w:r>
          </w:p>
          <w:p w14:paraId="53636D2F">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3.1、支持所有监测参数报警限一键自动设置功能，满足医护团队快速管理患者报警需求，产品用户手册提供报警限自动设置规则。</w:t>
            </w:r>
          </w:p>
          <w:p w14:paraId="49C850D5">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3.2、支持肾功能计算功能。</w:t>
            </w:r>
          </w:p>
          <w:p w14:paraId="65BBBD4E">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3.3、有图形化技术报警指示功能。</w:t>
            </w:r>
          </w:p>
          <w:p w14:paraId="40C15FA1">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3.4、≥120小时趋势图和趋势表回顾，支持选择不同趋势组回顾。</w:t>
            </w:r>
          </w:p>
          <w:p w14:paraId="747A0C9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3.5、≥1000条事件回顾。每条报警事件至少能够存储32秒三道相关波形，以及报警触发时所有测量参数值。</w:t>
            </w:r>
          </w:p>
          <w:p w14:paraId="4737D11E">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3.6、≥1000组NIBP测量结果。</w:t>
            </w:r>
          </w:p>
          <w:p w14:paraId="158E967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3.7、≥120小时(分辨率1分钟)ST模板存储与回顾。</w:t>
            </w:r>
          </w:p>
          <w:p w14:paraId="563908F5">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3.8、48小时全息波形的存储与回顾功能。</w:t>
            </w:r>
          </w:p>
          <w:p w14:paraId="7FFEFB85">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3.9、监护仪历史病人数据的存储和回顾，并支持通过USB接口将历史病人数据导出到U盘。</w:t>
            </w:r>
          </w:p>
          <w:p w14:paraId="2706D45D">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3.10、RJ45接口进行有线网络通信，和除颤监护仪一起联网通信到中心监护系统。</w:t>
            </w:r>
          </w:p>
          <w:p w14:paraId="213B4E35">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3.11、监护仪进入夜间模式，隐私模式，演示模式和待机模式。</w:t>
            </w:r>
          </w:p>
          <w:p w14:paraId="1D8C736E">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3.12、计时器功能，界面区提供设置≥4个计时器，每个计时器支持独立设置和计时功能，计时方向包括正计时和倒计时两种选择。</w:t>
            </w:r>
          </w:p>
          <w:p w14:paraId="5D254F46">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3.13、格拉斯哥昏迷评分(GCS)功能。</w:t>
            </w:r>
          </w:p>
          <w:p w14:paraId="232739E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3.14、动态趋势界面可支持统计1-24小时心律失常报警、参数超限报警信息，并对超限报警区间的波形进行高亮显示，帮助医护人员快速识别异常趋势信息。</w:t>
            </w:r>
          </w:p>
          <w:p w14:paraId="7CBFA88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3.15、屏幕截图功能，将屏幕截图通过USB接口导出到U盘。</w:t>
            </w:r>
          </w:p>
          <w:p w14:paraId="1F65560A">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3.16、与护士站中心监护系统联网，实现患者的集中监护和报警管理。</w:t>
            </w:r>
          </w:p>
          <w:p w14:paraId="0CF7CB7E">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3.17、可同时监视≥12它床的报警信息。</w:t>
            </w:r>
          </w:p>
        </w:tc>
      </w:tr>
      <w:tr w14:paraId="6529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shd w:val="clear" w:color="auto" w:fill="auto"/>
            <w:vAlign w:val="center"/>
          </w:tcPr>
          <w:p w14:paraId="109F6A9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001D16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9E23BF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30D43A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A3194F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FAE0EF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2BAB50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C8DEFE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7C689F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3B32D3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15</w:t>
            </w:r>
          </w:p>
        </w:tc>
        <w:tc>
          <w:tcPr>
            <w:tcW w:w="1992" w:type="dxa"/>
            <w:shd w:val="clear" w:color="auto" w:fill="auto"/>
            <w:vAlign w:val="center"/>
          </w:tcPr>
          <w:p w14:paraId="0AAECC9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20712C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7C7369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4FA6ED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03879F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D296CD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F321D8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33D012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6DE7D2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2FE6E9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电动康复护理床 </w:t>
            </w:r>
          </w:p>
        </w:tc>
        <w:tc>
          <w:tcPr>
            <w:tcW w:w="920" w:type="dxa"/>
            <w:shd w:val="clear" w:color="auto" w:fill="auto"/>
            <w:vAlign w:val="top"/>
          </w:tcPr>
          <w:p w14:paraId="06C4CF4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EC05C9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D9BA9D2">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2B13FEA5">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0BA2458E">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2AE834A3">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6A133B91">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705DC2CD">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1DD60870">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31AFFEE5">
            <w:pPr>
              <w:keepNext w:val="0"/>
              <w:keepLines w:val="0"/>
              <w:widowControl/>
              <w:suppressLineNumbers w:val="0"/>
              <w:kinsoku w:val="0"/>
              <w:autoSpaceDE w:val="0"/>
              <w:autoSpaceDN w:val="0"/>
              <w:adjustRightInd w:val="0"/>
              <w:snapToGrid w:val="0"/>
              <w:spacing w:line="240" w:lineRule="auto"/>
              <w:jc w:val="both"/>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0B9895B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DEF627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13499C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4B9434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B0C3B9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82C9A6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3BB35D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1CFA9F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CFE5AE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E801E0D">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w:t>
            </w:r>
          </w:p>
        </w:tc>
        <w:tc>
          <w:tcPr>
            <w:tcW w:w="8500" w:type="dxa"/>
            <w:vAlign w:val="center"/>
          </w:tcPr>
          <w:p w14:paraId="10F5F1FC">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技术参数</w:t>
            </w:r>
          </w:p>
          <w:p w14:paraId="48457945">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1、整床尺寸:</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2120X1030X450mm</w:t>
            </w:r>
          </w:p>
          <w:p w14:paraId="204737DA">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2、功能要求</w:t>
            </w:r>
          </w:p>
          <w:p w14:paraId="3881392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(1)头部倾斜角度0</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75°(2)膝部倾斜角度0</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40°</w:t>
            </w:r>
          </w:p>
          <w:p w14:paraId="00E75CE3">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(3)背膝联动</w:t>
            </w:r>
          </w:p>
          <w:p w14:paraId="28D353B1">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(4)整体升降:450mm -750mm</w:t>
            </w:r>
          </w:p>
          <w:p w14:paraId="393163CA">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3、ABS床头尾板(高低搭配);插式床头，两侧带防撞轮</w:t>
            </w:r>
          </w:p>
          <w:p w14:paraId="3CD264B7">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4、护栏:</w:t>
            </w:r>
          </w:p>
          <w:p w14:paraId="7D52DFB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ABS护栏，长短搭配，护栏与护栏间距、头部护栏与床头板间距≤60mm四片设计，背部及腿部分别升降带液压升降装置。背部护栏配有角度显示器。</w:t>
            </w:r>
          </w:p>
          <w:p w14:paraId="63B2DAC6">
            <w:pPr>
              <w:keepNext w:val="0"/>
              <w:keepLines w:val="0"/>
              <w:widowControl/>
              <w:numPr>
                <w:ilvl w:val="0"/>
                <w:numId w:val="8"/>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床体+床脚结构,稳固扎实，床框、床脚均加厚用材，采用矩型钢管，床体静态载重≥300kg，床体动态载重170kg;</w:t>
            </w:r>
          </w:p>
          <w:p w14:paraId="537378B1">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6、床板连接头钢质铰链，连接厚度≥3mm。</w:t>
            </w:r>
          </w:p>
          <w:p w14:paraId="0FE95EAE">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7、床面板需大于等于1.0mm国标冷扎钢板;</w:t>
            </w:r>
          </w:p>
          <w:p w14:paraId="181D5E63">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8、脚轮:</w:t>
            </w:r>
          </w:p>
          <w:p w14:paraId="5A480BDD">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配两档中央控制脚轮。脚轮直径≥125mm，具有全锁定和万向两档功能。易于固定或推动床体。一体式轮架。中控刹车结构。</w:t>
            </w:r>
          </w:p>
          <w:p w14:paraId="2BDD33BB">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10、、配置:</w:t>
            </w:r>
          </w:p>
          <w:p w14:paraId="312D465B">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(1)床头左右两侧预留输液孔;</w:t>
            </w:r>
          </w:p>
          <w:p w14:paraId="3102BA79">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(2)床尾配床垫防滑筋一个，防止床垫在床板升降时前后滑动;</w:t>
            </w:r>
          </w:p>
          <w:p w14:paraId="3607D28D">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(3)配分段式环保床垫</w:t>
            </w:r>
          </w:p>
          <w:p w14:paraId="273D07B9">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(4)床垫有排气孔，床垫内胆为高密度海绵+环保棕片;</w:t>
            </w:r>
          </w:p>
        </w:tc>
      </w:tr>
      <w:tr w14:paraId="6BF6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shd w:val="clear" w:color="auto" w:fill="auto"/>
            <w:vAlign w:val="center"/>
          </w:tcPr>
          <w:p w14:paraId="17C3706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16</w:t>
            </w:r>
          </w:p>
        </w:tc>
        <w:tc>
          <w:tcPr>
            <w:tcW w:w="1992" w:type="dxa"/>
            <w:shd w:val="clear" w:color="auto" w:fill="auto"/>
            <w:vAlign w:val="center"/>
          </w:tcPr>
          <w:p w14:paraId="3A78BE7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 xml:space="preserve"> 藏药粉碎制备设备 </w:t>
            </w:r>
          </w:p>
        </w:tc>
        <w:tc>
          <w:tcPr>
            <w:tcW w:w="920" w:type="dxa"/>
            <w:shd w:val="clear" w:color="auto" w:fill="auto"/>
            <w:vAlign w:val="top"/>
          </w:tcPr>
          <w:p w14:paraId="6B1327A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F090BA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326910F">
            <w:pPr>
              <w:keepNext w:val="0"/>
              <w:keepLines w:val="0"/>
              <w:widowControl/>
              <w:suppressLineNumbers w:val="0"/>
              <w:kinsoku w:val="0"/>
              <w:autoSpaceDE w:val="0"/>
              <w:autoSpaceDN w:val="0"/>
              <w:adjustRightInd w:val="0"/>
              <w:snapToGrid w:val="0"/>
              <w:spacing w:line="240" w:lineRule="auto"/>
              <w:jc w:val="both"/>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7915853B">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w:t>
            </w:r>
          </w:p>
        </w:tc>
        <w:tc>
          <w:tcPr>
            <w:tcW w:w="8500" w:type="dxa"/>
            <w:vAlign w:val="center"/>
          </w:tcPr>
          <w:p w14:paraId="0A65F00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一、技术参数</w:t>
            </w:r>
          </w:p>
          <w:p w14:paraId="7E5291C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1、产量:10-80kg/h</w:t>
            </w:r>
          </w:p>
          <w:p w14:paraId="11888FC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2、转速:</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6000r/min</w:t>
            </w:r>
          </w:p>
          <w:p w14:paraId="38A4155B">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3、细度:配40目、80目、120目、200目等</w:t>
            </w:r>
            <w:r>
              <w:rPr>
                <w:rFonts w:hint="eastAsia" w:ascii="宋体" w:hAnsi="宋体" w:eastAsia="宋体" w:cs="宋体"/>
                <w:i w:val="0"/>
                <w:iCs w:val="0"/>
                <w:snapToGrid w:val="0"/>
                <w:color w:val="0D0D0D"/>
                <w:kern w:val="0"/>
                <w:sz w:val="24"/>
                <w:szCs w:val="24"/>
                <w:u w:val="none"/>
                <w:lang w:val="en-US" w:eastAsia="zh-CN" w:bidi="ar"/>
              </w:rPr>
              <w:t>≧</w:t>
            </w:r>
            <w:r>
              <w:rPr>
                <w:rFonts w:hint="eastAsia" w:ascii="仿宋" w:hAnsi="仿宋" w:eastAsia="仿宋" w:cs="仿宋"/>
                <w:i w:val="0"/>
                <w:iCs w:val="0"/>
                <w:snapToGrid w:val="0"/>
                <w:color w:val="0D0D0D"/>
                <w:kern w:val="0"/>
                <w:sz w:val="24"/>
                <w:szCs w:val="24"/>
                <w:u w:val="none"/>
                <w:lang w:val="en-US" w:eastAsia="zh-CN" w:bidi="ar"/>
              </w:rPr>
              <w:t>4种筛网</w:t>
            </w:r>
          </w:p>
          <w:p w14:paraId="3143C19A">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二、使用范围</w:t>
            </w:r>
          </w:p>
          <w:p w14:paraId="7B11A3FD">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能快速粉碎各种软硬药材和其他材质的物料。</w:t>
            </w:r>
          </w:p>
        </w:tc>
      </w:tr>
      <w:tr w14:paraId="01DB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shd w:val="clear" w:color="auto" w:fill="auto"/>
            <w:vAlign w:val="center"/>
          </w:tcPr>
          <w:p w14:paraId="3276423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9E2F97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1574D0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76113D4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17</w:t>
            </w:r>
          </w:p>
        </w:tc>
        <w:tc>
          <w:tcPr>
            <w:tcW w:w="1992" w:type="dxa"/>
            <w:shd w:val="clear" w:color="auto" w:fill="auto"/>
            <w:vAlign w:val="center"/>
          </w:tcPr>
          <w:p w14:paraId="33D3D3A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6E274A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564DB1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A64A9F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藏医火针（含金针、银针、铜针）</w:t>
            </w:r>
          </w:p>
        </w:tc>
        <w:tc>
          <w:tcPr>
            <w:tcW w:w="920" w:type="dxa"/>
            <w:shd w:val="clear" w:color="auto" w:fill="auto"/>
            <w:vAlign w:val="top"/>
          </w:tcPr>
          <w:p w14:paraId="7EBA987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4B33A4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5553C44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2B0E6BE">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套</w:t>
            </w:r>
          </w:p>
        </w:tc>
        <w:tc>
          <w:tcPr>
            <w:tcW w:w="1460" w:type="dxa"/>
            <w:shd w:val="clear" w:color="auto" w:fill="auto"/>
            <w:vAlign w:val="center"/>
          </w:tcPr>
          <w:p w14:paraId="636CD8F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1C6F86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2BCABF9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33C34077">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2</w:t>
            </w:r>
          </w:p>
        </w:tc>
        <w:tc>
          <w:tcPr>
            <w:tcW w:w="8500" w:type="dxa"/>
            <w:vAlign w:val="center"/>
          </w:tcPr>
          <w:p w14:paraId="6108F830">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lang w:val="en-US" w:eastAsia="zh-CN" w:bidi="ar"/>
              </w:rPr>
            </w:pPr>
            <w:r>
              <w:rPr>
                <w:rFonts w:hint="eastAsia" w:ascii="仿宋" w:hAnsi="仿宋" w:eastAsia="仿宋" w:cs="仿宋"/>
                <w:i w:val="0"/>
                <w:iCs w:val="0"/>
                <w:snapToGrid w:val="0"/>
                <w:color w:val="0D0D0D"/>
                <w:kern w:val="0"/>
                <w:sz w:val="24"/>
                <w:szCs w:val="24"/>
                <w:lang w:val="en-US" w:eastAsia="zh-CN" w:bidi="ar"/>
              </w:rPr>
              <w:t>技术参数：</w:t>
            </w:r>
          </w:p>
          <w:p w14:paraId="28903067">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1、</w:t>
            </w:r>
            <w:r>
              <w:rPr>
                <w:rFonts w:hint="eastAsia" w:ascii="仿宋" w:hAnsi="仿宋" w:eastAsia="仿宋" w:cs="仿宋"/>
                <w:i w:val="0"/>
                <w:iCs w:val="0"/>
                <w:snapToGrid w:val="0"/>
                <w:color w:val="0D0D0D"/>
                <w:kern w:val="0"/>
                <w:sz w:val="24"/>
                <w:szCs w:val="24"/>
                <w:u w:val="none"/>
                <w:lang w:val="en-US" w:eastAsia="zh-CN" w:bidi="ar"/>
              </w:rPr>
              <w:t>金加铜针：0.5cm*11cm</w:t>
            </w:r>
          </w:p>
          <w:p w14:paraId="093C6244">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2、</w:t>
            </w:r>
            <w:r>
              <w:rPr>
                <w:rFonts w:hint="eastAsia" w:ascii="仿宋" w:hAnsi="仿宋" w:eastAsia="仿宋" w:cs="仿宋"/>
                <w:i w:val="0"/>
                <w:iCs w:val="0"/>
                <w:snapToGrid w:val="0"/>
                <w:color w:val="0D0D0D"/>
                <w:kern w:val="0"/>
                <w:sz w:val="24"/>
                <w:szCs w:val="24"/>
                <w:u w:val="none"/>
                <w:lang w:val="en-US" w:eastAsia="zh-CN" w:bidi="ar"/>
              </w:rPr>
              <w:t>银针：0.5cm*11cm</w:t>
            </w:r>
          </w:p>
          <w:p w14:paraId="4AA290C9">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lang w:val="en-US" w:eastAsia="zh-CN" w:bidi="ar"/>
              </w:rPr>
              <w:t>3、</w:t>
            </w:r>
            <w:r>
              <w:rPr>
                <w:rFonts w:hint="eastAsia" w:ascii="仿宋" w:hAnsi="仿宋" w:eastAsia="仿宋" w:cs="仿宋"/>
                <w:i w:val="0"/>
                <w:iCs w:val="0"/>
                <w:snapToGrid w:val="0"/>
                <w:color w:val="0D0D0D"/>
                <w:kern w:val="0"/>
                <w:sz w:val="24"/>
                <w:szCs w:val="24"/>
                <w:u w:val="none"/>
                <w:lang w:val="en-US" w:eastAsia="zh-CN" w:bidi="ar"/>
              </w:rPr>
              <w:t>铜针：0.5cm*11cm</w:t>
            </w:r>
          </w:p>
          <w:p w14:paraId="5EEB2D79">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4、铁针：0.5cm*11cm</w:t>
            </w:r>
          </w:p>
          <w:p w14:paraId="6818E622">
            <w:pPr>
              <w:keepNext w:val="0"/>
              <w:keepLines w:val="0"/>
              <w:widowControl/>
              <w:numPr>
                <w:ilvl w:val="0"/>
                <w:numId w:val="0"/>
              </w:numPr>
              <w:suppressLineNumbers w:val="0"/>
              <w:kinsoku w:val="0"/>
              <w:autoSpaceDE w:val="0"/>
              <w:autoSpaceDN w:val="0"/>
              <w:adjustRightInd w:val="0"/>
              <w:snapToGrid w:val="0"/>
              <w:spacing w:line="240" w:lineRule="auto"/>
              <w:jc w:val="left"/>
              <w:textAlignment w:val="center"/>
              <w:rPr>
                <w:rFonts w:hint="default" w:ascii="仿宋" w:hAnsi="仿宋" w:eastAsia="仿宋" w:cs="仿宋"/>
                <w:i w:val="0"/>
                <w:iCs w:val="0"/>
                <w:snapToGrid w:val="0"/>
                <w:color w:val="0D0D0D"/>
                <w:kern w:val="0"/>
                <w:sz w:val="24"/>
                <w:szCs w:val="24"/>
                <w:u w:val="none"/>
                <w:lang w:val="en-US" w:eastAsia="zh-CN" w:bidi="ar"/>
              </w:rPr>
            </w:pPr>
          </w:p>
        </w:tc>
      </w:tr>
      <w:tr w14:paraId="6BCF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63" w:type="dxa"/>
            <w:shd w:val="clear" w:color="auto" w:fill="auto"/>
            <w:vAlign w:val="center"/>
          </w:tcPr>
          <w:p w14:paraId="379B8DA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18</w:t>
            </w:r>
          </w:p>
        </w:tc>
        <w:tc>
          <w:tcPr>
            <w:tcW w:w="1992" w:type="dxa"/>
            <w:shd w:val="clear" w:color="auto" w:fill="auto"/>
            <w:vAlign w:val="center"/>
          </w:tcPr>
          <w:p w14:paraId="172A536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电动康复轮椅</w:t>
            </w:r>
          </w:p>
        </w:tc>
        <w:tc>
          <w:tcPr>
            <w:tcW w:w="920" w:type="dxa"/>
            <w:shd w:val="clear" w:color="auto" w:fill="auto"/>
            <w:vAlign w:val="top"/>
          </w:tcPr>
          <w:p w14:paraId="1CD7402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0667A50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403BBE6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F662C7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6F7FD3F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仿宋" w:hAnsi="仿宋" w:eastAsia="仿宋" w:cs="仿宋"/>
                <w:i w:val="0"/>
                <w:iCs w:val="0"/>
                <w:snapToGrid w:val="0"/>
                <w:color w:val="0D0D0D"/>
                <w:kern w:val="0"/>
                <w:sz w:val="24"/>
                <w:szCs w:val="24"/>
                <w:u w:val="none"/>
                <w:lang w:val="en-US" w:eastAsia="zh-CN" w:bidi="ar"/>
              </w:rPr>
            </w:pPr>
          </w:p>
          <w:p w14:paraId="1BD1686F">
            <w:pPr>
              <w:pStyle w:val="7"/>
              <w:rPr>
                <w:rFonts w:hint="eastAsia" w:ascii="仿宋" w:hAnsi="仿宋" w:eastAsia="仿宋" w:cs="仿宋"/>
                <w:i w:val="0"/>
                <w:iCs w:val="0"/>
                <w:snapToGrid w:val="0"/>
                <w:color w:val="0D0D0D"/>
                <w:kern w:val="0"/>
                <w:sz w:val="24"/>
                <w:szCs w:val="24"/>
                <w:u w:val="none"/>
                <w:lang w:val="en-US" w:eastAsia="zh-CN" w:bidi="ar"/>
              </w:rPr>
            </w:pPr>
          </w:p>
          <w:p w14:paraId="693C11D3">
            <w:pPr>
              <w:pStyle w:val="7"/>
              <w:rPr>
                <w:rFonts w:hint="eastAsia" w:ascii="仿宋" w:hAnsi="仿宋" w:eastAsia="仿宋" w:cs="仿宋"/>
                <w:i w:val="0"/>
                <w:iCs w:val="0"/>
                <w:snapToGrid w:val="0"/>
                <w:color w:val="0D0D0D"/>
                <w:kern w:val="0"/>
                <w:sz w:val="24"/>
                <w:szCs w:val="24"/>
                <w:u w:val="none"/>
                <w:lang w:val="en-US" w:eastAsia="zh-CN" w:bidi="ar"/>
              </w:rPr>
            </w:pPr>
          </w:p>
          <w:p w14:paraId="1F9C5836">
            <w:pPr>
              <w:pStyle w:val="7"/>
              <w:rPr>
                <w:rFonts w:hint="eastAsia" w:ascii="仿宋" w:hAnsi="仿宋" w:eastAsia="仿宋" w:cs="仿宋"/>
                <w:i w:val="0"/>
                <w:iCs w:val="0"/>
                <w:snapToGrid w:val="0"/>
                <w:color w:val="0D0D0D"/>
                <w:kern w:val="0"/>
                <w:sz w:val="24"/>
                <w:szCs w:val="24"/>
                <w:u w:val="none"/>
                <w:lang w:val="en-US" w:eastAsia="zh-CN" w:bidi="ar"/>
              </w:rPr>
            </w:pPr>
          </w:p>
          <w:p w14:paraId="3C9738EB">
            <w:pPr>
              <w:pStyle w:val="7"/>
              <w:ind w:left="0" w:leftChars="0" w:firstLine="0" w:firstLineChars="0"/>
              <w:jc w:val="both"/>
              <w:rPr>
                <w:rFonts w:hint="eastAsia" w:ascii="仿宋" w:hAnsi="仿宋" w:eastAsia="仿宋" w:cs="仿宋"/>
                <w:i w:val="0"/>
                <w:iCs w:val="0"/>
                <w:snapToGrid w:val="0"/>
                <w:color w:val="0D0D0D"/>
                <w:kern w:val="0"/>
                <w:sz w:val="24"/>
                <w:szCs w:val="24"/>
                <w:u w:val="none"/>
                <w:lang w:val="en-US" w:eastAsia="zh-CN" w:bidi="ar"/>
              </w:rPr>
            </w:pPr>
          </w:p>
          <w:p w14:paraId="6C82D8D6">
            <w:pPr>
              <w:keepNext w:val="0"/>
              <w:keepLines w:val="0"/>
              <w:widowControl/>
              <w:suppressLineNumbers w:val="0"/>
              <w:kinsoku w:val="0"/>
              <w:autoSpaceDE w:val="0"/>
              <w:autoSpaceDN w:val="0"/>
              <w:adjustRightInd w:val="0"/>
              <w:snapToGrid w:val="0"/>
              <w:spacing w:line="240" w:lineRule="auto"/>
              <w:jc w:val="both"/>
              <w:textAlignment w:val="center"/>
              <w:rPr>
                <w:rFonts w:hint="eastAsia" w:ascii="仿宋" w:hAnsi="仿宋" w:eastAsia="仿宋" w:cs="仿宋"/>
                <w:i w:val="0"/>
                <w:iCs w:val="0"/>
                <w:snapToGrid w:val="0"/>
                <w:color w:val="0D0D0D"/>
                <w:kern w:val="0"/>
                <w:sz w:val="24"/>
                <w:szCs w:val="24"/>
                <w:u w:val="none"/>
                <w:lang w:val="en-US" w:eastAsia="zh-CN" w:bidi="ar"/>
              </w:rPr>
            </w:pPr>
          </w:p>
          <w:p w14:paraId="0EF386AE">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u w:val="none"/>
                <w:lang w:val="en-US" w:eastAsia="zh-CN" w:bidi="ar"/>
              </w:rPr>
            </w:pPr>
            <w:r>
              <w:rPr>
                <w:rFonts w:hint="eastAsia" w:ascii="仿宋" w:hAnsi="仿宋" w:eastAsia="仿宋" w:cs="仿宋"/>
                <w:i w:val="0"/>
                <w:iCs w:val="0"/>
                <w:snapToGrid w:val="0"/>
                <w:color w:val="0D0D0D"/>
                <w:kern w:val="0"/>
                <w:sz w:val="24"/>
                <w:szCs w:val="24"/>
                <w:u w:val="none"/>
                <w:lang w:val="en-US" w:eastAsia="zh-CN" w:bidi="ar"/>
              </w:rPr>
              <w:t>台</w:t>
            </w:r>
          </w:p>
        </w:tc>
        <w:tc>
          <w:tcPr>
            <w:tcW w:w="1460" w:type="dxa"/>
            <w:shd w:val="clear" w:color="auto" w:fill="auto"/>
            <w:vAlign w:val="center"/>
          </w:tcPr>
          <w:p w14:paraId="1DC1267D">
            <w:pPr>
              <w:keepNext w:val="0"/>
              <w:keepLines w:val="0"/>
              <w:widowControl/>
              <w:suppressLineNumbers w:val="0"/>
              <w:kinsoku w:val="0"/>
              <w:autoSpaceDE w:val="0"/>
              <w:autoSpaceDN w:val="0"/>
              <w:adjustRightInd w:val="0"/>
              <w:snapToGrid w:val="0"/>
              <w:spacing w:line="240" w:lineRule="auto"/>
              <w:jc w:val="center"/>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2</w:t>
            </w:r>
          </w:p>
        </w:tc>
        <w:tc>
          <w:tcPr>
            <w:tcW w:w="8500" w:type="dxa"/>
            <w:vAlign w:val="center"/>
          </w:tcPr>
          <w:p w14:paraId="5DC04207">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技术参数：</w:t>
            </w:r>
          </w:p>
          <w:p w14:paraId="40A607E0">
            <w:pPr>
              <w:keepNext w:val="0"/>
              <w:keepLines w:val="0"/>
              <w:widowControl/>
              <w:numPr>
                <w:ilvl w:val="0"/>
                <w:numId w:val="9"/>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default" w:ascii="仿宋" w:hAnsi="仿宋" w:eastAsia="仿宋" w:cs="仿宋"/>
                <w:i w:val="0"/>
                <w:iCs w:val="0"/>
                <w:snapToGrid w:val="0"/>
                <w:color w:val="0D0D0D"/>
                <w:kern w:val="0"/>
                <w:sz w:val="24"/>
                <w:szCs w:val="24"/>
                <w:highlight w:val="none"/>
                <w:u w:val="none"/>
                <w:lang w:val="en-US" w:eastAsia="zh-CN" w:bidi="ar"/>
              </w:rPr>
              <w:t>整车尺寸:</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890x630x930mm</w:t>
            </w:r>
          </w:p>
          <w:p w14:paraId="24A4FFCB">
            <w:pPr>
              <w:keepNext w:val="0"/>
              <w:keepLines w:val="0"/>
              <w:widowControl/>
              <w:numPr>
                <w:ilvl w:val="0"/>
                <w:numId w:val="9"/>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default" w:ascii="仿宋" w:hAnsi="仿宋" w:eastAsia="仿宋" w:cs="仿宋"/>
                <w:i w:val="0"/>
                <w:iCs w:val="0"/>
                <w:snapToGrid w:val="0"/>
                <w:color w:val="0D0D0D"/>
                <w:kern w:val="0"/>
                <w:sz w:val="24"/>
                <w:szCs w:val="24"/>
                <w:highlight w:val="none"/>
                <w:u w:val="none"/>
                <w:lang w:val="en-US" w:eastAsia="zh-CN" w:bidi="ar"/>
              </w:rPr>
              <w:t>折叠尺寸:</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700x330x330mm</w:t>
            </w:r>
          </w:p>
          <w:p w14:paraId="240926CC">
            <w:pPr>
              <w:keepNext w:val="0"/>
              <w:keepLines w:val="0"/>
              <w:widowControl/>
              <w:numPr>
                <w:ilvl w:val="0"/>
                <w:numId w:val="9"/>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default" w:ascii="仿宋" w:hAnsi="仿宋" w:eastAsia="仿宋" w:cs="仿宋"/>
                <w:i w:val="0"/>
                <w:iCs w:val="0"/>
                <w:snapToGrid w:val="0"/>
                <w:color w:val="0D0D0D"/>
                <w:kern w:val="0"/>
                <w:sz w:val="24"/>
                <w:szCs w:val="24"/>
                <w:highlight w:val="none"/>
                <w:u w:val="none"/>
                <w:lang w:val="en-US" w:eastAsia="zh-CN" w:bidi="ar"/>
              </w:rPr>
              <w:t>座宽:</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480mm;座深:</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400mm;座高:</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480mm;靠背高:</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460mm</w:t>
            </w:r>
          </w:p>
          <w:p w14:paraId="6590AFC9">
            <w:pPr>
              <w:keepNext w:val="0"/>
              <w:keepLines w:val="0"/>
              <w:widowControl/>
              <w:numPr>
                <w:ilvl w:val="0"/>
                <w:numId w:val="9"/>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default" w:ascii="仿宋" w:hAnsi="仿宋" w:eastAsia="仿宋" w:cs="仿宋"/>
                <w:i w:val="0"/>
                <w:iCs w:val="0"/>
                <w:snapToGrid w:val="0"/>
                <w:color w:val="0D0D0D"/>
                <w:kern w:val="0"/>
                <w:sz w:val="24"/>
                <w:szCs w:val="24"/>
                <w:highlight w:val="none"/>
                <w:u w:val="none"/>
                <w:lang w:val="en-US" w:eastAsia="zh-CN" w:bidi="ar"/>
              </w:rPr>
              <w:t>载重:</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100kg</w:t>
            </w:r>
          </w:p>
          <w:p w14:paraId="07F16CF9">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5、</w:t>
            </w:r>
            <w:r>
              <w:rPr>
                <w:rFonts w:hint="default" w:ascii="仿宋" w:hAnsi="仿宋" w:eastAsia="仿宋" w:cs="仿宋"/>
                <w:i w:val="0"/>
                <w:iCs w:val="0"/>
                <w:snapToGrid w:val="0"/>
                <w:color w:val="0D0D0D"/>
                <w:kern w:val="0"/>
                <w:sz w:val="24"/>
                <w:szCs w:val="24"/>
                <w:highlight w:val="none"/>
                <w:u w:val="none"/>
                <w:lang w:val="en-US" w:eastAsia="zh-CN" w:bidi="ar"/>
              </w:rPr>
              <w:t>动力与驱动</w:t>
            </w:r>
          </w:p>
          <w:p w14:paraId="41461280">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5.1、</w:t>
            </w:r>
            <w:r>
              <w:rPr>
                <w:rFonts w:hint="default" w:ascii="仿宋" w:hAnsi="仿宋" w:eastAsia="仿宋" w:cs="仿宋"/>
                <w:i w:val="0"/>
                <w:iCs w:val="0"/>
                <w:snapToGrid w:val="0"/>
                <w:color w:val="0D0D0D"/>
                <w:kern w:val="0"/>
                <w:sz w:val="24"/>
                <w:szCs w:val="24"/>
                <w:highlight w:val="none"/>
                <w:u w:val="none"/>
                <w:lang w:val="en-US" w:eastAsia="zh-CN" w:bidi="ar"/>
              </w:rPr>
              <w:t>电机:双内转子无刷电机，后轮双驱动电机功率:</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180Wx2</w:t>
            </w:r>
          </w:p>
          <w:p w14:paraId="5C34434F">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5.2、</w:t>
            </w:r>
            <w:r>
              <w:rPr>
                <w:rFonts w:hint="default" w:ascii="仿宋" w:hAnsi="仿宋" w:eastAsia="仿宋" w:cs="仿宋"/>
                <w:i w:val="0"/>
                <w:iCs w:val="0"/>
                <w:snapToGrid w:val="0"/>
                <w:color w:val="0D0D0D"/>
                <w:kern w:val="0"/>
                <w:sz w:val="24"/>
                <w:szCs w:val="24"/>
                <w:highlight w:val="none"/>
                <w:u w:val="none"/>
                <w:lang w:val="en-US" w:eastAsia="zh-CN" w:bidi="ar"/>
              </w:rPr>
              <w:t>续航里程:</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23km</w:t>
            </w:r>
          </w:p>
          <w:p w14:paraId="6244E1C2">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5.3、</w:t>
            </w:r>
            <w:r>
              <w:rPr>
                <w:rFonts w:hint="default" w:ascii="仿宋" w:hAnsi="仿宋" w:eastAsia="仿宋" w:cs="仿宋"/>
                <w:i w:val="0"/>
                <w:iCs w:val="0"/>
                <w:snapToGrid w:val="0"/>
                <w:color w:val="0D0D0D"/>
                <w:kern w:val="0"/>
                <w:sz w:val="24"/>
                <w:szCs w:val="24"/>
                <w:highlight w:val="none"/>
                <w:u w:val="none"/>
                <w:lang w:val="en-US" w:eastAsia="zh-CN" w:bidi="ar"/>
              </w:rPr>
              <w:t>充电时间:</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3小时/块</w:t>
            </w:r>
          </w:p>
          <w:p w14:paraId="0DB6360D">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5.4、</w:t>
            </w:r>
            <w:r>
              <w:rPr>
                <w:rFonts w:hint="default" w:ascii="仿宋" w:hAnsi="仿宋" w:eastAsia="仿宋" w:cs="仿宋"/>
                <w:i w:val="0"/>
                <w:iCs w:val="0"/>
                <w:snapToGrid w:val="0"/>
                <w:color w:val="0D0D0D"/>
                <w:kern w:val="0"/>
                <w:sz w:val="24"/>
                <w:szCs w:val="24"/>
                <w:highlight w:val="none"/>
                <w:u w:val="none"/>
                <w:lang w:val="en-US" w:eastAsia="zh-CN" w:bidi="ar"/>
              </w:rPr>
              <w:t>最大速度:6km/h</w:t>
            </w:r>
            <w:r>
              <w:rPr>
                <w:rFonts w:hint="eastAsia" w:ascii="仿宋" w:hAnsi="仿宋" w:eastAsia="仿宋" w:cs="仿宋"/>
                <w:i w:val="0"/>
                <w:iCs w:val="0"/>
                <w:snapToGrid w:val="0"/>
                <w:color w:val="0D0D0D"/>
                <w:kern w:val="0"/>
                <w:sz w:val="24"/>
                <w:szCs w:val="24"/>
                <w:highlight w:val="none"/>
                <w:u w:val="none"/>
                <w:lang w:val="en-US" w:eastAsia="zh-CN" w:bidi="ar"/>
              </w:rPr>
              <w:t>士5%</w:t>
            </w:r>
            <w:r>
              <w:rPr>
                <w:rFonts w:hint="default" w:ascii="仿宋" w:hAnsi="仿宋" w:eastAsia="仿宋" w:cs="仿宋"/>
                <w:i w:val="0"/>
                <w:iCs w:val="0"/>
                <w:snapToGrid w:val="0"/>
                <w:color w:val="0D0D0D"/>
                <w:kern w:val="0"/>
                <w:sz w:val="24"/>
                <w:szCs w:val="24"/>
                <w:highlight w:val="none"/>
                <w:u w:val="none"/>
                <w:lang w:val="en-US" w:eastAsia="zh-CN" w:bidi="ar"/>
              </w:rPr>
              <w:t>;</w:t>
            </w:r>
          </w:p>
          <w:p w14:paraId="08B71273">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5.5、</w:t>
            </w:r>
            <w:r>
              <w:rPr>
                <w:rFonts w:hint="default" w:ascii="仿宋" w:hAnsi="仿宋" w:eastAsia="仿宋" w:cs="仿宋"/>
                <w:i w:val="0"/>
                <w:iCs w:val="0"/>
                <w:snapToGrid w:val="0"/>
                <w:color w:val="0D0D0D"/>
                <w:kern w:val="0"/>
                <w:sz w:val="24"/>
                <w:szCs w:val="24"/>
                <w:highlight w:val="none"/>
                <w:u w:val="none"/>
                <w:lang w:val="en-US" w:eastAsia="zh-CN" w:bidi="ar"/>
              </w:rPr>
              <w:t>倒车速度:2km/h</w:t>
            </w:r>
            <w:r>
              <w:rPr>
                <w:rFonts w:hint="eastAsia" w:ascii="仿宋" w:hAnsi="仿宋" w:eastAsia="仿宋" w:cs="仿宋"/>
                <w:i w:val="0"/>
                <w:iCs w:val="0"/>
                <w:snapToGrid w:val="0"/>
                <w:color w:val="0D0D0D"/>
                <w:kern w:val="0"/>
                <w:sz w:val="24"/>
                <w:szCs w:val="24"/>
                <w:highlight w:val="none"/>
                <w:u w:val="none"/>
                <w:lang w:val="en-US" w:eastAsia="zh-CN" w:bidi="ar"/>
              </w:rPr>
              <w:t>士5%</w:t>
            </w:r>
          </w:p>
          <w:p w14:paraId="2863A1AA">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5.6、</w:t>
            </w:r>
            <w:r>
              <w:rPr>
                <w:rFonts w:hint="default" w:ascii="仿宋" w:hAnsi="仿宋" w:eastAsia="仿宋" w:cs="仿宋"/>
                <w:i w:val="0"/>
                <w:iCs w:val="0"/>
                <w:snapToGrid w:val="0"/>
                <w:color w:val="0D0D0D"/>
                <w:kern w:val="0"/>
                <w:sz w:val="24"/>
                <w:szCs w:val="24"/>
                <w:highlight w:val="none"/>
                <w:u w:val="none"/>
                <w:lang w:val="en-US" w:eastAsia="zh-CN" w:bidi="ar"/>
              </w:rPr>
              <w:t>爬坡能力:</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8</w:t>
            </w:r>
          </w:p>
          <w:p w14:paraId="5D7C6EE1">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5.7、</w:t>
            </w:r>
            <w:r>
              <w:rPr>
                <w:rFonts w:hint="default" w:ascii="仿宋" w:hAnsi="仿宋" w:eastAsia="仿宋" w:cs="仿宋"/>
                <w:i w:val="0"/>
                <w:iCs w:val="0"/>
                <w:snapToGrid w:val="0"/>
                <w:color w:val="0D0D0D"/>
                <w:kern w:val="0"/>
                <w:sz w:val="24"/>
                <w:szCs w:val="24"/>
                <w:highlight w:val="none"/>
                <w:u w:val="none"/>
                <w:lang w:val="en-US" w:eastAsia="zh-CN" w:bidi="ar"/>
              </w:rPr>
              <w:t>越障高度:</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40mm</w:t>
            </w:r>
          </w:p>
          <w:p w14:paraId="745DE654">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6、</w:t>
            </w:r>
            <w:r>
              <w:rPr>
                <w:rFonts w:hint="default" w:ascii="仿宋" w:hAnsi="仿宋" w:eastAsia="仿宋" w:cs="仿宋"/>
                <w:i w:val="0"/>
                <w:iCs w:val="0"/>
                <w:snapToGrid w:val="0"/>
                <w:color w:val="0D0D0D"/>
                <w:kern w:val="0"/>
                <w:sz w:val="24"/>
                <w:szCs w:val="24"/>
                <w:highlight w:val="none"/>
                <w:u w:val="none"/>
                <w:lang w:val="en-US" w:eastAsia="zh-CN" w:bidi="ar"/>
              </w:rPr>
              <w:t>操控与安全</w:t>
            </w:r>
          </w:p>
          <w:p w14:paraId="68EAE4F8">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6.1、</w:t>
            </w:r>
            <w:r>
              <w:rPr>
                <w:rFonts w:hint="default" w:ascii="仿宋" w:hAnsi="仿宋" w:eastAsia="仿宋" w:cs="仿宋"/>
                <w:i w:val="0"/>
                <w:iCs w:val="0"/>
                <w:snapToGrid w:val="0"/>
                <w:color w:val="0D0D0D"/>
                <w:kern w:val="0"/>
                <w:sz w:val="24"/>
                <w:szCs w:val="24"/>
                <w:highlight w:val="none"/>
                <w:u w:val="none"/>
                <w:lang w:val="en-US" w:eastAsia="zh-CN" w:bidi="ar"/>
              </w:rPr>
              <w:t>控制器:智能万向控制器，360°摇杆，左右手可互换</w:t>
            </w:r>
          </w:p>
          <w:p w14:paraId="0E7F7C4D">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6.2、</w:t>
            </w:r>
            <w:r>
              <w:rPr>
                <w:rFonts w:hint="default" w:ascii="仿宋" w:hAnsi="仿宋" w:eastAsia="仿宋" w:cs="仿宋"/>
                <w:i w:val="0"/>
                <w:iCs w:val="0"/>
                <w:snapToGrid w:val="0"/>
                <w:color w:val="0D0D0D"/>
                <w:kern w:val="0"/>
                <w:sz w:val="24"/>
                <w:szCs w:val="24"/>
                <w:highlight w:val="none"/>
                <w:u w:val="none"/>
                <w:lang w:val="en-US" w:eastAsia="zh-CN" w:bidi="ar"/>
              </w:rPr>
              <w:t>显示:电量条、电源/加减速/喇叭按钮</w:t>
            </w:r>
          </w:p>
          <w:p w14:paraId="72863966">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6.3、</w:t>
            </w:r>
            <w:r>
              <w:rPr>
                <w:rFonts w:hint="default" w:ascii="仿宋" w:hAnsi="仿宋" w:eastAsia="仿宋" w:cs="仿宋"/>
                <w:i w:val="0"/>
                <w:iCs w:val="0"/>
                <w:snapToGrid w:val="0"/>
                <w:color w:val="0D0D0D"/>
                <w:kern w:val="0"/>
                <w:sz w:val="24"/>
                <w:szCs w:val="24"/>
                <w:highlight w:val="none"/>
                <w:u w:val="none"/>
                <w:lang w:val="en-US" w:eastAsia="zh-CN" w:bidi="ar"/>
              </w:rPr>
              <w:t>制动:智能电磁刹车(松手即停)+肘节式驻立刹车，双保险制动滑行距离:≤1.5m</w:t>
            </w:r>
          </w:p>
          <w:p w14:paraId="5E7F3C66">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6.4、</w:t>
            </w:r>
            <w:r>
              <w:rPr>
                <w:rFonts w:hint="default" w:ascii="仿宋" w:hAnsi="仿宋" w:eastAsia="仿宋" w:cs="仿宋"/>
                <w:i w:val="0"/>
                <w:iCs w:val="0"/>
                <w:snapToGrid w:val="0"/>
                <w:color w:val="0D0D0D"/>
                <w:kern w:val="0"/>
                <w:sz w:val="24"/>
                <w:szCs w:val="24"/>
                <w:highlight w:val="none"/>
                <w:u w:val="none"/>
                <w:lang w:val="en-US" w:eastAsia="zh-CN" w:bidi="ar"/>
              </w:rPr>
              <w:t>噪音:≤65dB</w:t>
            </w:r>
          </w:p>
          <w:p w14:paraId="2327C210">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6.5、</w:t>
            </w:r>
            <w:r>
              <w:rPr>
                <w:rFonts w:hint="default" w:ascii="仿宋" w:hAnsi="仿宋" w:eastAsia="仿宋" w:cs="仿宋"/>
                <w:i w:val="0"/>
                <w:iCs w:val="0"/>
                <w:snapToGrid w:val="0"/>
                <w:color w:val="0D0D0D"/>
                <w:kern w:val="0"/>
                <w:sz w:val="24"/>
                <w:szCs w:val="24"/>
                <w:highlight w:val="none"/>
                <w:u w:val="none"/>
                <w:lang w:val="en-US" w:eastAsia="zh-CN" w:bidi="ar"/>
              </w:rPr>
              <w:t>防后翻:标配防后翻轮</w:t>
            </w:r>
          </w:p>
          <w:p w14:paraId="04130789">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6.6、</w:t>
            </w:r>
            <w:r>
              <w:rPr>
                <w:rFonts w:hint="default" w:ascii="仿宋" w:hAnsi="仿宋" w:eastAsia="仿宋" w:cs="仿宋"/>
                <w:i w:val="0"/>
                <w:iCs w:val="0"/>
                <w:snapToGrid w:val="0"/>
                <w:color w:val="0D0D0D"/>
                <w:kern w:val="0"/>
                <w:sz w:val="24"/>
                <w:szCs w:val="24"/>
                <w:highlight w:val="none"/>
                <w:u w:val="none"/>
                <w:lang w:val="en-US" w:eastAsia="zh-CN" w:bidi="ar"/>
              </w:rPr>
              <w:t>安全带:标配安全束缚带</w:t>
            </w:r>
          </w:p>
          <w:p w14:paraId="60D8C1AD">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7、</w:t>
            </w:r>
            <w:r>
              <w:rPr>
                <w:rFonts w:hint="default" w:ascii="仿宋" w:hAnsi="仿宋" w:eastAsia="仿宋" w:cs="仿宋"/>
                <w:i w:val="0"/>
                <w:iCs w:val="0"/>
                <w:snapToGrid w:val="0"/>
                <w:color w:val="0D0D0D"/>
                <w:kern w:val="0"/>
                <w:sz w:val="24"/>
                <w:szCs w:val="24"/>
                <w:highlight w:val="none"/>
                <w:u w:val="none"/>
                <w:lang w:val="en-US" w:eastAsia="zh-CN" w:bidi="ar"/>
              </w:rPr>
              <w:t>结构与材质</w:t>
            </w:r>
          </w:p>
          <w:p w14:paraId="3EC569B6">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7.1、</w:t>
            </w:r>
            <w:r>
              <w:rPr>
                <w:rFonts w:hint="default" w:ascii="仿宋" w:hAnsi="仿宋" w:eastAsia="仿宋" w:cs="仿宋"/>
                <w:i w:val="0"/>
                <w:iCs w:val="0"/>
                <w:snapToGrid w:val="0"/>
                <w:color w:val="0D0D0D"/>
                <w:kern w:val="0"/>
                <w:sz w:val="24"/>
                <w:szCs w:val="24"/>
                <w:highlight w:val="none"/>
                <w:u w:val="none"/>
                <w:lang w:val="en-US" w:eastAsia="zh-CN" w:bidi="ar"/>
              </w:rPr>
              <w:t>车架:高强度铝合金型材，氩弧焊焊接，金属烤漆</w:t>
            </w:r>
          </w:p>
          <w:p w14:paraId="256E8DD8">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7.2、</w:t>
            </w:r>
            <w:r>
              <w:rPr>
                <w:rFonts w:hint="default" w:ascii="仿宋" w:hAnsi="仿宋" w:eastAsia="仿宋" w:cs="仿宋"/>
                <w:i w:val="0"/>
                <w:iCs w:val="0"/>
                <w:snapToGrid w:val="0"/>
                <w:color w:val="0D0D0D"/>
                <w:kern w:val="0"/>
                <w:sz w:val="24"/>
                <w:szCs w:val="24"/>
                <w:highlight w:val="none"/>
                <w:u w:val="none"/>
                <w:lang w:val="en-US" w:eastAsia="zh-CN" w:bidi="ar"/>
              </w:rPr>
              <w:t>前轮:</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8英寸实芯宽胎(带减震橡胶)</w:t>
            </w:r>
          </w:p>
          <w:p w14:paraId="3ECA1CC8">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7.3、</w:t>
            </w:r>
            <w:r>
              <w:rPr>
                <w:rFonts w:hint="default" w:ascii="仿宋" w:hAnsi="仿宋" w:eastAsia="仿宋" w:cs="仿宋"/>
                <w:i w:val="0"/>
                <w:iCs w:val="0"/>
                <w:snapToGrid w:val="0"/>
                <w:color w:val="0D0D0D"/>
                <w:kern w:val="0"/>
                <w:sz w:val="24"/>
                <w:szCs w:val="24"/>
                <w:highlight w:val="none"/>
                <w:u w:val="none"/>
                <w:lang w:val="en-US" w:eastAsia="zh-CN" w:bidi="ar"/>
              </w:rPr>
              <w:t>后轮:</w:t>
            </w:r>
            <w:r>
              <w:rPr>
                <w:rFonts w:hint="eastAsia" w:ascii="宋体" w:hAnsi="宋体" w:eastAsia="宋体" w:cs="宋体"/>
                <w:i w:val="0"/>
                <w:iCs w:val="0"/>
                <w:snapToGrid w:val="0"/>
                <w:color w:val="0D0D0D"/>
                <w:kern w:val="0"/>
                <w:sz w:val="24"/>
                <w:szCs w:val="24"/>
                <w:highlight w:val="none"/>
                <w:u w:val="none"/>
                <w:lang w:val="en-US" w:eastAsia="zh-CN" w:bidi="ar"/>
              </w:rPr>
              <w:t>≧</w:t>
            </w:r>
            <w:r>
              <w:rPr>
                <w:rFonts w:hint="default" w:ascii="仿宋" w:hAnsi="仿宋" w:eastAsia="仿宋" w:cs="仿宋"/>
                <w:i w:val="0"/>
                <w:iCs w:val="0"/>
                <w:snapToGrid w:val="0"/>
                <w:color w:val="0D0D0D"/>
                <w:kern w:val="0"/>
                <w:sz w:val="24"/>
                <w:szCs w:val="24"/>
                <w:highlight w:val="none"/>
                <w:u w:val="none"/>
                <w:lang w:val="en-US" w:eastAsia="zh-CN" w:bidi="ar"/>
              </w:rPr>
              <w:t>16英寸加粗充气胎</w:t>
            </w:r>
          </w:p>
          <w:p w14:paraId="290A4C4B">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7.4、</w:t>
            </w:r>
            <w:r>
              <w:rPr>
                <w:rFonts w:hint="default" w:ascii="仿宋" w:hAnsi="仿宋" w:eastAsia="仿宋" w:cs="仿宋"/>
                <w:i w:val="0"/>
                <w:iCs w:val="0"/>
                <w:snapToGrid w:val="0"/>
                <w:color w:val="0D0D0D"/>
                <w:kern w:val="0"/>
                <w:sz w:val="24"/>
                <w:szCs w:val="24"/>
                <w:highlight w:val="none"/>
                <w:u w:val="none"/>
                <w:lang w:val="en-US" w:eastAsia="zh-CN" w:bidi="ar"/>
              </w:rPr>
              <w:t>扶手:上翻式，PU防滑材质</w:t>
            </w:r>
          </w:p>
          <w:p w14:paraId="10852338">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7.5、</w:t>
            </w:r>
            <w:r>
              <w:rPr>
                <w:rFonts w:hint="default" w:ascii="仿宋" w:hAnsi="仿宋" w:eastAsia="仿宋" w:cs="仿宋"/>
                <w:i w:val="0"/>
                <w:iCs w:val="0"/>
                <w:snapToGrid w:val="0"/>
                <w:color w:val="0D0D0D"/>
                <w:kern w:val="0"/>
                <w:sz w:val="24"/>
                <w:szCs w:val="24"/>
                <w:highlight w:val="none"/>
                <w:u w:val="none"/>
                <w:lang w:val="en-US" w:eastAsia="zh-CN" w:bidi="ar"/>
              </w:rPr>
              <w:t>脚踏:上翻式活动脚踏，可外翻/拆卸</w:t>
            </w:r>
          </w:p>
          <w:p w14:paraId="127664B9">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7.6、</w:t>
            </w:r>
            <w:r>
              <w:rPr>
                <w:rFonts w:hint="default" w:ascii="仿宋" w:hAnsi="仿宋" w:eastAsia="仿宋" w:cs="仿宋"/>
                <w:i w:val="0"/>
                <w:iCs w:val="0"/>
                <w:snapToGrid w:val="0"/>
                <w:color w:val="0D0D0D"/>
                <w:kern w:val="0"/>
                <w:sz w:val="24"/>
                <w:szCs w:val="24"/>
                <w:highlight w:val="none"/>
                <w:u w:val="none"/>
                <w:lang w:val="en-US" w:eastAsia="zh-CN" w:bidi="ar"/>
              </w:rPr>
              <w:t>靠背:可折叠，后倾8°</w:t>
            </w:r>
          </w:p>
          <w:p w14:paraId="04A40CF0">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7.7、</w:t>
            </w:r>
            <w:r>
              <w:rPr>
                <w:rFonts w:hint="default" w:ascii="仿宋" w:hAnsi="仿宋" w:eastAsia="仿宋" w:cs="仿宋"/>
                <w:i w:val="0"/>
                <w:iCs w:val="0"/>
                <w:snapToGrid w:val="0"/>
                <w:color w:val="0D0D0D"/>
                <w:kern w:val="0"/>
                <w:sz w:val="24"/>
                <w:szCs w:val="24"/>
                <w:highlight w:val="none"/>
                <w:u w:val="none"/>
                <w:lang w:val="en-US" w:eastAsia="zh-CN" w:bidi="ar"/>
              </w:rPr>
              <w:t>坐垫/靠背:冬夏两用双层棉麻，可拆洗</w:t>
            </w:r>
          </w:p>
          <w:p w14:paraId="657E01B9">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8、</w:t>
            </w:r>
            <w:r>
              <w:rPr>
                <w:rFonts w:hint="default" w:ascii="仿宋" w:hAnsi="仿宋" w:eastAsia="仿宋" w:cs="仿宋"/>
                <w:i w:val="0"/>
                <w:iCs w:val="0"/>
                <w:snapToGrid w:val="0"/>
                <w:color w:val="0D0D0D"/>
                <w:kern w:val="0"/>
                <w:sz w:val="24"/>
                <w:szCs w:val="24"/>
                <w:highlight w:val="none"/>
                <w:u w:val="none"/>
                <w:lang w:val="en-US" w:eastAsia="zh-CN" w:bidi="ar"/>
              </w:rPr>
              <w:t>功能配置</w:t>
            </w:r>
          </w:p>
          <w:p w14:paraId="3226A8E4">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8.1、</w:t>
            </w:r>
            <w:r>
              <w:rPr>
                <w:rFonts w:hint="default" w:ascii="仿宋" w:hAnsi="仿宋" w:eastAsia="仿宋" w:cs="仿宋"/>
                <w:i w:val="0"/>
                <w:iCs w:val="0"/>
                <w:snapToGrid w:val="0"/>
                <w:color w:val="0D0D0D"/>
                <w:kern w:val="0"/>
                <w:sz w:val="24"/>
                <w:szCs w:val="24"/>
                <w:highlight w:val="none"/>
                <w:u w:val="none"/>
                <w:lang w:val="en-US" w:eastAsia="zh-CN" w:bidi="ar"/>
              </w:rPr>
              <w:t>模式切换:电动/手动一键切换，无电可推行</w:t>
            </w:r>
          </w:p>
          <w:p w14:paraId="3188A28D">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8.2、</w:t>
            </w:r>
            <w:r>
              <w:rPr>
                <w:rFonts w:hint="default" w:ascii="仿宋" w:hAnsi="仿宋" w:eastAsia="仿宋" w:cs="仿宋"/>
                <w:i w:val="0"/>
                <w:iCs w:val="0"/>
                <w:snapToGrid w:val="0"/>
                <w:color w:val="0D0D0D"/>
                <w:kern w:val="0"/>
                <w:sz w:val="24"/>
                <w:szCs w:val="24"/>
                <w:highlight w:val="none"/>
                <w:u w:val="none"/>
                <w:lang w:val="en-US" w:eastAsia="zh-CN" w:bidi="ar"/>
              </w:rPr>
              <w:t>倒车功能:控制器带倒车提示</w:t>
            </w:r>
          </w:p>
          <w:p w14:paraId="65AB578D">
            <w:pPr>
              <w:keepNext w:val="0"/>
              <w:keepLines w:val="0"/>
              <w:widowControl/>
              <w:numPr>
                <w:ilvl w:val="0"/>
                <w:numId w:val="0"/>
              </w:numPr>
              <w:suppressLineNumbers w:val="0"/>
              <w:kinsoku w:val="0"/>
              <w:autoSpaceDE w:val="0"/>
              <w:autoSpaceDN w:val="0"/>
              <w:adjustRightInd w:val="0"/>
              <w:snapToGrid w:val="0"/>
              <w:spacing w:line="240" w:lineRule="auto"/>
              <w:ind w:leftChars="0"/>
              <w:jc w:val="left"/>
              <w:textAlignment w:val="center"/>
              <w:rPr>
                <w:rFonts w:hint="default" w:ascii="仿宋" w:hAnsi="仿宋" w:eastAsia="仿宋" w:cs="仿宋"/>
                <w:i w:val="0"/>
                <w:iCs w:val="0"/>
                <w:snapToGrid w:val="0"/>
                <w:color w:val="0D0D0D"/>
                <w:kern w:val="0"/>
                <w:sz w:val="24"/>
                <w:szCs w:val="24"/>
                <w:highlight w:val="none"/>
                <w:u w:val="none"/>
                <w:lang w:val="en-US" w:eastAsia="zh-CN" w:bidi="ar"/>
              </w:rPr>
            </w:pPr>
            <w:r>
              <w:rPr>
                <w:rFonts w:hint="eastAsia" w:ascii="仿宋" w:hAnsi="仿宋" w:eastAsia="仿宋" w:cs="仿宋"/>
                <w:i w:val="0"/>
                <w:iCs w:val="0"/>
                <w:snapToGrid w:val="0"/>
                <w:color w:val="0D0D0D"/>
                <w:kern w:val="0"/>
                <w:sz w:val="24"/>
                <w:szCs w:val="24"/>
                <w:highlight w:val="none"/>
                <w:u w:val="none"/>
                <w:lang w:val="en-US" w:eastAsia="zh-CN" w:bidi="ar"/>
              </w:rPr>
              <w:t>8.3、</w:t>
            </w:r>
            <w:r>
              <w:rPr>
                <w:rFonts w:hint="default" w:ascii="仿宋" w:hAnsi="仿宋" w:eastAsia="仿宋" w:cs="仿宋"/>
                <w:i w:val="0"/>
                <w:iCs w:val="0"/>
                <w:snapToGrid w:val="0"/>
                <w:color w:val="0D0D0D"/>
                <w:kern w:val="0"/>
                <w:sz w:val="24"/>
                <w:szCs w:val="24"/>
                <w:highlight w:val="none"/>
                <w:u w:val="none"/>
                <w:lang w:val="en-US" w:eastAsia="zh-CN" w:bidi="ar"/>
              </w:rPr>
              <w:t>收纳:整体折叠，体积小，便于车载/携带</w:t>
            </w:r>
          </w:p>
        </w:tc>
      </w:tr>
    </w:tbl>
    <w:p w14:paraId="3C4BB01D">
      <w:pPr>
        <w:rPr>
          <w:rFonts w:cs="宋体"/>
          <w:spacing w:val="17"/>
          <w:kern w:val="0"/>
          <w:highlight w:val="none"/>
        </w:rPr>
      </w:pPr>
    </w:p>
    <w:p w14:paraId="553E1BA2">
      <w:pPr>
        <w:rPr>
          <w:rFonts w:cs="宋体"/>
          <w:spacing w:val="17"/>
          <w:kern w:val="0"/>
          <w:highlight w:val="none"/>
        </w:rPr>
      </w:pPr>
    </w:p>
    <w:p w14:paraId="31426DC4">
      <w:pPr>
        <w:rPr>
          <w:rFonts w:cs="宋体"/>
          <w:spacing w:val="17"/>
          <w:kern w:val="0"/>
          <w:highlight w:val="none"/>
        </w:rPr>
      </w:pPr>
    </w:p>
    <w:p w14:paraId="1342166A">
      <w:pPr>
        <w:rPr>
          <w:rFonts w:cs="宋体"/>
          <w:spacing w:val="17"/>
          <w:kern w:val="0"/>
          <w:highlight w:val="none"/>
        </w:rPr>
      </w:pPr>
    </w:p>
    <w:p w14:paraId="477ECACC">
      <w:pPr>
        <w:widowControl w:val="0"/>
        <w:wordWrap/>
        <w:adjustRightInd w:val="0"/>
        <w:snapToGrid w:val="0"/>
        <w:spacing w:line="560" w:lineRule="exact"/>
        <w:textAlignment w:val="auto"/>
        <w:outlineLvl w:val="9"/>
        <w:rPr>
          <w:rFonts w:hint="eastAsia" w:ascii="仿宋_GB2312" w:hAnsi="仿宋_GB2312" w:eastAsia="仿宋_GB2312" w:cs="仿宋_GB2312"/>
          <w:b/>
          <w:color w:val="000000"/>
          <w:sz w:val="32"/>
          <w:szCs w:val="32"/>
        </w:rPr>
        <w:sectPr>
          <w:footerReference r:id="rId4" w:type="default"/>
          <w:pgSz w:w="16838" w:h="11906" w:orient="landscape"/>
          <w:pgMar w:top="1474" w:right="1984" w:bottom="1474" w:left="187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76BA3B5">
      <w:pPr>
        <w:widowControl/>
        <w:wordWrap/>
        <w:spacing w:before="157" w:beforeLines="50" w:line="560" w:lineRule="exact"/>
        <w:jc w:val="center"/>
        <w:outlineLvl w:val="0"/>
        <w:rPr>
          <w:rFonts w:hint="eastAsia" w:ascii="宋体" w:eastAsia="宋体"/>
          <w:b/>
          <w:color w:val="000000"/>
          <w:sz w:val="44"/>
          <w:szCs w:val="44"/>
        </w:rPr>
      </w:pPr>
      <w:bookmarkStart w:id="310" w:name="_Toc955_WPSOffice_Level1"/>
      <w:bookmarkStart w:id="311" w:name="_Toc891"/>
      <w:bookmarkStart w:id="312" w:name="_Toc11301"/>
      <w:bookmarkStart w:id="313" w:name="_Toc6923_WPSOffice_Level1"/>
      <w:bookmarkStart w:id="314" w:name="_Toc18208_WPSOffice_Level1"/>
      <w:bookmarkStart w:id="315" w:name="_Toc31138"/>
      <w:bookmarkStart w:id="316" w:name="_Toc15487_WPSOffice_Level1"/>
      <w:bookmarkStart w:id="317" w:name="_Toc18643_WPSOffice_Level1"/>
      <w:bookmarkStart w:id="318" w:name="_Toc5732_WPSOffice_Level1"/>
      <w:bookmarkStart w:id="319" w:name="_Toc22544"/>
      <w:r>
        <w:rPr>
          <w:rFonts w:hint="eastAsia" w:ascii="华文中宋" w:hAnsi="华文中宋" w:eastAsia="华文中宋" w:cs="华文中宋"/>
          <w:b w:val="0"/>
          <w:bCs w:val="0"/>
          <w:sz w:val="44"/>
          <w:szCs w:val="44"/>
          <w:lang w:eastAsia="zh-CN"/>
        </w:rPr>
        <w:t>第四部分</w:t>
      </w:r>
      <w:r>
        <w:rPr>
          <w:rFonts w:hint="eastAsia" w:ascii="华文中宋" w:hAnsi="华文中宋" w:eastAsia="华文中宋" w:cs="华文中宋"/>
          <w:b w:val="0"/>
          <w:bCs w:val="0"/>
          <w:sz w:val="44"/>
          <w:szCs w:val="44"/>
          <w:lang w:val="en-US" w:eastAsia="zh-CN"/>
        </w:rPr>
        <w:t xml:space="preserve"> </w:t>
      </w:r>
      <w:r>
        <w:rPr>
          <w:rFonts w:hint="eastAsia" w:ascii="华文中宋" w:hAnsi="华文中宋" w:eastAsia="华文中宋" w:cs="华文中宋"/>
          <w:b w:val="0"/>
          <w:bCs w:val="0"/>
          <w:sz w:val="44"/>
          <w:szCs w:val="44"/>
          <w:lang w:eastAsia="zh-CN"/>
        </w:rPr>
        <w:t>谈判响应文件格式</w:t>
      </w:r>
      <w:bookmarkEnd w:id="310"/>
      <w:bookmarkEnd w:id="311"/>
      <w:bookmarkEnd w:id="312"/>
      <w:bookmarkEnd w:id="313"/>
      <w:bookmarkEnd w:id="314"/>
      <w:bookmarkEnd w:id="315"/>
      <w:bookmarkEnd w:id="316"/>
      <w:bookmarkEnd w:id="317"/>
      <w:bookmarkEnd w:id="318"/>
      <w:bookmarkEnd w:id="319"/>
    </w:p>
    <w:p w14:paraId="4E9CEA85">
      <w:pPr>
        <w:widowControl w:val="0"/>
        <w:wordWrap/>
        <w:adjustRightInd w:val="0"/>
        <w:snapToGrid w:val="0"/>
        <w:spacing w:line="560" w:lineRule="exact"/>
        <w:jc w:val="center"/>
        <w:textAlignment w:val="auto"/>
        <w:outlineLvl w:val="1"/>
        <w:rPr>
          <w:rFonts w:hint="eastAsia" w:ascii="黑体" w:hAnsi="黑体" w:eastAsia="黑体" w:cs="黑体"/>
          <w:kern w:val="2"/>
          <w:sz w:val="32"/>
          <w:szCs w:val="32"/>
          <w:lang w:val="en-US" w:eastAsia="zh-CN" w:bidi="ar-SA"/>
        </w:rPr>
      </w:pPr>
      <w:bookmarkStart w:id="320" w:name="_Toc11968"/>
      <w:bookmarkStart w:id="321" w:name="_Toc2060"/>
      <w:bookmarkStart w:id="322" w:name="_Toc23467"/>
      <w:bookmarkStart w:id="323" w:name="_Toc12691_WPSOffice_Level2"/>
      <w:bookmarkStart w:id="324" w:name="_Toc4945_WPSOffice_Level2"/>
      <w:bookmarkStart w:id="325" w:name="_Toc20166_WPSOffice_Level2"/>
      <w:r>
        <w:rPr>
          <w:rFonts w:hint="eastAsia" w:ascii="黑体" w:hAnsi="黑体" w:eastAsia="黑体" w:cs="黑体"/>
          <w:kern w:val="2"/>
          <w:sz w:val="32"/>
          <w:szCs w:val="32"/>
          <w:lang w:val="en-US" w:eastAsia="zh-CN" w:bidi="ar-SA"/>
        </w:rPr>
        <w:t>十二、谈判响应文件的组成</w:t>
      </w:r>
      <w:bookmarkEnd w:id="320"/>
      <w:bookmarkEnd w:id="321"/>
      <w:bookmarkEnd w:id="322"/>
      <w:bookmarkEnd w:id="323"/>
      <w:bookmarkEnd w:id="324"/>
      <w:bookmarkEnd w:id="325"/>
    </w:p>
    <w:p w14:paraId="23FC6A69">
      <w:pPr>
        <w:widowControl w:val="0"/>
        <w:wordWrap/>
        <w:adjustRightInd w:val="0"/>
        <w:snapToGrid w:val="0"/>
        <w:spacing w:line="560" w:lineRule="exact"/>
        <w:jc w:val="left"/>
        <w:textAlignment w:val="auto"/>
        <w:outlineLvl w:val="2"/>
        <w:rPr>
          <w:rFonts w:hint="eastAsia" w:ascii="楷体_GB2312" w:hAnsi="楷体_GB2312" w:eastAsia="楷体_GB2312" w:cs="楷体_GB2312"/>
          <w:b/>
          <w:bCs/>
          <w:kern w:val="2"/>
          <w:sz w:val="32"/>
          <w:szCs w:val="32"/>
          <w:lang w:val="zh-CN" w:eastAsia="zh-CN" w:bidi="ar-SA"/>
        </w:rPr>
      </w:pPr>
      <w:bookmarkStart w:id="326" w:name="_Toc22172"/>
      <w:bookmarkStart w:id="327" w:name="_Toc32698"/>
      <w:bookmarkStart w:id="328" w:name="_Toc185_WPSOffice_Level2"/>
      <w:bookmarkStart w:id="329" w:name="_Toc31451_WPSOffice_Level3"/>
      <w:r>
        <w:rPr>
          <w:rFonts w:hint="eastAsia" w:ascii="楷体_GB2312" w:hAnsi="楷体_GB2312" w:eastAsia="楷体_GB2312" w:cs="楷体_GB2312"/>
          <w:b/>
          <w:bCs/>
          <w:kern w:val="2"/>
          <w:sz w:val="32"/>
          <w:szCs w:val="32"/>
          <w:lang w:val="zh-CN" w:eastAsia="zh-CN" w:bidi="ar-SA"/>
        </w:rPr>
        <w:t>（一）资格审查部分</w:t>
      </w:r>
      <w:bookmarkEnd w:id="326"/>
      <w:bookmarkEnd w:id="327"/>
      <w:bookmarkEnd w:id="328"/>
      <w:bookmarkEnd w:id="329"/>
    </w:p>
    <w:p w14:paraId="6D781AAD">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30" w:name="_Toc19260_WPSOffice_Level3"/>
      <w:r>
        <w:rPr>
          <w:rFonts w:hint="eastAsia" w:ascii="仿宋_GB2312" w:hAnsi="仿宋_GB2312" w:eastAsia="仿宋_GB2312" w:cs="仿宋_GB2312"/>
          <w:spacing w:val="0"/>
          <w:kern w:val="2"/>
          <w:sz w:val="32"/>
          <w:szCs w:val="32"/>
          <w:lang w:val="zh-CN" w:eastAsia="zh-CN" w:bidi="ar-SA"/>
        </w:rPr>
        <w:t>1、响应函（见附件1）</w:t>
      </w:r>
      <w:bookmarkEnd w:id="330"/>
    </w:p>
    <w:p w14:paraId="1FCB5B19">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31" w:name="_Toc13122_WPSOffice_Level3"/>
      <w:r>
        <w:rPr>
          <w:rFonts w:hint="eastAsia" w:ascii="仿宋_GB2312" w:hAnsi="仿宋_GB2312" w:eastAsia="仿宋_GB2312" w:cs="仿宋_GB2312"/>
          <w:spacing w:val="0"/>
          <w:kern w:val="2"/>
          <w:sz w:val="32"/>
          <w:szCs w:val="32"/>
          <w:lang w:val="zh-CN" w:eastAsia="zh-CN" w:bidi="ar-SA"/>
        </w:rPr>
        <w:t>2、法定代表人证明书（见附件2）</w:t>
      </w:r>
      <w:bookmarkEnd w:id="331"/>
    </w:p>
    <w:p w14:paraId="657141C8">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32" w:name="_Toc5677_WPSOffice_Level3"/>
      <w:r>
        <w:rPr>
          <w:rFonts w:hint="eastAsia" w:ascii="仿宋_GB2312" w:hAnsi="仿宋_GB2312" w:eastAsia="仿宋_GB2312" w:cs="仿宋_GB2312"/>
          <w:spacing w:val="0"/>
          <w:kern w:val="2"/>
          <w:sz w:val="32"/>
          <w:szCs w:val="32"/>
          <w:lang w:val="zh-CN" w:eastAsia="zh-CN" w:bidi="ar-SA"/>
        </w:rPr>
        <w:t>3、法定代表人授权书（见附件3）</w:t>
      </w:r>
      <w:bookmarkEnd w:id="332"/>
    </w:p>
    <w:p w14:paraId="46A60000">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33" w:name="_Toc1890_WPSOffice_Level3"/>
      <w:r>
        <w:rPr>
          <w:rFonts w:hint="eastAsia" w:ascii="仿宋_GB2312" w:hAnsi="仿宋_GB2312" w:eastAsia="仿宋_GB2312" w:cs="仿宋_GB2312"/>
          <w:spacing w:val="0"/>
          <w:kern w:val="2"/>
          <w:sz w:val="32"/>
          <w:szCs w:val="32"/>
          <w:lang w:val="zh-CN" w:eastAsia="zh-CN" w:bidi="ar-SA"/>
        </w:rPr>
        <w:t>4、供应商承诺函（见附件4）</w:t>
      </w:r>
      <w:bookmarkEnd w:id="333"/>
    </w:p>
    <w:p w14:paraId="1CCF7CF8">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34" w:name="_Toc25873_WPSOffice_Level3"/>
      <w:r>
        <w:rPr>
          <w:rFonts w:hint="eastAsia" w:ascii="仿宋_GB2312" w:hAnsi="仿宋_GB2312" w:eastAsia="仿宋_GB2312" w:cs="仿宋_GB2312"/>
          <w:spacing w:val="0"/>
          <w:kern w:val="2"/>
          <w:sz w:val="32"/>
          <w:szCs w:val="32"/>
          <w:lang w:val="zh-CN" w:eastAsia="zh-CN" w:bidi="ar-SA"/>
        </w:rPr>
        <w:t>5、供应商诚信承诺书（见附件5）</w:t>
      </w:r>
      <w:bookmarkEnd w:id="334"/>
    </w:p>
    <w:p w14:paraId="6A3A73CB">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35" w:name="_Toc31370_WPSOffice_Level3"/>
      <w:r>
        <w:rPr>
          <w:rFonts w:hint="eastAsia" w:ascii="仿宋_GB2312" w:hAnsi="仿宋_GB2312" w:eastAsia="仿宋_GB2312" w:cs="仿宋_GB2312"/>
          <w:spacing w:val="0"/>
          <w:kern w:val="2"/>
          <w:sz w:val="32"/>
          <w:szCs w:val="32"/>
          <w:lang w:val="zh-CN" w:eastAsia="zh-CN" w:bidi="ar-SA"/>
        </w:rPr>
        <w:t>6、供应商资格证明文件（见附件6）</w:t>
      </w:r>
      <w:bookmarkEnd w:id="335"/>
    </w:p>
    <w:p w14:paraId="27AAB415">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36" w:name="_Toc10045_WPSOffice_Level3"/>
      <w:r>
        <w:rPr>
          <w:rFonts w:hint="eastAsia" w:ascii="仿宋_GB2312" w:hAnsi="仿宋_GB2312" w:eastAsia="仿宋_GB2312" w:cs="仿宋_GB2312"/>
          <w:spacing w:val="0"/>
          <w:kern w:val="2"/>
          <w:sz w:val="32"/>
          <w:szCs w:val="32"/>
          <w:lang w:val="zh-CN" w:eastAsia="zh-CN" w:bidi="ar-SA"/>
        </w:rPr>
        <w:t>7、财务状况、缴纳税收和社会保障资金证明（见附件7）</w:t>
      </w:r>
      <w:bookmarkEnd w:id="336"/>
    </w:p>
    <w:p w14:paraId="2519C3ED">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37" w:name="_Toc12223_WPSOffice_Level3"/>
      <w:r>
        <w:rPr>
          <w:rFonts w:hint="eastAsia" w:ascii="仿宋_GB2312" w:hAnsi="仿宋_GB2312" w:eastAsia="仿宋_GB2312" w:cs="仿宋_GB2312"/>
          <w:spacing w:val="0"/>
          <w:kern w:val="2"/>
          <w:sz w:val="32"/>
          <w:szCs w:val="32"/>
          <w:lang w:val="zh-CN" w:eastAsia="zh-CN" w:bidi="ar-SA"/>
        </w:rPr>
        <w:t>8、无重大违法记录声明（见附件</w:t>
      </w:r>
      <w:r>
        <w:rPr>
          <w:rFonts w:hint="eastAsia" w:ascii="仿宋_GB2312" w:hAnsi="仿宋_GB2312" w:eastAsia="仿宋_GB2312" w:cs="仿宋_GB2312"/>
          <w:spacing w:val="0"/>
          <w:kern w:val="2"/>
          <w:sz w:val="32"/>
          <w:szCs w:val="32"/>
          <w:lang w:val="en-US" w:eastAsia="zh-CN" w:bidi="ar-SA"/>
        </w:rPr>
        <w:t>8</w:t>
      </w:r>
      <w:r>
        <w:rPr>
          <w:rFonts w:hint="eastAsia" w:ascii="仿宋_GB2312" w:hAnsi="仿宋_GB2312" w:eastAsia="仿宋_GB2312" w:cs="仿宋_GB2312"/>
          <w:spacing w:val="0"/>
          <w:kern w:val="2"/>
          <w:sz w:val="32"/>
          <w:szCs w:val="32"/>
          <w:lang w:val="zh-CN" w:eastAsia="zh-CN" w:bidi="ar-SA"/>
        </w:rPr>
        <w:t>）</w:t>
      </w:r>
      <w:bookmarkEnd w:id="337"/>
    </w:p>
    <w:p w14:paraId="0A539445">
      <w:pPr>
        <w:widowControl w:val="0"/>
        <w:wordWrap/>
        <w:adjustRightInd w:val="0"/>
        <w:snapToGrid w:val="0"/>
        <w:spacing w:line="560" w:lineRule="exact"/>
        <w:jc w:val="left"/>
        <w:textAlignment w:val="auto"/>
        <w:rPr>
          <w:rFonts w:hint="default" w:ascii="仿宋_GB2312" w:hAnsi="仿宋_GB2312" w:eastAsia="仿宋_GB2312" w:cs="仿宋_GB2312"/>
          <w:spacing w:val="0"/>
          <w:kern w:val="2"/>
          <w:sz w:val="32"/>
          <w:szCs w:val="32"/>
          <w:lang w:val="en-US" w:eastAsia="zh-CN" w:bidi="ar-SA"/>
        </w:rPr>
      </w:pPr>
      <w:bookmarkStart w:id="338" w:name="_Toc10394_WPSOffice_Level3"/>
      <w:r>
        <w:rPr>
          <w:rFonts w:hint="eastAsia" w:ascii="仿宋_GB2312" w:hAnsi="仿宋_GB2312" w:eastAsia="仿宋_GB2312" w:cs="仿宋_GB2312"/>
          <w:spacing w:val="0"/>
          <w:kern w:val="2"/>
          <w:sz w:val="32"/>
          <w:szCs w:val="32"/>
          <w:lang w:val="en-US" w:eastAsia="zh-CN" w:bidi="ar-SA"/>
        </w:rPr>
        <w:t>9、谈判保证金证明（见附件9）</w:t>
      </w:r>
      <w:bookmarkEnd w:id="338"/>
    </w:p>
    <w:p w14:paraId="03094B0D">
      <w:pPr>
        <w:widowControl w:val="0"/>
        <w:wordWrap/>
        <w:adjustRightInd w:val="0"/>
        <w:snapToGrid w:val="0"/>
        <w:spacing w:line="560" w:lineRule="exact"/>
        <w:jc w:val="left"/>
        <w:textAlignment w:val="auto"/>
        <w:outlineLvl w:val="2"/>
        <w:rPr>
          <w:rFonts w:hint="eastAsia" w:ascii="楷体_GB2312" w:hAnsi="楷体_GB2312" w:eastAsia="楷体_GB2312" w:cs="楷体_GB2312"/>
          <w:b/>
          <w:bCs/>
          <w:spacing w:val="0"/>
          <w:kern w:val="2"/>
          <w:sz w:val="32"/>
          <w:szCs w:val="32"/>
          <w:lang w:val="zh-CN" w:eastAsia="zh-CN" w:bidi="ar-SA"/>
        </w:rPr>
      </w:pPr>
      <w:bookmarkStart w:id="339" w:name="_Toc21135"/>
      <w:bookmarkStart w:id="340" w:name="_Toc18301_WPSOffice_Level3"/>
      <w:bookmarkStart w:id="341" w:name="_Toc5593"/>
      <w:bookmarkStart w:id="342" w:name="_Toc3154_WPSOffice_Level2"/>
      <w:r>
        <w:rPr>
          <w:rFonts w:hint="eastAsia" w:ascii="楷体_GB2312" w:hAnsi="楷体_GB2312" w:eastAsia="楷体_GB2312" w:cs="楷体_GB2312"/>
          <w:b/>
          <w:bCs/>
          <w:spacing w:val="0"/>
          <w:kern w:val="2"/>
          <w:sz w:val="32"/>
          <w:szCs w:val="32"/>
          <w:lang w:val="zh-CN" w:eastAsia="zh-CN" w:bidi="ar-SA"/>
        </w:rPr>
        <w:t>（二）有效性、完整性、响应程度审查部分</w:t>
      </w:r>
      <w:bookmarkEnd w:id="339"/>
      <w:bookmarkEnd w:id="340"/>
      <w:bookmarkEnd w:id="341"/>
      <w:bookmarkEnd w:id="342"/>
    </w:p>
    <w:p w14:paraId="287D7BF4">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43" w:name="_Toc9730_WPSOffice_Level3"/>
      <w:r>
        <w:rPr>
          <w:rFonts w:hint="eastAsia" w:ascii="仿宋_GB2312" w:hAnsi="仿宋_GB2312" w:eastAsia="仿宋_GB2312" w:cs="仿宋_GB2312"/>
          <w:spacing w:val="0"/>
          <w:kern w:val="2"/>
          <w:sz w:val="32"/>
          <w:szCs w:val="32"/>
          <w:lang w:val="en-US" w:eastAsia="zh-CN" w:bidi="ar-SA"/>
        </w:rPr>
        <w:t>10</w:t>
      </w:r>
      <w:r>
        <w:rPr>
          <w:rFonts w:hint="eastAsia" w:ascii="仿宋_GB2312" w:hAnsi="仿宋_GB2312" w:eastAsia="仿宋_GB2312" w:cs="仿宋_GB2312"/>
          <w:spacing w:val="0"/>
          <w:kern w:val="2"/>
          <w:sz w:val="32"/>
          <w:szCs w:val="32"/>
          <w:lang w:val="zh-CN" w:eastAsia="zh-CN" w:bidi="ar-SA"/>
        </w:rPr>
        <w:t>、谈判首次报价表（见附件</w:t>
      </w:r>
      <w:r>
        <w:rPr>
          <w:rFonts w:hint="eastAsia" w:ascii="仿宋_GB2312" w:hAnsi="仿宋_GB2312" w:eastAsia="仿宋_GB2312" w:cs="仿宋_GB2312"/>
          <w:spacing w:val="0"/>
          <w:kern w:val="2"/>
          <w:sz w:val="32"/>
          <w:szCs w:val="32"/>
          <w:lang w:val="en-US" w:eastAsia="zh-CN" w:bidi="ar-SA"/>
        </w:rPr>
        <w:t>10</w:t>
      </w:r>
      <w:r>
        <w:rPr>
          <w:rFonts w:hint="eastAsia" w:ascii="仿宋_GB2312" w:hAnsi="仿宋_GB2312" w:eastAsia="仿宋_GB2312" w:cs="仿宋_GB2312"/>
          <w:spacing w:val="0"/>
          <w:kern w:val="2"/>
          <w:sz w:val="32"/>
          <w:szCs w:val="32"/>
          <w:lang w:val="zh-CN" w:eastAsia="zh-CN" w:bidi="ar-SA"/>
        </w:rPr>
        <w:t>）</w:t>
      </w:r>
      <w:bookmarkEnd w:id="343"/>
    </w:p>
    <w:p w14:paraId="3AA6726F">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44" w:name="_Toc15196_WPSOffice_Level3"/>
      <w:r>
        <w:rPr>
          <w:rFonts w:hint="eastAsia" w:ascii="仿宋_GB2312" w:hAnsi="仿宋_GB2312" w:eastAsia="仿宋_GB2312" w:cs="仿宋_GB2312"/>
          <w:spacing w:val="0"/>
          <w:kern w:val="2"/>
          <w:sz w:val="32"/>
          <w:szCs w:val="32"/>
          <w:lang w:val="en-US" w:eastAsia="zh-CN" w:bidi="ar-SA"/>
        </w:rPr>
        <w:t>11</w:t>
      </w:r>
      <w:r>
        <w:rPr>
          <w:rFonts w:hint="eastAsia" w:ascii="仿宋_GB2312" w:hAnsi="仿宋_GB2312" w:eastAsia="仿宋_GB2312" w:cs="仿宋_GB2312"/>
          <w:spacing w:val="0"/>
          <w:kern w:val="2"/>
          <w:sz w:val="32"/>
          <w:szCs w:val="32"/>
          <w:lang w:val="zh-CN" w:eastAsia="zh-CN" w:bidi="ar-SA"/>
        </w:rPr>
        <w:t>、分项报价表（见附件1</w:t>
      </w:r>
      <w:r>
        <w:rPr>
          <w:rFonts w:hint="eastAsia" w:ascii="仿宋_GB2312" w:hAnsi="仿宋_GB2312" w:eastAsia="仿宋_GB2312" w:cs="仿宋_GB2312"/>
          <w:spacing w:val="0"/>
          <w:kern w:val="2"/>
          <w:sz w:val="32"/>
          <w:szCs w:val="32"/>
          <w:lang w:val="en-US" w:eastAsia="zh-CN" w:bidi="ar-SA"/>
        </w:rPr>
        <w:t>1</w:t>
      </w:r>
      <w:r>
        <w:rPr>
          <w:rFonts w:hint="eastAsia" w:ascii="仿宋_GB2312" w:hAnsi="仿宋_GB2312" w:eastAsia="仿宋_GB2312" w:cs="仿宋_GB2312"/>
          <w:spacing w:val="0"/>
          <w:kern w:val="2"/>
          <w:sz w:val="32"/>
          <w:szCs w:val="32"/>
          <w:lang w:val="zh-CN" w:eastAsia="zh-CN" w:bidi="ar-SA"/>
        </w:rPr>
        <w:t>）</w:t>
      </w:r>
      <w:bookmarkEnd w:id="344"/>
    </w:p>
    <w:p w14:paraId="7C0AC875">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45" w:name="_Toc319_WPSOffice_Level3"/>
      <w:r>
        <w:rPr>
          <w:rFonts w:hint="eastAsia" w:ascii="仿宋_GB2312" w:hAnsi="仿宋_GB2312" w:eastAsia="仿宋_GB2312" w:cs="仿宋_GB2312"/>
          <w:spacing w:val="0"/>
          <w:kern w:val="2"/>
          <w:sz w:val="32"/>
          <w:szCs w:val="32"/>
          <w:lang w:val="en-US" w:eastAsia="zh-CN" w:bidi="ar-SA"/>
        </w:rPr>
        <w:t>12</w:t>
      </w:r>
      <w:r>
        <w:rPr>
          <w:rFonts w:hint="eastAsia" w:ascii="仿宋_GB2312" w:hAnsi="仿宋_GB2312" w:eastAsia="仿宋_GB2312" w:cs="仿宋_GB2312"/>
          <w:spacing w:val="0"/>
          <w:kern w:val="2"/>
          <w:sz w:val="32"/>
          <w:szCs w:val="32"/>
          <w:lang w:val="zh-CN" w:eastAsia="zh-CN" w:bidi="ar-SA"/>
        </w:rPr>
        <w:t>、技术规格响应表（见附件1</w:t>
      </w:r>
      <w:r>
        <w:rPr>
          <w:rFonts w:hint="eastAsia" w:ascii="仿宋_GB2312" w:hAnsi="仿宋_GB2312" w:eastAsia="仿宋_GB2312" w:cs="仿宋_GB2312"/>
          <w:spacing w:val="0"/>
          <w:kern w:val="2"/>
          <w:sz w:val="32"/>
          <w:szCs w:val="32"/>
          <w:lang w:val="en-US" w:eastAsia="zh-CN" w:bidi="ar-SA"/>
        </w:rPr>
        <w:t>2</w:t>
      </w:r>
      <w:r>
        <w:rPr>
          <w:rFonts w:hint="eastAsia" w:ascii="仿宋_GB2312" w:hAnsi="仿宋_GB2312" w:eastAsia="仿宋_GB2312" w:cs="仿宋_GB2312"/>
          <w:spacing w:val="0"/>
          <w:kern w:val="2"/>
          <w:sz w:val="32"/>
          <w:szCs w:val="32"/>
          <w:lang w:val="zh-CN" w:eastAsia="zh-CN" w:bidi="ar-SA"/>
        </w:rPr>
        <w:t>）</w:t>
      </w:r>
      <w:bookmarkEnd w:id="345"/>
    </w:p>
    <w:p w14:paraId="3A1F4AD6">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zh-CN" w:eastAsia="zh-CN" w:bidi="ar-SA"/>
        </w:rPr>
      </w:pPr>
      <w:bookmarkStart w:id="346" w:name="_Toc22060_WPSOffice_Level3"/>
      <w:r>
        <w:rPr>
          <w:rFonts w:hint="eastAsia" w:ascii="仿宋_GB2312" w:hAnsi="仿宋_GB2312" w:eastAsia="仿宋_GB2312" w:cs="仿宋_GB2312"/>
          <w:spacing w:val="0"/>
          <w:kern w:val="2"/>
          <w:sz w:val="32"/>
          <w:szCs w:val="32"/>
          <w:lang w:val="en-US" w:eastAsia="zh-CN" w:bidi="ar-SA"/>
        </w:rPr>
        <w:t>13</w:t>
      </w:r>
      <w:r>
        <w:rPr>
          <w:rFonts w:hint="eastAsia" w:ascii="仿宋_GB2312" w:hAnsi="仿宋_GB2312" w:eastAsia="仿宋_GB2312" w:cs="仿宋_GB2312"/>
          <w:spacing w:val="0"/>
          <w:kern w:val="2"/>
          <w:sz w:val="32"/>
          <w:szCs w:val="32"/>
          <w:lang w:val="zh-CN" w:eastAsia="zh-CN" w:bidi="ar-SA"/>
        </w:rPr>
        <w:t>、产品相关资料（具备履行合同所必须的设备和专业技术能力证明（见附件</w:t>
      </w:r>
      <w:r>
        <w:rPr>
          <w:rFonts w:hint="eastAsia" w:ascii="仿宋_GB2312" w:hAnsi="仿宋_GB2312" w:eastAsia="仿宋_GB2312" w:cs="仿宋_GB2312"/>
          <w:spacing w:val="0"/>
          <w:kern w:val="2"/>
          <w:sz w:val="32"/>
          <w:szCs w:val="32"/>
          <w:lang w:val="en-US" w:eastAsia="zh-CN" w:bidi="ar-SA"/>
        </w:rPr>
        <w:t>13</w:t>
      </w:r>
      <w:r>
        <w:rPr>
          <w:rFonts w:hint="eastAsia" w:ascii="仿宋_GB2312" w:hAnsi="仿宋_GB2312" w:eastAsia="仿宋_GB2312" w:cs="仿宋_GB2312"/>
          <w:spacing w:val="0"/>
          <w:kern w:val="2"/>
          <w:sz w:val="32"/>
          <w:szCs w:val="32"/>
          <w:lang w:val="zh-CN" w:eastAsia="zh-CN" w:bidi="ar-SA"/>
        </w:rPr>
        <w:t>）</w:t>
      </w:r>
    </w:p>
    <w:p w14:paraId="51A20190">
      <w:pPr>
        <w:widowControl w:val="0"/>
        <w:wordWrap/>
        <w:adjustRightInd w:val="0"/>
        <w:snapToGrid w:val="0"/>
        <w:spacing w:line="560" w:lineRule="exact"/>
        <w:jc w:val="left"/>
        <w:textAlignment w:val="auto"/>
        <w:rPr>
          <w:rFonts w:hint="default" w:ascii="仿宋_GB2312" w:hAnsi="仿宋_GB2312" w:eastAsia="仿宋_GB2312" w:cs="仿宋_GB2312"/>
          <w:spacing w:val="0"/>
          <w:kern w:val="2"/>
          <w:sz w:val="32"/>
          <w:szCs w:val="32"/>
          <w:lang w:val="en-US" w:eastAsia="zh-CN" w:bidi="ar-SA"/>
        </w:rPr>
      </w:pPr>
      <w:r>
        <w:rPr>
          <w:rFonts w:hint="eastAsia" w:ascii="仿宋_GB2312" w:hAnsi="仿宋_GB2312" w:eastAsia="仿宋_GB2312" w:cs="仿宋_GB2312"/>
          <w:spacing w:val="0"/>
          <w:kern w:val="2"/>
          <w:sz w:val="32"/>
          <w:szCs w:val="32"/>
          <w:lang w:val="en-US" w:eastAsia="zh-CN" w:bidi="ar-SA"/>
        </w:rPr>
        <w:t>14、</w:t>
      </w:r>
      <w:r>
        <w:rPr>
          <w:rFonts w:hint="eastAsia" w:ascii="仿宋_GB2312" w:hAnsi="仿宋_GB2312" w:eastAsia="仿宋_GB2312" w:cs="仿宋_GB2312"/>
          <w:spacing w:val="0"/>
          <w:kern w:val="2"/>
          <w:sz w:val="32"/>
          <w:szCs w:val="32"/>
          <w:lang w:val="zh-CN" w:eastAsia="zh-CN" w:bidi="ar-SA"/>
        </w:rPr>
        <w:t>享受政府采购政策优惠的证明资料（见附件</w:t>
      </w:r>
      <w:r>
        <w:rPr>
          <w:rFonts w:hint="eastAsia" w:ascii="仿宋_GB2312" w:hAnsi="仿宋_GB2312" w:eastAsia="仿宋_GB2312" w:cs="仿宋_GB2312"/>
          <w:spacing w:val="0"/>
          <w:kern w:val="2"/>
          <w:sz w:val="32"/>
          <w:szCs w:val="32"/>
          <w:lang w:val="en-US" w:eastAsia="zh-CN" w:bidi="ar-SA"/>
        </w:rPr>
        <w:t>14</w:t>
      </w:r>
      <w:r>
        <w:rPr>
          <w:rFonts w:hint="eastAsia" w:ascii="仿宋_GB2312" w:hAnsi="仿宋_GB2312" w:eastAsia="仿宋_GB2312" w:cs="仿宋_GB2312"/>
          <w:spacing w:val="0"/>
          <w:kern w:val="2"/>
          <w:sz w:val="32"/>
          <w:szCs w:val="32"/>
          <w:lang w:val="zh-CN" w:eastAsia="zh-CN" w:bidi="ar-SA"/>
        </w:rPr>
        <w:t>）</w:t>
      </w:r>
    </w:p>
    <w:bookmarkEnd w:id="346"/>
    <w:p w14:paraId="14509EB2">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en-US" w:eastAsia="zh-CN" w:bidi="ar-SA"/>
        </w:rPr>
      </w:pPr>
      <w:bookmarkStart w:id="347" w:name="_Toc1748_WPSOffice_Level3"/>
      <w:r>
        <w:rPr>
          <w:rFonts w:hint="eastAsia" w:ascii="仿宋_GB2312" w:hAnsi="仿宋_GB2312" w:eastAsia="仿宋_GB2312" w:cs="仿宋_GB2312"/>
          <w:spacing w:val="0"/>
          <w:kern w:val="2"/>
          <w:sz w:val="32"/>
          <w:szCs w:val="32"/>
          <w:lang w:val="en-US" w:eastAsia="zh-CN" w:bidi="ar-SA"/>
        </w:rPr>
        <w:t>15、</w:t>
      </w:r>
      <w:bookmarkEnd w:id="347"/>
      <w:r>
        <w:rPr>
          <w:rFonts w:hint="eastAsia" w:ascii="仿宋_GB2312" w:hAnsi="仿宋_GB2312" w:eastAsia="仿宋_GB2312" w:cs="仿宋_GB2312"/>
          <w:spacing w:val="0"/>
          <w:kern w:val="2"/>
          <w:sz w:val="32"/>
          <w:szCs w:val="32"/>
          <w:lang w:val="en-US" w:eastAsia="zh-CN" w:bidi="ar-SA"/>
        </w:rPr>
        <w:t>谈判最后报价表（见附件15）</w:t>
      </w:r>
    </w:p>
    <w:p w14:paraId="0A0F018C">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en-US" w:eastAsia="zh-CN" w:bidi="ar-SA"/>
        </w:rPr>
      </w:pPr>
    </w:p>
    <w:p w14:paraId="2E85B912">
      <w:pPr>
        <w:widowControl w:val="0"/>
        <w:wordWrap/>
        <w:adjustRightInd w:val="0"/>
        <w:snapToGrid w:val="0"/>
        <w:spacing w:line="560" w:lineRule="exact"/>
        <w:jc w:val="left"/>
        <w:textAlignment w:val="auto"/>
        <w:rPr>
          <w:rFonts w:hint="eastAsia" w:ascii="仿宋_GB2312" w:hAnsi="仿宋_GB2312" w:eastAsia="仿宋_GB2312" w:cs="仿宋_GB2312"/>
          <w:spacing w:val="0"/>
          <w:kern w:val="2"/>
          <w:sz w:val="32"/>
          <w:szCs w:val="32"/>
          <w:lang w:val="en-US" w:eastAsia="zh-CN" w:bidi="ar-SA"/>
        </w:rPr>
      </w:pPr>
    </w:p>
    <w:p w14:paraId="7B68C690">
      <w:pPr>
        <w:widowControl w:val="0"/>
        <w:wordWrap/>
        <w:adjustRightInd w:val="0"/>
        <w:snapToGrid w:val="0"/>
        <w:spacing w:line="560" w:lineRule="exact"/>
        <w:jc w:val="left"/>
        <w:textAlignment w:val="auto"/>
        <w:rPr>
          <w:rFonts w:hint="default" w:ascii="仿宋_GB2312" w:hAnsi="仿宋_GB2312" w:eastAsia="仿宋_GB2312" w:cs="仿宋_GB2312"/>
          <w:spacing w:val="0"/>
          <w:kern w:val="2"/>
          <w:sz w:val="32"/>
          <w:szCs w:val="32"/>
          <w:lang w:val="en-US" w:eastAsia="zh-CN" w:bidi="ar-SA"/>
        </w:rPr>
      </w:pPr>
    </w:p>
    <w:p w14:paraId="40F0EC83">
      <w:pPr>
        <w:widowControl w:val="0"/>
        <w:wordWrap/>
        <w:adjustRightInd w:val="0"/>
        <w:snapToGrid w:val="0"/>
        <w:spacing w:line="560" w:lineRule="exact"/>
        <w:jc w:val="left"/>
        <w:textAlignment w:val="auto"/>
        <w:rPr>
          <w:rFonts w:hint="default" w:ascii="仿宋_GB2312" w:hAnsi="仿宋_GB2312" w:eastAsia="仿宋_GB2312" w:cs="仿宋_GB2312"/>
          <w:spacing w:val="0"/>
          <w:kern w:val="2"/>
          <w:sz w:val="32"/>
          <w:szCs w:val="32"/>
          <w:lang w:val="en-US" w:eastAsia="zh-CN" w:bidi="ar-SA"/>
        </w:rPr>
      </w:pPr>
    </w:p>
    <w:p w14:paraId="363D3CB0">
      <w:pPr>
        <w:widowControl w:val="0"/>
        <w:wordWrap/>
        <w:adjustRightInd w:val="0"/>
        <w:snapToGrid w:val="0"/>
        <w:spacing w:line="560" w:lineRule="exact"/>
        <w:jc w:val="left"/>
        <w:textAlignment w:val="auto"/>
        <w:rPr>
          <w:rFonts w:hint="default" w:ascii="仿宋_GB2312" w:hAnsi="仿宋_GB2312" w:eastAsia="仿宋_GB2312" w:cs="仿宋_GB2312"/>
          <w:spacing w:val="0"/>
          <w:kern w:val="2"/>
          <w:sz w:val="32"/>
          <w:szCs w:val="32"/>
          <w:lang w:val="en-US" w:eastAsia="zh-CN" w:bidi="ar-SA"/>
        </w:rPr>
      </w:pPr>
    </w:p>
    <w:p w14:paraId="688399B0">
      <w:pPr>
        <w:widowControl w:val="0"/>
        <w:wordWrap/>
        <w:adjustRightInd w:val="0"/>
        <w:snapToGrid w:val="0"/>
        <w:spacing w:line="560" w:lineRule="exact"/>
        <w:jc w:val="left"/>
        <w:textAlignment w:val="auto"/>
        <w:rPr>
          <w:rFonts w:hint="default" w:ascii="仿宋_GB2312" w:hAnsi="仿宋_GB2312" w:eastAsia="仿宋_GB2312" w:cs="仿宋_GB2312"/>
          <w:spacing w:val="0"/>
          <w:kern w:val="2"/>
          <w:sz w:val="32"/>
          <w:szCs w:val="32"/>
          <w:lang w:val="en-US" w:eastAsia="zh-CN" w:bidi="ar-SA"/>
        </w:rPr>
      </w:pPr>
    </w:p>
    <w:p w14:paraId="14A56A13">
      <w:pPr>
        <w:widowControl w:val="0"/>
        <w:wordWrap/>
        <w:adjustRightInd w:val="0"/>
        <w:snapToGrid w:val="0"/>
        <w:spacing w:line="560" w:lineRule="exact"/>
        <w:jc w:val="left"/>
        <w:textAlignment w:val="auto"/>
        <w:rPr>
          <w:rFonts w:hint="default" w:ascii="仿宋_GB2312" w:hAnsi="仿宋_GB2312" w:eastAsia="仿宋_GB2312" w:cs="仿宋_GB2312"/>
          <w:spacing w:val="0"/>
          <w:kern w:val="2"/>
          <w:sz w:val="32"/>
          <w:szCs w:val="32"/>
          <w:lang w:val="en-US" w:eastAsia="zh-CN" w:bidi="ar-SA"/>
        </w:rPr>
      </w:pPr>
    </w:p>
    <w:p w14:paraId="3EC56A65">
      <w:pPr>
        <w:widowControl w:val="0"/>
        <w:wordWrap/>
        <w:adjustRightInd w:val="0"/>
        <w:snapToGrid w:val="0"/>
        <w:spacing w:line="560" w:lineRule="exact"/>
        <w:jc w:val="center"/>
        <w:textAlignment w:val="auto"/>
        <w:outlineLvl w:val="1"/>
        <w:rPr>
          <w:rFonts w:hint="eastAsia" w:ascii="黑体" w:hAnsi="黑体" w:eastAsia="黑体" w:cs="黑体"/>
          <w:kern w:val="2"/>
          <w:sz w:val="32"/>
          <w:szCs w:val="32"/>
          <w:lang w:val="en-US" w:eastAsia="zh-CN" w:bidi="ar-SA"/>
        </w:rPr>
      </w:pPr>
      <w:bookmarkStart w:id="348" w:name="_Toc14930_WPSOffice_Level2"/>
      <w:bookmarkStart w:id="349" w:name="_Toc11918"/>
      <w:bookmarkStart w:id="350" w:name="_Toc12800"/>
      <w:bookmarkStart w:id="351" w:name="_Toc5252_WPSOffice_Level2"/>
      <w:bookmarkStart w:id="352" w:name="_Toc15876"/>
      <w:bookmarkStart w:id="353" w:name="_Toc1684_WPSOffice_Level2"/>
      <w:r>
        <w:rPr>
          <w:rFonts w:hint="eastAsia" w:ascii="黑体" w:hAnsi="黑体" w:eastAsia="黑体" w:cs="黑体"/>
          <w:kern w:val="2"/>
          <w:sz w:val="32"/>
          <w:szCs w:val="32"/>
          <w:lang w:val="en-US" w:eastAsia="zh-CN" w:bidi="ar-SA"/>
        </w:rPr>
        <w:t>十三、谈判响应文件</w:t>
      </w:r>
      <w:bookmarkEnd w:id="348"/>
      <w:bookmarkEnd w:id="349"/>
      <w:bookmarkEnd w:id="350"/>
      <w:bookmarkEnd w:id="351"/>
      <w:bookmarkEnd w:id="352"/>
      <w:bookmarkEnd w:id="353"/>
    </w:p>
    <w:p w14:paraId="6F7F7FE4">
      <w:pPr>
        <w:wordWrap/>
        <w:spacing w:before="157" w:beforeLines="50" w:line="560" w:lineRule="exact"/>
        <w:ind w:firstLine="1285" w:firstLineChars="400"/>
        <w:rPr>
          <w:rFonts w:hint="eastAsia" w:ascii="仿宋_GB2312" w:hAnsi="仿宋_GB2312" w:eastAsia="仿宋_GB2312" w:cs="仿宋_GB2312"/>
          <w:b/>
          <w:color w:val="000000"/>
          <w:sz w:val="32"/>
          <w:szCs w:val="32"/>
        </w:rPr>
      </w:pPr>
      <w:bookmarkStart w:id="354" w:name="_Toc28269_WPSOffice_Level3"/>
    </w:p>
    <w:p w14:paraId="0FC89E30">
      <w:pPr>
        <w:wordWrap/>
        <w:spacing w:before="157" w:beforeLines="50" w:line="560" w:lineRule="exact"/>
        <w:ind w:firstLine="2610" w:firstLineChars="500"/>
        <w:jc w:val="left"/>
        <w:outlineLvl w:val="9"/>
        <w:rPr>
          <w:rFonts w:hint="eastAsia" w:ascii="仿宋_GB2312" w:hAnsi="仿宋_GB2312" w:eastAsia="仿宋_GB2312" w:cs="仿宋_GB2312"/>
          <w:b/>
          <w:color w:val="000000"/>
          <w:sz w:val="52"/>
          <w:szCs w:val="52"/>
        </w:rPr>
      </w:pPr>
      <w:bookmarkStart w:id="355" w:name="_Toc10997_WPSOffice_Level2"/>
      <w:bookmarkStart w:id="356" w:name="_Toc31682_WPSOffice_Level2"/>
      <w:r>
        <w:rPr>
          <w:rFonts w:hint="eastAsia" w:ascii="仿宋_GB2312" w:hAnsi="仿宋_GB2312" w:eastAsia="仿宋_GB2312" w:cs="仿宋_GB2312"/>
          <w:b/>
          <w:color w:val="000000"/>
          <w:sz w:val="52"/>
          <w:szCs w:val="52"/>
        </w:rPr>
        <w:t>青海省政府采购项目</w:t>
      </w:r>
      <w:bookmarkEnd w:id="354"/>
      <w:bookmarkEnd w:id="355"/>
      <w:bookmarkEnd w:id="356"/>
    </w:p>
    <w:p w14:paraId="1C724C3A">
      <w:pPr>
        <w:wordWrap/>
        <w:spacing w:before="157" w:beforeLines="50" w:line="560" w:lineRule="exact"/>
        <w:ind w:firstLine="3654" w:firstLineChars="700"/>
        <w:jc w:val="left"/>
        <w:outlineLvl w:val="9"/>
        <w:rPr>
          <w:rFonts w:hint="eastAsia" w:ascii="仿宋_GB2312" w:hAnsi="仿宋_GB2312" w:eastAsia="仿宋_GB2312" w:cs="仿宋_GB2312"/>
          <w:b/>
          <w:color w:val="000000"/>
          <w:sz w:val="52"/>
          <w:szCs w:val="52"/>
        </w:rPr>
      </w:pPr>
      <w:bookmarkStart w:id="357" w:name="_Toc23622_WPSOffice_Level2"/>
      <w:bookmarkStart w:id="358" w:name="_Toc25378_WPSOffice_Level2"/>
      <w:r>
        <w:rPr>
          <w:rFonts w:hint="eastAsia" w:ascii="仿宋_GB2312" w:hAnsi="仿宋_GB2312" w:eastAsia="仿宋_GB2312" w:cs="仿宋_GB2312"/>
          <w:b/>
          <w:color w:val="000000"/>
          <w:sz w:val="52"/>
          <w:szCs w:val="52"/>
        </w:rPr>
        <w:t>谈判响应文件</w:t>
      </w:r>
      <w:bookmarkEnd w:id="357"/>
      <w:bookmarkEnd w:id="358"/>
    </w:p>
    <w:p w14:paraId="104BC569">
      <w:pP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000000"/>
          <w:sz w:val="32"/>
          <w:szCs w:val="32"/>
        </w:rPr>
      </w:pPr>
      <w:bookmarkStart w:id="359" w:name="_Toc13231_WPSOffice_Level2"/>
      <w:bookmarkStart w:id="360" w:name="_Toc28825_WPSOffice_Level2"/>
    </w:p>
    <w:p w14:paraId="42566704">
      <w:pP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r>
        <w:rPr>
          <w:rFonts w:hint="eastAsia" w:ascii="仿宋_GB2312" w:hAnsi="仿宋_GB2312" w:eastAsia="仿宋_GB2312" w:cs="仿宋_GB2312"/>
          <w:b w:val="0"/>
          <w:bCs w:val="0"/>
          <w:kern w:val="2"/>
          <w:sz w:val="32"/>
          <w:szCs w:val="32"/>
          <w:lang w:val="en-US" w:eastAsia="zh-CN" w:bidi="ar-SA"/>
        </w:rPr>
        <w:t>资格审查部分</w:t>
      </w:r>
      <w:r>
        <w:rPr>
          <w:rFonts w:hint="eastAsia" w:ascii="仿宋_GB2312" w:hAnsi="仿宋_GB2312" w:eastAsia="仿宋_GB2312" w:cs="仿宋_GB2312"/>
          <w:b/>
          <w:bCs/>
          <w:color w:val="000000"/>
          <w:sz w:val="32"/>
          <w:szCs w:val="32"/>
        </w:rPr>
        <w:t>）</w:t>
      </w:r>
      <w:bookmarkEnd w:id="359"/>
      <w:bookmarkEnd w:id="360"/>
    </w:p>
    <w:p w14:paraId="5C139201">
      <w:pPr>
        <w:wordWrap/>
        <w:adjustRightInd w:val="0"/>
        <w:spacing w:before="157" w:beforeLines="50" w:line="560" w:lineRule="exact"/>
        <w:textAlignment w:val="baseline"/>
        <w:outlineLvl w:val="9"/>
        <w:rPr>
          <w:rFonts w:hint="eastAsia" w:ascii="仿宋_GB2312" w:hAnsi="仿宋_GB2312" w:eastAsia="仿宋_GB2312" w:cs="仿宋_GB2312"/>
          <w:b/>
          <w:bCs/>
          <w:color w:val="000000"/>
          <w:sz w:val="32"/>
          <w:szCs w:val="32"/>
        </w:rPr>
      </w:pPr>
    </w:p>
    <w:p w14:paraId="5909B1EB">
      <w:pPr>
        <w:wordWrap/>
        <w:adjustRightInd w:val="0"/>
        <w:spacing w:before="157" w:beforeLines="50" w:line="560" w:lineRule="exact"/>
        <w:textAlignment w:val="baseline"/>
        <w:outlineLvl w:val="9"/>
        <w:rPr>
          <w:rFonts w:hint="eastAsia" w:ascii="仿宋_GB2312" w:hAnsi="仿宋_GB2312" w:eastAsia="仿宋_GB2312" w:cs="仿宋_GB2312"/>
          <w:b/>
          <w:bCs/>
          <w:color w:val="000000"/>
          <w:sz w:val="32"/>
          <w:szCs w:val="32"/>
        </w:rPr>
      </w:pPr>
    </w:p>
    <w:p w14:paraId="23097A4B">
      <w:pPr>
        <w:wordWrap/>
        <w:adjustRightInd w:val="0"/>
        <w:spacing w:before="157" w:beforeLines="50" w:line="560" w:lineRule="exact"/>
        <w:textAlignment w:val="baseline"/>
        <w:outlineLvl w:val="9"/>
        <w:rPr>
          <w:rFonts w:hint="eastAsia" w:ascii="仿宋_GB2312" w:hAnsi="仿宋_GB2312" w:eastAsia="仿宋_GB2312" w:cs="仿宋_GB2312"/>
          <w:b/>
          <w:bCs/>
          <w:color w:val="000000"/>
          <w:sz w:val="32"/>
          <w:szCs w:val="32"/>
        </w:rPr>
      </w:pPr>
    </w:p>
    <w:p w14:paraId="7A65D738">
      <w:pPr>
        <w:wordWrap/>
        <w:adjustRightInd w:val="0"/>
        <w:spacing w:before="157" w:beforeLines="50" w:line="560" w:lineRule="exact"/>
        <w:textAlignment w:val="baseline"/>
        <w:outlineLvl w:val="9"/>
        <w:rPr>
          <w:rFonts w:hint="eastAsia" w:ascii="仿宋_GB2312" w:hAnsi="仿宋_GB2312" w:eastAsia="仿宋_GB2312" w:cs="仿宋_GB2312"/>
          <w:b/>
          <w:bCs/>
          <w:color w:val="000000"/>
          <w:sz w:val="32"/>
          <w:szCs w:val="32"/>
          <w:lang w:eastAsia="zh-CN"/>
        </w:rPr>
      </w:pPr>
      <w:bookmarkStart w:id="361" w:name="_Toc19521_WPSOffice_Level2"/>
      <w:bookmarkStart w:id="362" w:name="_Toc29803_WPSOffice_Level2"/>
      <w:r>
        <w:rPr>
          <w:rFonts w:hint="eastAsia" w:ascii="仿宋_GB2312" w:hAnsi="仿宋_GB2312" w:eastAsia="仿宋_GB2312" w:cs="仿宋_GB2312"/>
          <w:b/>
          <w:bCs/>
          <w:color w:val="000000"/>
          <w:sz w:val="32"/>
          <w:szCs w:val="32"/>
        </w:rPr>
        <w:t>采购项目编号:</w:t>
      </w:r>
      <w:bookmarkEnd w:id="361"/>
      <w:bookmarkEnd w:id="362"/>
    </w:p>
    <w:p w14:paraId="3D765950">
      <w:pPr>
        <w:wordWrap/>
        <w:spacing w:before="157" w:beforeLines="50" w:line="560" w:lineRule="exact"/>
        <w:ind w:left="2530" w:hanging="2249" w:hangingChars="700"/>
        <w:jc w:val="left"/>
        <w:outlineLvl w:val="9"/>
        <w:rPr>
          <w:rFonts w:hint="eastAsia" w:ascii="仿宋_GB2312" w:hAnsi="仿宋_GB2312" w:eastAsia="仿宋_GB2312" w:cs="仿宋_GB2312"/>
          <w:b/>
          <w:bCs/>
          <w:color w:val="000000"/>
          <w:sz w:val="32"/>
          <w:szCs w:val="32"/>
        </w:rPr>
      </w:pPr>
      <w:bookmarkStart w:id="363" w:name="_Toc18713_WPSOffice_Level2"/>
      <w:bookmarkStart w:id="364" w:name="_Toc14786_WPSOffice_Level2"/>
      <w:r>
        <w:rPr>
          <w:rFonts w:hint="eastAsia" w:ascii="仿宋_GB2312" w:hAnsi="仿宋_GB2312" w:eastAsia="仿宋_GB2312" w:cs="仿宋_GB2312"/>
          <w:b/>
          <w:bCs/>
          <w:color w:val="000000"/>
          <w:sz w:val="32"/>
          <w:szCs w:val="32"/>
        </w:rPr>
        <w:t>采购项目名称:</w:t>
      </w:r>
      <w:bookmarkEnd w:id="363"/>
      <w:bookmarkEnd w:id="364"/>
      <w:r>
        <w:rPr>
          <w:rFonts w:hint="eastAsia" w:ascii="仿宋_GB2312" w:hAnsi="仿宋_GB2312" w:eastAsia="仿宋_GB2312" w:cs="仿宋_GB2312"/>
          <w:b/>
          <w:bCs/>
          <w:color w:val="000000"/>
          <w:sz w:val="32"/>
          <w:szCs w:val="32"/>
        </w:rPr>
        <w:t xml:space="preserve"> </w:t>
      </w:r>
    </w:p>
    <w:p w14:paraId="1EA673F0">
      <w:pPr>
        <w:wordWrap/>
        <w:spacing w:before="157" w:beforeLines="50" w:line="560" w:lineRule="exact"/>
        <w:ind w:left="2530" w:hanging="2249" w:hangingChars="700"/>
        <w:jc w:val="left"/>
        <w:outlineLvl w:val="9"/>
        <w:rPr>
          <w:rFonts w:hint="eastAsia" w:ascii="仿宋_GB2312" w:hAnsi="仿宋_GB2312" w:eastAsia="仿宋_GB2312" w:cs="仿宋_GB2312"/>
          <w:b/>
          <w:bCs/>
          <w:color w:val="000000"/>
          <w:sz w:val="32"/>
          <w:szCs w:val="32"/>
          <w:lang w:eastAsia="zh-CN"/>
        </w:rPr>
      </w:pPr>
      <w:bookmarkStart w:id="365" w:name="_Toc14087_WPSOffice_Level2"/>
      <w:bookmarkStart w:id="366" w:name="_Toc22044_WPSOffice_Level2"/>
      <w:r>
        <w:rPr>
          <w:rFonts w:hint="eastAsia" w:ascii="仿宋_GB2312" w:hAnsi="仿宋_GB2312" w:eastAsia="仿宋_GB2312" w:cs="仿宋_GB2312"/>
          <w:b/>
          <w:bCs/>
          <w:color w:val="000000"/>
          <w:sz w:val="32"/>
          <w:szCs w:val="32"/>
          <w:lang w:eastAsia="zh-CN"/>
        </w:rPr>
        <w:t>供应商名称：</w:t>
      </w:r>
      <w:bookmarkEnd w:id="365"/>
      <w:bookmarkEnd w:id="366"/>
    </w:p>
    <w:p w14:paraId="5C0FCABA">
      <w:pPr>
        <w:wordWrap/>
        <w:spacing w:before="157" w:beforeLines="50" w:line="560" w:lineRule="exact"/>
        <w:jc w:val="center"/>
        <w:outlineLvl w:val="9"/>
        <w:rPr>
          <w:rFonts w:hint="eastAsia" w:ascii="仿宋_GB2312" w:hAnsi="仿宋_GB2312" w:eastAsia="仿宋_GB2312" w:cs="仿宋_GB2312"/>
          <w:b/>
          <w:bCs/>
          <w:color w:val="000000"/>
          <w:sz w:val="32"/>
          <w:szCs w:val="32"/>
        </w:rPr>
      </w:pPr>
    </w:p>
    <w:p w14:paraId="54DF1FEE">
      <w:pPr>
        <w:wordWrap/>
        <w:spacing w:before="157" w:beforeLines="50" w:line="560" w:lineRule="exact"/>
        <w:jc w:val="center"/>
        <w:outlineLvl w:val="9"/>
        <w:rPr>
          <w:rFonts w:hint="eastAsia" w:ascii="仿宋_GB2312" w:hAnsi="仿宋_GB2312" w:eastAsia="仿宋_GB2312" w:cs="仿宋_GB2312"/>
          <w:b/>
          <w:color w:val="000000"/>
          <w:sz w:val="32"/>
          <w:szCs w:val="32"/>
        </w:rPr>
      </w:pPr>
      <w:bookmarkStart w:id="367" w:name="_Toc1142_WPSOffice_Level3"/>
      <w:r>
        <w:rPr>
          <w:rFonts w:hint="eastAsia" w:ascii="仿宋_GB2312" w:hAnsi="仿宋_GB2312" w:eastAsia="仿宋_GB2312" w:cs="仿宋_GB2312"/>
          <w:b/>
          <w:color w:val="000000"/>
          <w:sz w:val="32"/>
          <w:szCs w:val="32"/>
        </w:rPr>
        <w:t>年  月  日</w:t>
      </w:r>
      <w:bookmarkEnd w:id="367"/>
    </w:p>
    <w:p w14:paraId="42B5BFD7">
      <w:pPr>
        <w:widowControl/>
        <w:wordWrap/>
        <w:snapToGrid w:val="0"/>
        <w:spacing w:before="157" w:beforeLines="50" w:line="560" w:lineRule="exact"/>
        <w:jc w:val="left"/>
        <w:outlineLvl w:val="9"/>
        <w:rPr>
          <w:rFonts w:hint="eastAsia" w:ascii="宋体" w:eastAsia="宋体"/>
          <w:b/>
          <w:color w:val="000000"/>
          <w:sz w:val="28"/>
          <w:szCs w:val="28"/>
        </w:rPr>
      </w:pPr>
    </w:p>
    <w:p w14:paraId="5DBA015A">
      <w:pPr>
        <w:widowControl/>
        <w:wordWrap/>
        <w:snapToGrid w:val="0"/>
        <w:spacing w:before="157" w:beforeLines="50" w:line="560" w:lineRule="exact"/>
        <w:jc w:val="left"/>
        <w:outlineLvl w:val="2"/>
        <w:rPr>
          <w:rFonts w:hint="eastAsia" w:ascii="宋体" w:eastAsia="宋体"/>
          <w:b/>
          <w:color w:val="000000"/>
          <w:sz w:val="28"/>
          <w:szCs w:val="28"/>
        </w:rPr>
      </w:pPr>
      <w:r>
        <w:rPr>
          <w:rFonts w:ascii="宋体" w:eastAsia="宋体"/>
          <w:b/>
          <w:color w:val="000000"/>
          <w:sz w:val="28"/>
          <w:szCs w:val="28"/>
        </w:rPr>
        <w:br w:type="page"/>
      </w:r>
      <w:bookmarkStart w:id="368" w:name="_Toc29086"/>
      <w:bookmarkStart w:id="369" w:name="_Toc27578"/>
      <w:bookmarkStart w:id="370" w:name="_Toc27597"/>
      <w:bookmarkStart w:id="371" w:name="_Toc32479_WPSOffice_Level3"/>
      <w:bookmarkStart w:id="372" w:name="_Toc19203"/>
      <w:r>
        <w:rPr>
          <w:rFonts w:hint="eastAsia" w:ascii="楷体_GB2312" w:hAnsi="楷体_GB2312" w:eastAsia="楷体_GB2312" w:cs="楷体_GB2312"/>
          <w:b/>
          <w:color w:val="000000"/>
          <w:sz w:val="32"/>
          <w:szCs w:val="32"/>
          <w:lang w:eastAsia="zh-CN"/>
        </w:rPr>
        <w:t>附件1：响应函</w:t>
      </w:r>
      <w:bookmarkEnd w:id="368"/>
      <w:bookmarkEnd w:id="369"/>
      <w:bookmarkEnd w:id="370"/>
      <w:bookmarkEnd w:id="371"/>
      <w:bookmarkEnd w:id="372"/>
    </w:p>
    <w:p w14:paraId="3DB29B9E">
      <w:pPr>
        <w:widowControl w:val="0"/>
        <w:wordWrap/>
        <w:spacing w:before="157" w:beforeLines="50" w:line="560" w:lineRule="exact"/>
        <w:ind w:firstLine="3710" w:firstLineChars="1155"/>
        <w:jc w:val="both"/>
        <w:textAlignment w:val="auto"/>
        <w:outlineLvl w:val="9"/>
        <w:rPr>
          <w:rFonts w:hint="eastAsia" w:ascii="仿宋_GB2312" w:hAnsi="仿宋_GB2312" w:eastAsia="仿宋_GB2312" w:cs="仿宋_GB2312"/>
          <w:b/>
          <w:color w:val="000000"/>
          <w:sz w:val="32"/>
          <w:szCs w:val="32"/>
        </w:rPr>
      </w:pPr>
      <w:bookmarkStart w:id="373" w:name="_Toc24288_WPSOffice_Level2"/>
      <w:bookmarkStart w:id="374" w:name="_Toc22598_WPSOffice_Level2"/>
      <w:r>
        <w:rPr>
          <w:rFonts w:hint="eastAsia" w:ascii="仿宋_GB2312" w:hAnsi="仿宋_GB2312" w:eastAsia="仿宋_GB2312" w:cs="仿宋_GB2312"/>
          <w:b/>
          <w:color w:val="000000"/>
          <w:sz w:val="32"/>
          <w:szCs w:val="32"/>
          <w:lang w:eastAsia="zh-CN"/>
        </w:rPr>
        <w:t>响</w:t>
      </w:r>
      <w:r>
        <w:rPr>
          <w:rFonts w:hint="eastAsia" w:ascii="仿宋_GB2312" w:hAnsi="仿宋_GB2312" w:eastAsia="仿宋_GB2312" w:cs="仿宋_GB2312"/>
          <w:b/>
          <w:color w:val="000000"/>
          <w:sz w:val="32"/>
          <w:szCs w:val="32"/>
          <w:lang w:val="en-US" w:eastAsia="zh-CN"/>
        </w:rPr>
        <w:t xml:space="preserve"> </w:t>
      </w:r>
      <w:r>
        <w:rPr>
          <w:rFonts w:hint="eastAsia" w:ascii="仿宋_GB2312" w:hAnsi="仿宋_GB2312" w:eastAsia="仿宋_GB2312" w:cs="仿宋_GB2312"/>
          <w:b/>
          <w:color w:val="000000"/>
          <w:sz w:val="32"/>
          <w:szCs w:val="32"/>
          <w:lang w:eastAsia="zh-CN"/>
        </w:rPr>
        <w:t>应</w:t>
      </w:r>
      <w:r>
        <w:rPr>
          <w:rFonts w:hint="eastAsia" w:ascii="仿宋_GB2312" w:hAnsi="仿宋_GB2312" w:eastAsia="仿宋_GB2312" w:cs="仿宋_GB2312"/>
          <w:b/>
          <w:color w:val="000000"/>
          <w:sz w:val="32"/>
          <w:szCs w:val="32"/>
          <w:lang w:val="en-US" w:eastAsia="zh-CN"/>
        </w:rPr>
        <w:t xml:space="preserve"> </w:t>
      </w:r>
      <w:r>
        <w:rPr>
          <w:rFonts w:hint="eastAsia" w:ascii="仿宋_GB2312" w:hAnsi="仿宋_GB2312" w:eastAsia="仿宋_GB2312" w:cs="仿宋_GB2312"/>
          <w:b/>
          <w:color w:val="000000"/>
          <w:sz w:val="32"/>
          <w:szCs w:val="32"/>
        </w:rPr>
        <w:t>函</w:t>
      </w:r>
      <w:bookmarkEnd w:id="373"/>
      <w:bookmarkEnd w:id="374"/>
    </w:p>
    <w:p w14:paraId="38154F2F">
      <w:pPr>
        <w:widowControl w:val="0"/>
        <w:wordWrap/>
        <w:adjustRightInd w:val="0"/>
        <w:snapToGrid w:val="0"/>
        <w:spacing w:line="560" w:lineRule="exact"/>
        <w:textAlignment w:val="auto"/>
        <w:outlineLvl w:val="9"/>
        <w:rPr>
          <w:rFonts w:hint="eastAsia" w:ascii="仿宋_GB2312" w:hAnsi="仿宋_GB2312" w:eastAsia="仿宋_GB2312" w:cs="仿宋_GB2312"/>
          <w:b w:val="0"/>
          <w:bCs w:val="0"/>
          <w:color w:val="000000"/>
          <w:sz w:val="32"/>
          <w:szCs w:val="32"/>
        </w:rPr>
      </w:pPr>
      <w:bookmarkStart w:id="375" w:name="_Toc16867_WPSOffice_Level2"/>
      <w:r>
        <w:rPr>
          <w:rFonts w:hint="eastAsia" w:ascii="仿宋_GB2312" w:hAnsi="仿宋_GB2312" w:eastAsia="仿宋_GB2312" w:cs="仿宋_GB2312"/>
          <w:b w:val="0"/>
          <w:bCs w:val="0"/>
          <w:sz w:val="32"/>
          <w:szCs w:val="32"/>
        </w:rPr>
        <w:t>致：</w:t>
      </w:r>
      <w:r>
        <w:rPr>
          <w:rFonts w:hint="eastAsia" w:ascii="仿宋_GB2312" w:hAnsi="仿宋_GB2312" w:eastAsia="仿宋_GB2312" w:cs="仿宋_GB2312"/>
          <w:b w:val="0"/>
          <w:bCs w:val="0"/>
          <w:sz w:val="32"/>
          <w:szCs w:val="32"/>
          <w:u w:val="single"/>
          <w:lang w:eastAsia="zh-CN"/>
        </w:rPr>
        <w:t>（代理机构名称）</w:t>
      </w:r>
      <w:bookmarkEnd w:id="375"/>
    </w:p>
    <w:p w14:paraId="11195089">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我们收到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lang w:val="en-US" w:eastAsia="zh-CN"/>
        </w:rPr>
        <w:t>（项目名称及编号）</w:t>
      </w:r>
      <w:r>
        <w:rPr>
          <w:rFonts w:hint="eastAsia" w:ascii="仿宋_GB2312" w:hAnsi="仿宋_GB2312" w:eastAsia="仿宋_GB2312" w:cs="仿宋_GB2312"/>
          <w:sz w:val="32"/>
          <w:szCs w:val="32"/>
        </w:rPr>
        <w:t xml:space="preserve">谈判文件，经研究，法定代表人（姓名、职务）正式授权（委托代理人姓名、职务）代表供应商（供应商名称、地址）提交谈判响应文件。    </w:t>
      </w:r>
    </w:p>
    <w:p w14:paraId="5D6AA0A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据此函，签字代表宣布同意如下：</w:t>
      </w:r>
    </w:p>
    <w:p w14:paraId="65300AD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1、我方已详阅谈判文件的全部内容，包括澄清、修改条款等有关附件，承诺对其完全理解并接受。</w:t>
      </w:r>
    </w:p>
    <w:p w14:paraId="72D34099">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若在响应文件发出后，</w:t>
      </w:r>
      <w:r>
        <w:rPr>
          <w:rFonts w:hint="eastAsia" w:ascii="仿宋_GB2312" w:hAnsi="仿宋_GB2312" w:eastAsia="仿宋_GB2312" w:cs="仿宋_GB2312"/>
          <w:sz w:val="32"/>
          <w:szCs w:val="32"/>
        </w:rPr>
        <w:t>我方在</w:t>
      </w:r>
      <w:r>
        <w:rPr>
          <w:rFonts w:hint="eastAsia" w:ascii="仿宋_GB2312" w:hAnsi="仿宋_GB2312" w:eastAsia="仿宋_GB2312" w:cs="仿宋_GB2312"/>
          <w:sz w:val="32"/>
          <w:szCs w:val="32"/>
          <w:lang w:eastAsia="zh-CN"/>
        </w:rPr>
        <w:t>响应文件</w:t>
      </w:r>
      <w:r>
        <w:rPr>
          <w:rFonts w:hint="eastAsia" w:ascii="仿宋_GB2312" w:hAnsi="仿宋_GB2312" w:eastAsia="仿宋_GB2312" w:cs="仿宋_GB2312"/>
          <w:sz w:val="32"/>
          <w:szCs w:val="32"/>
        </w:rPr>
        <w:t>有效期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日</w:t>
      </w:r>
      <w:r>
        <w:rPr>
          <w:rFonts w:hint="eastAsia" w:ascii="仿宋_GB2312" w:hAnsi="仿宋_GB2312" w:eastAsia="仿宋_GB2312" w:cs="仿宋_GB2312"/>
          <w:sz w:val="32"/>
          <w:szCs w:val="32"/>
        </w:rPr>
        <w:t>内撤回或成交后不签约的，</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保证金将被贵方没收。</w:t>
      </w:r>
    </w:p>
    <w:p w14:paraId="18E79CE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3、我方同意按照贵方要求提供与</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有关的一切数据或资料，理解并接受贵方制定的评标办法。</w:t>
      </w:r>
    </w:p>
    <w:p w14:paraId="416A0F2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4、与本</w:t>
      </w:r>
      <w:r>
        <w:rPr>
          <w:rFonts w:hint="eastAsia" w:ascii="仿宋_GB2312" w:hAnsi="仿宋_GB2312" w:eastAsia="仿宋_GB2312" w:cs="仿宋_GB2312"/>
          <w:sz w:val="32"/>
          <w:szCs w:val="32"/>
          <w:lang w:eastAsia="zh-CN"/>
        </w:rPr>
        <w:t>次竞争性谈判</w:t>
      </w:r>
      <w:r>
        <w:rPr>
          <w:rFonts w:hint="eastAsia" w:ascii="仿宋_GB2312" w:hAnsi="仿宋_GB2312" w:eastAsia="仿宋_GB2312" w:cs="仿宋_GB2312"/>
          <w:sz w:val="32"/>
          <w:szCs w:val="32"/>
        </w:rPr>
        <w:t>有关的一切正式往来通讯请寄：</w:t>
      </w:r>
    </w:p>
    <w:p w14:paraId="2D56997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地址：_______________   邮编：______________</w:t>
      </w:r>
    </w:p>
    <w:p w14:paraId="05FB9CE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电话：_______________   传真：______________</w:t>
      </w:r>
    </w:p>
    <w:p w14:paraId="6FE42298">
      <w:pPr>
        <w:widowControl w:val="0"/>
        <w:wordWrap/>
        <w:adjustRightInd w:val="0"/>
        <w:snapToGrid w:val="0"/>
        <w:spacing w:line="560" w:lineRule="exact"/>
        <w:ind w:firstLine="640" w:firstLineChars="200"/>
        <w:textAlignment w:val="auto"/>
        <w:outlineLvl w:val="9"/>
        <w:rPr>
          <w:rFonts w:hint="eastAsia" w:ascii="仿宋_GB2312" w:hAnsi="宋体" w:eastAsia="仿宋_GB2312"/>
          <w:color w:val="000000"/>
          <w:sz w:val="28"/>
          <w:szCs w:val="28"/>
        </w:rPr>
      </w:pPr>
      <w:r>
        <w:rPr>
          <w:rFonts w:hint="eastAsia" w:ascii="仿宋_GB2312" w:hAnsi="仿宋_GB2312" w:eastAsia="仿宋_GB2312" w:cs="仿宋_GB2312"/>
          <w:sz w:val="32"/>
          <w:szCs w:val="32"/>
        </w:rPr>
        <w:t>法定代表人姓名： ___________ 职务：_________</w:t>
      </w:r>
    </w:p>
    <w:p w14:paraId="77EB0E6F">
      <w:pPr>
        <w:wordWrap/>
        <w:spacing w:before="157" w:beforeLines="50" w:line="560" w:lineRule="exact"/>
        <w:ind w:firstLine="560" w:firstLineChars="200"/>
        <w:jc w:val="center"/>
        <w:outlineLvl w:val="9"/>
        <w:rPr>
          <w:rFonts w:hint="eastAsia" w:ascii="仿宋_GB2312" w:hAnsi="仿宋_GB2312" w:eastAsia="仿宋_GB2312" w:cs="仿宋_GB2312"/>
          <w:b w:val="0"/>
          <w:bCs/>
          <w:color w:val="000000"/>
          <w:sz w:val="32"/>
          <w:szCs w:val="32"/>
        </w:rPr>
      </w:pPr>
      <w:r>
        <w:rPr>
          <w:rFonts w:hint="eastAsia" w:ascii="仿宋_GB2312" w:hAnsi="宋体" w:eastAsia="仿宋_GB2312"/>
          <w:color w:val="000000"/>
          <w:sz w:val="28"/>
          <w:szCs w:val="28"/>
        </w:rPr>
        <w:t xml:space="preserve">         </w:t>
      </w:r>
      <w:r>
        <w:rPr>
          <w:rFonts w:hint="eastAsia" w:ascii="宋体" w:hAnsi="宋体" w:eastAsia="宋体"/>
          <w:b/>
          <w:color w:val="000000"/>
          <w:sz w:val="24"/>
        </w:rPr>
        <w:t xml:space="preserve">  </w:t>
      </w:r>
      <w:r>
        <w:rPr>
          <w:rFonts w:hint="eastAsia" w:ascii="仿宋_GB2312" w:hAnsi="仿宋_GB2312" w:eastAsia="仿宋_GB2312" w:cs="仿宋_GB2312"/>
          <w:b w:val="0"/>
          <w:bCs/>
          <w:color w:val="000000"/>
          <w:sz w:val="32"/>
          <w:szCs w:val="32"/>
        </w:rPr>
        <w:t xml:space="preserve">  </w:t>
      </w:r>
      <w:bookmarkStart w:id="376" w:name="_Toc1506_WPSOffice_Level3"/>
      <w:r>
        <w:rPr>
          <w:rFonts w:hint="eastAsia" w:ascii="仿宋_GB2312" w:hAnsi="仿宋_GB2312" w:eastAsia="仿宋_GB2312" w:cs="仿宋_GB2312"/>
          <w:b w:val="0"/>
          <w:bCs/>
          <w:color w:val="000000"/>
          <w:sz w:val="32"/>
          <w:szCs w:val="32"/>
          <w:lang w:val="en-US" w:eastAsia="zh-CN"/>
        </w:rPr>
        <w:t xml:space="preserve">               </w:t>
      </w:r>
      <w:bookmarkStart w:id="377" w:name="_Toc28112_WPSOffice_Level3"/>
      <w:r>
        <w:rPr>
          <w:rFonts w:hint="eastAsia" w:ascii="仿宋_GB2312" w:hAnsi="仿宋_GB2312" w:eastAsia="仿宋_GB2312" w:cs="仿宋_GB2312"/>
          <w:b w:val="0"/>
          <w:bCs/>
          <w:color w:val="000000"/>
          <w:sz w:val="32"/>
          <w:szCs w:val="32"/>
          <w:lang w:eastAsia="zh-CN"/>
        </w:rPr>
        <w:t>单</w:t>
      </w:r>
      <w:r>
        <w:rPr>
          <w:rFonts w:hint="eastAsia" w:ascii="仿宋_GB2312" w:hAnsi="仿宋_GB2312" w:eastAsia="仿宋_GB2312" w:cs="仿宋_GB2312"/>
          <w:b w:val="0"/>
          <w:bCs/>
          <w:color w:val="000000"/>
          <w:sz w:val="32"/>
          <w:szCs w:val="32"/>
        </w:rPr>
        <w:t>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bookmarkEnd w:id="376"/>
      <w:bookmarkEnd w:id="377"/>
    </w:p>
    <w:p w14:paraId="7533653E">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378" w:name="_Toc6385_WPSOffice_Level3"/>
      <w:bookmarkStart w:id="379" w:name="_Toc28651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378"/>
      <w:bookmarkEnd w:id="379"/>
    </w:p>
    <w:p w14:paraId="495BC67B">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 xml:space="preserve">   </w:t>
      </w:r>
      <w:bookmarkStart w:id="380" w:name="_Toc13325_WPSOffice_Level3"/>
      <w:bookmarkStart w:id="381" w:name="_Toc130_WPSOffice_Level3"/>
      <w:r>
        <w:rPr>
          <w:rFonts w:hint="eastAsia" w:ascii="仿宋_GB2312" w:hAnsi="仿宋_GB2312" w:eastAsia="仿宋_GB2312" w:cs="仿宋_GB2312"/>
          <w:b w:val="0"/>
          <w:bCs/>
          <w:color w:val="000000"/>
          <w:sz w:val="32"/>
          <w:szCs w:val="32"/>
        </w:rPr>
        <w:t>年   月  日</w:t>
      </w:r>
      <w:bookmarkEnd w:id="380"/>
      <w:bookmarkEnd w:id="381"/>
    </w:p>
    <w:p w14:paraId="2E7FDAAA">
      <w:pPr>
        <w:widowControl/>
        <w:wordWrap/>
        <w:snapToGrid w:val="0"/>
        <w:spacing w:before="157" w:beforeLines="50" w:line="560" w:lineRule="exact"/>
        <w:outlineLvl w:val="9"/>
        <w:rPr>
          <w:rFonts w:hint="eastAsia" w:ascii="宋体" w:eastAsia="宋体"/>
          <w:b/>
          <w:color w:val="000000"/>
          <w:sz w:val="28"/>
          <w:szCs w:val="28"/>
        </w:rPr>
      </w:pPr>
    </w:p>
    <w:p w14:paraId="55ED1DC5">
      <w:pPr>
        <w:widowControl/>
        <w:wordWrap/>
        <w:snapToGrid w:val="0"/>
        <w:spacing w:before="157" w:beforeLines="50" w:line="560" w:lineRule="exact"/>
        <w:outlineLvl w:val="9"/>
        <w:rPr>
          <w:rFonts w:hint="eastAsia" w:ascii="宋体" w:eastAsia="宋体"/>
          <w:b/>
          <w:color w:val="000000"/>
          <w:sz w:val="28"/>
          <w:szCs w:val="28"/>
        </w:rPr>
      </w:pPr>
    </w:p>
    <w:p w14:paraId="5A2FB413">
      <w:pPr>
        <w:widowControl/>
        <w:wordWrap/>
        <w:snapToGrid w:val="0"/>
        <w:spacing w:before="157" w:beforeLines="50" w:line="560" w:lineRule="exact"/>
        <w:outlineLvl w:val="9"/>
        <w:rPr>
          <w:rFonts w:hint="eastAsia" w:ascii="宋体" w:eastAsia="宋体"/>
          <w:b/>
          <w:color w:val="000000"/>
          <w:sz w:val="28"/>
          <w:szCs w:val="28"/>
        </w:rPr>
      </w:pPr>
    </w:p>
    <w:p w14:paraId="19B68BF0">
      <w:pPr>
        <w:widowControl/>
        <w:wordWrap/>
        <w:snapToGrid w:val="0"/>
        <w:spacing w:before="157" w:beforeLines="50" w:line="560" w:lineRule="exact"/>
        <w:jc w:val="left"/>
        <w:outlineLvl w:val="2"/>
        <w:rPr>
          <w:rFonts w:hint="eastAsia" w:ascii="宋体" w:hAnsi="宋体" w:eastAsia="宋体"/>
          <w:b/>
          <w:bCs/>
          <w:color w:val="000000"/>
          <w:sz w:val="36"/>
          <w:szCs w:val="36"/>
        </w:rPr>
      </w:pPr>
      <w:bookmarkStart w:id="382" w:name="_Toc20882_WPSOffice_Level3"/>
      <w:bookmarkStart w:id="383" w:name="_Toc17887_WPSOffice_Level2"/>
      <w:bookmarkStart w:id="384" w:name="_Toc12487"/>
      <w:bookmarkStart w:id="385" w:name="_Toc20337"/>
      <w:bookmarkStart w:id="386" w:name="_Toc16050"/>
      <w:bookmarkStart w:id="387" w:name="_Toc26257_WPSOffice_Level2"/>
      <w:bookmarkStart w:id="388" w:name="_Toc3082"/>
      <w:r>
        <w:rPr>
          <w:rFonts w:hint="eastAsia" w:ascii="楷体_GB2312" w:hAnsi="楷体_GB2312" w:eastAsia="楷体_GB2312" w:cs="楷体_GB2312"/>
          <w:b/>
          <w:color w:val="000000"/>
          <w:sz w:val="32"/>
          <w:szCs w:val="32"/>
          <w:lang w:eastAsia="zh-CN"/>
        </w:rPr>
        <w:t>附件2：法定代表人证明书</w:t>
      </w:r>
      <w:bookmarkEnd w:id="382"/>
      <w:bookmarkEnd w:id="383"/>
      <w:bookmarkEnd w:id="384"/>
      <w:bookmarkEnd w:id="385"/>
      <w:bookmarkEnd w:id="386"/>
      <w:bookmarkEnd w:id="387"/>
      <w:bookmarkEnd w:id="388"/>
    </w:p>
    <w:p w14:paraId="5799C6A1">
      <w:pPr>
        <w:widowControl w:val="0"/>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000000"/>
          <w:sz w:val="32"/>
          <w:szCs w:val="32"/>
          <w:lang w:eastAsia="zh-CN"/>
        </w:rPr>
      </w:pPr>
      <w:bookmarkStart w:id="389" w:name="_Toc28170_WPSOffice_Level2"/>
      <w:bookmarkStart w:id="390" w:name="_Toc32036_WPSOffice_Level1"/>
      <w:bookmarkStart w:id="391" w:name="_Toc14917_WPSOffice_Level1"/>
      <w:bookmarkStart w:id="392" w:name="_Toc6898_WPSOffice_Level2"/>
      <w:r>
        <w:rPr>
          <w:rFonts w:hint="eastAsia" w:ascii="仿宋_GB2312" w:hAnsi="仿宋_GB2312" w:eastAsia="仿宋_GB2312" w:cs="仿宋_GB2312"/>
          <w:b/>
          <w:color w:val="000000"/>
          <w:sz w:val="32"/>
          <w:szCs w:val="32"/>
          <w:lang w:eastAsia="zh-CN"/>
        </w:rPr>
        <w:t>法定代表人证明书</w:t>
      </w:r>
      <w:bookmarkEnd w:id="389"/>
      <w:bookmarkEnd w:id="390"/>
      <w:bookmarkEnd w:id="391"/>
      <w:bookmarkEnd w:id="392"/>
    </w:p>
    <w:p w14:paraId="2FF3EC17">
      <w:pPr>
        <w:wordWrap/>
        <w:spacing w:before="157" w:beforeLines="50" w:line="560" w:lineRule="exact"/>
        <w:outlineLvl w:val="9"/>
        <w:rPr>
          <w:rFonts w:hint="eastAsia" w:ascii="仿宋_GB2312" w:hAnsi="仿宋_GB2312" w:eastAsia="仿宋_GB2312" w:cs="仿宋_GB2312"/>
          <w:b w:val="0"/>
          <w:bCs w:val="0"/>
          <w:color w:val="000000"/>
          <w:kern w:val="0"/>
          <w:sz w:val="32"/>
          <w:szCs w:val="32"/>
        </w:rPr>
      </w:pPr>
      <w:r>
        <w:rPr>
          <w:rFonts w:hint="eastAsia" w:ascii="仿宋_GB2312" w:hAnsi="仿宋_GB2312" w:eastAsia="仿宋_GB2312" w:cs="仿宋_GB2312"/>
          <w:b w:val="0"/>
          <w:bCs w:val="0"/>
          <w:color w:val="000000"/>
          <w:sz w:val="32"/>
          <w:szCs w:val="32"/>
        </w:rPr>
        <w:t>致：</w:t>
      </w:r>
      <w:r>
        <w:rPr>
          <w:rFonts w:hint="eastAsia" w:ascii="仿宋_GB2312" w:hAnsi="仿宋_GB2312" w:eastAsia="仿宋_GB2312" w:cs="仿宋_GB2312"/>
          <w:b w:val="0"/>
          <w:bCs w:val="0"/>
          <w:color w:val="000000"/>
          <w:sz w:val="32"/>
          <w:szCs w:val="32"/>
          <w:u w:val="single"/>
          <w:lang w:eastAsia="zh-CN"/>
        </w:rPr>
        <w:t>（代理机构名称）</w:t>
      </w:r>
    </w:p>
    <w:p w14:paraId="4DA02F29">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000000"/>
          <w:sz w:val="32"/>
          <w:szCs w:val="32"/>
          <w:u w:val="single"/>
        </w:rPr>
      </w:pPr>
      <w:r>
        <w:rPr>
          <w:rFonts w:hint="eastAsia" w:ascii="仿宋_GB2312" w:hAnsi="仿宋_GB2312" w:eastAsia="仿宋_GB2312" w:cs="仿宋_GB2312"/>
          <w:b w:val="0"/>
          <w:bCs w:val="0"/>
          <w:color w:val="000000"/>
          <w:sz w:val="32"/>
          <w:szCs w:val="32"/>
          <w:u w:val="single"/>
        </w:rPr>
        <w:t xml:space="preserve">  （法定代表人姓名）  </w:t>
      </w:r>
      <w:r>
        <w:rPr>
          <w:rFonts w:hint="eastAsia" w:ascii="仿宋_GB2312" w:hAnsi="仿宋_GB2312" w:eastAsia="仿宋_GB2312" w:cs="仿宋_GB2312"/>
          <w:b w:val="0"/>
          <w:bCs w:val="0"/>
          <w:color w:val="000000"/>
          <w:sz w:val="32"/>
          <w:szCs w:val="32"/>
        </w:rPr>
        <w:t>现任我单位</w:t>
      </w:r>
      <w:r>
        <w:rPr>
          <w:rFonts w:hint="eastAsia" w:ascii="仿宋_GB2312" w:hAnsi="仿宋_GB2312" w:eastAsia="仿宋_GB2312" w:cs="仿宋_GB2312"/>
          <w:b w:val="0"/>
          <w:bCs w:val="0"/>
          <w:color w:val="000000"/>
          <w:sz w:val="32"/>
          <w:szCs w:val="32"/>
          <w:u w:val="single"/>
        </w:rPr>
        <w:t xml:space="preserve">              </w:t>
      </w:r>
      <w:r>
        <w:rPr>
          <w:rFonts w:hint="eastAsia" w:ascii="仿宋_GB2312" w:hAnsi="仿宋_GB2312" w:eastAsia="仿宋_GB2312" w:cs="仿宋_GB2312"/>
          <w:b w:val="0"/>
          <w:bCs w:val="0"/>
          <w:color w:val="000000"/>
          <w:sz w:val="32"/>
          <w:szCs w:val="32"/>
        </w:rPr>
        <w:t>职务，为法定代表人，特此证明。</w:t>
      </w:r>
    </w:p>
    <w:p w14:paraId="49691ABE">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法定代表人基本情况：</w:t>
      </w:r>
    </w:p>
    <w:p w14:paraId="5B394410">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000000"/>
          <w:sz w:val="32"/>
          <w:szCs w:val="32"/>
          <w:u w:val="single"/>
        </w:rPr>
      </w:pPr>
      <w:r>
        <w:rPr>
          <w:rFonts w:hint="eastAsia" w:ascii="仿宋_GB2312" w:hAnsi="仿宋_GB2312" w:eastAsia="仿宋_GB2312" w:cs="仿宋_GB2312"/>
          <w:b w:val="0"/>
          <w:bCs w:val="0"/>
          <w:color w:val="000000"/>
          <w:sz w:val="32"/>
          <w:szCs w:val="32"/>
        </w:rPr>
        <w:t>性别：</w:t>
      </w:r>
      <w:r>
        <w:rPr>
          <w:rFonts w:hint="eastAsia" w:ascii="仿宋_GB2312" w:hAnsi="仿宋_GB2312" w:eastAsia="仿宋_GB2312" w:cs="仿宋_GB2312"/>
          <w:b w:val="0"/>
          <w:bCs w:val="0"/>
          <w:color w:val="000000"/>
          <w:sz w:val="32"/>
          <w:szCs w:val="32"/>
          <w:u w:val="single"/>
        </w:rPr>
        <w:t xml:space="preserve">      </w:t>
      </w:r>
      <w:r>
        <w:rPr>
          <w:rFonts w:hint="eastAsia" w:ascii="仿宋_GB2312" w:hAnsi="仿宋_GB2312" w:eastAsia="仿宋_GB2312" w:cs="仿宋_GB2312"/>
          <w:b w:val="0"/>
          <w:bCs w:val="0"/>
          <w:color w:val="000000"/>
          <w:sz w:val="32"/>
          <w:szCs w:val="32"/>
        </w:rPr>
        <w:t>年龄：</w:t>
      </w:r>
      <w:r>
        <w:rPr>
          <w:rFonts w:hint="eastAsia" w:ascii="仿宋_GB2312" w:hAnsi="仿宋_GB2312" w:eastAsia="仿宋_GB2312" w:cs="仿宋_GB2312"/>
          <w:b w:val="0"/>
          <w:bCs w:val="0"/>
          <w:color w:val="000000"/>
          <w:sz w:val="32"/>
          <w:szCs w:val="32"/>
          <w:u w:val="single"/>
        </w:rPr>
        <w:t xml:space="preserve">       </w:t>
      </w:r>
      <w:r>
        <w:rPr>
          <w:rFonts w:hint="eastAsia" w:ascii="仿宋_GB2312" w:hAnsi="仿宋_GB2312" w:eastAsia="仿宋_GB2312" w:cs="仿宋_GB2312"/>
          <w:b w:val="0"/>
          <w:bCs w:val="0"/>
          <w:color w:val="000000"/>
          <w:sz w:val="32"/>
          <w:szCs w:val="32"/>
        </w:rPr>
        <w:t>民族：</w:t>
      </w:r>
      <w:r>
        <w:rPr>
          <w:rFonts w:hint="eastAsia" w:ascii="仿宋_GB2312" w:hAnsi="仿宋_GB2312" w:eastAsia="仿宋_GB2312" w:cs="仿宋_GB2312"/>
          <w:b w:val="0"/>
          <w:bCs w:val="0"/>
          <w:color w:val="000000"/>
          <w:sz w:val="32"/>
          <w:szCs w:val="32"/>
          <w:u w:val="single"/>
        </w:rPr>
        <w:t xml:space="preserve">     </w:t>
      </w:r>
    </w:p>
    <w:p w14:paraId="2A852057">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000000"/>
          <w:sz w:val="32"/>
          <w:szCs w:val="32"/>
          <w:u w:val="single"/>
        </w:rPr>
      </w:pPr>
      <w:r>
        <w:rPr>
          <w:rFonts w:hint="eastAsia" w:ascii="仿宋_GB2312" w:hAnsi="仿宋_GB2312" w:eastAsia="仿宋_GB2312" w:cs="仿宋_GB2312"/>
          <w:b w:val="0"/>
          <w:bCs w:val="0"/>
          <w:color w:val="000000"/>
          <w:sz w:val="32"/>
          <w:szCs w:val="32"/>
        </w:rPr>
        <w:t>地址：</w:t>
      </w:r>
      <w:r>
        <w:rPr>
          <w:rFonts w:hint="eastAsia" w:ascii="仿宋_GB2312" w:hAnsi="仿宋_GB2312" w:eastAsia="仿宋_GB2312" w:cs="仿宋_GB2312"/>
          <w:b w:val="0"/>
          <w:bCs w:val="0"/>
          <w:color w:val="000000"/>
          <w:sz w:val="32"/>
          <w:szCs w:val="32"/>
          <w:u w:val="single"/>
        </w:rPr>
        <w:t xml:space="preserve">                             </w:t>
      </w:r>
    </w:p>
    <w:p w14:paraId="576D2D5F">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身份证号码：</w:t>
      </w:r>
      <w:r>
        <w:rPr>
          <w:rFonts w:hint="eastAsia" w:ascii="仿宋_GB2312" w:hAnsi="仿宋_GB2312" w:eastAsia="仿宋_GB2312" w:cs="仿宋_GB2312"/>
          <w:b w:val="0"/>
          <w:bCs w:val="0"/>
          <w:color w:val="000000"/>
          <w:sz w:val="32"/>
          <w:szCs w:val="32"/>
          <w:u w:val="single"/>
        </w:rPr>
        <w:t xml:space="preserve">                       </w:t>
      </w:r>
    </w:p>
    <w:p w14:paraId="2363BEEB">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000000"/>
          <w:sz w:val="32"/>
          <w:szCs w:val="32"/>
          <w:lang w:eastAsia="zh-CN"/>
        </w:rPr>
      </w:pPr>
      <w:r>
        <w:rPr>
          <w:rFonts w:hint="eastAsia" w:ascii="仿宋_GB2312" w:hAnsi="仿宋_GB2312" w:eastAsia="仿宋_GB2312" w:cs="仿宋_GB2312"/>
          <w:b w:val="0"/>
          <w:bCs w:val="0"/>
          <w:color w:val="000000"/>
          <w:sz w:val="32"/>
          <w:szCs w:val="32"/>
        </w:rPr>
        <w:t>附法定代表人第二代身份证双面扫描</w:t>
      </w:r>
      <w:r>
        <w:rPr>
          <w:rFonts w:hint="eastAsia" w:ascii="仿宋_GB2312" w:hAnsi="仿宋_GB2312" w:eastAsia="仿宋_GB2312" w:cs="仿宋_GB2312"/>
          <w:b w:val="0"/>
          <w:bCs w:val="0"/>
          <w:color w:val="000000"/>
          <w:sz w:val="32"/>
          <w:szCs w:val="32"/>
          <w:lang w:eastAsia="zh-CN"/>
        </w:rPr>
        <w:t>或其他身份证明材料</w:t>
      </w:r>
      <w:r>
        <w:rPr>
          <w:rFonts w:hint="eastAsia" w:ascii="仿宋_GB2312" w:hAnsi="仿宋_GB2312" w:eastAsia="仿宋_GB2312" w:cs="仿宋_GB2312"/>
          <w:b w:val="0"/>
          <w:bCs w:val="0"/>
          <w:color w:val="000000"/>
          <w:sz w:val="32"/>
          <w:szCs w:val="32"/>
        </w:rPr>
        <w:t>（复印件</w:t>
      </w:r>
      <w:r>
        <w:rPr>
          <w:rFonts w:hint="eastAsia" w:ascii="仿宋_GB2312" w:hAnsi="仿宋_GB2312" w:eastAsia="仿宋_GB2312" w:cs="仿宋_GB2312"/>
          <w:sz w:val="32"/>
          <w:szCs w:val="32"/>
          <w:lang w:eastAsia="zh-CN"/>
        </w:rPr>
        <w:t>）</w:t>
      </w:r>
    </w:p>
    <w:p w14:paraId="2425CE69">
      <w:pPr>
        <w:wordWrap/>
        <w:autoSpaceDE w:val="0"/>
        <w:autoSpaceDN w:val="0"/>
        <w:adjustRightInd w:val="0"/>
        <w:spacing w:before="157" w:beforeLines="50" w:line="560" w:lineRule="exact"/>
        <w:ind w:firstLine="480" w:firstLineChars="200"/>
        <w:jc w:val="left"/>
        <w:outlineLvl w:val="9"/>
        <w:rPr>
          <w:rFonts w:hint="eastAsia" w:ascii="宋体" w:hAnsi="宋体" w:eastAsia="宋体" w:cs="宋体"/>
          <w:color w:val="000000"/>
          <w:kern w:val="0"/>
          <w:sz w:val="24"/>
        </w:rPr>
      </w:pPr>
    </w:p>
    <w:p w14:paraId="70F159D8">
      <w:pPr>
        <w:wordWrap/>
        <w:autoSpaceDE w:val="0"/>
        <w:autoSpaceDN w:val="0"/>
        <w:adjustRightInd w:val="0"/>
        <w:spacing w:before="157" w:beforeLines="50" w:line="560" w:lineRule="exact"/>
        <w:jc w:val="right"/>
        <w:outlineLvl w:val="9"/>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单位</w:t>
      </w:r>
      <w:r>
        <w:rPr>
          <w:rFonts w:hint="eastAsia" w:ascii="仿宋_GB2312" w:hAnsi="仿宋_GB2312" w:eastAsia="仿宋_GB2312" w:cs="仿宋_GB2312"/>
          <w:b w:val="0"/>
          <w:bCs w:val="0"/>
          <w:color w:val="000000"/>
          <w:sz w:val="32"/>
          <w:szCs w:val="32"/>
          <w:lang w:eastAsia="zh-CN"/>
        </w:rPr>
        <w:t>名称</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u w:val="single"/>
        </w:rPr>
        <w:t xml:space="preserve">       </w:t>
      </w:r>
      <w:r>
        <w:rPr>
          <w:rFonts w:hint="eastAsia" w:ascii="仿宋_GB2312" w:hAnsi="仿宋_GB2312" w:eastAsia="仿宋_GB2312" w:cs="仿宋_GB2312"/>
          <w:b w:val="0"/>
          <w:bCs w:val="0"/>
          <w:color w:val="000000"/>
          <w:sz w:val="32"/>
          <w:szCs w:val="32"/>
        </w:rPr>
        <w:t>（公章）</w:t>
      </w:r>
    </w:p>
    <w:p w14:paraId="468A51F0">
      <w:pPr>
        <w:widowControl w:val="0"/>
        <w:wordWrap/>
        <w:adjustRightInd/>
        <w:snapToGrid/>
        <w:spacing w:before="157" w:beforeLines="50" w:line="560" w:lineRule="exact"/>
        <w:ind w:firstLine="48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宋体" w:hAnsi="宋体" w:eastAsia="宋体"/>
          <w:color w:val="000000"/>
          <w:sz w:val="24"/>
        </w:rPr>
        <w:t xml:space="preserve">         </w:t>
      </w:r>
      <w:r>
        <w:rPr>
          <w:rFonts w:hint="eastAsia" w:ascii="仿宋_GB2312" w:hAnsi="仿宋_GB2312" w:eastAsia="仿宋_GB2312" w:cs="仿宋_GB2312"/>
          <w:b w:val="0"/>
          <w:bCs/>
          <w:color w:val="000000"/>
          <w:sz w:val="32"/>
          <w:szCs w:val="32"/>
        </w:rPr>
        <w:t xml:space="preserve">   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p>
    <w:p w14:paraId="681FCE9D">
      <w:pPr>
        <w:wordWrap/>
        <w:autoSpaceDE w:val="0"/>
        <w:autoSpaceDN w:val="0"/>
        <w:adjustRightInd w:val="0"/>
        <w:spacing w:before="157" w:beforeLines="50" w:line="560" w:lineRule="exact"/>
        <w:jc w:val="center"/>
        <w:outlineLvl w:val="9"/>
        <w:rPr>
          <w:rFonts w:hint="eastAsia" w:ascii="仿宋_GB2312" w:hAnsi="仿宋_GB2312" w:eastAsia="仿宋_GB2312" w:cs="仿宋_GB2312"/>
          <w:b w:val="0"/>
          <w:bCs w:val="0"/>
          <w:color w:val="000000"/>
          <w:sz w:val="32"/>
          <w:szCs w:val="32"/>
        </w:rPr>
      </w:pPr>
      <w:bookmarkStart w:id="393" w:name="_Toc10597_WPSOffice_Level3"/>
      <w:r>
        <w:rPr>
          <w:rFonts w:hint="eastAsia" w:ascii="仿宋_GB2312" w:hAnsi="仿宋_GB2312" w:eastAsia="仿宋_GB2312" w:cs="仿宋_GB2312"/>
          <w:b w:val="0"/>
          <w:bCs w:val="0"/>
          <w:color w:val="000000"/>
          <w:sz w:val="32"/>
          <w:szCs w:val="32"/>
          <w:lang w:val="en-US" w:eastAsia="zh-CN"/>
        </w:rPr>
        <w:t xml:space="preserve">                                       </w:t>
      </w:r>
      <w:bookmarkStart w:id="394" w:name="_Toc16117_WPSOffice_Level3"/>
      <w:r>
        <w:rPr>
          <w:rFonts w:hint="eastAsia" w:ascii="仿宋_GB2312" w:hAnsi="仿宋_GB2312" w:eastAsia="仿宋_GB2312" w:cs="仿宋_GB2312"/>
          <w:b w:val="0"/>
          <w:bCs w:val="0"/>
          <w:color w:val="000000"/>
          <w:sz w:val="32"/>
          <w:szCs w:val="32"/>
        </w:rPr>
        <w:t>年   月   日</w:t>
      </w:r>
      <w:bookmarkEnd w:id="393"/>
      <w:bookmarkEnd w:id="394"/>
    </w:p>
    <w:p w14:paraId="40874885">
      <w:pPr>
        <w:wordWrap/>
        <w:spacing w:before="157" w:beforeLines="50" w:line="560" w:lineRule="exact"/>
        <w:ind w:right="480"/>
        <w:jc w:val="right"/>
        <w:outlineLvl w:val="9"/>
        <w:rPr>
          <w:rFonts w:hint="eastAsia" w:ascii="宋体" w:eastAsia="宋体"/>
          <w:b/>
          <w:color w:val="000000"/>
          <w:sz w:val="36"/>
          <w:szCs w:val="36"/>
        </w:rPr>
      </w:pPr>
    </w:p>
    <w:p w14:paraId="2527D89E">
      <w:pPr>
        <w:wordWrap/>
        <w:spacing w:before="157" w:beforeLines="50" w:line="560" w:lineRule="exact"/>
        <w:jc w:val="right"/>
        <w:rPr>
          <w:rFonts w:hint="eastAsia" w:ascii="宋体" w:eastAsia="宋体"/>
          <w:b/>
          <w:color w:val="000000"/>
          <w:sz w:val="36"/>
          <w:szCs w:val="36"/>
        </w:rPr>
      </w:pPr>
    </w:p>
    <w:p w14:paraId="5D763A56">
      <w:pPr>
        <w:wordWrap/>
        <w:spacing w:before="157" w:beforeLines="50" w:line="560" w:lineRule="exact"/>
        <w:jc w:val="right"/>
        <w:rPr>
          <w:rFonts w:hint="eastAsia" w:ascii="宋体" w:eastAsia="宋体"/>
          <w:b/>
          <w:color w:val="000000"/>
          <w:sz w:val="36"/>
          <w:szCs w:val="36"/>
        </w:rPr>
      </w:pPr>
    </w:p>
    <w:p w14:paraId="2EFD3B85">
      <w:pPr>
        <w:wordWrap/>
        <w:spacing w:before="157" w:beforeLines="50" w:line="560" w:lineRule="exact"/>
        <w:jc w:val="right"/>
        <w:rPr>
          <w:rFonts w:hint="eastAsia" w:ascii="宋体" w:eastAsia="宋体"/>
          <w:b/>
          <w:color w:val="000000"/>
          <w:sz w:val="36"/>
          <w:szCs w:val="36"/>
        </w:rPr>
      </w:pPr>
    </w:p>
    <w:p w14:paraId="369307ED">
      <w:pPr>
        <w:wordWrap/>
        <w:spacing w:before="157" w:beforeLines="50" w:line="560" w:lineRule="exact"/>
        <w:jc w:val="right"/>
        <w:rPr>
          <w:rFonts w:hint="eastAsia" w:ascii="宋体" w:eastAsia="宋体"/>
          <w:b/>
          <w:color w:val="000000"/>
          <w:sz w:val="36"/>
          <w:szCs w:val="36"/>
        </w:rPr>
      </w:pPr>
    </w:p>
    <w:p w14:paraId="4A9D7184">
      <w:pPr>
        <w:wordWrap/>
        <w:spacing w:before="157" w:beforeLines="50" w:line="560" w:lineRule="exact"/>
        <w:rPr>
          <w:rFonts w:hint="eastAsia" w:ascii="宋体" w:eastAsia="宋体"/>
          <w:b/>
          <w:color w:val="000000"/>
          <w:sz w:val="36"/>
          <w:szCs w:val="36"/>
        </w:rPr>
      </w:pPr>
    </w:p>
    <w:p w14:paraId="458A1AAC">
      <w:pPr>
        <w:widowControl/>
        <w:wordWrap/>
        <w:snapToGrid w:val="0"/>
        <w:spacing w:before="157" w:beforeLines="50" w:line="560" w:lineRule="exact"/>
        <w:jc w:val="left"/>
        <w:outlineLvl w:val="2"/>
        <w:rPr>
          <w:rFonts w:hint="eastAsia" w:ascii="宋体" w:hAnsi="宋体" w:eastAsia="宋体"/>
          <w:b/>
          <w:color w:val="000000"/>
          <w:sz w:val="36"/>
          <w:szCs w:val="36"/>
        </w:rPr>
      </w:pPr>
      <w:bookmarkStart w:id="395" w:name="_Toc18183"/>
      <w:bookmarkStart w:id="396" w:name="_Toc21545_WPSOffice_Level3"/>
      <w:bookmarkStart w:id="397" w:name="_Toc31901"/>
      <w:bookmarkStart w:id="398" w:name="_Toc23035_WPSOffice_Level2"/>
      <w:bookmarkStart w:id="399" w:name="_Toc5445"/>
      <w:bookmarkStart w:id="400" w:name="_Toc27782"/>
      <w:r>
        <w:rPr>
          <w:rFonts w:hint="eastAsia" w:ascii="楷体_GB2312" w:hAnsi="楷体_GB2312" w:eastAsia="楷体_GB2312" w:cs="楷体_GB2312"/>
          <w:b/>
          <w:color w:val="000000"/>
          <w:sz w:val="32"/>
          <w:szCs w:val="32"/>
          <w:lang w:eastAsia="zh-CN"/>
        </w:rPr>
        <w:t>附件3：法定代表人授权书</w:t>
      </w:r>
      <w:bookmarkEnd w:id="395"/>
      <w:bookmarkEnd w:id="396"/>
      <w:bookmarkEnd w:id="397"/>
      <w:bookmarkEnd w:id="398"/>
      <w:bookmarkEnd w:id="399"/>
      <w:bookmarkEnd w:id="400"/>
    </w:p>
    <w:p w14:paraId="37B41C4E">
      <w:pPr>
        <w:widowControl w:val="0"/>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000000"/>
          <w:sz w:val="32"/>
          <w:szCs w:val="32"/>
          <w:lang w:eastAsia="zh-CN"/>
        </w:rPr>
      </w:pPr>
      <w:bookmarkStart w:id="401" w:name="_Toc1148_WPSOffice_Level3"/>
      <w:bookmarkStart w:id="402" w:name="_Toc5048_WPSOffice_Level2"/>
      <w:bookmarkStart w:id="403" w:name="_Toc26434_WPSOffice_Level2"/>
      <w:r>
        <w:rPr>
          <w:rFonts w:hint="eastAsia" w:ascii="仿宋_GB2312" w:hAnsi="仿宋_GB2312" w:eastAsia="仿宋_GB2312" w:cs="仿宋_GB2312"/>
          <w:b/>
          <w:color w:val="000000"/>
          <w:sz w:val="32"/>
          <w:szCs w:val="32"/>
          <w:lang w:eastAsia="zh-CN"/>
        </w:rPr>
        <w:t>法定代表人授权书</w:t>
      </w:r>
      <w:bookmarkEnd w:id="401"/>
      <w:bookmarkEnd w:id="402"/>
      <w:bookmarkEnd w:id="403"/>
    </w:p>
    <w:p w14:paraId="5F115196">
      <w:pPr>
        <w:widowControl w:val="0"/>
        <w:wordWrap/>
        <w:adjustRightInd/>
        <w:snapToGrid/>
        <w:spacing w:line="560" w:lineRule="exact"/>
        <w:ind w:firstLine="263" w:firstLineChars="82"/>
        <w:textAlignment w:val="auto"/>
        <w:outlineLvl w:val="9"/>
        <w:rPr>
          <w:rFonts w:hint="eastAsia" w:ascii="仿宋_GB2312" w:hAnsi="仿宋_GB2312" w:eastAsia="仿宋_GB2312" w:cs="仿宋_GB2312"/>
          <w:color w:val="000000"/>
          <w:sz w:val="32"/>
          <w:szCs w:val="32"/>
          <w:u w:val="single"/>
        </w:rPr>
      </w:pPr>
      <w:bookmarkStart w:id="404" w:name="_Toc25306_WPSOffice_Level2"/>
      <w:bookmarkStart w:id="405" w:name="_Toc6307_WPSOffice_Level2"/>
      <w:bookmarkStart w:id="406" w:name="_Toc16084_WPSOffice_Level2"/>
      <w:r>
        <w:rPr>
          <w:rFonts w:hint="eastAsia" w:ascii="仿宋_GB2312" w:hAnsi="仿宋_GB2312" w:eastAsia="仿宋_GB2312" w:cs="仿宋_GB2312"/>
          <w:b/>
          <w:bCs/>
          <w:color w:val="000000"/>
          <w:sz w:val="32"/>
          <w:szCs w:val="32"/>
        </w:rPr>
        <w:t>致：</w:t>
      </w:r>
      <w:r>
        <w:rPr>
          <w:rFonts w:hint="eastAsia" w:ascii="仿宋_GB2312" w:hAnsi="仿宋_GB2312" w:eastAsia="仿宋_GB2312" w:cs="仿宋_GB2312"/>
          <w:b/>
          <w:bCs/>
          <w:color w:val="000000"/>
          <w:sz w:val="32"/>
          <w:szCs w:val="32"/>
          <w:u w:val="single"/>
          <w:lang w:eastAsia="zh-CN"/>
        </w:rPr>
        <w:t>（代理机构名称）</w:t>
      </w:r>
      <w:bookmarkEnd w:id="404"/>
      <w:bookmarkEnd w:id="405"/>
      <w:bookmarkEnd w:id="406"/>
    </w:p>
    <w:p w14:paraId="31979404">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u w:val="single"/>
        </w:rPr>
        <w:t xml:space="preserve">  （供应商名称）  </w:t>
      </w:r>
      <w:r>
        <w:rPr>
          <w:rFonts w:hint="eastAsia" w:ascii="仿宋_GB2312" w:hAnsi="仿宋_GB2312" w:eastAsia="仿宋_GB2312" w:cs="仿宋_GB2312"/>
          <w:color w:val="000000"/>
          <w:sz w:val="32"/>
          <w:szCs w:val="32"/>
        </w:rPr>
        <w:t>系中华人民共和国合法企业，法定地址</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w:t>
      </w:r>
    </w:p>
    <w:p w14:paraId="61900F3F">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u w:val="single"/>
        </w:rPr>
        <w:t xml:space="preserve">（法定代表人姓名）   </w:t>
      </w:r>
      <w:r>
        <w:rPr>
          <w:rFonts w:hint="eastAsia" w:ascii="仿宋_GB2312" w:hAnsi="仿宋_GB2312" w:eastAsia="仿宋_GB2312" w:cs="仿宋_GB2312"/>
          <w:color w:val="000000"/>
          <w:sz w:val="32"/>
          <w:szCs w:val="32"/>
        </w:rPr>
        <w:t>特授权</w:t>
      </w:r>
      <w:r>
        <w:rPr>
          <w:rFonts w:hint="eastAsia" w:ascii="仿宋_GB2312" w:hAnsi="仿宋_GB2312" w:eastAsia="仿宋_GB2312" w:cs="仿宋_GB2312"/>
          <w:color w:val="000000"/>
          <w:sz w:val="32"/>
          <w:szCs w:val="32"/>
          <w:u w:val="single"/>
        </w:rPr>
        <w:t xml:space="preserve"> （委托代理人姓名）    </w:t>
      </w:r>
      <w:r>
        <w:rPr>
          <w:rFonts w:hint="eastAsia" w:ascii="仿宋_GB2312" w:hAnsi="仿宋_GB2312" w:eastAsia="仿宋_GB2312" w:cs="仿宋_GB2312"/>
          <w:color w:val="000000"/>
          <w:sz w:val="32"/>
          <w:szCs w:val="32"/>
        </w:rPr>
        <w:t>代表我单位全权办理针对</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项目的</w:t>
      </w:r>
      <w:r>
        <w:rPr>
          <w:rFonts w:hint="eastAsia" w:ascii="仿宋_GB2312" w:hAnsi="仿宋_GB2312" w:eastAsia="仿宋_GB2312" w:cs="仿宋_GB2312"/>
          <w:color w:val="000000"/>
          <w:sz w:val="32"/>
          <w:szCs w:val="32"/>
          <w:lang w:eastAsia="zh-CN"/>
        </w:rPr>
        <w:t>谈判、答疑</w:t>
      </w:r>
      <w:r>
        <w:rPr>
          <w:rFonts w:hint="eastAsia" w:ascii="仿宋_GB2312" w:hAnsi="仿宋_GB2312" w:eastAsia="仿宋_GB2312" w:cs="仿宋_GB2312"/>
          <w:color w:val="000000"/>
          <w:sz w:val="32"/>
          <w:szCs w:val="32"/>
        </w:rPr>
        <w:t>等具体工作，并签署全部有关的文件、资料。</w:t>
      </w:r>
    </w:p>
    <w:p w14:paraId="4BF727BA">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我单位对被授权人的签名负全部责任。</w:t>
      </w:r>
    </w:p>
    <w:p w14:paraId="775E3C73">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在撤销授权的书面通知以前，本授权书一直有效，被授权人签署的所有文件（在授权书有效期内签署的）不因授权的撤销而失效。</w:t>
      </w:r>
    </w:p>
    <w:p w14:paraId="4609D952">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授权期限：自</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 xml:space="preserve"> 年</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日起至</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 xml:space="preserve"> 年</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日止。</w:t>
      </w:r>
    </w:p>
    <w:p w14:paraId="5ECB0265">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被授权人联系电话：</w:t>
      </w:r>
      <w:r>
        <w:rPr>
          <w:rFonts w:hint="eastAsia" w:ascii="仿宋_GB2312" w:hAnsi="仿宋_GB2312" w:eastAsia="仿宋_GB2312" w:cs="仿宋_GB2312"/>
          <w:color w:val="000000"/>
          <w:sz w:val="32"/>
          <w:szCs w:val="32"/>
          <w:u w:val="single"/>
        </w:rPr>
        <w:t xml:space="preserve">          </w:t>
      </w:r>
    </w:p>
    <w:p w14:paraId="0E29061A">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被授权人（委托代理人）签字或盖章：</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 xml:space="preserve">   职务：</w:t>
      </w:r>
      <w:r>
        <w:rPr>
          <w:rFonts w:hint="eastAsia" w:ascii="仿宋_GB2312" w:hAnsi="仿宋_GB2312" w:eastAsia="仿宋_GB2312" w:cs="仿宋_GB2312"/>
          <w:color w:val="000000"/>
          <w:sz w:val="32"/>
          <w:szCs w:val="32"/>
          <w:u w:val="single"/>
        </w:rPr>
        <w:t xml:space="preserve">            </w:t>
      </w:r>
    </w:p>
    <w:p w14:paraId="7C8DE49E">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授权人（法定代表人）签字或盖章：</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 xml:space="preserve">   职务：</w:t>
      </w:r>
      <w:r>
        <w:rPr>
          <w:rFonts w:hint="eastAsia" w:ascii="仿宋_GB2312" w:hAnsi="仿宋_GB2312" w:eastAsia="仿宋_GB2312" w:cs="仿宋_GB2312"/>
          <w:color w:val="000000"/>
          <w:sz w:val="32"/>
          <w:szCs w:val="32"/>
          <w:u w:val="single"/>
        </w:rPr>
        <w:t xml:space="preserve">            </w:t>
      </w:r>
    </w:p>
    <w:p w14:paraId="211A751D">
      <w:pPr>
        <w:widowControl w:val="0"/>
        <w:wordWrap/>
        <w:adjustRightInd/>
        <w:snapToGrid/>
        <w:spacing w:line="560" w:lineRule="exact"/>
        <w:ind w:firstLine="640" w:firstLineChars="200"/>
        <w:textAlignment w:val="auto"/>
        <w:outlineLvl w:val="9"/>
        <w:rPr>
          <w:rFonts w:hint="eastAsia" w:ascii="宋体" w:hAnsi="宋体" w:eastAsia="宋体"/>
          <w:color w:val="000000"/>
          <w:sz w:val="36"/>
          <w:szCs w:val="36"/>
        </w:rPr>
      </w:pPr>
      <w:r>
        <w:rPr>
          <w:rFonts w:hint="eastAsia" w:ascii="仿宋_GB2312" w:hAnsi="仿宋_GB2312" w:eastAsia="仿宋_GB2312" w:cs="仿宋_GB2312"/>
          <w:color w:val="000000"/>
          <w:kern w:val="0"/>
          <w:sz w:val="32"/>
          <w:szCs w:val="32"/>
        </w:rPr>
        <w:t>附被授权人第二代身份证双面扫描（或复印）件</w:t>
      </w:r>
    </w:p>
    <w:p w14:paraId="59F3A36A">
      <w:pPr>
        <w:wordWrap/>
        <w:spacing w:before="157" w:beforeLines="50" w:line="560" w:lineRule="exact"/>
        <w:ind w:firstLine="4800" w:firstLineChars="1500"/>
        <w:jc w:val="right"/>
        <w:outlineLvl w:val="9"/>
        <w:rPr>
          <w:rFonts w:hint="eastAsia" w:ascii="仿宋_GB2312" w:hAnsi="仿宋_GB2312" w:eastAsia="仿宋_GB2312" w:cs="仿宋_GB2312"/>
          <w:b w:val="0"/>
          <w:bCs/>
          <w:color w:val="000000"/>
          <w:sz w:val="32"/>
          <w:szCs w:val="32"/>
        </w:rPr>
      </w:pPr>
      <w:bookmarkStart w:id="407" w:name="_Toc13837_WPSOffice_Level3"/>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kern w:val="0"/>
          <w:sz w:val="32"/>
          <w:szCs w:val="32"/>
          <w:u w:val="single"/>
        </w:rPr>
        <w:t xml:space="preserve">       </w:t>
      </w:r>
      <w:r>
        <w:rPr>
          <w:rFonts w:hint="eastAsia" w:ascii="仿宋_GB2312" w:hAnsi="仿宋_GB2312" w:eastAsia="仿宋_GB2312" w:cs="仿宋_GB2312"/>
          <w:b w:val="0"/>
          <w:bCs/>
          <w:color w:val="000000"/>
          <w:sz w:val="32"/>
          <w:szCs w:val="32"/>
        </w:rPr>
        <w:t>（公章）</w:t>
      </w:r>
      <w:bookmarkEnd w:id="407"/>
      <w:r>
        <w:rPr>
          <w:rFonts w:hint="eastAsia" w:ascii="仿宋_GB2312" w:hAnsi="仿宋_GB2312" w:eastAsia="仿宋_GB2312" w:cs="仿宋_GB2312"/>
          <w:b w:val="0"/>
          <w:bCs/>
          <w:color w:val="000000"/>
          <w:sz w:val="32"/>
          <w:szCs w:val="32"/>
        </w:rPr>
        <w:t xml:space="preserve">    </w:t>
      </w:r>
    </w:p>
    <w:p w14:paraId="16954846">
      <w:pPr>
        <w:widowControl w:val="0"/>
        <w:wordWrap/>
        <w:adjustRightInd/>
        <w:snapToGrid/>
        <w:spacing w:before="157" w:beforeLines="50" w:line="560" w:lineRule="exact"/>
        <w:ind w:firstLine="480" w:firstLineChars="200"/>
        <w:jc w:val="right"/>
        <w:textAlignment w:val="auto"/>
        <w:outlineLvl w:val="9"/>
        <w:rPr>
          <w:rFonts w:hint="eastAsia" w:ascii="仿宋_GB2312" w:hAnsi="仿宋_GB2312" w:eastAsia="仿宋_GB2312" w:cs="仿宋_GB2312"/>
          <w:b w:val="0"/>
          <w:bCs/>
          <w:color w:val="000000"/>
          <w:sz w:val="32"/>
          <w:szCs w:val="32"/>
        </w:rPr>
      </w:pPr>
      <w:r>
        <w:rPr>
          <w:rFonts w:hint="eastAsia" w:ascii="宋体" w:hAnsi="宋体" w:eastAsia="宋体"/>
          <w:color w:val="000000"/>
          <w:sz w:val="24"/>
        </w:rPr>
        <w:t xml:space="preserve">         </w:t>
      </w:r>
      <w:r>
        <w:rPr>
          <w:rFonts w:hint="eastAsia" w:ascii="仿宋_GB2312" w:hAnsi="仿宋_GB2312" w:eastAsia="仿宋_GB2312" w:cs="仿宋_GB2312"/>
          <w:b w:val="0"/>
          <w:bCs/>
          <w:color w:val="000000"/>
          <w:sz w:val="32"/>
          <w:szCs w:val="32"/>
        </w:rPr>
        <w:t xml:space="preserve">   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 xml:space="preserve">（签字或盖章）                  </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bookmarkStart w:id="408" w:name="_Toc6591_WPSOffice_Level3"/>
      <w:bookmarkStart w:id="409" w:name="_Toc32599_WPSOffice_Level3"/>
      <w:r>
        <w:rPr>
          <w:rFonts w:hint="eastAsia" w:ascii="仿宋_GB2312" w:hAnsi="仿宋_GB2312" w:eastAsia="仿宋_GB2312" w:cs="仿宋_GB2312"/>
          <w:b w:val="0"/>
          <w:bCs/>
          <w:color w:val="000000"/>
          <w:sz w:val="32"/>
          <w:szCs w:val="32"/>
        </w:rPr>
        <w:t>年   月   日</w:t>
      </w:r>
      <w:bookmarkEnd w:id="408"/>
      <w:bookmarkEnd w:id="409"/>
    </w:p>
    <w:p w14:paraId="5984C6C1">
      <w:pPr>
        <w:wordWrap/>
        <w:spacing w:before="157" w:beforeLines="50" w:line="560" w:lineRule="exact"/>
        <w:outlineLvl w:val="9"/>
        <w:rPr>
          <w:rFonts w:hint="eastAsia" w:ascii="宋体" w:hAnsi="宋体" w:eastAsia="宋体"/>
          <w:b/>
          <w:bCs/>
          <w:color w:val="000000"/>
          <w:sz w:val="24"/>
        </w:rPr>
      </w:pPr>
    </w:p>
    <w:p w14:paraId="0D1DCEDA">
      <w:pPr>
        <w:wordWrap/>
        <w:spacing w:before="157" w:beforeLines="50" w:line="560" w:lineRule="exact"/>
        <w:outlineLvl w:val="9"/>
        <w:rPr>
          <w:rFonts w:hint="eastAsia" w:ascii="宋体" w:hAnsi="宋体" w:eastAsia="宋体"/>
          <w:b/>
          <w:bCs/>
          <w:color w:val="000000"/>
          <w:sz w:val="24"/>
        </w:rPr>
      </w:pPr>
    </w:p>
    <w:p w14:paraId="54F892EA">
      <w:pPr>
        <w:wordWrap/>
        <w:spacing w:before="157" w:beforeLines="50" w:line="560" w:lineRule="exact"/>
        <w:outlineLvl w:val="9"/>
        <w:rPr>
          <w:rFonts w:hint="eastAsia" w:ascii="宋体" w:hAnsi="宋体" w:eastAsia="宋体"/>
          <w:b/>
          <w:bCs/>
          <w:color w:val="000000"/>
          <w:sz w:val="24"/>
        </w:rPr>
      </w:pPr>
    </w:p>
    <w:p w14:paraId="3E34124B">
      <w:pPr>
        <w:wordWrap/>
        <w:spacing w:before="157" w:beforeLines="50" w:line="560" w:lineRule="exact"/>
        <w:outlineLvl w:val="9"/>
        <w:rPr>
          <w:rFonts w:hint="eastAsia" w:ascii="宋体" w:hAnsi="宋体" w:eastAsia="宋体"/>
          <w:b/>
          <w:bCs/>
          <w:color w:val="000000"/>
          <w:sz w:val="24"/>
        </w:rPr>
      </w:pPr>
    </w:p>
    <w:p w14:paraId="65701071">
      <w:pPr>
        <w:widowControl/>
        <w:wordWrap/>
        <w:snapToGrid w:val="0"/>
        <w:spacing w:before="157" w:beforeLines="50" w:line="560" w:lineRule="exact"/>
        <w:jc w:val="left"/>
        <w:outlineLvl w:val="2"/>
        <w:rPr>
          <w:rFonts w:hint="eastAsia" w:ascii="楷体_GB2312" w:hAnsi="楷体_GB2312" w:eastAsia="楷体_GB2312" w:cs="楷体_GB2312"/>
          <w:b/>
          <w:color w:val="000000"/>
          <w:sz w:val="32"/>
          <w:szCs w:val="32"/>
          <w:lang w:eastAsia="zh-CN"/>
        </w:rPr>
      </w:pPr>
      <w:bookmarkStart w:id="410" w:name="_Toc2638"/>
      <w:bookmarkStart w:id="411" w:name="_Toc7737_WPSOffice_Level3"/>
      <w:bookmarkStart w:id="412" w:name="_Toc26653_WPSOffice_Level3"/>
      <w:bookmarkStart w:id="413" w:name="_Toc23618"/>
      <w:bookmarkStart w:id="414" w:name="_Toc30919"/>
      <w:bookmarkStart w:id="415" w:name="_Toc16704"/>
      <w:r>
        <w:rPr>
          <w:rFonts w:hint="eastAsia" w:ascii="楷体_GB2312" w:hAnsi="楷体_GB2312" w:eastAsia="楷体_GB2312" w:cs="楷体_GB2312"/>
          <w:b/>
          <w:color w:val="000000"/>
          <w:sz w:val="32"/>
          <w:szCs w:val="32"/>
          <w:lang w:eastAsia="zh-CN"/>
        </w:rPr>
        <w:t>附件4：供应商承诺函</w:t>
      </w:r>
      <w:bookmarkEnd w:id="410"/>
      <w:bookmarkEnd w:id="411"/>
      <w:bookmarkEnd w:id="412"/>
      <w:bookmarkEnd w:id="413"/>
      <w:bookmarkEnd w:id="414"/>
      <w:bookmarkEnd w:id="415"/>
    </w:p>
    <w:p w14:paraId="70E0AF0C">
      <w:pPr>
        <w:widowControl w:val="0"/>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000000"/>
          <w:sz w:val="32"/>
          <w:szCs w:val="32"/>
          <w:lang w:eastAsia="zh-CN"/>
        </w:rPr>
      </w:pPr>
      <w:bookmarkStart w:id="416" w:name="_Toc17639_WPSOffice_Level2"/>
      <w:bookmarkStart w:id="417" w:name="_Toc27597_WPSOffice_Level3"/>
      <w:bookmarkStart w:id="418" w:name="_Toc2453_WPSOffice_Level2"/>
      <w:r>
        <w:rPr>
          <w:rFonts w:hint="eastAsia" w:ascii="仿宋_GB2312" w:hAnsi="仿宋_GB2312" w:eastAsia="仿宋_GB2312" w:cs="仿宋_GB2312"/>
          <w:b/>
          <w:color w:val="000000"/>
          <w:sz w:val="32"/>
          <w:szCs w:val="32"/>
          <w:lang w:eastAsia="zh-CN"/>
        </w:rPr>
        <w:t>供应商承诺函</w:t>
      </w:r>
      <w:bookmarkEnd w:id="416"/>
      <w:bookmarkEnd w:id="417"/>
      <w:bookmarkEnd w:id="418"/>
    </w:p>
    <w:p w14:paraId="5A7F1B45">
      <w:pPr>
        <w:widowControl w:val="0"/>
        <w:wordWrap/>
        <w:adjustRightInd/>
        <w:snapToGrid/>
        <w:spacing w:line="560" w:lineRule="exact"/>
        <w:textAlignment w:val="auto"/>
        <w:outlineLvl w:val="9"/>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致：</w:t>
      </w:r>
      <w:r>
        <w:rPr>
          <w:rFonts w:hint="eastAsia" w:ascii="仿宋_GB2312" w:hAnsi="仿宋_GB2312" w:eastAsia="仿宋_GB2312" w:cs="仿宋_GB2312"/>
          <w:b w:val="0"/>
          <w:bCs w:val="0"/>
          <w:color w:val="000000"/>
          <w:sz w:val="32"/>
          <w:szCs w:val="32"/>
          <w:u w:val="single"/>
          <w:lang w:eastAsia="zh-CN"/>
        </w:rPr>
        <w:t>（代理机构名称）</w:t>
      </w:r>
    </w:p>
    <w:p w14:paraId="3D8E89E3">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关于贵方</w:t>
      </w:r>
      <w:r>
        <w:rPr>
          <w:rFonts w:hint="eastAsia" w:ascii="仿宋_GB2312" w:hAnsi="仿宋_GB2312" w:eastAsia="仿宋_GB2312" w:cs="仿宋_GB2312"/>
          <w:b w:val="0"/>
          <w:bCs w:val="0"/>
          <w:color w:val="000000"/>
          <w:sz w:val="32"/>
          <w:szCs w:val="32"/>
          <w:u w:val="single"/>
          <w:lang w:val="en-US" w:eastAsia="zh-CN"/>
        </w:rPr>
        <w:t xml:space="preserve">   </w:t>
      </w:r>
      <w:r>
        <w:rPr>
          <w:rFonts w:hint="eastAsia" w:ascii="仿宋_GB2312" w:hAnsi="仿宋_GB2312" w:eastAsia="仿宋_GB2312" w:cs="仿宋_GB2312"/>
          <w:b w:val="0"/>
          <w:bCs w:val="0"/>
          <w:color w:val="000000"/>
          <w:sz w:val="32"/>
          <w:szCs w:val="32"/>
        </w:rPr>
        <w:t>年</w:t>
      </w:r>
      <w:r>
        <w:rPr>
          <w:rFonts w:hint="eastAsia" w:ascii="仿宋_GB2312" w:hAnsi="仿宋_GB2312" w:eastAsia="仿宋_GB2312" w:cs="仿宋_GB2312"/>
          <w:b w:val="0"/>
          <w:bCs w:val="0"/>
          <w:color w:val="000000"/>
          <w:sz w:val="32"/>
          <w:szCs w:val="32"/>
          <w:u w:val="single"/>
        </w:rPr>
        <w:t xml:space="preserve">  </w:t>
      </w:r>
      <w:r>
        <w:rPr>
          <w:rFonts w:hint="eastAsia" w:ascii="仿宋_GB2312" w:hAnsi="仿宋_GB2312" w:eastAsia="仿宋_GB2312" w:cs="仿宋_GB2312"/>
          <w:b w:val="0"/>
          <w:bCs w:val="0"/>
          <w:color w:val="000000"/>
          <w:sz w:val="32"/>
          <w:szCs w:val="32"/>
        </w:rPr>
        <w:t>月</w:t>
      </w:r>
      <w:r>
        <w:rPr>
          <w:rFonts w:hint="eastAsia" w:ascii="仿宋_GB2312" w:hAnsi="仿宋_GB2312" w:eastAsia="仿宋_GB2312" w:cs="仿宋_GB2312"/>
          <w:b w:val="0"/>
          <w:bCs w:val="0"/>
          <w:color w:val="000000"/>
          <w:sz w:val="32"/>
          <w:szCs w:val="32"/>
          <w:u w:val="single"/>
        </w:rPr>
        <w:t xml:space="preserve">  </w:t>
      </w:r>
      <w:r>
        <w:rPr>
          <w:rFonts w:hint="eastAsia" w:ascii="仿宋_GB2312" w:hAnsi="仿宋_GB2312" w:eastAsia="仿宋_GB2312" w:cs="仿宋_GB2312"/>
          <w:b w:val="0"/>
          <w:bCs w:val="0"/>
          <w:color w:val="000000"/>
          <w:sz w:val="32"/>
          <w:szCs w:val="32"/>
        </w:rPr>
        <w:t>日</w:t>
      </w:r>
      <w:r>
        <w:rPr>
          <w:rFonts w:hint="eastAsia" w:ascii="仿宋_GB2312" w:hAnsi="仿宋_GB2312" w:eastAsia="仿宋_GB2312" w:cs="仿宋_GB2312"/>
          <w:b w:val="0"/>
          <w:bCs w:val="0"/>
          <w:color w:val="000000"/>
          <w:sz w:val="32"/>
          <w:szCs w:val="32"/>
          <w:u w:val="single"/>
        </w:rPr>
        <w:t xml:space="preserve">        </w:t>
      </w:r>
      <w:r>
        <w:rPr>
          <w:rFonts w:hint="eastAsia" w:ascii="仿宋_GB2312" w:hAnsi="仿宋_GB2312" w:eastAsia="仿宋_GB2312" w:cs="仿宋_GB2312"/>
          <w:b w:val="0"/>
          <w:bCs w:val="0"/>
          <w:color w:val="000000"/>
          <w:sz w:val="32"/>
          <w:szCs w:val="32"/>
        </w:rPr>
        <w:t xml:space="preserve"> </w:t>
      </w:r>
      <w:r>
        <w:rPr>
          <w:rFonts w:hint="eastAsia" w:ascii="仿宋_GB2312" w:hAnsi="仿宋_GB2312" w:eastAsia="仿宋_GB2312" w:cs="仿宋_GB2312"/>
          <w:b w:val="0"/>
          <w:bCs w:val="0"/>
          <w:color w:val="000000"/>
          <w:sz w:val="32"/>
          <w:szCs w:val="32"/>
          <w:lang w:eastAsia="zh-CN"/>
        </w:rPr>
        <w:t>（项目名称及编号）</w:t>
      </w:r>
      <w:r>
        <w:rPr>
          <w:rFonts w:hint="eastAsia" w:ascii="仿宋_GB2312" w:hAnsi="仿宋_GB2312" w:eastAsia="仿宋_GB2312" w:cs="仿宋_GB2312"/>
          <w:b w:val="0"/>
          <w:bCs w:val="0"/>
          <w:color w:val="000000"/>
          <w:sz w:val="32"/>
          <w:szCs w:val="32"/>
        </w:rPr>
        <w:t>采购项目，本签字人愿意参加</w:t>
      </w:r>
      <w:r>
        <w:rPr>
          <w:rFonts w:hint="eastAsia" w:ascii="仿宋_GB2312" w:hAnsi="仿宋_GB2312" w:eastAsia="仿宋_GB2312" w:cs="仿宋_GB2312"/>
          <w:b w:val="0"/>
          <w:bCs w:val="0"/>
          <w:color w:val="000000"/>
          <w:sz w:val="32"/>
          <w:szCs w:val="32"/>
          <w:lang w:eastAsia="zh-CN"/>
        </w:rPr>
        <w:t>谈判</w:t>
      </w:r>
      <w:r>
        <w:rPr>
          <w:rFonts w:hint="eastAsia" w:ascii="仿宋_GB2312" w:hAnsi="仿宋_GB2312" w:eastAsia="仿宋_GB2312" w:cs="仿宋_GB2312"/>
          <w:b w:val="0"/>
          <w:bCs w:val="0"/>
          <w:color w:val="000000"/>
          <w:sz w:val="32"/>
          <w:szCs w:val="32"/>
        </w:rPr>
        <w:t>，提供采购一览表中要求的所有产品，并证实提交的所有资料是准确的和真实的。同时，我代表</w:t>
      </w:r>
      <w:r>
        <w:rPr>
          <w:rFonts w:hint="eastAsia" w:ascii="仿宋_GB2312" w:hAnsi="仿宋_GB2312" w:eastAsia="仿宋_GB2312" w:cs="仿宋_GB2312"/>
          <w:b w:val="0"/>
          <w:bCs w:val="0"/>
          <w:color w:val="000000"/>
          <w:sz w:val="32"/>
          <w:szCs w:val="32"/>
          <w:lang w:val="en-US" w:eastAsia="zh-CN"/>
        </w:rPr>
        <w:t xml:space="preserve">    </w:t>
      </w:r>
      <w:r>
        <w:rPr>
          <w:rFonts w:hint="eastAsia" w:ascii="仿宋_GB2312" w:hAnsi="仿宋_GB2312" w:eastAsia="仿宋_GB2312" w:cs="仿宋_GB2312"/>
          <w:b w:val="0"/>
          <w:bCs w:val="0"/>
          <w:color w:val="000000"/>
          <w:sz w:val="32"/>
          <w:szCs w:val="32"/>
          <w:u w:val="single"/>
        </w:rPr>
        <w:t>（供应商名称）</w:t>
      </w:r>
      <w:r>
        <w:rPr>
          <w:rFonts w:hint="eastAsia" w:ascii="仿宋_GB2312" w:hAnsi="仿宋_GB2312" w:eastAsia="仿宋_GB2312" w:cs="仿宋_GB2312"/>
          <w:b w:val="0"/>
          <w:bCs w:val="0"/>
          <w:color w:val="000000"/>
          <w:sz w:val="32"/>
          <w:szCs w:val="32"/>
        </w:rPr>
        <w:t>，在此作如下承诺：</w:t>
      </w:r>
    </w:p>
    <w:p w14:paraId="548F18B6">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1、完全理解和接受谈判文件的一切规定和要求；</w:t>
      </w:r>
    </w:p>
    <w:p w14:paraId="1F750C22">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2、若</w:t>
      </w:r>
      <w:r>
        <w:rPr>
          <w:rFonts w:hint="eastAsia" w:ascii="仿宋_GB2312" w:hAnsi="仿宋_GB2312" w:eastAsia="仿宋_GB2312" w:cs="仿宋_GB2312"/>
          <w:b w:val="0"/>
          <w:bCs w:val="0"/>
          <w:color w:val="000000"/>
          <w:sz w:val="32"/>
          <w:szCs w:val="32"/>
          <w:lang w:eastAsia="zh-CN"/>
        </w:rPr>
        <w:t>成交</w:t>
      </w:r>
      <w:r>
        <w:rPr>
          <w:rFonts w:hint="eastAsia" w:ascii="仿宋_GB2312" w:hAnsi="仿宋_GB2312" w:eastAsia="仿宋_GB2312" w:cs="仿宋_GB2312"/>
          <w:b w:val="0"/>
          <w:bCs w:val="0"/>
          <w:color w:val="000000"/>
          <w:sz w:val="32"/>
          <w:szCs w:val="32"/>
        </w:rPr>
        <w:t>，我方将按照谈判文件的具体规定与采购人签订采购合同，并且严格履行合同义务，按时交货，提供优质的产品和服务。如果在合同执行过程中，发现质量、数量出现问题，我方一定尽快更换或补退货，并承担相应的经济责任；</w:t>
      </w:r>
    </w:p>
    <w:p w14:paraId="46441E2E">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3、我方保证甲方在使用该产品或其任何一部分时，不受第三方提出的侵犯专利权、著作权、商标权和工业设计权等知识产权的起诉，若有</w:t>
      </w:r>
      <w:r>
        <w:rPr>
          <w:rFonts w:hint="eastAsia" w:ascii="仿宋_GB2312" w:hAnsi="仿宋_GB2312" w:eastAsia="仿宋_GB2312" w:cs="仿宋_GB2312"/>
          <w:b w:val="0"/>
          <w:bCs w:val="0"/>
          <w:color w:val="000000"/>
          <w:sz w:val="32"/>
          <w:szCs w:val="32"/>
          <w:lang w:eastAsia="zh-CN"/>
        </w:rPr>
        <w:t>违反</w:t>
      </w:r>
      <w:r>
        <w:rPr>
          <w:rFonts w:hint="eastAsia" w:ascii="仿宋_GB2312" w:hAnsi="仿宋_GB2312" w:eastAsia="仿宋_GB2312" w:cs="仿宋_GB2312"/>
          <w:b w:val="0"/>
          <w:bCs w:val="0"/>
          <w:color w:val="000000"/>
          <w:sz w:val="32"/>
          <w:szCs w:val="32"/>
        </w:rPr>
        <w:t>，愿承担相应的一切责任。</w:t>
      </w:r>
    </w:p>
    <w:p w14:paraId="06ADB76B">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4、我方承诺，除谈判文件中规定的优质产品外，所投的产品均为国产产品，且均符合国家强制性标准。若有不实，愿承担相应的责任。</w:t>
      </w:r>
    </w:p>
    <w:p w14:paraId="0FCA9F1D">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5、在整个谈判过程中我方若有违规行为，贵方可按谈判文件之规定给予处罚，我方完全接受。</w:t>
      </w:r>
    </w:p>
    <w:p w14:paraId="157E4F9A">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val="0"/>
          <w:bCs w:val="0"/>
          <w:color w:val="000000"/>
          <w:sz w:val="32"/>
          <w:szCs w:val="32"/>
        </w:rPr>
        <w:t>6、若成交，本承诺将成为合同不可分割的一部分，与合同具有同等的法律效力。</w:t>
      </w:r>
    </w:p>
    <w:p w14:paraId="0B784ACB">
      <w:pPr>
        <w:widowControl w:val="0"/>
        <w:wordWrap/>
        <w:adjustRightInd/>
        <w:snapToGrid/>
        <w:spacing w:line="560" w:lineRule="exact"/>
        <w:ind w:firstLine="643"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color w:val="000000"/>
          <w:sz w:val="32"/>
          <w:szCs w:val="32"/>
        </w:rPr>
        <w:t xml:space="preserve">              </w:t>
      </w:r>
      <w:r>
        <w:rPr>
          <w:rFonts w:hint="eastAsia" w:ascii="仿宋_GB2312" w:hAnsi="仿宋_GB2312" w:eastAsia="仿宋_GB2312" w:cs="仿宋_GB2312"/>
          <w:b w:val="0"/>
          <w:bCs/>
          <w:color w:val="000000"/>
          <w:sz w:val="32"/>
          <w:szCs w:val="32"/>
        </w:rPr>
        <w:t xml:space="preserve"> </w:t>
      </w:r>
      <w:bookmarkStart w:id="419" w:name="_Toc29941_WPSOffice_Level3"/>
      <w:r>
        <w:rPr>
          <w:rFonts w:hint="eastAsia" w:ascii="仿宋_GB2312" w:hAnsi="仿宋_GB2312" w:eastAsia="仿宋_GB2312" w:cs="仿宋_GB2312"/>
          <w:b w:val="0"/>
          <w:bCs/>
          <w:color w:val="000000"/>
          <w:sz w:val="32"/>
          <w:szCs w:val="32"/>
          <w:lang w:val="en-US" w:eastAsia="zh-CN"/>
        </w:rPr>
        <w:t xml:space="preserve">  </w:t>
      </w:r>
      <w:bookmarkStart w:id="420" w:name="_Toc11979_WPSOffice_Level3"/>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bookmarkEnd w:id="419"/>
      <w:bookmarkEnd w:id="420"/>
    </w:p>
    <w:p w14:paraId="0C0F8EF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421" w:name="_Toc15106_WPSOffice_Level3"/>
      <w:bookmarkStart w:id="422" w:name="_Toc22507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421"/>
      <w:bookmarkEnd w:id="422"/>
    </w:p>
    <w:p w14:paraId="018A4067">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423" w:name="_Toc24254_WPSOffice_Level3"/>
      <w:r>
        <w:rPr>
          <w:rFonts w:hint="eastAsia" w:ascii="仿宋_GB2312" w:hAnsi="仿宋_GB2312" w:eastAsia="仿宋_GB2312" w:cs="仿宋_GB2312"/>
          <w:b w:val="0"/>
          <w:bCs/>
          <w:color w:val="000000"/>
          <w:sz w:val="32"/>
          <w:szCs w:val="32"/>
          <w:lang w:val="en-US" w:eastAsia="zh-CN"/>
        </w:rPr>
        <w:t xml:space="preserve">                      </w:t>
      </w:r>
      <w:bookmarkStart w:id="424" w:name="_Toc9343_WPSOffice_Level3"/>
      <w:r>
        <w:rPr>
          <w:rFonts w:hint="eastAsia" w:ascii="仿宋_GB2312" w:hAnsi="仿宋_GB2312" w:eastAsia="仿宋_GB2312" w:cs="仿宋_GB2312"/>
          <w:b w:val="0"/>
          <w:bCs/>
          <w:color w:val="000000"/>
          <w:sz w:val="32"/>
          <w:szCs w:val="32"/>
        </w:rPr>
        <w:t>年   月  日</w:t>
      </w:r>
      <w:bookmarkEnd w:id="423"/>
      <w:bookmarkEnd w:id="424"/>
    </w:p>
    <w:p w14:paraId="245C1051">
      <w:pPr>
        <w:widowControl/>
        <w:wordWrap/>
        <w:snapToGrid w:val="0"/>
        <w:spacing w:before="157" w:beforeLines="50" w:line="560" w:lineRule="exact"/>
        <w:outlineLvl w:val="1"/>
        <w:rPr>
          <w:rFonts w:hint="eastAsia" w:ascii="宋体" w:hAnsi="宋体" w:eastAsia="宋体"/>
          <w:b/>
          <w:color w:val="000000"/>
          <w:sz w:val="36"/>
          <w:szCs w:val="36"/>
        </w:rPr>
      </w:pPr>
      <w:r>
        <w:rPr>
          <w:rFonts w:ascii="宋体" w:eastAsia="宋体"/>
          <w:b/>
          <w:color w:val="000000"/>
          <w:sz w:val="28"/>
          <w:szCs w:val="28"/>
        </w:rPr>
        <w:br w:type="page"/>
      </w:r>
      <w:bookmarkStart w:id="425" w:name="_Toc653_WPSOffice_Level3"/>
      <w:bookmarkStart w:id="426" w:name="_Toc20884"/>
      <w:bookmarkStart w:id="427" w:name="_Toc6416"/>
      <w:bookmarkStart w:id="428" w:name="_Toc26773_WPSOffice_Level3"/>
      <w:bookmarkStart w:id="429" w:name="_Toc27221"/>
      <w:bookmarkStart w:id="430" w:name="_Toc25740"/>
      <w:bookmarkStart w:id="431" w:name="_Toc11549"/>
      <w:r>
        <w:rPr>
          <w:rFonts w:hint="eastAsia" w:ascii="楷体_GB2312" w:hAnsi="楷体_GB2312" w:eastAsia="楷体_GB2312" w:cs="楷体_GB2312"/>
          <w:b/>
          <w:color w:val="000000"/>
          <w:sz w:val="32"/>
          <w:szCs w:val="32"/>
          <w:lang w:eastAsia="zh-CN"/>
        </w:rPr>
        <w:t>附件5：供应商诚信承诺书</w:t>
      </w:r>
      <w:bookmarkEnd w:id="425"/>
      <w:bookmarkEnd w:id="426"/>
      <w:bookmarkEnd w:id="427"/>
      <w:bookmarkEnd w:id="428"/>
      <w:bookmarkEnd w:id="429"/>
      <w:bookmarkEnd w:id="430"/>
      <w:bookmarkEnd w:id="431"/>
    </w:p>
    <w:p w14:paraId="0E5812A9">
      <w:pPr>
        <w:wordWrap/>
        <w:spacing w:before="157" w:beforeLines="50" w:line="560" w:lineRule="exact"/>
        <w:jc w:val="center"/>
        <w:outlineLvl w:val="9"/>
        <w:rPr>
          <w:rFonts w:hint="eastAsia" w:ascii="宋体" w:hAnsi="宋体" w:eastAsia="宋体"/>
          <w:b/>
          <w:color w:val="000000"/>
          <w:sz w:val="36"/>
          <w:szCs w:val="36"/>
        </w:rPr>
      </w:pPr>
      <w:bookmarkStart w:id="432" w:name="_Toc22537_WPSOffice_Level3"/>
      <w:bookmarkStart w:id="433" w:name="_Toc22989_WPSOffice_Level3"/>
      <w:r>
        <w:rPr>
          <w:rFonts w:hint="eastAsia" w:ascii="仿宋_GB2312" w:hAnsi="仿宋_GB2312" w:eastAsia="仿宋_GB2312" w:cs="仿宋_GB2312"/>
          <w:b/>
          <w:color w:val="000000"/>
          <w:sz w:val="32"/>
          <w:szCs w:val="32"/>
          <w:lang w:eastAsia="zh-CN"/>
        </w:rPr>
        <w:t>供应商诚信承诺书</w:t>
      </w:r>
      <w:bookmarkEnd w:id="432"/>
      <w:bookmarkEnd w:id="433"/>
    </w:p>
    <w:p w14:paraId="10B253CC">
      <w:pPr>
        <w:widowControl w:val="0"/>
        <w:wordWrap/>
        <w:adjustRightInd/>
        <w:snapToGrid/>
        <w:spacing w:line="560" w:lineRule="exact"/>
        <w:textAlignment w:val="auto"/>
        <w:outlineLvl w:val="9"/>
        <w:rPr>
          <w:rFonts w:hint="eastAsia" w:ascii="仿宋_GB2312" w:hAnsi="仿宋_GB2312" w:eastAsia="仿宋_GB2312" w:cs="仿宋_GB2312"/>
          <w:b w:val="0"/>
          <w:bCs w:val="0"/>
          <w:color w:val="000000"/>
          <w:sz w:val="24"/>
          <w:szCs w:val="24"/>
          <w:lang w:eastAsia="zh-CN"/>
        </w:rPr>
      </w:pPr>
      <w:r>
        <w:rPr>
          <w:rFonts w:hint="eastAsia" w:ascii="仿宋_GB2312" w:hAnsi="仿宋_GB2312" w:eastAsia="仿宋_GB2312" w:cs="仿宋_GB2312"/>
          <w:b w:val="0"/>
          <w:bCs w:val="0"/>
          <w:color w:val="000000"/>
          <w:sz w:val="24"/>
          <w:szCs w:val="24"/>
        </w:rPr>
        <w:t>致：</w:t>
      </w:r>
      <w:r>
        <w:rPr>
          <w:rFonts w:hint="eastAsia" w:ascii="仿宋_GB2312" w:hAnsi="仿宋_GB2312" w:eastAsia="仿宋_GB2312" w:cs="仿宋_GB2312"/>
          <w:b w:val="0"/>
          <w:bCs w:val="0"/>
          <w:color w:val="000000"/>
          <w:sz w:val="24"/>
          <w:szCs w:val="24"/>
          <w:u w:val="single"/>
          <w:lang w:eastAsia="zh-CN"/>
        </w:rPr>
        <w:t>（代理机构名称）</w:t>
      </w:r>
    </w:p>
    <w:p w14:paraId="2F849D2F">
      <w:pPr>
        <w:widowControl w:val="0"/>
        <w:wordWrap/>
        <w:adjustRightInd/>
        <w:snapToGrid/>
        <w:spacing w:line="560" w:lineRule="exact"/>
        <w:ind w:firstLine="480" w:firstLineChars="200"/>
        <w:textAlignment w:val="auto"/>
        <w:outlineLvl w:val="9"/>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sz w:val="24"/>
          <w:szCs w:val="24"/>
        </w:rPr>
        <w:t>为了诚实、客观、有序地参与青海省政府采购活动，愿就以下内容作出承诺：</w:t>
      </w:r>
    </w:p>
    <w:p w14:paraId="57ED9091">
      <w:pPr>
        <w:widowControl w:val="0"/>
        <w:wordWrap/>
        <w:adjustRightInd/>
        <w:snapToGrid/>
        <w:spacing w:line="560" w:lineRule="exact"/>
        <w:ind w:firstLine="480" w:firstLineChars="200"/>
        <w:textAlignment w:val="auto"/>
        <w:outlineLvl w:val="9"/>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sz w:val="24"/>
          <w:szCs w:val="24"/>
          <w:lang w:val="en-US" w:eastAsia="zh-CN"/>
        </w:rPr>
        <w:t>1</w:t>
      </w:r>
      <w:r>
        <w:rPr>
          <w:rFonts w:hint="eastAsia" w:ascii="仿宋_GB2312" w:hAnsi="仿宋_GB2312" w:eastAsia="仿宋_GB2312" w:cs="仿宋_GB2312"/>
          <w:b w:val="0"/>
          <w:bCs w:val="0"/>
          <w:color w:val="000000"/>
          <w:sz w:val="24"/>
          <w:szCs w:val="24"/>
        </w:rPr>
        <w:t>、自觉遵守各项法律、法规、规章、制度以及社会公德，维护廉洁环境，与同场竞争的供应商平等参加政府采购活动。</w:t>
      </w:r>
    </w:p>
    <w:p w14:paraId="46B0C673">
      <w:pPr>
        <w:widowControl w:val="0"/>
        <w:wordWrap/>
        <w:adjustRightInd/>
        <w:snapToGrid/>
        <w:spacing w:line="560" w:lineRule="exact"/>
        <w:ind w:firstLine="480" w:firstLineChars="200"/>
        <w:textAlignment w:val="auto"/>
        <w:outlineLvl w:val="9"/>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sz w:val="24"/>
          <w:szCs w:val="24"/>
          <w:lang w:val="en-US" w:eastAsia="zh-CN"/>
        </w:rPr>
        <w:t>2</w:t>
      </w:r>
      <w:r>
        <w:rPr>
          <w:rFonts w:hint="eastAsia" w:ascii="仿宋_GB2312" w:hAnsi="仿宋_GB2312" w:eastAsia="仿宋_GB2312" w:cs="仿宋_GB2312"/>
          <w:b w:val="0"/>
          <w:bCs w:val="0"/>
          <w:color w:val="000000"/>
          <w:sz w:val="24"/>
          <w:szCs w:val="24"/>
        </w:rPr>
        <w:t>、参加青海省政府采购中心组织的政府采购活动时，严格按照谈判文件的规定和要求提供所需的相关材料，并对所提供的各类资料的真实性负责，不虚假</w:t>
      </w:r>
      <w:r>
        <w:rPr>
          <w:rFonts w:hint="eastAsia" w:ascii="仿宋_GB2312" w:hAnsi="仿宋_GB2312" w:eastAsia="仿宋_GB2312" w:cs="仿宋_GB2312"/>
          <w:b w:val="0"/>
          <w:bCs w:val="0"/>
          <w:color w:val="000000"/>
          <w:sz w:val="24"/>
          <w:szCs w:val="24"/>
          <w:lang w:eastAsia="zh-CN"/>
        </w:rPr>
        <w:t>响应</w:t>
      </w:r>
      <w:r>
        <w:rPr>
          <w:rFonts w:hint="eastAsia" w:ascii="仿宋_GB2312" w:hAnsi="仿宋_GB2312" w:eastAsia="仿宋_GB2312" w:cs="仿宋_GB2312"/>
          <w:b w:val="0"/>
          <w:bCs w:val="0"/>
          <w:color w:val="000000"/>
          <w:sz w:val="24"/>
          <w:szCs w:val="24"/>
        </w:rPr>
        <w:t>，不虚列业绩。</w:t>
      </w:r>
    </w:p>
    <w:p w14:paraId="657B908D">
      <w:pPr>
        <w:widowControl w:val="0"/>
        <w:wordWrap/>
        <w:adjustRightInd/>
        <w:snapToGrid/>
        <w:spacing w:line="560" w:lineRule="exact"/>
        <w:ind w:firstLine="480" w:firstLineChars="200"/>
        <w:textAlignment w:val="auto"/>
        <w:outlineLvl w:val="9"/>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sz w:val="24"/>
          <w:szCs w:val="24"/>
          <w:lang w:val="en-US" w:eastAsia="zh-CN"/>
        </w:rPr>
        <w:t>3</w:t>
      </w:r>
      <w:r>
        <w:rPr>
          <w:rFonts w:hint="eastAsia" w:ascii="仿宋_GB2312" w:hAnsi="仿宋_GB2312" w:eastAsia="仿宋_GB2312" w:cs="仿宋_GB2312"/>
          <w:b w:val="0"/>
          <w:bCs w:val="0"/>
          <w:color w:val="000000"/>
          <w:sz w:val="24"/>
          <w:szCs w:val="24"/>
        </w:rPr>
        <w:t>、尊重参与政府采购活动各相关方的合法行为，接受政府采购活动依法形成的意见、结果。</w:t>
      </w:r>
    </w:p>
    <w:p w14:paraId="05CE7D57">
      <w:pPr>
        <w:widowControl w:val="0"/>
        <w:wordWrap/>
        <w:adjustRightInd/>
        <w:snapToGrid/>
        <w:spacing w:line="560" w:lineRule="exact"/>
        <w:ind w:firstLine="480" w:firstLineChars="200"/>
        <w:textAlignment w:val="auto"/>
        <w:outlineLvl w:val="9"/>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sz w:val="24"/>
          <w:szCs w:val="24"/>
          <w:lang w:val="en-US" w:eastAsia="zh-CN"/>
        </w:rPr>
        <w:t>4</w:t>
      </w:r>
      <w:r>
        <w:rPr>
          <w:rFonts w:hint="eastAsia" w:ascii="仿宋_GB2312" w:hAnsi="仿宋_GB2312" w:eastAsia="仿宋_GB2312" w:cs="仿宋_GB2312"/>
          <w:b w:val="0"/>
          <w:bCs w:val="0"/>
          <w:color w:val="000000"/>
          <w:sz w:val="24"/>
          <w:szCs w:val="24"/>
        </w:rPr>
        <w:t>、依法参加政府采购活动，不围标、串标，维护市场秩序，不提供“三无”产品、以次充好。</w:t>
      </w:r>
    </w:p>
    <w:p w14:paraId="4CD11FF0">
      <w:pPr>
        <w:widowControl w:val="0"/>
        <w:wordWrap/>
        <w:adjustRightInd/>
        <w:snapToGrid/>
        <w:spacing w:line="560" w:lineRule="exact"/>
        <w:ind w:firstLine="480" w:firstLineChars="200"/>
        <w:textAlignment w:val="auto"/>
        <w:outlineLvl w:val="9"/>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sz w:val="24"/>
          <w:szCs w:val="24"/>
          <w:lang w:val="en-US" w:eastAsia="zh-CN"/>
        </w:rPr>
        <w:t>5</w:t>
      </w:r>
      <w:r>
        <w:rPr>
          <w:rFonts w:hint="eastAsia" w:ascii="仿宋_GB2312" w:hAnsi="仿宋_GB2312" w:eastAsia="仿宋_GB2312" w:cs="仿宋_GB2312"/>
          <w:b w:val="0"/>
          <w:bCs w:val="0"/>
          <w:color w:val="000000"/>
          <w:sz w:val="24"/>
          <w:szCs w:val="24"/>
        </w:rPr>
        <w:t>、积极推动政府采购活动健康开展，对采购活动有疑问、异议时，按法律规定的程序实名（加盖单位</w:t>
      </w:r>
      <w:r>
        <w:rPr>
          <w:rFonts w:hint="eastAsia" w:ascii="仿宋_GB2312" w:hAnsi="仿宋_GB2312" w:eastAsia="仿宋_GB2312" w:cs="仿宋_GB2312"/>
          <w:b w:val="0"/>
          <w:bCs w:val="0"/>
          <w:color w:val="000000"/>
          <w:sz w:val="24"/>
          <w:szCs w:val="24"/>
          <w:lang w:eastAsia="zh-CN"/>
        </w:rPr>
        <w:t>公</w:t>
      </w:r>
      <w:r>
        <w:rPr>
          <w:rFonts w:hint="eastAsia" w:ascii="仿宋_GB2312" w:hAnsi="仿宋_GB2312" w:eastAsia="仿宋_GB2312" w:cs="仿宋_GB2312"/>
          <w:b w:val="0"/>
          <w:bCs w:val="0"/>
          <w:color w:val="000000"/>
          <w:sz w:val="24"/>
          <w:szCs w:val="24"/>
        </w:rPr>
        <w:t>章和法定代表人签名）反映情况，不恶意中伤、无事生非，以和谐、平等的心态参加政府采购活动。</w:t>
      </w:r>
    </w:p>
    <w:p w14:paraId="4AA45C30">
      <w:pPr>
        <w:widowControl w:val="0"/>
        <w:wordWrap/>
        <w:adjustRightInd/>
        <w:snapToGrid/>
        <w:spacing w:line="560" w:lineRule="exact"/>
        <w:ind w:firstLine="480" w:firstLineChars="200"/>
        <w:textAlignment w:val="auto"/>
        <w:outlineLvl w:val="9"/>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sz w:val="24"/>
          <w:szCs w:val="24"/>
          <w:lang w:val="en-US" w:eastAsia="zh-CN"/>
        </w:rPr>
        <w:t>6</w:t>
      </w:r>
      <w:r>
        <w:rPr>
          <w:rFonts w:hint="eastAsia" w:ascii="仿宋_GB2312" w:hAnsi="仿宋_GB2312" w:eastAsia="仿宋_GB2312" w:cs="仿宋_GB2312"/>
          <w:b w:val="0"/>
          <w:bCs w:val="0"/>
          <w:color w:val="000000"/>
          <w:sz w:val="24"/>
          <w:szCs w:val="24"/>
        </w:rPr>
        <w:t>、认真履行成交供应商应承担的责任和义务，全面执行采购合同规定的各项内容，保质保量地按时提供采购物品。</w:t>
      </w:r>
    </w:p>
    <w:p w14:paraId="26AD4773">
      <w:pPr>
        <w:widowControl w:val="0"/>
        <w:wordWrap/>
        <w:adjustRightInd/>
        <w:snapToGrid/>
        <w:spacing w:line="560" w:lineRule="exact"/>
        <w:ind w:firstLine="480" w:firstLineChars="200"/>
        <w:textAlignment w:val="auto"/>
        <w:outlineLvl w:val="9"/>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sz w:val="24"/>
          <w:szCs w:val="24"/>
        </w:rPr>
        <w:t>若本企业（单位）发生有悖于上述承诺的行为，愿意接受《中华人民共和国政府采购法》和《政府采购法实施条例》中对供应商的相关处理。</w:t>
      </w:r>
    </w:p>
    <w:p w14:paraId="78C614BF">
      <w:pPr>
        <w:widowControl w:val="0"/>
        <w:wordWrap/>
        <w:adjustRightInd/>
        <w:snapToGrid/>
        <w:spacing w:line="560" w:lineRule="exact"/>
        <w:ind w:firstLine="480" w:firstLineChars="200"/>
        <w:textAlignment w:val="auto"/>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b w:val="0"/>
          <w:bCs w:val="0"/>
          <w:color w:val="000000"/>
          <w:sz w:val="24"/>
          <w:szCs w:val="24"/>
        </w:rPr>
        <w:t>本承诺是采购项目谈判响应文件的组成部分。</w:t>
      </w:r>
    </w:p>
    <w:p w14:paraId="742F0B68">
      <w:pPr>
        <w:widowControl w:val="0"/>
        <w:wordWrap/>
        <w:adjustRightInd/>
        <w:snapToGrid/>
        <w:spacing w:before="157" w:beforeLines="50" w:line="560" w:lineRule="exact"/>
        <w:ind w:firstLine="482" w:firstLineChars="200"/>
        <w:jc w:val="center"/>
        <w:textAlignment w:val="auto"/>
        <w:outlineLvl w:val="9"/>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color w:val="000000"/>
          <w:sz w:val="24"/>
          <w:szCs w:val="24"/>
        </w:rPr>
        <w:t xml:space="preserve">              </w:t>
      </w:r>
      <w:r>
        <w:rPr>
          <w:rFonts w:hint="eastAsia" w:ascii="仿宋_GB2312" w:hAnsi="仿宋_GB2312" w:eastAsia="仿宋_GB2312" w:cs="仿宋_GB2312"/>
          <w:b w:val="0"/>
          <w:bCs/>
          <w:color w:val="000000"/>
          <w:sz w:val="24"/>
          <w:szCs w:val="24"/>
        </w:rPr>
        <w:t xml:space="preserve"> </w:t>
      </w:r>
      <w:bookmarkStart w:id="434" w:name="_Toc2830_WPSOffice_Level3"/>
      <w:bookmarkStart w:id="435" w:name="_Toc23784_WPSOffice_Level3"/>
      <w:r>
        <w:rPr>
          <w:rFonts w:hint="eastAsia" w:ascii="仿宋_GB2312" w:hAnsi="仿宋_GB2312" w:eastAsia="仿宋_GB2312" w:cs="仿宋_GB2312"/>
          <w:b w:val="0"/>
          <w:bCs/>
          <w:color w:val="000000"/>
          <w:sz w:val="24"/>
          <w:szCs w:val="24"/>
        </w:rPr>
        <w:t>单位</w:t>
      </w:r>
      <w:r>
        <w:rPr>
          <w:rFonts w:hint="eastAsia" w:ascii="仿宋_GB2312" w:hAnsi="仿宋_GB2312" w:eastAsia="仿宋_GB2312" w:cs="仿宋_GB2312"/>
          <w:b w:val="0"/>
          <w:bCs/>
          <w:color w:val="000000"/>
          <w:sz w:val="24"/>
          <w:szCs w:val="24"/>
          <w:lang w:eastAsia="zh-CN"/>
        </w:rPr>
        <w:t>名称</w:t>
      </w:r>
      <w:r>
        <w:rPr>
          <w:rFonts w:hint="eastAsia" w:ascii="仿宋_GB2312" w:hAnsi="仿宋_GB2312" w:eastAsia="仿宋_GB2312" w:cs="仿宋_GB2312"/>
          <w:b w:val="0"/>
          <w:bCs/>
          <w:color w:val="000000"/>
          <w:sz w:val="24"/>
          <w:szCs w:val="24"/>
        </w:rPr>
        <w:t>：</w:t>
      </w:r>
      <w:r>
        <w:rPr>
          <w:rFonts w:hint="eastAsia" w:ascii="仿宋_GB2312" w:hAnsi="仿宋_GB2312" w:eastAsia="仿宋_GB2312" w:cs="仿宋_GB2312"/>
          <w:b w:val="0"/>
          <w:bCs/>
          <w:color w:val="000000"/>
          <w:sz w:val="24"/>
          <w:szCs w:val="24"/>
          <w:u w:val="single"/>
        </w:rPr>
        <w:t xml:space="preserve">       </w:t>
      </w:r>
      <w:r>
        <w:rPr>
          <w:rFonts w:hint="eastAsia" w:ascii="仿宋_GB2312" w:hAnsi="仿宋_GB2312" w:eastAsia="仿宋_GB2312" w:cs="仿宋_GB2312"/>
          <w:b w:val="0"/>
          <w:bCs/>
          <w:color w:val="000000"/>
          <w:sz w:val="24"/>
          <w:szCs w:val="24"/>
        </w:rPr>
        <w:t>（公章）</w:t>
      </w:r>
      <w:bookmarkEnd w:id="434"/>
      <w:bookmarkEnd w:id="435"/>
    </w:p>
    <w:p w14:paraId="6DC789D4">
      <w:pPr>
        <w:widowControl w:val="0"/>
        <w:wordWrap/>
        <w:adjustRightInd/>
        <w:snapToGrid/>
        <w:spacing w:before="157" w:beforeLines="50" w:line="560" w:lineRule="exact"/>
        <w:ind w:firstLine="480" w:firstLineChars="200"/>
        <w:jc w:val="center"/>
        <w:textAlignment w:val="auto"/>
        <w:outlineLvl w:val="9"/>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 xml:space="preserve">        </w:t>
      </w:r>
      <w:bookmarkStart w:id="436" w:name="_Toc13573_WPSOffice_Level3"/>
      <w:bookmarkStart w:id="437" w:name="_Toc25026_WPSOffice_Level3"/>
      <w:r>
        <w:rPr>
          <w:rFonts w:hint="eastAsia" w:ascii="仿宋_GB2312" w:hAnsi="仿宋_GB2312" w:eastAsia="仿宋_GB2312" w:cs="仿宋_GB2312"/>
          <w:b w:val="0"/>
          <w:bCs/>
          <w:color w:val="000000"/>
          <w:sz w:val="24"/>
          <w:szCs w:val="24"/>
        </w:rPr>
        <w:t>法定代表人或委托代理人：</w:t>
      </w:r>
      <w:r>
        <w:rPr>
          <w:rFonts w:hint="eastAsia" w:ascii="仿宋_GB2312" w:hAnsi="仿宋_GB2312" w:eastAsia="仿宋_GB2312" w:cs="仿宋_GB2312"/>
          <w:b w:val="0"/>
          <w:bCs/>
          <w:color w:val="000000"/>
          <w:sz w:val="24"/>
          <w:szCs w:val="24"/>
          <w:u w:val="single"/>
        </w:rPr>
        <w:t xml:space="preserve">       </w:t>
      </w:r>
      <w:r>
        <w:rPr>
          <w:rFonts w:hint="eastAsia" w:ascii="仿宋_GB2312" w:hAnsi="仿宋_GB2312" w:eastAsia="仿宋_GB2312" w:cs="仿宋_GB2312"/>
          <w:b w:val="0"/>
          <w:bCs/>
          <w:color w:val="000000"/>
          <w:sz w:val="24"/>
          <w:szCs w:val="24"/>
        </w:rPr>
        <w:t>（签字或盖章）</w:t>
      </w:r>
      <w:bookmarkEnd w:id="436"/>
      <w:bookmarkEnd w:id="437"/>
    </w:p>
    <w:p w14:paraId="3B63FE72">
      <w:pPr>
        <w:widowControl w:val="0"/>
        <w:wordWrap/>
        <w:adjustRightInd/>
        <w:snapToGrid/>
        <w:spacing w:before="157" w:beforeLines="50" w:line="560" w:lineRule="exact"/>
        <w:ind w:firstLine="48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24"/>
          <w:szCs w:val="24"/>
        </w:rPr>
        <w:t xml:space="preserve">               </w:t>
      </w:r>
      <w:bookmarkStart w:id="438" w:name="_Toc5564_WPSOffice_Level3"/>
      <w:r>
        <w:rPr>
          <w:rFonts w:hint="eastAsia" w:ascii="仿宋_GB2312" w:hAnsi="仿宋_GB2312" w:eastAsia="仿宋_GB2312" w:cs="仿宋_GB2312"/>
          <w:b w:val="0"/>
          <w:bCs/>
          <w:color w:val="000000"/>
          <w:sz w:val="24"/>
          <w:szCs w:val="24"/>
          <w:lang w:val="en-US" w:eastAsia="zh-CN"/>
        </w:rPr>
        <w:t xml:space="preserve">                      </w:t>
      </w:r>
      <w:bookmarkStart w:id="439" w:name="_Toc12645_WPSOffice_Level3"/>
      <w:r>
        <w:rPr>
          <w:rFonts w:hint="eastAsia" w:ascii="仿宋_GB2312" w:hAnsi="仿宋_GB2312" w:eastAsia="仿宋_GB2312" w:cs="仿宋_GB2312"/>
          <w:b w:val="0"/>
          <w:bCs/>
          <w:color w:val="000000"/>
          <w:sz w:val="24"/>
          <w:szCs w:val="24"/>
        </w:rPr>
        <w:t>年   月  日</w:t>
      </w:r>
      <w:bookmarkEnd w:id="438"/>
      <w:bookmarkEnd w:id="439"/>
    </w:p>
    <w:p w14:paraId="5B4B5A1E">
      <w:pPr>
        <w:widowControl/>
        <w:wordWrap/>
        <w:snapToGrid w:val="0"/>
        <w:spacing w:before="157" w:beforeLines="50" w:line="560" w:lineRule="exact"/>
        <w:outlineLvl w:val="1"/>
        <w:rPr>
          <w:rFonts w:hint="eastAsia" w:ascii="宋体" w:hAnsi="宋体" w:eastAsia="宋体"/>
          <w:b/>
          <w:color w:val="000000"/>
          <w:sz w:val="36"/>
          <w:szCs w:val="36"/>
        </w:rPr>
      </w:pPr>
      <w:bookmarkStart w:id="440" w:name="_Toc12552"/>
      <w:bookmarkStart w:id="441" w:name="_Toc8368_WPSOffice_Level3"/>
      <w:bookmarkStart w:id="442" w:name="_Toc6033"/>
      <w:bookmarkStart w:id="443" w:name="_Toc19930_WPSOffice_Level3"/>
      <w:bookmarkStart w:id="444" w:name="_Toc16847"/>
      <w:bookmarkStart w:id="445" w:name="_Toc25242"/>
      <w:bookmarkStart w:id="446" w:name="_Toc5323"/>
      <w:r>
        <w:rPr>
          <w:rFonts w:hint="eastAsia" w:ascii="楷体_GB2312" w:hAnsi="楷体_GB2312" w:eastAsia="楷体_GB2312" w:cs="楷体_GB2312"/>
          <w:b/>
          <w:color w:val="000000"/>
          <w:sz w:val="32"/>
          <w:szCs w:val="32"/>
          <w:lang w:eastAsia="zh-CN"/>
        </w:rPr>
        <w:t>附件6：供应商资格证明文件</w:t>
      </w:r>
      <w:bookmarkEnd w:id="440"/>
      <w:bookmarkEnd w:id="441"/>
      <w:bookmarkEnd w:id="442"/>
      <w:bookmarkEnd w:id="443"/>
      <w:bookmarkEnd w:id="444"/>
      <w:bookmarkEnd w:id="445"/>
      <w:bookmarkEnd w:id="446"/>
    </w:p>
    <w:p w14:paraId="77DBE54B">
      <w:pPr>
        <w:wordWrap/>
        <w:spacing w:before="157" w:beforeLines="50" w:line="560" w:lineRule="exact"/>
        <w:jc w:val="center"/>
        <w:outlineLvl w:val="9"/>
        <w:rPr>
          <w:rFonts w:hint="eastAsia" w:ascii="宋体" w:hAnsi="宋体" w:eastAsia="宋体"/>
          <w:color w:val="000000"/>
          <w:sz w:val="21"/>
          <w:szCs w:val="21"/>
        </w:rPr>
      </w:pPr>
      <w:bookmarkStart w:id="447" w:name="_Toc9360_WPSOffice_Level3"/>
      <w:bookmarkStart w:id="448" w:name="_Toc23997_WPSOffice_Level3"/>
      <w:r>
        <w:rPr>
          <w:rFonts w:hint="eastAsia" w:ascii="仿宋_GB2312" w:hAnsi="仿宋_GB2312" w:eastAsia="仿宋_GB2312" w:cs="仿宋_GB2312"/>
          <w:b/>
          <w:color w:val="000000"/>
          <w:sz w:val="32"/>
          <w:szCs w:val="32"/>
          <w:lang w:eastAsia="zh-CN"/>
        </w:rPr>
        <w:t>供应商资格证明文件</w:t>
      </w:r>
      <w:bookmarkEnd w:id="447"/>
      <w:bookmarkEnd w:id="448"/>
    </w:p>
    <w:p w14:paraId="1AF63F3C">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资格证明材料包括：提供有效的营业执照、税务登记证、机构代码证或三证（五证）合一统一社会代码证及其他资格证明文件（扫描或复印件）。</w:t>
      </w:r>
    </w:p>
    <w:p w14:paraId="08961783">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73D6851C">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2、根据采购项目内容，提供供应商的相关资质证书、许可证等。</w:t>
      </w:r>
    </w:p>
    <w:p w14:paraId="55475592">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p>
    <w:p w14:paraId="6DFDC519">
      <w:pPr>
        <w:widowControl/>
        <w:wordWrap/>
        <w:snapToGrid w:val="0"/>
        <w:spacing w:before="157" w:beforeLines="50" w:line="560" w:lineRule="exact"/>
        <w:outlineLvl w:val="9"/>
        <w:rPr>
          <w:rFonts w:hint="eastAsia" w:ascii="宋体" w:eastAsia="宋体"/>
          <w:b/>
          <w:color w:val="000000"/>
          <w:sz w:val="28"/>
          <w:szCs w:val="28"/>
        </w:rPr>
      </w:pPr>
    </w:p>
    <w:p w14:paraId="61B84165">
      <w:pPr>
        <w:widowControl/>
        <w:wordWrap/>
        <w:snapToGrid w:val="0"/>
        <w:spacing w:before="157" w:beforeLines="50" w:line="560" w:lineRule="exact"/>
        <w:outlineLvl w:val="9"/>
        <w:rPr>
          <w:rFonts w:hint="eastAsia" w:ascii="宋体" w:eastAsia="宋体"/>
          <w:b/>
          <w:color w:val="000000"/>
          <w:sz w:val="28"/>
          <w:szCs w:val="28"/>
        </w:rPr>
      </w:pPr>
    </w:p>
    <w:p w14:paraId="0E9EC804">
      <w:pPr>
        <w:widowControl/>
        <w:wordWrap/>
        <w:snapToGrid w:val="0"/>
        <w:spacing w:before="157" w:beforeLines="50" w:line="560" w:lineRule="exact"/>
        <w:outlineLvl w:val="9"/>
        <w:rPr>
          <w:rFonts w:hint="eastAsia" w:ascii="宋体" w:eastAsia="宋体"/>
          <w:b/>
          <w:color w:val="000000"/>
          <w:sz w:val="28"/>
          <w:szCs w:val="28"/>
        </w:rPr>
      </w:pPr>
    </w:p>
    <w:p w14:paraId="0A4CF1EF">
      <w:pPr>
        <w:widowControl/>
        <w:wordWrap/>
        <w:snapToGrid w:val="0"/>
        <w:spacing w:before="157" w:beforeLines="50" w:line="560" w:lineRule="exact"/>
        <w:outlineLvl w:val="9"/>
        <w:rPr>
          <w:rFonts w:hint="eastAsia" w:ascii="宋体" w:eastAsia="宋体"/>
          <w:b/>
          <w:color w:val="000000"/>
          <w:sz w:val="28"/>
          <w:szCs w:val="28"/>
        </w:rPr>
      </w:pPr>
    </w:p>
    <w:p w14:paraId="0AACC33A">
      <w:pPr>
        <w:widowControl/>
        <w:wordWrap/>
        <w:snapToGrid w:val="0"/>
        <w:spacing w:before="157" w:beforeLines="50" w:line="560" w:lineRule="exact"/>
        <w:outlineLvl w:val="9"/>
        <w:rPr>
          <w:rFonts w:hint="eastAsia" w:ascii="宋体" w:eastAsia="宋体"/>
          <w:b/>
          <w:color w:val="000000"/>
          <w:sz w:val="28"/>
          <w:szCs w:val="28"/>
        </w:rPr>
      </w:pPr>
    </w:p>
    <w:p w14:paraId="6D370CEF">
      <w:pPr>
        <w:widowControl/>
        <w:wordWrap/>
        <w:snapToGrid w:val="0"/>
        <w:spacing w:before="157" w:beforeLines="50" w:line="560" w:lineRule="exact"/>
        <w:outlineLvl w:val="9"/>
        <w:rPr>
          <w:rFonts w:hint="eastAsia" w:ascii="宋体" w:eastAsia="宋体"/>
          <w:b/>
          <w:color w:val="000000"/>
          <w:sz w:val="28"/>
          <w:szCs w:val="28"/>
        </w:rPr>
      </w:pPr>
    </w:p>
    <w:p w14:paraId="76239EDD">
      <w:pPr>
        <w:widowControl/>
        <w:wordWrap/>
        <w:snapToGrid w:val="0"/>
        <w:spacing w:before="157" w:beforeLines="50" w:line="560" w:lineRule="exact"/>
        <w:outlineLvl w:val="1"/>
        <w:rPr>
          <w:rFonts w:hint="eastAsia" w:ascii="宋体" w:hAnsi="宋体" w:eastAsia="宋体"/>
          <w:b/>
          <w:color w:val="000000"/>
          <w:sz w:val="36"/>
          <w:szCs w:val="36"/>
        </w:rPr>
      </w:pPr>
      <w:bookmarkStart w:id="449" w:name="_Toc12925"/>
      <w:bookmarkStart w:id="450" w:name="_Toc5898"/>
      <w:bookmarkStart w:id="451" w:name="_Toc6573"/>
      <w:bookmarkStart w:id="452" w:name="_Toc25844"/>
      <w:bookmarkStart w:id="453" w:name="_Toc29082_WPSOffice_Level3"/>
      <w:bookmarkStart w:id="454" w:name="_Toc24054"/>
      <w:bookmarkStart w:id="455" w:name="_Toc7499_WPSOffice_Level3"/>
      <w:r>
        <w:rPr>
          <w:rFonts w:hint="eastAsia" w:ascii="楷体_GB2312" w:hAnsi="楷体_GB2312" w:eastAsia="楷体_GB2312" w:cs="楷体_GB2312"/>
          <w:b/>
          <w:color w:val="000000"/>
          <w:sz w:val="32"/>
          <w:szCs w:val="32"/>
          <w:lang w:eastAsia="zh-CN"/>
        </w:rPr>
        <w:t>附件7：财务状况、缴纳税收和社会保障资金证明</w:t>
      </w:r>
      <w:bookmarkEnd w:id="449"/>
      <w:bookmarkEnd w:id="450"/>
      <w:bookmarkEnd w:id="451"/>
      <w:bookmarkEnd w:id="452"/>
      <w:bookmarkEnd w:id="453"/>
      <w:bookmarkEnd w:id="454"/>
      <w:bookmarkEnd w:id="455"/>
    </w:p>
    <w:p w14:paraId="56A7B40F">
      <w:pPr>
        <w:wordWrap/>
        <w:spacing w:before="157" w:beforeLines="50" w:line="560" w:lineRule="exact"/>
        <w:jc w:val="center"/>
        <w:outlineLvl w:val="9"/>
        <w:rPr>
          <w:rFonts w:hint="eastAsia" w:ascii="宋体" w:hAnsi="宋体" w:eastAsia="宋体"/>
          <w:b/>
          <w:color w:val="000000"/>
          <w:sz w:val="36"/>
          <w:szCs w:val="36"/>
        </w:rPr>
      </w:pPr>
      <w:bookmarkStart w:id="456" w:name="_Toc22184_WPSOffice_Level3"/>
      <w:bookmarkStart w:id="457" w:name="_Toc2355_WPSOffice_Level3"/>
      <w:r>
        <w:rPr>
          <w:rFonts w:hint="eastAsia" w:ascii="仿宋_GB2312" w:hAnsi="仿宋_GB2312" w:eastAsia="仿宋_GB2312" w:cs="仿宋_GB2312"/>
          <w:b/>
          <w:color w:val="000000"/>
          <w:sz w:val="32"/>
          <w:szCs w:val="32"/>
          <w:lang w:eastAsia="zh-CN"/>
        </w:rPr>
        <w:t>财务状况、缴纳税收和社会保障资金证明</w:t>
      </w:r>
      <w:bookmarkEnd w:id="456"/>
      <w:bookmarkEnd w:id="457"/>
    </w:p>
    <w:p w14:paraId="6EF245C5">
      <w:pPr>
        <w:widowControl/>
        <w:wordWrap/>
        <w:adjustRightInd/>
        <w:snapToGrid w:val="0"/>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按照《政府采购法》第 22 条规定提供以下相关材料：</w:t>
      </w:r>
    </w:p>
    <w:p w14:paraId="276EB54E">
      <w:pPr>
        <w:widowControl/>
        <w:wordWrap/>
        <w:adjustRightInd/>
        <w:snapToGrid w:val="0"/>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bookmarkStart w:id="458" w:name="OLE_LINK43"/>
      <w:r>
        <w:rPr>
          <w:rFonts w:hint="eastAsia" w:ascii="仿宋_GB2312" w:hAnsi="仿宋_GB2312" w:eastAsia="仿宋_GB2312" w:cs="仿宋_GB2312"/>
          <w:color w:val="000000"/>
          <w:sz w:val="32"/>
          <w:szCs w:val="32"/>
        </w:rPr>
        <w:t>投标人是法人的，提供基本开户银行近三个月内出具的资信证明（同时提供基 本存款账户开户许可证或基本存款账户信息）</w:t>
      </w:r>
      <w:r>
        <w:rPr>
          <w:rFonts w:hint="eastAsia" w:ascii="仿宋_GB2312" w:hAnsi="仿宋_GB2312" w:eastAsia="仿宋_GB2312" w:cs="仿宋_GB2312"/>
          <w:color w:val="000000"/>
          <w:sz w:val="32"/>
          <w:szCs w:val="32"/>
          <w:lang w:val="en-US" w:eastAsia="zh-CN"/>
        </w:rPr>
        <w:t>或</w:t>
      </w:r>
      <w:r>
        <w:rPr>
          <w:rFonts w:hint="eastAsia" w:ascii="仿宋_GB2312" w:hAnsi="仿宋_GB2312" w:eastAsia="仿宋_GB2312" w:cs="仿宋_GB2312"/>
          <w:color w:val="000000"/>
          <w:sz w:val="32"/>
          <w:szCs w:val="32"/>
        </w:rPr>
        <w:t>2024年度</w:t>
      </w:r>
      <w:r>
        <w:rPr>
          <w:rFonts w:hint="eastAsia" w:ascii="仿宋_GB2312" w:hAnsi="仿宋_GB2312" w:eastAsia="仿宋_GB2312" w:cs="仿宋_GB2312"/>
          <w:color w:val="000000"/>
          <w:sz w:val="32"/>
          <w:szCs w:val="32"/>
          <w:lang w:eastAsia="zh-CN"/>
        </w:rPr>
        <w:t>（或</w:t>
      </w:r>
      <w:r>
        <w:rPr>
          <w:rFonts w:hint="eastAsia" w:ascii="仿宋_GB2312" w:hAnsi="仿宋_GB2312" w:eastAsia="仿宋_GB2312" w:cs="仿宋_GB2312"/>
          <w:color w:val="000000"/>
          <w:sz w:val="32"/>
          <w:szCs w:val="32"/>
          <w:lang w:val="en-US" w:eastAsia="zh-CN"/>
        </w:rPr>
        <w:t>2025年度</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经第三方审计的财务状况报告（扫描或复印件应全面、完整、清晰），包括资产负债表、现金流量表、利润表和财务（会计）报表附注，并提供第三方机构的营业执照、执业证书。投标人是其他组织和自然人，没有经审计的财务报告，可以提供基本开户银行出具的资信证明（同时提供基本存款账户开户许可证或基本存款账户信息）。</w:t>
      </w:r>
      <w:bookmarkEnd w:id="458"/>
    </w:p>
    <w:p w14:paraId="54B0E7EE">
      <w:pPr>
        <w:widowControl/>
        <w:wordWrap/>
        <w:adjustRightInd/>
        <w:snapToGrid w:val="0"/>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bookmarkStart w:id="459" w:name="OLE_LINK44"/>
      <w:r>
        <w:rPr>
          <w:rFonts w:hint="eastAsia" w:ascii="仿宋_GB2312" w:hAnsi="仿宋_GB2312" w:eastAsia="仿宋_GB2312" w:cs="仿宋_GB2312"/>
          <w:color w:val="000000"/>
          <w:sz w:val="32"/>
          <w:szCs w:val="32"/>
          <w:lang w:val="en-US" w:eastAsia="zh-CN"/>
        </w:rPr>
        <w:t>近半年内</w:t>
      </w:r>
      <w:r>
        <w:rPr>
          <w:rFonts w:hint="eastAsia" w:ascii="仿宋_GB2312" w:hAnsi="仿宋_GB2312" w:eastAsia="仿宋_GB2312" w:cs="仿宋_GB2312"/>
          <w:color w:val="000000"/>
          <w:sz w:val="32"/>
          <w:szCs w:val="32"/>
        </w:rPr>
        <w:t>任意</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个月依法缴纳税收和社会保障资金记录的证明材料；依法免税或不需要缴纳社会保障资金的供应商需提供相应文件证明其依法免税或不需要缴纳社会保障资金证明。</w:t>
      </w:r>
      <w:bookmarkEnd w:id="459"/>
    </w:p>
    <w:p w14:paraId="6D809F06">
      <w:pPr>
        <w:widowControl/>
        <w:wordWrap/>
        <w:adjustRightInd/>
        <w:snapToGrid w:val="0"/>
        <w:spacing w:line="560" w:lineRule="exact"/>
        <w:textAlignment w:val="auto"/>
        <w:outlineLvl w:val="9"/>
        <w:rPr>
          <w:rFonts w:hint="eastAsia" w:ascii="仿宋_GB2312" w:hAnsi="仿宋_GB2312" w:eastAsia="仿宋_GB2312" w:cs="仿宋_GB2312"/>
          <w:color w:val="000000"/>
          <w:sz w:val="32"/>
          <w:szCs w:val="32"/>
        </w:rPr>
      </w:pPr>
    </w:p>
    <w:p w14:paraId="3E8CDE12">
      <w:pPr>
        <w:widowControl/>
        <w:wordWrap/>
        <w:snapToGrid w:val="0"/>
        <w:spacing w:before="157" w:beforeLines="50" w:line="560" w:lineRule="exact"/>
        <w:outlineLvl w:val="9"/>
        <w:rPr>
          <w:rFonts w:hint="eastAsia" w:ascii="宋体" w:hAnsi="宋体" w:eastAsia="宋体"/>
          <w:color w:val="000000"/>
          <w:sz w:val="21"/>
          <w:szCs w:val="21"/>
        </w:rPr>
      </w:pPr>
    </w:p>
    <w:p w14:paraId="6631F89D">
      <w:pPr>
        <w:tabs>
          <w:tab w:val="left" w:pos="168"/>
        </w:tabs>
        <w:wordWrap/>
        <w:adjustRightInd w:val="0"/>
        <w:spacing w:before="157" w:beforeLines="50" w:line="560" w:lineRule="exact"/>
        <w:ind w:firstLine="480" w:firstLineChars="200"/>
        <w:textAlignment w:val="baseline"/>
        <w:rPr>
          <w:rFonts w:hint="eastAsia" w:ascii="宋体" w:hAnsi="宋体" w:eastAsia="宋体"/>
          <w:color w:val="000000"/>
          <w:sz w:val="24"/>
        </w:rPr>
      </w:pPr>
    </w:p>
    <w:p w14:paraId="580D226F">
      <w:pPr>
        <w:widowControl/>
        <w:wordWrap/>
        <w:snapToGrid w:val="0"/>
        <w:spacing w:before="157" w:beforeLines="50" w:line="560" w:lineRule="exact"/>
        <w:outlineLvl w:val="9"/>
        <w:rPr>
          <w:rFonts w:hint="eastAsia" w:ascii="宋体" w:hAnsi="宋体" w:eastAsia="宋体"/>
          <w:b/>
          <w:color w:val="000000"/>
          <w:sz w:val="24"/>
        </w:rPr>
      </w:pPr>
    </w:p>
    <w:p w14:paraId="5A1A974F">
      <w:pPr>
        <w:wordWrap/>
        <w:spacing w:before="157" w:beforeLines="50" w:line="560" w:lineRule="exact"/>
        <w:rPr>
          <w:rFonts w:hint="eastAsia" w:ascii="宋体" w:hAnsi="宋体" w:eastAsia="宋体"/>
          <w:b/>
          <w:bCs/>
          <w:color w:val="000000"/>
          <w:sz w:val="28"/>
          <w:szCs w:val="28"/>
        </w:rPr>
      </w:pPr>
    </w:p>
    <w:p w14:paraId="4191DD50">
      <w:pPr>
        <w:wordWrap/>
        <w:spacing w:before="157" w:beforeLines="50" w:line="560" w:lineRule="exact"/>
        <w:rPr>
          <w:rFonts w:hint="eastAsia" w:ascii="宋体" w:hAnsi="宋体" w:eastAsia="宋体"/>
          <w:b/>
          <w:bCs/>
          <w:color w:val="000000"/>
          <w:sz w:val="28"/>
          <w:szCs w:val="28"/>
        </w:rPr>
      </w:pPr>
    </w:p>
    <w:p w14:paraId="2B6F4AC0">
      <w:pPr>
        <w:wordWrap/>
        <w:spacing w:before="157" w:beforeLines="50" w:line="560" w:lineRule="exact"/>
        <w:rPr>
          <w:rFonts w:hint="eastAsia" w:ascii="宋体" w:hAnsi="宋体" w:eastAsia="宋体"/>
          <w:b/>
          <w:bCs/>
          <w:color w:val="000000"/>
          <w:sz w:val="28"/>
          <w:szCs w:val="28"/>
        </w:rPr>
      </w:pPr>
    </w:p>
    <w:p w14:paraId="356F44D6">
      <w:pPr>
        <w:wordWrap/>
        <w:spacing w:before="157" w:beforeLines="50" w:line="560" w:lineRule="exact"/>
        <w:rPr>
          <w:rFonts w:hint="eastAsia" w:ascii="宋体" w:hAnsi="宋体" w:eastAsia="宋体"/>
          <w:b/>
          <w:bCs/>
          <w:color w:val="000000"/>
          <w:sz w:val="28"/>
          <w:szCs w:val="28"/>
        </w:rPr>
      </w:pPr>
    </w:p>
    <w:p w14:paraId="31960A99">
      <w:pPr>
        <w:wordWrap/>
        <w:spacing w:before="157" w:beforeLines="50" w:line="560" w:lineRule="exact"/>
        <w:rPr>
          <w:rFonts w:hint="eastAsia" w:ascii="宋体" w:hAnsi="宋体" w:eastAsia="宋体"/>
          <w:b/>
          <w:bCs/>
          <w:color w:val="000000"/>
          <w:sz w:val="28"/>
          <w:szCs w:val="28"/>
        </w:rPr>
      </w:pPr>
    </w:p>
    <w:p w14:paraId="3757B9F4">
      <w:pPr>
        <w:widowControl/>
        <w:wordWrap/>
        <w:snapToGrid w:val="0"/>
        <w:spacing w:before="157" w:beforeLines="50" w:line="560" w:lineRule="exact"/>
        <w:outlineLvl w:val="1"/>
        <w:rPr>
          <w:rFonts w:hint="eastAsia" w:ascii="楷体_GB2312" w:hAnsi="楷体_GB2312" w:eastAsia="楷体_GB2312" w:cs="楷体_GB2312"/>
          <w:b/>
          <w:color w:val="000000"/>
          <w:sz w:val="32"/>
          <w:szCs w:val="32"/>
          <w:lang w:eastAsia="zh-CN"/>
        </w:rPr>
      </w:pPr>
      <w:bookmarkStart w:id="460" w:name="_Toc21984"/>
      <w:bookmarkStart w:id="461" w:name="_Toc16098"/>
      <w:bookmarkStart w:id="462" w:name="_Toc28737"/>
      <w:bookmarkStart w:id="463" w:name="_Toc27609"/>
      <w:bookmarkStart w:id="464" w:name="_Toc17387_WPSOffice_Level3"/>
      <w:bookmarkStart w:id="465" w:name="_Toc22959_WPSOffice_Level3"/>
      <w:bookmarkStart w:id="466" w:name="_Toc13266"/>
      <w:r>
        <w:rPr>
          <w:rFonts w:hint="eastAsia" w:ascii="楷体_GB2312" w:hAnsi="楷体_GB2312" w:eastAsia="楷体_GB2312" w:cs="楷体_GB2312"/>
          <w:b/>
          <w:color w:val="000000"/>
          <w:sz w:val="32"/>
          <w:szCs w:val="32"/>
          <w:lang w:eastAsia="zh-CN"/>
        </w:rPr>
        <w:t>附件8：</w:t>
      </w:r>
      <w:bookmarkEnd w:id="460"/>
      <w:r>
        <w:rPr>
          <w:rFonts w:hint="eastAsia" w:ascii="楷体_GB2312" w:hAnsi="楷体_GB2312" w:eastAsia="楷体_GB2312" w:cs="楷体_GB2312"/>
          <w:b/>
          <w:color w:val="000000"/>
          <w:sz w:val="32"/>
          <w:szCs w:val="32"/>
          <w:lang w:eastAsia="zh-CN"/>
        </w:rPr>
        <w:t>无重大违法记录声明</w:t>
      </w:r>
      <w:bookmarkEnd w:id="461"/>
      <w:bookmarkEnd w:id="462"/>
      <w:bookmarkEnd w:id="463"/>
      <w:bookmarkEnd w:id="464"/>
    </w:p>
    <w:p w14:paraId="1D75A472">
      <w:pPr>
        <w:wordWrap/>
        <w:spacing w:before="157" w:beforeLines="50" w:line="560" w:lineRule="exact"/>
        <w:jc w:val="center"/>
        <w:outlineLvl w:val="9"/>
        <w:rPr>
          <w:rFonts w:hint="eastAsia" w:ascii="宋体" w:hAnsi="宋体" w:eastAsia="宋体" w:cs="宋体"/>
          <w:b/>
          <w:bCs/>
          <w:color w:val="000000"/>
          <w:sz w:val="28"/>
          <w:szCs w:val="28"/>
        </w:rPr>
      </w:pPr>
      <w:bookmarkStart w:id="467" w:name="_Toc25610_WPSOffice_Level3"/>
      <w:r>
        <w:rPr>
          <w:rFonts w:hint="eastAsia" w:ascii="仿宋_GB2312" w:hAnsi="仿宋_GB2312" w:eastAsia="仿宋_GB2312" w:cs="仿宋_GB2312"/>
          <w:b/>
          <w:color w:val="000000"/>
          <w:sz w:val="32"/>
          <w:szCs w:val="32"/>
          <w:lang w:val="zh-CN" w:eastAsia="zh-CN"/>
        </w:rPr>
        <w:t>无重大违法记录声明</w:t>
      </w:r>
      <w:bookmarkEnd w:id="467"/>
    </w:p>
    <w:p w14:paraId="6F8C391B">
      <w:pPr>
        <w:widowControl w:val="0"/>
        <w:wordWrap/>
        <w:adjustRightInd/>
        <w:snapToGrid/>
        <w:spacing w:line="560" w:lineRule="exact"/>
        <w:textAlignment w:val="auto"/>
        <w:outlineLvl w:val="9"/>
        <w:rPr>
          <w:rFonts w:hint="eastAsia" w:ascii="仿宋_GB2312" w:hAnsi="仿宋_GB2312" w:eastAsia="仿宋_GB2312" w:cs="仿宋_GB2312"/>
          <w:b/>
          <w:bCs/>
          <w:color w:val="000000"/>
          <w:sz w:val="32"/>
          <w:szCs w:val="32"/>
        </w:rPr>
      </w:pPr>
      <w:r>
        <w:rPr>
          <w:rFonts w:hint="eastAsia" w:ascii="宋体" w:hAnsi="宋体" w:eastAsia="宋体" w:cs="宋体"/>
          <w:b/>
          <w:bCs/>
          <w:color w:val="000000"/>
          <w:kern w:val="0"/>
          <w:lang w:val="en-US" w:eastAsia="zh-CN"/>
        </w:rPr>
        <w:t xml:space="preserve">  </w:t>
      </w:r>
      <w:r>
        <w:rPr>
          <w:rFonts w:hint="eastAsia" w:ascii="仿宋_GB2312" w:hAnsi="仿宋_GB2312" w:eastAsia="仿宋_GB2312" w:cs="仿宋_GB2312"/>
          <w:b w:val="0"/>
          <w:bCs w:val="0"/>
          <w:color w:val="000000"/>
          <w:sz w:val="32"/>
          <w:szCs w:val="32"/>
        </w:rPr>
        <w:t>致：</w:t>
      </w:r>
      <w:r>
        <w:rPr>
          <w:rFonts w:hint="eastAsia" w:ascii="仿宋_GB2312" w:hAnsi="仿宋_GB2312" w:eastAsia="仿宋_GB2312" w:cs="仿宋_GB2312"/>
          <w:b w:val="0"/>
          <w:bCs w:val="0"/>
          <w:color w:val="000000"/>
          <w:sz w:val="32"/>
          <w:szCs w:val="32"/>
          <w:u w:val="single"/>
          <w:lang w:eastAsia="zh-CN"/>
        </w:rPr>
        <w:t>（代理机构名称）</w:t>
      </w:r>
    </w:p>
    <w:p w14:paraId="1EBB1BED">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rPr>
        <w:t>我单位参加本次政府采购项目活动前三年内，在经营活动中无重大违法活动记录，符合《政府采购法》规定的</w:t>
      </w:r>
      <w:r>
        <w:rPr>
          <w:rFonts w:hint="eastAsia" w:ascii="仿宋_GB2312" w:hAnsi="仿宋_GB2312" w:eastAsia="仿宋_GB2312" w:cs="仿宋_GB2312"/>
          <w:color w:val="000000"/>
          <w:sz w:val="32"/>
          <w:szCs w:val="32"/>
          <w:lang w:eastAsia="zh-CN"/>
        </w:rPr>
        <w:t>供应商</w:t>
      </w:r>
      <w:r>
        <w:rPr>
          <w:rFonts w:hint="eastAsia" w:ascii="仿宋_GB2312" w:hAnsi="仿宋_GB2312" w:eastAsia="仿宋_GB2312" w:cs="仿宋_GB2312"/>
          <w:color w:val="000000"/>
          <w:sz w:val="32"/>
          <w:szCs w:val="32"/>
        </w:rPr>
        <w:t>资格条</w:t>
      </w:r>
      <w:r>
        <w:rPr>
          <w:rFonts w:hint="eastAsia" w:ascii="仿宋_GB2312" w:hAnsi="仿宋_GB2312" w:eastAsia="仿宋_GB2312" w:cs="仿宋_GB2312"/>
          <w:color w:val="000000"/>
          <w:sz w:val="32"/>
          <w:szCs w:val="32"/>
          <w:shd w:val="clear" w:color="auto" w:fill="FFFFFF"/>
        </w:rPr>
        <w:t>件。我方对此声明负全部法律责任。</w:t>
      </w:r>
    </w:p>
    <w:p w14:paraId="27EA0CA8">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特此声明。</w:t>
      </w:r>
    </w:p>
    <w:p w14:paraId="13DFDD3A">
      <w:pPr>
        <w:widowControl w:val="0"/>
        <w:wordWrap/>
        <w:autoSpaceDE w:val="0"/>
        <w:autoSpaceDN w:val="0"/>
        <w:adjustRightInd/>
        <w:snapToGrid/>
        <w:spacing w:line="560" w:lineRule="exact"/>
        <w:jc w:val="left"/>
        <w:textAlignment w:val="auto"/>
        <w:outlineLvl w:val="9"/>
        <w:rPr>
          <w:rFonts w:hint="eastAsia" w:ascii="仿宋_GB2312" w:hAnsi="仿宋_GB2312" w:eastAsia="仿宋_GB2312" w:cs="仿宋_GB2312"/>
          <w:color w:val="000000"/>
          <w:kern w:val="0"/>
          <w:sz w:val="32"/>
          <w:szCs w:val="32"/>
          <w:lang w:val="zh-CN"/>
        </w:rPr>
      </w:pPr>
    </w:p>
    <w:p w14:paraId="45A94C4C">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lang w:val="en-US" w:eastAsia="zh-CN"/>
        </w:rPr>
      </w:pPr>
    </w:p>
    <w:p w14:paraId="5677FC36">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lang w:val="en-US" w:eastAsia="zh-CN"/>
        </w:rPr>
      </w:pPr>
      <w:r>
        <w:rPr>
          <w:rFonts w:hint="eastAsia" w:ascii="仿宋_GB2312" w:hAnsi="仿宋_GB2312" w:eastAsia="仿宋_GB2312" w:cs="仿宋_GB2312"/>
          <w:b w:val="0"/>
          <w:bCs/>
          <w:color w:val="000000"/>
          <w:sz w:val="32"/>
          <w:szCs w:val="32"/>
          <w:lang w:val="en-US" w:eastAsia="zh-CN"/>
        </w:rPr>
        <w:t xml:space="preserve">               </w:t>
      </w:r>
    </w:p>
    <w:p w14:paraId="0756698F">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lang w:val="en-US" w:eastAsia="zh-CN"/>
        </w:rPr>
      </w:pPr>
    </w:p>
    <w:p w14:paraId="289BE82F">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lang w:val="en-US" w:eastAsia="zh-CN"/>
        </w:rPr>
        <w:t xml:space="preserve">  </w:t>
      </w:r>
      <w:bookmarkStart w:id="468" w:name="_Toc21607_WPSOffice_Level3"/>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bookmarkEnd w:id="468"/>
    </w:p>
    <w:p w14:paraId="5A4870D6">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469" w:name="_Toc14292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469"/>
    </w:p>
    <w:p w14:paraId="0D600270">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bookmarkStart w:id="470" w:name="_Toc15350_WPSOffice_Level3"/>
      <w:r>
        <w:rPr>
          <w:rFonts w:hint="eastAsia" w:ascii="仿宋_GB2312" w:hAnsi="仿宋_GB2312" w:eastAsia="仿宋_GB2312" w:cs="仿宋_GB2312"/>
          <w:b w:val="0"/>
          <w:bCs/>
          <w:color w:val="000000"/>
          <w:sz w:val="32"/>
          <w:szCs w:val="32"/>
        </w:rPr>
        <w:t>年   月  日</w:t>
      </w:r>
      <w:bookmarkEnd w:id="470"/>
    </w:p>
    <w:p w14:paraId="3A7B8CC6">
      <w:pPr>
        <w:widowControl w:val="0"/>
        <w:wordWrap/>
        <w:spacing w:before="157" w:beforeLines="50" w:after="0" w:line="560" w:lineRule="exact"/>
        <w:jc w:val="left"/>
        <w:outlineLvl w:val="9"/>
        <w:rPr>
          <w:rFonts w:hint="eastAsia" w:ascii="宋体" w:hAnsi="宋体" w:eastAsia="宋体" w:cs="宋体"/>
          <w:b/>
          <w:bCs/>
          <w:color w:val="000000"/>
          <w:kern w:val="2"/>
          <w:sz w:val="28"/>
          <w:szCs w:val="28"/>
          <w:lang w:val="zh-CN" w:eastAsia="zh-CN" w:bidi="ar-SA"/>
        </w:rPr>
      </w:pPr>
      <w:r>
        <w:rPr>
          <w:rFonts w:hint="eastAsia" w:ascii="仿宋_GB2312" w:hAnsi="仿宋_GB2312" w:eastAsia="仿宋_GB2312" w:cs="仿宋_GB2312"/>
          <w:b/>
          <w:bCs/>
          <w:color w:val="000000"/>
          <w:kern w:val="2"/>
          <w:sz w:val="30"/>
          <w:szCs w:val="30"/>
          <w:lang w:val="en-US" w:eastAsia="zh-CN" w:bidi="ar-SA"/>
        </w:rPr>
        <w:br w:type="page"/>
      </w:r>
      <w:bookmarkStart w:id="471" w:name="_Toc2588"/>
      <w:bookmarkStart w:id="472" w:name="_Toc132_WPSOffice_Level3"/>
      <w:bookmarkStart w:id="473" w:name="_Toc24810"/>
      <w:bookmarkStart w:id="474" w:name="_Toc22949"/>
      <w:r>
        <w:rPr>
          <w:rFonts w:hint="eastAsia" w:ascii="楷体_GB2312" w:hAnsi="楷体_GB2312" w:eastAsia="楷体_GB2312" w:cs="楷体_GB2312"/>
          <w:b/>
          <w:bCs w:val="0"/>
          <w:color w:val="000000"/>
          <w:kern w:val="2"/>
          <w:sz w:val="32"/>
          <w:szCs w:val="32"/>
          <w:lang w:val="en-US" w:eastAsia="zh-CN" w:bidi="ar-SA"/>
        </w:rPr>
        <w:t>附件9：谈判</w:t>
      </w:r>
      <w:r>
        <w:rPr>
          <w:rFonts w:hint="eastAsia" w:ascii="楷体_GB2312" w:hAnsi="楷体_GB2312" w:eastAsia="楷体_GB2312" w:cs="楷体_GB2312"/>
          <w:b/>
          <w:bCs w:val="0"/>
          <w:color w:val="000000"/>
          <w:kern w:val="2"/>
          <w:sz w:val="32"/>
          <w:szCs w:val="32"/>
          <w:lang w:val="zh-CN" w:eastAsia="zh-CN" w:bidi="ar-SA"/>
        </w:rPr>
        <w:t>保证金证明</w:t>
      </w:r>
      <w:bookmarkEnd w:id="465"/>
      <w:bookmarkEnd w:id="466"/>
      <w:bookmarkEnd w:id="471"/>
      <w:bookmarkEnd w:id="472"/>
      <w:bookmarkEnd w:id="473"/>
      <w:bookmarkEnd w:id="474"/>
    </w:p>
    <w:p w14:paraId="52BC7850">
      <w:pPr>
        <w:wordWrap/>
        <w:spacing w:before="157" w:beforeLines="50" w:line="560" w:lineRule="exact"/>
        <w:jc w:val="center"/>
        <w:outlineLvl w:val="9"/>
        <w:rPr>
          <w:rFonts w:hint="eastAsia" w:ascii="宋体" w:hAnsi="宋体" w:eastAsia="宋体" w:cs="宋体"/>
          <w:b/>
          <w:bCs/>
          <w:color w:val="000000"/>
          <w:kern w:val="0"/>
          <w:sz w:val="28"/>
          <w:szCs w:val="28"/>
          <w:lang w:val="zh-CN"/>
        </w:rPr>
      </w:pPr>
      <w:bookmarkStart w:id="475" w:name="_Toc27502_WPSOffice_Level3"/>
      <w:r>
        <w:rPr>
          <w:rFonts w:hint="eastAsia" w:ascii="仿宋_GB2312" w:hAnsi="仿宋_GB2312" w:eastAsia="仿宋_GB2312" w:cs="仿宋_GB2312"/>
          <w:b/>
          <w:color w:val="000000"/>
          <w:sz w:val="32"/>
          <w:szCs w:val="32"/>
          <w:lang w:val="zh-CN" w:eastAsia="zh-CN"/>
        </w:rPr>
        <w:t>谈判保证金证明</w:t>
      </w:r>
      <w:bookmarkEnd w:id="475"/>
    </w:p>
    <w:p w14:paraId="5A4E8276">
      <w:pPr>
        <w:widowControl w:val="0"/>
        <w:wordWrap/>
        <w:autoSpaceDE w:val="0"/>
        <w:autoSpaceDN w:val="0"/>
        <w:adjustRightInd/>
        <w:snapToGrid/>
        <w:spacing w:line="560" w:lineRule="exact"/>
        <w:textAlignment w:val="auto"/>
        <w:outlineLvl w:val="9"/>
        <w:rPr>
          <w:rFonts w:hint="eastAsia" w:ascii="仿宋_GB2312" w:hAnsi="仿宋_GB2312" w:eastAsia="仿宋_GB2312" w:cs="仿宋_GB2312"/>
          <w:b/>
          <w:bCs/>
          <w:color w:val="000000"/>
          <w:kern w:val="0"/>
          <w:sz w:val="32"/>
          <w:szCs w:val="32"/>
          <w:lang w:val="zh-CN"/>
        </w:rPr>
      </w:pPr>
      <w:bookmarkStart w:id="476" w:name="_Toc21234_WPSOffice_Level2"/>
      <w:bookmarkStart w:id="477" w:name="_Toc12243_WPSOffice_Level2"/>
      <w:bookmarkStart w:id="478" w:name="_Toc1388_WPSOffice_Level2"/>
      <w:r>
        <w:rPr>
          <w:rFonts w:hint="eastAsia" w:ascii="仿宋_GB2312" w:hAnsi="仿宋_GB2312" w:eastAsia="仿宋_GB2312" w:cs="仿宋_GB2312"/>
          <w:b/>
          <w:bCs/>
          <w:color w:val="000000"/>
          <w:kern w:val="0"/>
          <w:sz w:val="32"/>
          <w:szCs w:val="32"/>
          <w:lang w:val="zh-CN"/>
        </w:rPr>
        <w:t>致：</w:t>
      </w:r>
      <w:r>
        <w:rPr>
          <w:rFonts w:hint="eastAsia" w:ascii="仿宋_GB2312" w:hAnsi="仿宋_GB2312" w:eastAsia="仿宋_GB2312" w:cs="仿宋_GB2312"/>
          <w:b/>
          <w:bCs/>
          <w:color w:val="000000"/>
          <w:kern w:val="0"/>
          <w:sz w:val="32"/>
          <w:szCs w:val="32"/>
          <w:u w:val="single"/>
          <w:lang w:val="zh-CN"/>
        </w:rPr>
        <w:t>采购代理机构</w:t>
      </w:r>
      <w:bookmarkEnd w:id="476"/>
      <w:bookmarkEnd w:id="477"/>
      <w:bookmarkEnd w:id="478"/>
    </w:p>
    <w:p w14:paraId="0CCE43D7">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我方为</w:t>
      </w:r>
      <w:r>
        <w:rPr>
          <w:rFonts w:hint="eastAsia" w:ascii="仿宋_GB2312" w:hAnsi="仿宋_GB2312" w:eastAsia="仿宋_GB2312" w:cs="仿宋_GB2312"/>
          <w:color w:val="000000"/>
          <w:kern w:val="0"/>
          <w:sz w:val="32"/>
          <w:szCs w:val="32"/>
          <w:u w:val="single"/>
          <w:lang w:val="en-US" w:eastAsia="zh-CN"/>
        </w:rPr>
        <w:t xml:space="preserve">        </w:t>
      </w:r>
      <w:r>
        <w:rPr>
          <w:rFonts w:hint="eastAsia" w:ascii="仿宋_GB2312" w:hAnsi="仿宋_GB2312" w:eastAsia="仿宋_GB2312" w:cs="仿宋_GB2312"/>
          <w:color w:val="000000"/>
          <w:kern w:val="0"/>
          <w:sz w:val="32"/>
          <w:szCs w:val="32"/>
          <w:lang w:val="zh-CN"/>
        </w:rPr>
        <w:t>（采购项目名称）项目（采购项目编号为：</w:t>
      </w:r>
      <w:r>
        <w:rPr>
          <w:rFonts w:hint="eastAsia" w:ascii="仿宋_GB2312" w:hAnsi="仿宋_GB2312" w:eastAsia="仿宋_GB2312" w:cs="仿宋_GB2312"/>
          <w:color w:val="000000"/>
          <w:kern w:val="0"/>
          <w:sz w:val="32"/>
          <w:szCs w:val="32"/>
          <w:u w:val="single"/>
          <w:lang w:val="zh-CN"/>
        </w:rPr>
        <w:t xml:space="preserve">        </w:t>
      </w:r>
      <w:r>
        <w:rPr>
          <w:rFonts w:hint="eastAsia" w:ascii="仿宋_GB2312" w:hAnsi="仿宋_GB2312" w:eastAsia="仿宋_GB2312" w:cs="仿宋_GB2312"/>
          <w:color w:val="000000"/>
          <w:kern w:val="0"/>
          <w:sz w:val="32"/>
          <w:szCs w:val="32"/>
          <w:lang w:val="zh-CN"/>
        </w:rPr>
        <w:t xml:space="preserve">）递交保证金人民币 </w:t>
      </w:r>
      <w:r>
        <w:rPr>
          <w:rFonts w:hint="eastAsia" w:ascii="仿宋_GB2312" w:hAnsi="仿宋_GB2312" w:eastAsia="仿宋_GB2312" w:cs="仿宋_GB2312"/>
          <w:color w:val="000000"/>
          <w:kern w:val="0"/>
          <w:sz w:val="32"/>
          <w:szCs w:val="32"/>
          <w:u w:val="single"/>
          <w:lang w:val="zh-CN"/>
        </w:rPr>
        <w:t xml:space="preserve">      </w:t>
      </w:r>
      <w:r>
        <w:rPr>
          <w:rFonts w:hint="eastAsia" w:ascii="仿宋_GB2312" w:hAnsi="仿宋_GB2312" w:eastAsia="仿宋_GB2312" w:cs="仿宋_GB2312"/>
          <w:color w:val="000000"/>
          <w:kern w:val="0"/>
          <w:sz w:val="32"/>
          <w:szCs w:val="32"/>
          <w:lang w:val="zh-CN"/>
        </w:rPr>
        <w:t>（大写：人民币</w:t>
      </w:r>
      <w:r>
        <w:rPr>
          <w:rFonts w:hint="eastAsia" w:ascii="仿宋_GB2312" w:hAnsi="仿宋_GB2312" w:eastAsia="仿宋_GB2312" w:cs="仿宋_GB2312"/>
          <w:color w:val="000000"/>
          <w:kern w:val="0"/>
          <w:sz w:val="32"/>
          <w:szCs w:val="32"/>
          <w:u w:val="single"/>
          <w:lang w:val="zh-CN"/>
        </w:rPr>
        <w:t xml:space="preserve">        </w:t>
      </w:r>
      <w:r>
        <w:rPr>
          <w:rFonts w:hint="eastAsia" w:ascii="仿宋_GB2312" w:hAnsi="仿宋_GB2312" w:eastAsia="仿宋_GB2312" w:cs="仿宋_GB2312"/>
          <w:color w:val="000000"/>
          <w:kern w:val="0"/>
          <w:sz w:val="32"/>
          <w:szCs w:val="32"/>
          <w:lang w:val="zh-CN"/>
        </w:rPr>
        <w:t>元）已于</w:t>
      </w:r>
      <w:r>
        <w:rPr>
          <w:rFonts w:hint="eastAsia" w:ascii="仿宋_GB2312" w:hAnsi="仿宋_GB2312" w:eastAsia="仿宋_GB2312" w:cs="仿宋_GB2312"/>
          <w:color w:val="000000"/>
          <w:kern w:val="0"/>
          <w:sz w:val="32"/>
          <w:szCs w:val="32"/>
          <w:u w:val="single"/>
          <w:lang w:val="zh-CN"/>
        </w:rPr>
        <w:t xml:space="preserve">     </w:t>
      </w:r>
      <w:r>
        <w:rPr>
          <w:rFonts w:hint="eastAsia" w:ascii="仿宋_GB2312" w:hAnsi="仿宋_GB2312" w:eastAsia="仿宋_GB2312" w:cs="仿宋_GB2312"/>
          <w:color w:val="000000"/>
          <w:kern w:val="0"/>
          <w:sz w:val="32"/>
          <w:szCs w:val="32"/>
          <w:lang w:val="zh-CN"/>
        </w:rPr>
        <w:t>年</w:t>
      </w:r>
      <w:r>
        <w:rPr>
          <w:rFonts w:hint="eastAsia" w:ascii="仿宋_GB2312" w:hAnsi="仿宋_GB2312" w:eastAsia="仿宋_GB2312" w:cs="仿宋_GB2312"/>
          <w:color w:val="000000"/>
          <w:kern w:val="0"/>
          <w:sz w:val="32"/>
          <w:szCs w:val="32"/>
          <w:u w:val="single"/>
          <w:lang w:val="zh-CN"/>
        </w:rPr>
        <w:t xml:space="preserve">    </w:t>
      </w:r>
      <w:r>
        <w:rPr>
          <w:rFonts w:hint="eastAsia" w:ascii="仿宋_GB2312" w:hAnsi="仿宋_GB2312" w:eastAsia="仿宋_GB2312" w:cs="仿宋_GB2312"/>
          <w:color w:val="000000"/>
          <w:kern w:val="0"/>
          <w:sz w:val="32"/>
          <w:szCs w:val="32"/>
          <w:lang w:val="zh-CN"/>
        </w:rPr>
        <w:t>月</w:t>
      </w:r>
      <w:r>
        <w:rPr>
          <w:rFonts w:hint="eastAsia" w:ascii="仿宋_GB2312" w:hAnsi="仿宋_GB2312" w:eastAsia="仿宋_GB2312" w:cs="仿宋_GB2312"/>
          <w:color w:val="000000"/>
          <w:kern w:val="0"/>
          <w:sz w:val="32"/>
          <w:szCs w:val="32"/>
          <w:u w:val="single"/>
          <w:lang w:val="zh-CN"/>
        </w:rPr>
        <w:t xml:space="preserve">    </w:t>
      </w:r>
      <w:r>
        <w:rPr>
          <w:rFonts w:hint="eastAsia" w:ascii="仿宋_GB2312" w:hAnsi="仿宋_GB2312" w:eastAsia="仿宋_GB2312" w:cs="仿宋_GB2312"/>
          <w:color w:val="000000"/>
          <w:kern w:val="0"/>
          <w:sz w:val="32"/>
          <w:szCs w:val="32"/>
          <w:lang w:val="zh-CN"/>
        </w:rPr>
        <w:t>日以转账方式汇入你方账户。</w:t>
      </w:r>
    </w:p>
    <w:p w14:paraId="641F76B7">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附</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lang w:val="zh-CN"/>
        </w:rPr>
        <w:t>保证金交款证明复印件（加盖公章）</w:t>
      </w:r>
    </w:p>
    <w:p w14:paraId="152B03F8">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退还保证金时请按以下内容汇入至我方账户（同递交保证金账户）。若因提供内容不全、错误等原因导致该项目保证金未能及时退还或退还过程中发生错误，我方将承担全部责任和损失。</w:t>
      </w:r>
    </w:p>
    <w:p w14:paraId="17151AF0">
      <w:pPr>
        <w:widowControl w:val="0"/>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户    名：</w:t>
      </w:r>
    </w:p>
    <w:p w14:paraId="0187A658">
      <w:pPr>
        <w:widowControl w:val="0"/>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开户银行：</w:t>
      </w:r>
    </w:p>
    <w:p w14:paraId="2CE383DB">
      <w:pPr>
        <w:widowControl w:val="0"/>
        <w:wordWrap/>
        <w:autoSpaceDE w:val="0"/>
        <w:autoSpaceDN w:val="0"/>
        <w:adjustRightInd/>
        <w:snapToGrid/>
        <w:spacing w:line="560" w:lineRule="exact"/>
        <w:ind w:firstLine="360"/>
        <w:textAlignment w:val="auto"/>
        <w:outlineLvl w:val="9"/>
        <w:rPr>
          <w:rFonts w:hint="eastAsia" w:ascii="宋体" w:hAnsi="宋体" w:eastAsia="宋体" w:cs="宋体"/>
          <w:color w:val="000000"/>
          <w:kern w:val="0"/>
          <w:lang w:val="zh-CN"/>
        </w:rPr>
      </w:pPr>
      <w:r>
        <w:rPr>
          <w:rFonts w:hint="eastAsia" w:ascii="仿宋_GB2312" w:hAnsi="仿宋_GB2312" w:eastAsia="仿宋_GB2312" w:cs="仿宋_GB2312"/>
          <w:color w:val="000000"/>
          <w:kern w:val="0"/>
          <w:sz w:val="32"/>
          <w:szCs w:val="32"/>
          <w:lang w:val="zh-CN"/>
        </w:rPr>
        <w:t>开户帐号：</w:t>
      </w:r>
    </w:p>
    <w:p w14:paraId="01459038">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lang w:val="en-US" w:eastAsia="zh-CN"/>
        </w:rPr>
        <w:t xml:space="preserve">                 </w:t>
      </w:r>
      <w:bookmarkStart w:id="479" w:name="_Toc16036_WPSOffice_Level3"/>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bookmarkEnd w:id="479"/>
    </w:p>
    <w:p w14:paraId="3BB83FA8">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480" w:name="_Toc4114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480"/>
    </w:p>
    <w:p w14:paraId="1935061C">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bookmarkStart w:id="481" w:name="_Toc26055_WPSOffice_Level3"/>
      <w:r>
        <w:rPr>
          <w:rFonts w:hint="eastAsia" w:ascii="仿宋_GB2312" w:hAnsi="仿宋_GB2312" w:eastAsia="仿宋_GB2312" w:cs="仿宋_GB2312"/>
          <w:b w:val="0"/>
          <w:bCs/>
          <w:color w:val="000000"/>
          <w:sz w:val="32"/>
          <w:szCs w:val="32"/>
        </w:rPr>
        <w:t>年   月  日</w:t>
      </w:r>
      <w:bookmarkEnd w:id="481"/>
    </w:p>
    <w:p w14:paraId="6A1F4349">
      <w:pPr>
        <w:wordWrap/>
        <w:autoSpaceDE w:val="0"/>
        <w:autoSpaceDN w:val="0"/>
        <w:spacing w:before="157" w:beforeLines="50" w:line="560" w:lineRule="exact"/>
        <w:outlineLvl w:val="9"/>
        <w:rPr>
          <w:rFonts w:hint="eastAsia" w:ascii="宋体" w:hAnsi="宋体" w:eastAsia="宋体" w:cs="宋体"/>
          <w:b/>
          <w:bCs/>
          <w:color w:val="000000"/>
          <w:kern w:val="0"/>
          <w:lang w:val="zh-CN"/>
        </w:rPr>
      </w:pPr>
    </w:p>
    <w:p w14:paraId="495B49C6">
      <w:pPr>
        <w:wordWrap/>
        <w:spacing w:before="157" w:beforeLines="50" w:line="560" w:lineRule="exact"/>
        <w:rPr>
          <w:rFonts w:hint="eastAsia" w:ascii="仿宋_GB2312" w:hAnsi="宋体" w:eastAsia="仿宋_GB2312"/>
          <w:b/>
          <w:color w:val="000000"/>
          <w:sz w:val="52"/>
          <w:szCs w:val="52"/>
        </w:rPr>
      </w:pPr>
      <w:r>
        <w:rPr>
          <w:rFonts w:hint="eastAsia" w:eastAsia="宋体"/>
          <w:kern w:val="0"/>
          <w:lang w:val="zh-CN"/>
        </w:rPr>
        <w:br w:type="page"/>
      </w:r>
    </w:p>
    <w:p w14:paraId="4349B79F">
      <w:pPr>
        <w:keepNext w:val="0"/>
        <w:keepLines w:val="0"/>
        <w:pageBreakBefore w:val="0"/>
        <w:widowControl w:val="0"/>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000000"/>
          <w:sz w:val="48"/>
          <w:szCs w:val="48"/>
        </w:rPr>
      </w:pPr>
      <w:bookmarkStart w:id="482" w:name="_Toc20688_WPSOffice_Level2"/>
      <w:bookmarkStart w:id="483" w:name="_Toc24560_WPSOffice_Level2"/>
      <w:r>
        <w:rPr>
          <w:rFonts w:hint="eastAsia" w:ascii="仿宋_GB2312" w:hAnsi="仿宋_GB2312" w:eastAsia="仿宋_GB2312" w:cs="仿宋_GB2312"/>
          <w:b/>
          <w:color w:val="000000"/>
          <w:sz w:val="48"/>
          <w:szCs w:val="48"/>
        </w:rPr>
        <w:t>青海省政府采购项目</w:t>
      </w:r>
      <w:bookmarkEnd w:id="482"/>
      <w:bookmarkEnd w:id="483"/>
    </w:p>
    <w:p w14:paraId="3EDF5845">
      <w:pPr>
        <w:keepNext w:val="0"/>
        <w:keepLines w:val="0"/>
        <w:pageBreakBefore w:val="0"/>
        <w:widowControl w:val="0"/>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000000"/>
          <w:sz w:val="48"/>
          <w:szCs w:val="48"/>
        </w:rPr>
      </w:pPr>
      <w:bookmarkStart w:id="484" w:name="_Toc1190_WPSOffice_Level2"/>
      <w:bookmarkStart w:id="485" w:name="_Toc30784_WPSOffice_Level2"/>
      <w:r>
        <w:rPr>
          <w:rFonts w:hint="eastAsia" w:ascii="仿宋_GB2312" w:hAnsi="仿宋_GB2312" w:eastAsia="仿宋_GB2312" w:cs="仿宋_GB2312"/>
          <w:b/>
          <w:color w:val="000000"/>
          <w:sz w:val="48"/>
          <w:szCs w:val="48"/>
        </w:rPr>
        <w:t>谈判响应文件</w:t>
      </w:r>
      <w:bookmarkEnd w:id="484"/>
      <w:bookmarkEnd w:id="485"/>
    </w:p>
    <w:p w14:paraId="3BB7F836">
      <w:pPr>
        <w:wordWrap/>
        <w:adjustRightInd w:val="0"/>
        <w:spacing w:before="157" w:beforeLines="50" w:line="560" w:lineRule="exact"/>
        <w:jc w:val="center"/>
        <w:textAlignment w:val="baseline"/>
        <w:outlineLvl w:val="9"/>
        <w:rPr>
          <w:rFonts w:hint="eastAsia" w:ascii="仿宋_GB2312" w:hAnsi="仿宋_GB2312" w:eastAsia="仿宋_GB2312" w:cs="仿宋_GB2312"/>
          <w:b/>
          <w:bCs/>
          <w:color w:val="000000"/>
          <w:sz w:val="32"/>
          <w:szCs w:val="32"/>
        </w:rPr>
      </w:pPr>
      <w:bookmarkStart w:id="486" w:name="_Toc24224_WPSOffice_Level2"/>
      <w:bookmarkStart w:id="487" w:name="_Toc5068_WPSOffice_Level2"/>
      <w:r>
        <w:rPr>
          <w:rFonts w:hint="eastAsia" w:ascii="仿宋_GB2312" w:hAnsi="仿宋_GB2312" w:eastAsia="仿宋_GB2312" w:cs="仿宋_GB2312"/>
          <w:b/>
          <w:bCs/>
          <w:color w:val="000000"/>
          <w:sz w:val="32"/>
          <w:szCs w:val="32"/>
        </w:rPr>
        <w:t>（</w:t>
      </w:r>
      <w:r>
        <w:rPr>
          <w:rFonts w:hint="eastAsia" w:ascii="仿宋_GB2312" w:hAnsi="仿宋_GB2312" w:eastAsia="仿宋_GB2312" w:cs="仿宋_GB2312"/>
          <w:b w:val="0"/>
          <w:bCs w:val="0"/>
          <w:kern w:val="2"/>
          <w:sz w:val="32"/>
          <w:szCs w:val="32"/>
          <w:lang w:val="en-US" w:eastAsia="zh-CN" w:bidi="ar-SA"/>
        </w:rPr>
        <w:t>有效性、完整性、响应程度审查部分</w:t>
      </w:r>
      <w:r>
        <w:rPr>
          <w:rFonts w:hint="eastAsia" w:ascii="仿宋_GB2312" w:hAnsi="仿宋_GB2312" w:eastAsia="仿宋_GB2312" w:cs="仿宋_GB2312"/>
          <w:b/>
          <w:bCs/>
          <w:color w:val="000000"/>
          <w:sz w:val="32"/>
          <w:szCs w:val="32"/>
        </w:rPr>
        <w:t>）</w:t>
      </w:r>
      <w:bookmarkEnd w:id="486"/>
      <w:bookmarkEnd w:id="487"/>
    </w:p>
    <w:p w14:paraId="0A42A83F">
      <w:pPr>
        <w:wordWrap/>
        <w:adjustRightInd w:val="0"/>
        <w:spacing w:before="157" w:beforeLines="50" w:line="560" w:lineRule="exact"/>
        <w:textAlignment w:val="baseline"/>
        <w:outlineLvl w:val="9"/>
        <w:rPr>
          <w:rFonts w:hint="eastAsia" w:ascii="仿宋_GB2312" w:hAnsi="仿宋_GB2312" w:eastAsia="仿宋_GB2312" w:cs="仿宋_GB2312"/>
          <w:b/>
          <w:bCs/>
          <w:color w:val="000000"/>
          <w:sz w:val="32"/>
          <w:szCs w:val="32"/>
        </w:rPr>
      </w:pPr>
    </w:p>
    <w:p w14:paraId="0B06E831">
      <w:pPr>
        <w:wordWrap/>
        <w:adjustRightInd w:val="0"/>
        <w:spacing w:before="157" w:beforeLines="50" w:line="560" w:lineRule="exact"/>
        <w:textAlignment w:val="baseline"/>
        <w:outlineLvl w:val="9"/>
        <w:rPr>
          <w:rFonts w:hint="eastAsia" w:ascii="仿宋_GB2312" w:hAnsi="仿宋_GB2312" w:eastAsia="仿宋_GB2312" w:cs="仿宋_GB2312"/>
          <w:b/>
          <w:bCs/>
          <w:color w:val="000000"/>
          <w:sz w:val="32"/>
          <w:szCs w:val="32"/>
        </w:rPr>
      </w:pPr>
    </w:p>
    <w:p w14:paraId="0C5B6E33">
      <w:pPr>
        <w:wordWrap/>
        <w:adjustRightInd w:val="0"/>
        <w:spacing w:before="157" w:beforeLines="50" w:line="560" w:lineRule="exact"/>
        <w:textAlignment w:val="baseline"/>
        <w:outlineLvl w:val="9"/>
        <w:rPr>
          <w:rFonts w:hint="eastAsia" w:ascii="仿宋_GB2312" w:hAnsi="仿宋_GB2312" w:eastAsia="仿宋_GB2312" w:cs="仿宋_GB2312"/>
          <w:b/>
          <w:bCs/>
          <w:color w:val="000000"/>
          <w:sz w:val="32"/>
          <w:szCs w:val="32"/>
        </w:rPr>
      </w:pPr>
    </w:p>
    <w:p w14:paraId="0BC72D49">
      <w:pPr>
        <w:wordWrap/>
        <w:adjustRightInd w:val="0"/>
        <w:spacing w:before="157" w:beforeLines="50" w:line="560" w:lineRule="exact"/>
        <w:textAlignment w:val="baseline"/>
        <w:outlineLvl w:val="9"/>
        <w:rPr>
          <w:rFonts w:hint="eastAsia" w:ascii="仿宋_GB2312" w:hAnsi="仿宋_GB2312" w:eastAsia="仿宋_GB2312" w:cs="仿宋_GB2312"/>
          <w:b/>
          <w:bCs/>
          <w:color w:val="000000"/>
          <w:sz w:val="32"/>
          <w:szCs w:val="32"/>
          <w:lang w:eastAsia="zh-CN"/>
        </w:rPr>
      </w:pPr>
      <w:bookmarkStart w:id="488" w:name="_Toc16258_WPSOffice_Level2"/>
      <w:bookmarkStart w:id="489" w:name="_Toc14028_WPSOffice_Level2"/>
      <w:r>
        <w:rPr>
          <w:rFonts w:hint="eastAsia" w:ascii="仿宋_GB2312" w:hAnsi="仿宋_GB2312" w:eastAsia="仿宋_GB2312" w:cs="仿宋_GB2312"/>
          <w:b/>
          <w:bCs/>
          <w:color w:val="000000"/>
          <w:sz w:val="32"/>
          <w:szCs w:val="32"/>
        </w:rPr>
        <w:t>采购项目编号:</w:t>
      </w:r>
      <w:bookmarkEnd w:id="488"/>
      <w:bookmarkEnd w:id="489"/>
    </w:p>
    <w:p w14:paraId="62CC620A">
      <w:pPr>
        <w:wordWrap/>
        <w:spacing w:before="157" w:beforeLines="50" w:line="560" w:lineRule="exact"/>
        <w:ind w:left="2530" w:hanging="2249" w:hangingChars="700"/>
        <w:jc w:val="left"/>
        <w:outlineLvl w:val="9"/>
        <w:rPr>
          <w:rFonts w:hint="eastAsia" w:ascii="仿宋_GB2312" w:hAnsi="仿宋_GB2312" w:eastAsia="仿宋_GB2312" w:cs="仿宋_GB2312"/>
          <w:b/>
          <w:bCs/>
          <w:color w:val="000000"/>
          <w:sz w:val="32"/>
          <w:szCs w:val="32"/>
        </w:rPr>
      </w:pPr>
      <w:bookmarkStart w:id="490" w:name="_Toc25982_WPSOffice_Level2"/>
      <w:bookmarkStart w:id="491" w:name="_Toc173_WPSOffice_Level2"/>
      <w:r>
        <w:rPr>
          <w:rFonts w:hint="eastAsia" w:ascii="仿宋_GB2312" w:hAnsi="仿宋_GB2312" w:eastAsia="仿宋_GB2312" w:cs="仿宋_GB2312"/>
          <w:b/>
          <w:bCs/>
          <w:color w:val="000000"/>
          <w:sz w:val="32"/>
          <w:szCs w:val="32"/>
        </w:rPr>
        <w:t>采购项目名称:</w:t>
      </w:r>
      <w:bookmarkEnd w:id="490"/>
      <w:bookmarkEnd w:id="491"/>
      <w:r>
        <w:rPr>
          <w:rFonts w:hint="eastAsia" w:ascii="仿宋_GB2312" w:hAnsi="仿宋_GB2312" w:eastAsia="仿宋_GB2312" w:cs="仿宋_GB2312"/>
          <w:b/>
          <w:bCs/>
          <w:color w:val="000000"/>
          <w:sz w:val="32"/>
          <w:szCs w:val="32"/>
        </w:rPr>
        <w:t xml:space="preserve"> </w:t>
      </w:r>
    </w:p>
    <w:p w14:paraId="3AF5E33D">
      <w:pPr>
        <w:wordWrap/>
        <w:spacing w:before="157" w:beforeLines="50" w:line="560" w:lineRule="exact"/>
        <w:ind w:left="2530" w:hanging="2249" w:hangingChars="700"/>
        <w:jc w:val="left"/>
        <w:outlineLvl w:val="9"/>
        <w:rPr>
          <w:rFonts w:hint="eastAsia" w:ascii="仿宋_GB2312" w:hAnsi="仿宋_GB2312" w:eastAsia="仿宋_GB2312" w:cs="仿宋_GB2312"/>
          <w:b/>
          <w:bCs/>
          <w:color w:val="000000"/>
          <w:sz w:val="32"/>
          <w:szCs w:val="32"/>
          <w:lang w:eastAsia="zh-CN"/>
        </w:rPr>
      </w:pPr>
      <w:bookmarkStart w:id="492" w:name="_Toc24014_WPSOffice_Level2"/>
      <w:bookmarkStart w:id="493" w:name="_Toc19360_WPSOffice_Level2"/>
      <w:r>
        <w:rPr>
          <w:rFonts w:hint="eastAsia" w:ascii="仿宋_GB2312" w:hAnsi="仿宋_GB2312" w:eastAsia="仿宋_GB2312" w:cs="仿宋_GB2312"/>
          <w:b/>
          <w:bCs/>
          <w:color w:val="000000"/>
          <w:sz w:val="32"/>
          <w:szCs w:val="32"/>
          <w:lang w:eastAsia="zh-CN"/>
        </w:rPr>
        <w:t>供应商名称：</w:t>
      </w:r>
      <w:bookmarkEnd w:id="492"/>
      <w:bookmarkEnd w:id="493"/>
    </w:p>
    <w:p w14:paraId="43413B5E">
      <w:pPr>
        <w:wordWrap/>
        <w:spacing w:before="157" w:beforeLines="50" w:line="560" w:lineRule="exact"/>
        <w:jc w:val="center"/>
        <w:outlineLvl w:val="9"/>
        <w:rPr>
          <w:rFonts w:hint="eastAsia" w:ascii="仿宋_GB2312" w:hAnsi="仿宋_GB2312" w:eastAsia="仿宋_GB2312" w:cs="仿宋_GB2312"/>
          <w:b/>
          <w:bCs/>
          <w:color w:val="000000"/>
          <w:sz w:val="32"/>
          <w:szCs w:val="32"/>
        </w:rPr>
      </w:pPr>
    </w:p>
    <w:p w14:paraId="0A287B94">
      <w:pPr>
        <w:wordWrap/>
        <w:spacing w:before="157" w:beforeLines="50" w:line="560" w:lineRule="exact"/>
        <w:jc w:val="center"/>
        <w:outlineLvl w:val="9"/>
        <w:rPr>
          <w:rFonts w:hint="eastAsia" w:ascii="仿宋_GB2312" w:hAnsi="仿宋_GB2312" w:eastAsia="仿宋_GB2312" w:cs="仿宋_GB2312"/>
          <w:b/>
          <w:color w:val="000000"/>
          <w:sz w:val="32"/>
          <w:szCs w:val="32"/>
        </w:rPr>
      </w:pPr>
      <w:bookmarkStart w:id="494" w:name="_Toc17697_WPSOffice_Level3"/>
      <w:r>
        <w:rPr>
          <w:rFonts w:hint="eastAsia" w:ascii="仿宋_GB2312" w:hAnsi="仿宋_GB2312" w:eastAsia="仿宋_GB2312" w:cs="仿宋_GB2312"/>
          <w:b/>
          <w:color w:val="000000"/>
          <w:sz w:val="32"/>
          <w:szCs w:val="32"/>
        </w:rPr>
        <w:t>年  月  日</w:t>
      </w:r>
      <w:bookmarkEnd w:id="494"/>
    </w:p>
    <w:p w14:paraId="4B5AC9AD">
      <w:pPr>
        <w:widowControl/>
        <w:wordWrap/>
        <w:snapToGrid w:val="0"/>
        <w:spacing w:before="157" w:beforeLines="50" w:line="560" w:lineRule="exact"/>
        <w:outlineLvl w:val="9"/>
        <w:rPr>
          <w:rFonts w:hint="eastAsia" w:ascii="宋体" w:eastAsia="宋体"/>
          <w:b/>
          <w:color w:val="000000"/>
          <w:sz w:val="28"/>
          <w:szCs w:val="28"/>
        </w:rPr>
      </w:pPr>
    </w:p>
    <w:p w14:paraId="79B01F39">
      <w:pPr>
        <w:widowControl/>
        <w:wordWrap/>
        <w:snapToGrid w:val="0"/>
        <w:spacing w:before="157" w:beforeLines="50" w:line="560" w:lineRule="exact"/>
        <w:outlineLvl w:val="1"/>
        <w:rPr>
          <w:rFonts w:hint="eastAsia" w:ascii="宋体" w:eastAsia="宋体"/>
          <w:b/>
          <w:color w:val="000000"/>
          <w:sz w:val="36"/>
          <w:szCs w:val="36"/>
        </w:rPr>
      </w:pPr>
      <w:r>
        <w:rPr>
          <w:rFonts w:ascii="宋体" w:eastAsia="宋体"/>
          <w:b/>
          <w:color w:val="000000"/>
          <w:sz w:val="28"/>
          <w:szCs w:val="28"/>
        </w:rPr>
        <w:br w:type="page"/>
      </w:r>
      <w:bookmarkStart w:id="495" w:name="_Toc13416_WPSOffice_Level3"/>
      <w:bookmarkStart w:id="496" w:name="_Toc3360"/>
      <w:bookmarkStart w:id="497" w:name="_Toc16287"/>
      <w:bookmarkStart w:id="498" w:name="_Toc1454"/>
      <w:bookmarkStart w:id="499" w:name="_Toc28116"/>
      <w:bookmarkStart w:id="500" w:name="_Toc18715"/>
      <w:bookmarkStart w:id="501" w:name="_Toc2646_WPSOffice_Level3"/>
      <w:r>
        <w:rPr>
          <w:rFonts w:hint="eastAsia" w:ascii="楷体_GB2312" w:hAnsi="楷体_GB2312" w:eastAsia="楷体_GB2312" w:cs="楷体_GB2312"/>
          <w:b/>
          <w:bCs w:val="0"/>
          <w:color w:val="000000"/>
          <w:kern w:val="2"/>
          <w:sz w:val="32"/>
          <w:szCs w:val="32"/>
          <w:lang w:val="en-US" w:eastAsia="zh-CN" w:bidi="ar-SA"/>
        </w:rPr>
        <w:t>附件10：谈判首次报价表</w:t>
      </w:r>
      <w:bookmarkEnd w:id="495"/>
      <w:bookmarkEnd w:id="496"/>
      <w:bookmarkEnd w:id="497"/>
      <w:bookmarkEnd w:id="498"/>
      <w:bookmarkEnd w:id="499"/>
      <w:bookmarkEnd w:id="500"/>
      <w:bookmarkEnd w:id="501"/>
    </w:p>
    <w:p w14:paraId="365E9A62">
      <w:pPr>
        <w:wordWrap/>
        <w:spacing w:before="157" w:beforeLines="50" w:line="560" w:lineRule="exact"/>
        <w:jc w:val="center"/>
        <w:outlineLvl w:val="9"/>
        <w:rPr>
          <w:rFonts w:hint="eastAsia" w:ascii="宋体" w:hAnsi="宋体" w:eastAsia="宋体"/>
          <w:b/>
          <w:color w:val="000000"/>
          <w:sz w:val="36"/>
          <w:szCs w:val="36"/>
        </w:rPr>
      </w:pPr>
      <w:bookmarkStart w:id="502" w:name="_Toc8724_WPSOffice_Level1"/>
      <w:bookmarkStart w:id="503" w:name="_Toc17115_WPSOffice_Level3"/>
      <w:bookmarkStart w:id="504" w:name="_Toc17322_WPSOffice_Level1"/>
      <w:r>
        <w:rPr>
          <w:rFonts w:hint="eastAsia" w:ascii="仿宋_GB2312" w:hAnsi="仿宋_GB2312" w:eastAsia="仿宋_GB2312" w:cs="仿宋_GB2312"/>
          <w:b/>
          <w:color w:val="000000"/>
          <w:sz w:val="32"/>
          <w:szCs w:val="32"/>
          <w:lang w:val="zh-CN" w:eastAsia="zh-CN"/>
        </w:rPr>
        <w:t>谈判首次报价表</w:t>
      </w:r>
      <w:bookmarkEnd w:id="502"/>
      <w:bookmarkEnd w:id="503"/>
      <w:bookmarkEnd w:id="504"/>
    </w:p>
    <w:p w14:paraId="4BADCB7E">
      <w:pPr>
        <w:widowControl w:val="0"/>
        <w:wordWrap/>
        <w:snapToGrid/>
        <w:spacing w:line="560" w:lineRule="exact"/>
        <w:outlineLvl w:val="9"/>
        <w:rPr>
          <w:rFonts w:hint="eastAsia" w:ascii="仿宋_GB2312" w:hAnsi="仿宋_GB2312" w:eastAsia="仿宋_GB2312" w:cs="仿宋_GB2312"/>
          <w:b w:val="0"/>
          <w:bCs/>
          <w:color w:val="000000"/>
          <w:sz w:val="32"/>
          <w:szCs w:val="32"/>
        </w:rPr>
      </w:pPr>
      <w:bookmarkStart w:id="505" w:name="_Toc14507_WPSOffice_Level2"/>
      <w:r>
        <w:rPr>
          <w:rFonts w:hint="eastAsia" w:ascii="仿宋_GB2312" w:hAnsi="仿宋_GB2312" w:eastAsia="仿宋_GB2312" w:cs="仿宋_GB2312"/>
          <w:b w:val="0"/>
          <w:bCs/>
          <w:color w:val="000000"/>
          <w:sz w:val="32"/>
          <w:szCs w:val="32"/>
        </w:rPr>
        <w:t>供应商名称：</w:t>
      </w:r>
      <w:bookmarkEnd w:id="505"/>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单位：人民币(元)</w:t>
      </w:r>
    </w:p>
    <w:tbl>
      <w:tblPr>
        <w:tblStyle w:val="18"/>
        <w:tblpPr w:leftFromText="180" w:rightFromText="180" w:vertAnchor="text" w:horzAnchor="margin" w:tblpXSpec="left" w:tblpY="14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717"/>
        <w:gridCol w:w="2670"/>
        <w:gridCol w:w="1560"/>
      </w:tblGrid>
      <w:tr w14:paraId="6874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2092" w:type="dxa"/>
            <w:vAlign w:val="center"/>
          </w:tcPr>
          <w:p w14:paraId="5A923A11">
            <w:pPr>
              <w:widowControl w:val="0"/>
              <w:wordWrap/>
              <w:adjustRightInd w:val="0"/>
              <w:snapToGrid/>
              <w:spacing w:line="560" w:lineRule="exact"/>
              <w:jc w:val="center"/>
              <w:textAlignment w:val="baseline"/>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项目名称</w:t>
            </w:r>
          </w:p>
        </w:tc>
        <w:tc>
          <w:tcPr>
            <w:tcW w:w="2717" w:type="dxa"/>
            <w:vAlign w:val="center"/>
          </w:tcPr>
          <w:p w14:paraId="2996AC7E">
            <w:pPr>
              <w:widowControl w:val="0"/>
              <w:wordWrap/>
              <w:adjustRightInd w:val="0"/>
              <w:snapToGrid/>
              <w:spacing w:line="560" w:lineRule="exact"/>
              <w:jc w:val="center"/>
              <w:textAlignment w:val="baseline"/>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lang w:eastAsia="zh-CN"/>
              </w:rPr>
              <w:t>首次</w:t>
            </w:r>
            <w:r>
              <w:rPr>
                <w:rFonts w:hint="eastAsia" w:ascii="仿宋_GB2312" w:hAnsi="仿宋_GB2312" w:eastAsia="仿宋_GB2312" w:cs="仿宋_GB2312"/>
                <w:b w:val="0"/>
                <w:bCs/>
                <w:color w:val="000000"/>
                <w:sz w:val="32"/>
                <w:szCs w:val="32"/>
              </w:rPr>
              <w:t>报价</w:t>
            </w:r>
          </w:p>
        </w:tc>
        <w:tc>
          <w:tcPr>
            <w:tcW w:w="2670" w:type="dxa"/>
            <w:vAlign w:val="center"/>
          </w:tcPr>
          <w:p w14:paraId="5EAC2D22">
            <w:pPr>
              <w:widowControl w:val="0"/>
              <w:wordWrap/>
              <w:adjustRightInd w:val="0"/>
              <w:snapToGrid/>
              <w:spacing w:line="560" w:lineRule="exact"/>
              <w:ind w:firstLine="160" w:firstLineChars="50"/>
              <w:jc w:val="center"/>
              <w:textAlignment w:val="baseline"/>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交货期</w:t>
            </w:r>
          </w:p>
          <w:p w14:paraId="43040320">
            <w:pPr>
              <w:widowControl w:val="0"/>
              <w:wordWrap/>
              <w:adjustRightInd w:val="0"/>
              <w:snapToGrid/>
              <w:spacing w:line="560" w:lineRule="exact"/>
              <w:jc w:val="center"/>
              <w:textAlignment w:val="baseline"/>
              <w:outlineLvl w:val="9"/>
              <w:rPr>
                <w:rFonts w:hint="eastAsia" w:ascii="仿宋_GB2312" w:hAnsi="仿宋_GB2312" w:eastAsia="仿宋_GB2312" w:cs="仿宋_GB2312"/>
                <w:b w:val="0"/>
                <w:bCs/>
                <w:color w:val="000000"/>
                <w:sz w:val="32"/>
                <w:szCs w:val="32"/>
              </w:rPr>
            </w:pPr>
          </w:p>
        </w:tc>
        <w:tc>
          <w:tcPr>
            <w:tcW w:w="1560" w:type="dxa"/>
            <w:vAlign w:val="center"/>
          </w:tcPr>
          <w:p w14:paraId="196D141E">
            <w:pPr>
              <w:widowControl w:val="0"/>
              <w:wordWrap/>
              <w:adjustRightInd w:val="0"/>
              <w:snapToGrid/>
              <w:spacing w:line="560" w:lineRule="exact"/>
              <w:ind w:left="354" w:leftChars="16" w:hanging="320" w:hangingChars="100"/>
              <w:jc w:val="center"/>
              <w:textAlignment w:val="baseline"/>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备注</w:t>
            </w:r>
          </w:p>
        </w:tc>
      </w:tr>
      <w:tr w14:paraId="53B5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2092" w:type="dxa"/>
            <w:vMerge w:val="restart"/>
            <w:vAlign w:val="center"/>
          </w:tcPr>
          <w:p w14:paraId="7E52E73E">
            <w:pPr>
              <w:widowControl w:val="0"/>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000000"/>
                <w:sz w:val="32"/>
                <w:szCs w:val="32"/>
              </w:rPr>
            </w:pPr>
          </w:p>
        </w:tc>
        <w:tc>
          <w:tcPr>
            <w:tcW w:w="2717" w:type="dxa"/>
            <w:vAlign w:val="top"/>
          </w:tcPr>
          <w:p w14:paraId="2F95B033">
            <w:pPr>
              <w:widowControl w:val="0"/>
              <w:wordWrap/>
              <w:adjustRightInd w:val="0"/>
              <w:snapToGrid/>
              <w:spacing w:line="560" w:lineRule="exact"/>
              <w:textAlignment w:val="baseline"/>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大写：</w:t>
            </w:r>
          </w:p>
        </w:tc>
        <w:tc>
          <w:tcPr>
            <w:tcW w:w="2670" w:type="dxa"/>
            <w:vMerge w:val="restart"/>
            <w:vAlign w:val="top"/>
          </w:tcPr>
          <w:p w14:paraId="28965A36">
            <w:pPr>
              <w:widowControl w:val="0"/>
              <w:wordWrap/>
              <w:adjustRightInd w:val="0"/>
              <w:snapToGrid/>
              <w:spacing w:line="560" w:lineRule="exact"/>
              <w:ind w:firstLine="262" w:firstLineChars="82"/>
              <w:textAlignment w:val="baseline"/>
              <w:outlineLvl w:val="9"/>
              <w:rPr>
                <w:rFonts w:hint="eastAsia" w:ascii="仿宋_GB2312" w:hAnsi="仿宋_GB2312" w:eastAsia="仿宋_GB2312" w:cs="仿宋_GB2312"/>
                <w:b w:val="0"/>
                <w:bCs/>
                <w:color w:val="000000"/>
                <w:sz w:val="32"/>
                <w:szCs w:val="32"/>
              </w:rPr>
            </w:pPr>
          </w:p>
        </w:tc>
        <w:tc>
          <w:tcPr>
            <w:tcW w:w="1560" w:type="dxa"/>
            <w:vMerge w:val="restart"/>
            <w:vAlign w:val="top"/>
          </w:tcPr>
          <w:p w14:paraId="1375D485">
            <w:pPr>
              <w:widowControl w:val="0"/>
              <w:wordWrap/>
              <w:adjustRightInd w:val="0"/>
              <w:snapToGrid/>
              <w:spacing w:line="560" w:lineRule="exact"/>
              <w:textAlignment w:val="baseline"/>
              <w:outlineLvl w:val="9"/>
              <w:rPr>
                <w:rFonts w:hint="eastAsia" w:ascii="仿宋_GB2312" w:hAnsi="仿宋_GB2312" w:eastAsia="仿宋_GB2312" w:cs="仿宋_GB2312"/>
                <w:b w:val="0"/>
                <w:bCs/>
                <w:color w:val="000000"/>
                <w:sz w:val="32"/>
                <w:szCs w:val="32"/>
              </w:rPr>
            </w:pPr>
          </w:p>
        </w:tc>
      </w:tr>
      <w:tr w14:paraId="6894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2092" w:type="dxa"/>
            <w:vMerge w:val="continue"/>
            <w:vAlign w:val="center"/>
          </w:tcPr>
          <w:p w14:paraId="6579188C">
            <w:pPr>
              <w:widowControl w:val="0"/>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000000"/>
                <w:sz w:val="32"/>
                <w:szCs w:val="32"/>
              </w:rPr>
            </w:pPr>
          </w:p>
        </w:tc>
        <w:tc>
          <w:tcPr>
            <w:tcW w:w="2717" w:type="dxa"/>
            <w:vAlign w:val="top"/>
          </w:tcPr>
          <w:p w14:paraId="301E71D8">
            <w:pPr>
              <w:widowControl w:val="0"/>
              <w:wordWrap/>
              <w:adjustRightInd w:val="0"/>
              <w:snapToGrid/>
              <w:spacing w:line="560" w:lineRule="exact"/>
              <w:textAlignment w:val="baseline"/>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小写：</w:t>
            </w:r>
          </w:p>
        </w:tc>
        <w:tc>
          <w:tcPr>
            <w:tcW w:w="2670" w:type="dxa"/>
            <w:vMerge w:val="continue"/>
            <w:vAlign w:val="top"/>
          </w:tcPr>
          <w:p w14:paraId="1BD828D9">
            <w:pPr>
              <w:widowControl w:val="0"/>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000000"/>
                <w:sz w:val="32"/>
                <w:szCs w:val="32"/>
              </w:rPr>
            </w:pPr>
          </w:p>
        </w:tc>
        <w:tc>
          <w:tcPr>
            <w:tcW w:w="1560" w:type="dxa"/>
            <w:vMerge w:val="continue"/>
            <w:vAlign w:val="top"/>
          </w:tcPr>
          <w:p w14:paraId="75CFB4AB">
            <w:pPr>
              <w:widowControl w:val="0"/>
              <w:wordWrap/>
              <w:adjustRightInd w:val="0"/>
              <w:snapToGrid/>
              <w:spacing w:line="560" w:lineRule="exact"/>
              <w:textAlignment w:val="baseline"/>
              <w:outlineLvl w:val="9"/>
              <w:rPr>
                <w:rFonts w:hint="eastAsia" w:ascii="仿宋_GB2312" w:hAnsi="仿宋_GB2312" w:eastAsia="仿宋_GB2312" w:cs="仿宋_GB2312"/>
                <w:b w:val="0"/>
                <w:bCs/>
                <w:color w:val="000000"/>
                <w:sz w:val="32"/>
                <w:szCs w:val="32"/>
              </w:rPr>
            </w:pPr>
          </w:p>
        </w:tc>
      </w:tr>
      <w:tr w14:paraId="7C55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3" w:hRule="atLeast"/>
        </w:trPr>
        <w:tc>
          <w:tcPr>
            <w:tcW w:w="9039" w:type="dxa"/>
            <w:gridSpan w:val="4"/>
            <w:vAlign w:val="center"/>
          </w:tcPr>
          <w:p w14:paraId="46BE402F">
            <w:pPr>
              <w:widowControl w:val="0"/>
              <w:wordWrap/>
              <w:adjustRightInd w:val="0"/>
              <w:snapToGrid/>
              <w:spacing w:line="560" w:lineRule="exact"/>
              <w:textAlignment w:val="baseline"/>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其他承诺及需要说明的事项：</w:t>
            </w:r>
          </w:p>
        </w:tc>
      </w:tr>
    </w:tbl>
    <w:p w14:paraId="784F28E1">
      <w:pPr>
        <w:widowControl w:val="0"/>
        <w:wordWrap/>
        <w:snapToGrid/>
        <w:spacing w:line="560" w:lineRule="exact"/>
        <w:outlineLvl w:val="9"/>
        <w:rPr>
          <w:rFonts w:hint="eastAsia" w:ascii="仿宋_GB2312" w:hAnsi="仿宋_GB2312" w:eastAsia="仿宋_GB2312" w:cs="仿宋_GB2312"/>
          <w:color w:val="000000"/>
          <w:sz w:val="32"/>
          <w:szCs w:val="32"/>
        </w:rPr>
      </w:pPr>
    </w:p>
    <w:p w14:paraId="6E7E244F">
      <w:pPr>
        <w:widowControl w:val="0"/>
        <w:wordWrap/>
        <w:snapToGrid/>
        <w:spacing w:line="560" w:lineRule="exact"/>
        <w:outlineLvl w:val="9"/>
        <w:rPr>
          <w:rFonts w:hint="eastAsia" w:ascii="仿宋_GB2312" w:hAnsi="仿宋_GB2312" w:eastAsia="仿宋_GB2312" w:cs="仿宋_GB2312"/>
          <w:color w:val="000000"/>
          <w:sz w:val="32"/>
          <w:szCs w:val="32"/>
        </w:rPr>
      </w:pPr>
    </w:p>
    <w:p w14:paraId="737233B7">
      <w:pPr>
        <w:widowControl w:val="0"/>
        <w:wordWrap/>
        <w:snapToGrid/>
        <w:spacing w:line="560" w:lineRule="exact"/>
        <w:outlineLvl w:val="9"/>
        <w:rPr>
          <w:rFonts w:hint="eastAsia" w:ascii="仿宋_GB2312" w:hAnsi="仿宋_GB2312" w:eastAsia="仿宋_GB2312" w:cs="仿宋_GB2312"/>
          <w:color w:val="000000"/>
          <w:sz w:val="32"/>
          <w:szCs w:val="32"/>
        </w:rPr>
      </w:pPr>
    </w:p>
    <w:p w14:paraId="3A64DA9F">
      <w:pPr>
        <w:widowControl w:val="0"/>
        <w:wordWrap/>
        <w:snapToGrid/>
        <w:spacing w:line="560" w:lineRule="exact"/>
        <w:outlineLvl w:val="9"/>
        <w:rPr>
          <w:rFonts w:hint="eastAsia" w:ascii="仿宋_GB2312" w:hAnsi="仿宋_GB2312" w:eastAsia="仿宋_GB2312" w:cs="仿宋_GB2312"/>
          <w:color w:val="000000"/>
          <w:sz w:val="32"/>
          <w:szCs w:val="32"/>
        </w:rPr>
      </w:pPr>
    </w:p>
    <w:p w14:paraId="59C867C8">
      <w:pPr>
        <w:widowControl w:val="0"/>
        <w:wordWrap/>
        <w:snapToGrid/>
        <w:spacing w:line="560" w:lineRule="exact"/>
        <w:outlineLvl w:val="9"/>
        <w:rPr>
          <w:rFonts w:hint="eastAsia" w:ascii="仿宋_GB2312" w:hAnsi="仿宋_GB2312" w:eastAsia="仿宋_GB2312" w:cs="仿宋_GB2312"/>
          <w:color w:val="000000"/>
          <w:sz w:val="32"/>
          <w:szCs w:val="32"/>
        </w:rPr>
      </w:pPr>
    </w:p>
    <w:p w14:paraId="69FFFFDE">
      <w:pPr>
        <w:widowControl w:val="0"/>
        <w:wordWrap/>
        <w:snapToGrid/>
        <w:spacing w:line="560" w:lineRule="exact"/>
        <w:outlineLvl w:val="9"/>
        <w:rPr>
          <w:rFonts w:hint="eastAsia" w:ascii="仿宋_GB2312" w:hAnsi="仿宋_GB2312" w:eastAsia="仿宋_GB2312" w:cs="仿宋_GB2312"/>
          <w:color w:val="000000"/>
          <w:sz w:val="32"/>
          <w:szCs w:val="32"/>
        </w:rPr>
      </w:pPr>
    </w:p>
    <w:p w14:paraId="1E744650">
      <w:pPr>
        <w:widowControl w:val="0"/>
        <w:wordWrap/>
        <w:snapToGrid/>
        <w:spacing w:line="560" w:lineRule="exact"/>
        <w:outlineLvl w:val="9"/>
        <w:rPr>
          <w:rFonts w:hint="eastAsia" w:ascii="仿宋_GB2312" w:hAnsi="仿宋_GB2312" w:eastAsia="仿宋_GB2312" w:cs="仿宋_GB2312"/>
          <w:color w:val="000000"/>
          <w:sz w:val="32"/>
          <w:szCs w:val="32"/>
        </w:rPr>
      </w:pPr>
    </w:p>
    <w:p w14:paraId="7C07056D">
      <w:pPr>
        <w:widowControl w:val="0"/>
        <w:wordWrap/>
        <w:snapToGrid/>
        <w:spacing w:line="560" w:lineRule="exact"/>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注：1、填写此表时不得改变表格形式。</w:t>
      </w:r>
    </w:p>
    <w:p w14:paraId="2C632140">
      <w:pPr>
        <w:widowControl w:val="0"/>
        <w:wordWrap/>
        <w:snapToGrid/>
        <w:spacing w:line="560" w:lineRule="exact"/>
        <w:ind w:firstLine="640" w:firstLineChars="200"/>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eastAsia="zh-CN"/>
        </w:rPr>
        <w:t>、响应文件</w:t>
      </w:r>
      <w:r>
        <w:rPr>
          <w:rFonts w:hint="eastAsia" w:ascii="仿宋_GB2312" w:hAnsi="仿宋_GB2312" w:eastAsia="仿宋_GB2312" w:cs="仿宋_GB2312"/>
          <w:color w:val="000000"/>
          <w:sz w:val="32"/>
          <w:szCs w:val="32"/>
          <w:highlight w:val="none"/>
        </w:rPr>
        <w:t>报价为总价。</w:t>
      </w:r>
      <w:r>
        <w:rPr>
          <w:rFonts w:hint="eastAsia" w:ascii="仿宋_GB2312" w:hAnsi="仿宋_GB2312" w:eastAsia="仿宋_GB2312" w:cs="仿宋_GB2312"/>
          <w:color w:val="000000"/>
          <w:sz w:val="32"/>
          <w:szCs w:val="32"/>
          <w:highlight w:val="none"/>
          <w:lang w:eastAsia="zh-CN"/>
        </w:rPr>
        <w:t>包括</w:t>
      </w:r>
      <w:r>
        <w:rPr>
          <w:rFonts w:hint="eastAsia" w:ascii="仿宋_GB2312" w:hAnsi="仿宋_GB2312" w:eastAsia="仿宋_GB2312" w:cs="仿宋_GB2312"/>
          <w:kern w:val="2"/>
          <w:sz w:val="32"/>
          <w:szCs w:val="32"/>
          <w:highlight w:val="none"/>
          <w:lang w:val="en-US" w:eastAsia="zh-CN" w:bidi="ar-SA"/>
        </w:rPr>
        <w:t>全部产品费、验收费、手续费、包装费、运输费、保险费、安装费、调试费、售前、售中、售后服务费、税金及不可预见费等全部费用。</w:t>
      </w:r>
    </w:p>
    <w:p w14:paraId="0ECA43F2">
      <w:pPr>
        <w:widowControl w:val="0"/>
        <w:wordWrap/>
        <w:snapToGrid/>
        <w:spacing w:line="560" w:lineRule="exact"/>
        <w:ind w:firstLine="640" w:firstLineChars="200"/>
        <w:outlineLvl w:val="9"/>
        <w:rPr>
          <w:rFonts w:hint="eastAsia" w:ascii="宋体" w:hAnsi="宋体" w:eastAsia="宋体"/>
          <w:color w:val="000000"/>
          <w:sz w:val="24"/>
        </w:rPr>
      </w:pPr>
      <w:r>
        <w:rPr>
          <w:rFonts w:hint="eastAsia" w:ascii="仿宋_GB2312" w:hAnsi="仿宋_GB2312" w:eastAsia="仿宋_GB2312" w:cs="仿宋_GB2312"/>
          <w:color w:val="000000"/>
          <w:sz w:val="32"/>
          <w:szCs w:val="32"/>
        </w:rPr>
        <w:t>3、“交货期”是指产品能够交付使用的具体时间。</w:t>
      </w:r>
    </w:p>
    <w:p w14:paraId="0DCCF356">
      <w:pPr>
        <w:wordWrap/>
        <w:spacing w:before="157" w:beforeLines="50" w:line="560" w:lineRule="exact"/>
        <w:ind w:firstLine="482" w:firstLineChars="200"/>
        <w:jc w:val="center"/>
        <w:outlineLvl w:val="9"/>
        <w:rPr>
          <w:rFonts w:hint="eastAsia" w:ascii="仿宋_GB2312" w:hAnsi="仿宋_GB2312" w:eastAsia="仿宋_GB2312" w:cs="仿宋_GB2312"/>
          <w:b w:val="0"/>
          <w:bCs/>
          <w:color w:val="000000"/>
          <w:sz w:val="32"/>
          <w:szCs w:val="32"/>
        </w:rPr>
      </w:pPr>
      <w:r>
        <w:rPr>
          <w:rFonts w:hint="eastAsia" w:ascii="宋体" w:hAnsi="宋体" w:eastAsia="宋体"/>
          <w:b/>
          <w:color w:val="000000"/>
          <w:sz w:val="24"/>
        </w:rPr>
        <w:t xml:space="preserve">              </w:t>
      </w:r>
      <w:r>
        <w:rPr>
          <w:rFonts w:hint="eastAsia" w:ascii="宋体" w:hAnsi="宋体" w:eastAsia="宋体"/>
          <w:b/>
          <w:color w:val="000000"/>
          <w:sz w:val="24"/>
          <w:lang w:val="en-US" w:eastAsia="zh-CN"/>
        </w:rPr>
        <w:t xml:space="preserve">       </w:t>
      </w:r>
      <w:r>
        <w:rPr>
          <w:rFonts w:hint="eastAsia" w:ascii="宋体" w:hAnsi="宋体" w:eastAsia="宋体"/>
          <w:b/>
          <w:color w:val="000000"/>
          <w:sz w:val="24"/>
        </w:rPr>
        <w:t xml:space="preserve"> </w:t>
      </w:r>
      <w:bookmarkStart w:id="506" w:name="_Toc27526_WPSOffice_Level3"/>
      <w:r>
        <w:rPr>
          <w:rFonts w:hint="eastAsia" w:ascii="宋体" w:hAnsi="宋体" w:eastAsia="宋体"/>
          <w:b/>
          <w:color w:val="000000"/>
          <w:sz w:val="24"/>
          <w:lang w:val="en-US" w:eastAsia="zh-CN"/>
        </w:rPr>
        <w:t xml:space="preserve"> </w:t>
      </w:r>
      <w:bookmarkStart w:id="507" w:name="_Toc11022_WPSOffice_Level3"/>
      <w:r>
        <w:rPr>
          <w:rFonts w:hint="eastAsia" w:ascii="仿宋_GB2312" w:hAnsi="仿宋_GB2312" w:eastAsia="仿宋_GB2312" w:cs="仿宋_GB2312"/>
          <w:b w:val="0"/>
          <w:bCs/>
          <w:color w:val="000000"/>
          <w:sz w:val="32"/>
          <w:szCs w:val="32"/>
          <w:lang w:eastAsia="zh-CN"/>
        </w:rPr>
        <w:t>单位名称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bookmarkEnd w:id="506"/>
      <w:bookmarkEnd w:id="507"/>
    </w:p>
    <w:p w14:paraId="105CDC8B">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508" w:name="_Toc32417_WPSOffice_Level3"/>
      <w:bookmarkStart w:id="509" w:name="_Toc23931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508"/>
      <w:bookmarkEnd w:id="509"/>
    </w:p>
    <w:p w14:paraId="4A69300A">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 xml:space="preserve"> </w:t>
      </w:r>
      <w:bookmarkStart w:id="510" w:name="_Toc23319_WPSOffice_Level3"/>
      <w:bookmarkStart w:id="511" w:name="_Toc19388_WPSOffice_Level3"/>
      <w:r>
        <w:rPr>
          <w:rFonts w:hint="eastAsia" w:ascii="仿宋_GB2312" w:hAnsi="仿宋_GB2312" w:eastAsia="仿宋_GB2312" w:cs="仿宋_GB2312"/>
          <w:b w:val="0"/>
          <w:bCs/>
          <w:color w:val="000000"/>
          <w:sz w:val="32"/>
          <w:szCs w:val="32"/>
        </w:rPr>
        <w:t>年   月  日</w:t>
      </w:r>
      <w:bookmarkEnd w:id="510"/>
      <w:bookmarkEnd w:id="511"/>
    </w:p>
    <w:p w14:paraId="30AFF903">
      <w:pPr>
        <w:widowControl/>
        <w:wordWrap/>
        <w:snapToGrid w:val="0"/>
        <w:spacing w:before="157" w:beforeLines="50" w:line="560" w:lineRule="exact"/>
        <w:outlineLvl w:val="1"/>
        <w:rPr>
          <w:rFonts w:hint="eastAsia" w:ascii="宋体" w:eastAsia="宋体"/>
          <w:b/>
          <w:color w:val="000000"/>
          <w:sz w:val="36"/>
          <w:szCs w:val="36"/>
        </w:rPr>
      </w:pPr>
      <w:r>
        <w:rPr>
          <w:rFonts w:ascii="宋体" w:eastAsia="宋体"/>
          <w:b/>
          <w:color w:val="000000"/>
          <w:sz w:val="28"/>
          <w:szCs w:val="28"/>
        </w:rPr>
        <w:br w:type="page"/>
      </w:r>
      <w:bookmarkStart w:id="512" w:name="_Toc13192"/>
      <w:bookmarkStart w:id="513" w:name="_Toc7532"/>
      <w:bookmarkStart w:id="514" w:name="_Toc24180"/>
      <w:bookmarkStart w:id="515" w:name="_Toc18824_WPSOffice_Level3"/>
      <w:bookmarkStart w:id="516" w:name="_Toc3352_WPSOffice_Level3"/>
      <w:bookmarkStart w:id="517" w:name="_Toc603"/>
      <w:bookmarkStart w:id="518" w:name="_Toc31202"/>
      <w:r>
        <w:rPr>
          <w:rFonts w:hint="eastAsia" w:ascii="楷体_GB2312" w:hAnsi="楷体_GB2312" w:eastAsia="楷体_GB2312" w:cs="楷体_GB2312"/>
          <w:b/>
          <w:bCs w:val="0"/>
          <w:color w:val="000000"/>
          <w:kern w:val="2"/>
          <w:sz w:val="32"/>
          <w:szCs w:val="32"/>
          <w:lang w:val="en-US" w:eastAsia="zh-CN" w:bidi="ar-SA"/>
        </w:rPr>
        <w:t>附件11：分项报价表</w:t>
      </w:r>
      <w:bookmarkEnd w:id="512"/>
      <w:bookmarkEnd w:id="513"/>
      <w:bookmarkEnd w:id="514"/>
      <w:bookmarkEnd w:id="515"/>
      <w:bookmarkEnd w:id="516"/>
      <w:bookmarkEnd w:id="517"/>
      <w:bookmarkEnd w:id="518"/>
    </w:p>
    <w:p w14:paraId="32CDEDAE">
      <w:pPr>
        <w:wordWrap/>
        <w:spacing w:before="157" w:beforeLines="50" w:line="560" w:lineRule="exact"/>
        <w:jc w:val="center"/>
        <w:outlineLvl w:val="9"/>
        <w:rPr>
          <w:rFonts w:hint="eastAsia" w:ascii="宋体" w:hAnsi="宋体" w:eastAsia="宋体"/>
          <w:b/>
          <w:color w:val="000000"/>
          <w:sz w:val="36"/>
          <w:szCs w:val="36"/>
        </w:rPr>
      </w:pPr>
      <w:bookmarkStart w:id="519" w:name="_Toc12587_WPSOffice_Level1"/>
      <w:bookmarkStart w:id="520" w:name="_Toc19937_WPSOffice_Level1"/>
      <w:bookmarkStart w:id="521" w:name="_Toc31256_WPSOffice_Level3"/>
      <w:r>
        <w:rPr>
          <w:rFonts w:hint="eastAsia" w:ascii="仿宋_GB2312" w:hAnsi="仿宋_GB2312" w:eastAsia="仿宋_GB2312" w:cs="仿宋_GB2312"/>
          <w:b/>
          <w:color w:val="000000"/>
          <w:sz w:val="32"/>
          <w:szCs w:val="32"/>
          <w:lang w:val="zh-CN" w:eastAsia="zh-CN"/>
        </w:rPr>
        <w:t>分项报价表</w:t>
      </w:r>
      <w:bookmarkEnd w:id="519"/>
      <w:bookmarkEnd w:id="520"/>
      <w:bookmarkEnd w:id="521"/>
    </w:p>
    <w:p w14:paraId="49713975">
      <w:pPr>
        <w:widowControl w:val="0"/>
        <w:wordWrap/>
        <w:adjustRightInd/>
        <w:snapToGrid/>
        <w:spacing w:line="560" w:lineRule="exact"/>
        <w:textAlignment w:val="auto"/>
        <w:outlineLvl w:val="9"/>
        <w:rPr>
          <w:rFonts w:hint="eastAsia" w:ascii="仿宋_GB2312" w:hAnsi="仿宋_GB2312" w:eastAsia="仿宋_GB2312" w:cs="仿宋_GB2312"/>
          <w:b w:val="0"/>
          <w:bCs/>
          <w:color w:val="000000"/>
          <w:sz w:val="32"/>
          <w:szCs w:val="32"/>
          <w:lang w:val="en-US" w:eastAsia="zh-CN"/>
        </w:rPr>
      </w:pPr>
      <w:bookmarkStart w:id="522" w:name="_Toc30633_WPSOffice_Level2"/>
      <w:r>
        <w:rPr>
          <w:rFonts w:hint="eastAsia" w:ascii="仿宋_GB2312" w:hAnsi="仿宋_GB2312" w:eastAsia="仿宋_GB2312" w:cs="仿宋_GB2312"/>
          <w:b w:val="0"/>
          <w:bCs/>
          <w:color w:val="000000"/>
          <w:sz w:val="32"/>
          <w:szCs w:val="32"/>
        </w:rPr>
        <w:t>供应商名称:</w:t>
      </w:r>
      <w:bookmarkEnd w:id="522"/>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单位：人民币(元)</w:t>
      </w:r>
      <w:r>
        <w:rPr>
          <w:rFonts w:hint="eastAsia" w:ascii="仿宋_GB2312" w:hAnsi="仿宋_GB2312" w:eastAsia="仿宋_GB2312" w:cs="仿宋_GB2312"/>
          <w:b w:val="0"/>
          <w:bCs/>
          <w:color w:val="000000"/>
          <w:sz w:val="32"/>
          <w:szCs w:val="32"/>
          <w:lang w:val="en-US" w:eastAsia="zh-CN"/>
        </w:rPr>
        <w:t xml:space="preserve">                                          </w:t>
      </w:r>
    </w:p>
    <w:tbl>
      <w:tblPr>
        <w:tblStyle w:val="19"/>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8"/>
        <w:gridCol w:w="1497"/>
        <w:gridCol w:w="992"/>
        <w:gridCol w:w="1052"/>
        <w:gridCol w:w="1356"/>
        <w:gridCol w:w="953"/>
        <w:gridCol w:w="710"/>
        <w:gridCol w:w="851"/>
        <w:gridCol w:w="850"/>
      </w:tblGrid>
      <w:tr w14:paraId="2D32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66AA4CF1">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序号</w:t>
            </w:r>
          </w:p>
        </w:tc>
        <w:tc>
          <w:tcPr>
            <w:tcW w:w="1497" w:type="dxa"/>
            <w:vAlign w:val="center"/>
          </w:tcPr>
          <w:p w14:paraId="2376D12E">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产品名称</w:t>
            </w:r>
          </w:p>
        </w:tc>
        <w:tc>
          <w:tcPr>
            <w:tcW w:w="992" w:type="dxa"/>
            <w:vAlign w:val="center"/>
          </w:tcPr>
          <w:p w14:paraId="00E2FA9E">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品牌</w:t>
            </w:r>
          </w:p>
        </w:tc>
        <w:tc>
          <w:tcPr>
            <w:tcW w:w="1052" w:type="dxa"/>
            <w:vAlign w:val="center"/>
          </w:tcPr>
          <w:p w14:paraId="3203A780">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规格型号</w:t>
            </w:r>
          </w:p>
        </w:tc>
        <w:tc>
          <w:tcPr>
            <w:tcW w:w="1356" w:type="dxa"/>
            <w:vAlign w:val="center"/>
          </w:tcPr>
          <w:p w14:paraId="259E0E45">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生产厂家</w:t>
            </w:r>
          </w:p>
        </w:tc>
        <w:tc>
          <w:tcPr>
            <w:tcW w:w="953" w:type="dxa"/>
            <w:vAlign w:val="center"/>
          </w:tcPr>
          <w:p w14:paraId="12BABF5F">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数量及单位</w:t>
            </w:r>
          </w:p>
        </w:tc>
        <w:tc>
          <w:tcPr>
            <w:tcW w:w="710" w:type="dxa"/>
            <w:vAlign w:val="center"/>
          </w:tcPr>
          <w:p w14:paraId="464F8D70">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单价</w:t>
            </w:r>
          </w:p>
        </w:tc>
        <w:tc>
          <w:tcPr>
            <w:tcW w:w="851" w:type="dxa"/>
            <w:vAlign w:val="center"/>
          </w:tcPr>
          <w:p w14:paraId="0F0EF96C">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合计</w:t>
            </w:r>
          </w:p>
        </w:tc>
        <w:tc>
          <w:tcPr>
            <w:tcW w:w="850" w:type="dxa"/>
            <w:vAlign w:val="center"/>
          </w:tcPr>
          <w:p w14:paraId="156E9B21">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备注</w:t>
            </w:r>
          </w:p>
        </w:tc>
      </w:tr>
      <w:tr w14:paraId="278C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4AEC4663">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1</w:t>
            </w:r>
          </w:p>
        </w:tc>
        <w:tc>
          <w:tcPr>
            <w:tcW w:w="1497" w:type="dxa"/>
            <w:vAlign w:val="center"/>
          </w:tcPr>
          <w:p w14:paraId="5F0436E8">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13BA8DC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76727797">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73C9D39F">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2DB436C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61C19CAC">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49B4E16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71423776">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4ACE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1A4239EF">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2</w:t>
            </w:r>
          </w:p>
        </w:tc>
        <w:tc>
          <w:tcPr>
            <w:tcW w:w="1497" w:type="dxa"/>
            <w:vAlign w:val="center"/>
          </w:tcPr>
          <w:p w14:paraId="5357582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52EAFBC2">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2256A158">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0766E527">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3897F045">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3E5C502F">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678AC120">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00E33294">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2E38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1B0E7F5D">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3</w:t>
            </w:r>
          </w:p>
        </w:tc>
        <w:tc>
          <w:tcPr>
            <w:tcW w:w="1497" w:type="dxa"/>
            <w:vAlign w:val="center"/>
          </w:tcPr>
          <w:p w14:paraId="497F368C">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1557A0C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5C4548B3">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2D49A8F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4A9B6463">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231DB06C">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2B660A2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28964F52">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6C7A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33B693A5">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4</w:t>
            </w:r>
          </w:p>
        </w:tc>
        <w:tc>
          <w:tcPr>
            <w:tcW w:w="1497" w:type="dxa"/>
            <w:vAlign w:val="center"/>
          </w:tcPr>
          <w:p w14:paraId="2BD7CD8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5BF7BD0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0A01DA95">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15931BE6">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53BF22B2">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6029EC3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534AAB25">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210A4D3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4767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2BDE1FD7">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w:t>
            </w:r>
          </w:p>
        </w:tc>
        <w:tc>
          <w:tcPr>
            <w:tcW w:w="1497" w:type="dxa"/>
            <w:vAlign w:val="center"/>
          </w:tcPr>
          <w:p w14:paraId="5FF023E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217F2A75">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1FEAE0E7">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11A19C8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0572DF54">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693204EC">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7BC5540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0349CC2E">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0E66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7" w:hRule="atLeast"/>
        </w:trPr>
        <w:tc>
          <w:tcPr>
            <w:tcW w:w="8919" w:type="dxa"/>
            <w:gridSpan w:val="9"/>
            <w:vAlign w:val="center"/>
          </w:tcPr>
          <w:p w14:paraId="3D0021DA">
            <w:pPr>
              <w:widowControl w:val="0"/>
              <w:wordWrap/>
              <w:adjustRightInd/>
              <w:snapToGrid/>
              <w:spacing w:line="560" w:lineRule="exact"/>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其他承诺及需要说明的事项：</w:t>
            </w:r>
          </w:p>
        </w:tc>
      </w:tr>
      <w:tr w14:paraId="65C3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2155" w:type="dxa"/>
            <w:gridSpan w:val="2"/>
            <w:vAlign w:val="center"/>
          </w:tcPr>
          <w:p w14:paraId="4F41DF8A">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总价</w:t>
            </w:r>
          </w:p>
        </w:tc>
        <w:tc>
          <w:tcPr>
            <w:tcW w:w="6764" w:type="dxa"/>
            <w:gridSpan w:val="7"/>
            <w:vAlign w:val="center"/>
          </w:tcPr>
          <w:p w14:paraId="00C7D740">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大写：                      小写：</w:t>
            </w:r>
          </w:p>
        </w:tc>
      </w:tr>
    </w:tbl>
    <w:p w14:paraId="632C45CF">
      <w:pPr>
        <w:widowControl w:val="0"/>
        <w:wordWrap/>
        <w:adjustRightInd/>
        <w:snapToGrid/>
        <w:spacing w:line="560" w:lineRule="exact"/>
        <w:jc w:val="both"/>
        <w:textAlignment w:val="auto"/>
        <w:outlineLvl w:val="9"/>
        <w:rPr>
          <w:rFonts w:hint="eastAsia" w:ascii="仿宋_GB2312" w:hAnsi="仿宋_GB2312" w:eastAsia="仿宋_GB2312" w:cs="仿宋_GB2312"/>
          <w:b w:val="0"/>
          <w:bCs/>
          <w:color w:val="000000"/>
          <w:sz w:val="32"/>
          <w:szCs w:val="32"/>
        </w:rPr>
      </w:pPr>
      <w:bookmarkStart w:id="523" w:name="_Toc698"/>
      <w:r>
        <w:rPr>
          <w:rFonts w:hint="eastAsia" w:ascii="宋体" w:hAnsi="宋体" w:eastAsia="宋体"/>
          <w:b/>
          <w:color w:val="000000"/>
          <w:sz w:val="24"/>
        </w:rPr>
        <w:t xml:space="preserve">  </w:t>
      </w: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p>
    <w:p w14:paraId="3C0D7814">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524" w:name="_Toc24193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524"/>
    </w:p>
    <w:p w14:paraId="0BFC43FC">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bookmarkStart w:id="525" w:name="_Toc20924_WPSOffice_Level3"/>
      <w:r>
        <w:rPr>
          <w:rFonts w:hint="eastAsia" w:ascii="仿宋_GB2312" w:hAnsi="仿宋_GB2312" w:eastAsia="仿宋_GB2312" w:cs="仿宋_GB2312"/>
          <w:b w:val="0"/>
          <w:bCs/>
          <w:color w:val="000000"/>
          <w:sz w:val="32"/>
          <w:szCs w:val="32"/>
        </w:rPr>
        <w:t>年   月  日</w:t>
      </w:r>
      <w:bookmarkEnd w:id="525"/>
    </w:p>
    <w:p w14:paraId="347F244B">
      <w:pPr>
        <w:widowControl/>
        <w:wordWrap/>
        <w:snapToGrid w:val="0"/>
        <w:spacing w:before="157" w:beforeLines="50" w:line="560" w:lineRule="exact"/>
        <w:outlineLvl w:val="9"/>
        <w:rPr>
          <w:rFonts w:hint="eastAsia" w:ascii="宋体" w:hAnsi="宋体" w:eastAsia="宋体"/>
          <w:b/>
          <w:color w:val="000000"/>
          <w:sz w:val="24"/>
        </w:rPr>
      </w:pPr>
    </w:p>
    <w:p w14:paraId="123904A8">
      <w:pPr>
        <w:widowControl/>
        <w:wordWrap/>
        <w:snapToGrid w:val="0"/>
        <w:spacing w:before="157" w:beforeLines="50" w:line="560" w:lineRule="exact"/>
        <w:outlineLvl w:val="1"/>
        <w:rPr>
          <w:rFonts w:hint="eastAsia" w:ascii="宋体" w:hAnsi="宋体" w:eastAsia="宋体"/>
          <w:b/>
          <w:color w:val="000000"/>
          <w:sz w:val="36"/>
          <w:szCs w:val="36"/>
        </w:rPr>
      </w:pPr>
      <w:bookmarkStart w:id="526" w:name="_Toc20734"/>
      <w:bookmarkStart w:id="527" w:name="_Toc13098_WPSOffice_Level3"/>
      <w:r>
        <w:rPr>
          <w:rFonts w:hint="eastAsia" w:ascii="仿宋_GB2312" w:hAnsi="仿宋_GB2312" w:eastAsia="仿宋_GB2312" w:cs="仿宋_GB2312"/>
          <w:b/>
          <w:color w:val="000000"/>
          <w:sz w:val="30"/>
          <w:szCs w:val="30"/>
          <w:lang w:eastAsia="zh-CN"/>
        </w:rPr>
        <w:br w:type="page"/>
      </w:r>
      <w:bookmarkStart w:id="528" w:name="_Toc28398"/>
      <w:bookmarkStart w:id="529" w:name="_Toc10777"/>
      <w:bookmarkStart w:id="530" w:name="_Toc9948"/>
      <w:bookmarkStart w:id="531" w:name="_Toc28315_WPSOffice_Level3"/>
      <w:r>
        <w:rPr>
          <w:rFonts w:hint="eastAsia" w:ascii="楷体_GB2312" w:hAnsi="楷体_GB2312" w:eastAsia="楷体_GB2312" w:cs="楷体_GB2312"/>
          <w:b/>
          <w:bCs w:val="0"/>
          <w:color w:val="000000"/>
          <w:kern w:val="2"/>
          <w:sz w:val="32"/>
          <w:szCs w:val="32"/>
          <w:lang w:val="en-US" w:eastAsia="zh-CN" w:bidi="ar-SA"/>
        </w:rPr>
        <w:t>附件12：技术规格响应表</w:t>
      </w:r>
      <w:bookmarkEnd w:id="523"/>
      <w:bookmarkEnd w:id="526"/>
      <w:bookmarkEnd w:id="527"/>
      <w:bookmarkEnd w:id="528"/>
      <w:bookmarkEnd w:id="529"/>
      <w:bookmarkEnd w:id="530"/>
      <w:bookmarkEnd w:id="531"/>
    </w:p>
    <w:p w14:paraId="245EE849">
      <w:pPr>
        <w:wordWrap/>
        <w:spacing w:before="157" w:beforeLines="50" w:line="560" w:lineRule="exact"/>
        <w:jc w:val="center"/>
        <w:outlineLvl w:val="9"/>
        <w:rPr>
          <w:rFonts w:hint="eastAsia" w:ascii="仿宋_GB2312" w:hAnsi="仿宋_GB2312" w:eastAsia="仿宋_GB2312" w:cs="仿宋_GB2312"/>
          <w:b/>
          <w:color w:val="000000"/>
          <w:sz w:val="32"/>
          <w:szCs w:val="32"/>
          <w:lang w:val="zh-CN" w:eastAsia="zh-CN"/>
        </w:rPr>
      </w:pPr>
      <w:bookmarkStart w:id="532" w:name="_Toc27646_WPSOffice_Level1"/>
      <w:bookmarkStart w:id="533" w:name="_Toc22043_WPSOffice_Level1"/>
      <w:bookmarkStart w:id="534" w:name="_Toc27772_WPSOffice_Level3"/>
      <w:r>
        <w:rPr>
          <w:rFonts w:hint="eastAsia" w:ascii="仿宋_GB2312" w:hAnsi="仿宋_GB2312" w:eastAsia="仿宋_GB2312" w:cs="仿宋_GB2312"/>
          <w:b/>
          <w:color w:val="000000"/>
          <w:sz w:val="32"/>
          <w:szCs w:val="32"/>
          <w:lang w:val="zh-CN" w:eastAsia="zh-CN"/>
        </w:rPr>
        <w:t>技术规格响应表</w:t>
      </w:r>
      <w:bookmarkEnd w:id="532"/>
      <w:bookmarkEnd w:id="533"/>
      <w:bookmarkEnd w:id="534"/>
    </w:p>
    <w:p w14:paraId="71FAF785">
      <w:pPr>
        <w:widowControl w:val="0"/>
        <w:wordWrap/>
        <w:adjustRightInd/>
        <w:snapToGrid/>
        <w:spacing w:line="560" w:lineRule="exact"/>
        <w:jc w:val="left"/>
        <w:textAlignment w:val="auto"/>
        <w:outlineLvl w:val="9"/>
        <w:rPr>
          <w:rFonts w:hint="eastAsia" w:ascii="仿宋_GB2312" w:hAnsi="仿宋_GB2312" w:eastAsia="仿宋_GB2312" w:cs="仿宋_GB2312"/>
          <w:b w:val="0"/>
          <w:bCs/>
          <w:color w:val="000000"/>
          <w:sz w:val="32"/>
          <w:szCs w:val="32"/>
        </w:rPr>
      </w:pPr>
      <w:bookmarkStart w:id="535" w:name="_Toc14764_WPSOffice_Level2"/>
      <w:r>
        <w:rPr>
          <w:rFonts w:hint="eastAsia" w:ascii="仿宋_GB2312" w:hAnsi="仿宋_GB2312" w:eastAsia="仿宋_GB2312" w:cs="仿宋_GB2312"/>
          <w:b w:val="0"/>
          <w:bCs/>
          <w:color w:val="000000"/>
          <w:sz w:val="32"/>
          <w:szCs w:val="32"/>
        </w:rPr>
        <w:t>供应商名称:</w:t>
      </w:r>
      <w:bookmarkEnd w:id="535"/>
    </w:p>
    <w:tbl>
      <w:tblPr>
        <w:tblStyle w:val="18"/>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7"/>
        <w:gridCol w:w="886"/>
        <w:gridCol w:w="2766"/>
        <w:gridCol w:w="915"/>
        <w:gridCol w:w="2880"/>
        <w:gridCol w:w="873"/>
      </w:tblGrid>
      <w:tr w14:paraId="09A1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2E65D243">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p>
        </w:tc>
        <w:tc>
          <w:tcPr>
            <w:tcW w:w="3652" w:type="dxa"/>
            <w:gridSpan w:val="2"/>
            <w:vAlign w:val="top"/>
          </w:tcPr>
          <w:p w14:paraId="248A9AF0">
            <w:pPr>
              <w:widowControl w:val="0"/>
              <w:wordWrap/>
              <w:adjustRightInd/>
              <w:snapToGrid/>
              <w:spacing w:line="560" w:lineRule="exact"/>
              <w:ind w:firstLine="160" w:firstLineChars="5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采购需求技术参数、指标</w:t>
            </w:r>
          </w:p>
        </w:tc>
        <w:tc>
          <w:tcPr>
            <w:tcW w:w="3795" w:type="dxa"/>
            <w:gridSpan w:val="2"/>
            <w:vAlign w:val="top"/>
          </w:tcPr>
          <w:p w14:paraId="7CBD3AEB">
            <w:pPr>
              <w:widowControl w:val="0"/>
              <w:wordWrap/>
              <w:adjustRightInd/>
              <w:snapToGrid/>
              <w:spacing w:line="560" w:lineRule="exac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投标产品技术参数、指标</w:t>
            </w:r>
          </w:p>
        </w:tc>
        <w:tc>
          <w:tcPr>
            <w:tcW w:w="873" w:type="dxa"/>
            <w:vAlign w:val="center"/>
          </w:tcPr>
          <w:p w14:paraId="3755F0C8">
            <w:pPr>
              <w:widowControl w:val="0"/>
              <w:wordWrap/>
              <w:adjustRightInd/>
              <w:snapToGrid/>
              <w:spacing w:line="560" w:lineRule="exact"/>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偏离</w:t>
            </w:r>
          </w:p>
        </w:tc>
      </w:tr>
      <w:tr w14:paraId="4FF3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4B90F207">
            <w:pPr>
              <w:widowControl w:val="0"/>
              <w:wordWrap/>
              <w:adjustRightInd/>
              <w:snapToGrid/>
              <w:spacing w:line="560" w:lineRule="exac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886" w:type="dxa"/>
            <w:vAlign w:val="center"/>
          </w:tcPr>
          <w:p w14:paraId="2ABA0CEB">
            <w:pPr>
              <w:widowControl w:val="0"/>
              <w:wordWrap/>
              <w:adjustRightInd/>
              <w:snapToGrid/>
              <w:spacing w:line="560" w:lineRule="exac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名称</w:t>
            </w:r>
          </w:p>
        </w:tc>
        <w:tc>
          <w:tcPr>
            <w:tcW w:w="2766" w:type="dxa"/>
            <w:vAlign w:val="center"/>
          </w:tcPr>
          <w:p w14:paraId="163C5D9A">
            <w:pPr>
              <w:widowControl w:val="0"/>
              <w:wordWrap/>
              <w:adjustRightInd/>
              <w:snapToGrid/>
              <w:spacing w:line="560" w:lineRule="exact"/>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技术参数、指标及配置</w:t>
            </w:r>
          </w:p>
        </w:tc>
        <w:tc>
          <w:tcPr>
            <w:tcW w:w="915" w:type="dxa"/>
            <w:vAlign w:val="center"/>
          </w:tcPr>
          <w:p w14:paraId="4172F976">
            <w:pPr>
              <w:widowControl w:val="0"/>
              <w:wordWrap/>
              <w:adjustRightInd/>
              <w:snapToGrid/>
              <w:spacing w:line="560" w:lineRule="exac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名称</w:t>
            </w:r>
          </w:p>
        </w:tc>
        <w:tc>
          <w:tcPr>
            <w:tcW w:w="2880" w:type="dxa"/>
            <w:vAlign w:val="center"/>
          </w:tcPr>
          <w:p w14:paraId="20CA6FDE">
            <w:pPr>
              <w:widowControl w:val="0"/>
              <w:wordWrap/>
              <w:adjustRightInd/>
              <w:snapToGrid/>
              <w:spacing w:line="560" w:lineRule="exact"/>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技术参数、指标及配置</w:t>
            </w:r>
          </w:p>
        </w:tc>
        <w:tc>
          <w:tcPr>
            <w:tcW w:w="873" w:type="dxa"/>
            <w:vAlign w:val="top"/>
          </w:tcPr>
          <w:p w14:paraId="6027591C">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r>
      <w:tr w14:paraId="5E8A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42F714AE">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886" w:type="dxa"/>
            <w:vAlign w:val="top"/>
          </w:tcPr>
          <w:p w14:paraId="3494F50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766" w:type="dxa"/>
            <w:vAlign w:val="top"/>
          </w:tcPr>
          <w:p w14:paraId="448E01B3">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915" w:type="dxa"/>
            <w:vAlign w:val="top"/>
          </w:tcPr>
          <w:p w14:paraId="7653277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880" w:type="dxa"/>
            <w:vAlign w:val="top"/>
          </w:tcPr>
          <w:p w14:paraId="369E061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873" w:type="dxa"/>
            <w:vAlign w:val="top"/>
          </w:tcPr>
          <w:p w14:paraId="64B2E23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r>
      <w:tr w14:paraId="6EBC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7211A60D">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886" w:type="dxa"/>
            <w:vAlign w:val="top"/>
          </w:tcPr>
          <w:p w14:paraId="2B35003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766" w:type="dxa"/>
            <w:vAlign w:val="top"/>
          </w:tcPr>
          <w:p w14:paraId="3215B433">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915" w:type="dxa"/>
            <w:vAlign w:val="top"/>
          </w:tcPr>
          <w:p w14:paraId="1F4935E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880" w:type="dxa"/>
            <w:vAlign w:val="top"/>
          </w:tcPr>
          <w:p w14:paraId="2EF50F0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873" w:type="dxa"/>
            <w:vAlign w:val="top"/>
          </w:tcPr>
          <w:p w14:paraId="52DEC0B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r>
      <w:tr w14:paraId="334A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0D3042F3">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p>
        </w:tc>
        <w:tc>
          <w:tcPr>
            <w:tcW w:w="886" w:type="dxa"/>
            <w:vAlign w:val="top"/>
          </w:tcPr>
          <w:p w14:paraId="14764747">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766" w:type="dxa"/>
            <w:vAlign w:val="top"/>
          </w:tcPr>
          <w:p w14:paraId="01547BE3">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915" w:type="dxa"/>
            <w:vAlign w:val="top"/>
          </w:tcPr>
          <w:p w14:paraId="00FF228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880" w:type="dxa"/>
            <w:vAlign w:val="top"/>
          </w:tcPr>
          <w:p w14:paraId="2E81C681">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873" w:type="dxa"/>
            <w:vAlign w:val="top"/>
          </w:tcPr>
          <w:p w14:paraId="0A3BFE3F">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r>
    </w:tbl>
    <w:p w14:paraId="39138B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1、本表应按照采购分项报价表中“产品名称”及采购一览表中产品序号的指标逐项填写，不得遗漏。否则，按无效</w:t>
      </w:r>
      <w:r>
        <w:rPr>
          <w:rFonts w:hint="eastAsia" w:ascii="仿宋_GB2312" w:hAnsi="仿宋_GB2312" w:eastAsia="仿宋_GB2312" w:cs="仿宋_GB2312"/>
          <w:color w:val="000000"/>
          <w:sz w:val="32"/>
          <w:szCs w:val="32"/>
          <w:lang w:eastAsia="zh-CN"/>
        </w:rPr>
        <w:t>响应</w:t>
      </w:r>
      <w:r>
        <w:rPr>
          <w:rFonts w:hint="eastAsia" w:ascii="仿宋_GB2312" w:hAnsi="仿宋_GB2312" w:eastAsia="仿宋_GB2312" w:cs="仿宋_GB2312"/>
          <w:color w:val="000000"/>
          <w:sz w:val="32"/>
          <w:szCs w:val="32"/>
        </w:rPr>
        <w:t>处理。</w:t>
      </w:r>
    </w:p>
    <w:p w14:paraId="3BF832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宋体" w:hAnsi="宋体" w:eastAsia="宋体"/>
          <w:b/>
          <w:color w:val="000000"/>
          <w:sz w:val="24"/>
          <w:u w:val="single"/>
        </w:rPr>
      </w:pPr>
      <w:r>
        <w:rPr>
          <w:rFonts w:hint="eastAsia" w:ascii="仿宋_GB2312" w:hAnsi="仿宋_GB2312" w:eastAsia="仿宋_GB2312" w:cs="仿宋_GB2312"/>
          <w:color w:val="000000"/>
          <w:sz w:val="32"/>
          <w:szCs w:val="32"/>
        </w:rPr>
        <w:t>2、“投标产品技术参数、指标”</w:t>
      </w:r>
      <w:r>
        <w:rPr>
          <w:rFonts w:hint="eastAsia" w:ascii="仿宋_GB2312" w:hAnsi="仿宋_GB2312" w:eastAsia="仿宋_GB2312" w:cs="仿宋_GB2312"/>
          <w:color w:val="000000"/>
          <w:sz w:val="32"/>
          <w:szCs w:val="32"/>
          <w:u w:val="none"/>
        </w:rPr>
        <w:t>必须与谈判响应文件中提供的产品检测报告或生产厂家出具的产品彩页等证明材料的实质性响应情况相一致。若在</w:t>
      </w:r>
      <w:r>
        <w:rPr>
          <w:rFonts w:hint="eastAsia" w:ascii="仿宋_GB2312" w:hAnsi="仿宋_GB2312" w:eastAsia="仿宋_GB2312" w:cs="仿宋_GB2312"/>
          <w:color w:val="000000"/>
          <w:sz w:val="32"/>
          <w:szCs w:val="32"/>
          <w:u w:val="none"/>
          <w:lang w:eastAsia="zh-CN"/>
        </w:rPr>
        <w:t>评审</w:t>
      </w:r>
      <w:r>
        <w:rPr>
          <w:rFonts w:hint="eastAsia" w:ascii="仿宋_GB2312" w:hAnsi="仿宋_GB2312" w:eastAsia="仿宋_GB2312" w:cs="仿宋_GB2312"/>
          <w:color w:val="000000"/>
          <w:sz w:val="32"/>
          <w:szCs w:val="32"/>
          <w:u w:val="none"/>
        </w:rPr>
        <w:t>环节发现该项与谈判响应文件中提供的产品检测报告</w:t>
      </w:r>
      <w:r>
        <w:rPr>
          <w:rFonts w:hint="eastAsia" w:ascii="仿宋_GB2312" w:hAnsi="仿宋_GB2312" w:eastAsia="仿宋_GB2312" w:cs="仿宋_GB2312"/>
          <w:color w:val="000000"/>
          <w:sz w:val="32"/>
          <w:szCs w:val="32"/>
          <w:u w:val="none"/>
          <w:lang w:val="en-US" w:eastAsia="zh-CN"/>
        </w:rPr>
        <w:t>或</w:t>
      </w:r>
      <w:r>
        <w:rPr>
          <w:rFonts w:hint="eastAsia" w:ascii="仿宋_GB2312" w:hAnsi="仿宋_GB2312" w:eastAsia="仿宋_GB2312" w:cs="仿宋_GB2312"/>
          <w:color w:val="000000"/>
          <w:sz w:val="32"/>
          <w:szCs w:val="32"/>
          <w:u w:val="none"/>
        </w:rPr>
        <w:t>生产厂家出具的产品彩页等证明材料的实质性响应情况不一致或直接复制谈判文件“采购需求技术参数、指标”内容的，按无效</w:t>
      </w:r>
      <w:r>
        <w:rPr>
          <w:rFonts w:hint="eastAsia" w:ascii="仿宋_GB2312" w:hAnsi="仿宋_GB2312" w:eastAsia="仿宋_GB2312" w:cs="仿宋_GB2312"/>
          <w:color w:val="000000"/>
          <w:sz w:val="32"/>
          <w:szCs w:val="32"/>
          <w:u w:val="none"/>
          <w:lang w:eastAsia="zh-CN"/>
        </w:rPr>
        <w:t>相应</w:t>
      </w:r>
      <w:r>
        <w:rPr>
          <w:rFonts w:hint="eastAsia" w:ascii="仿宋_GB2312" w:hAnsi="仿宋_GB2312" w:eastAsia="仿宋_GB2312" w:cs="仿宋_GB2312"/>
          <w:color w:val="000000"/>
          <w:sz w:val="32"/>
          <w:szCs w:val="32"/>
          <w:u w:val="none"/>
        </w:rPr>
        <w:t>处理。</w:t>
      </w:r>
      <w:r>
        <w:rPr>
          <w:rFonts w:hint="eastAsia" w:ascii="宋体" w:hAnsi="宋体" w:eastAsia="宋体"/>
          <w:b/>
          <w:color w:val="000000"/>
          <w:sz w:val="24"/>
          <w:u w:val="none"/>
        </w:rPr>
        <w:t xml:space="preserve">   </w:t>
      </w:r>
    </w:p>
    <w:p w14:paraId="1F9C1449">
      <w:pPr>
        <w:widowControl w:val="0"/>
        <w:wordWrap/>
        <w:adjustRightInd/>
        <w:snapToGrid/>
        <w:spacing w:line="560" w:lineRule="exact"/>
        <w:ind w:firstLine="4160" w:firstLineChars="1300"/>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p>
    <w:p w14:paraId="04A3442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536" w:name="_Toc3277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536"/>
    </w:p>
    <w:p w14:paraId="677CFEF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p w14:paraId="19FC2C51">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p w14:paraId="516894F7">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bookmarkStart w:id="537" w:name="_Toc22450_WPSOffice_Level3"/>
      <w:r>
        <w:rPr>
          <w:rFonts w:hint="eastAsia" w:ascii="仿宋_GB2312" w:hAnsi="仿宋_GB2312" w:eastAsia="仿宋_GB2312" w:cs="仿宋_GB2312"/>
          <w:b w:val="0"/>
          <w:bCs/>
          <w:color w:val="000000"/>
          <w:sz w:val="32"/>
          <w:szCs w:val="32"/>
        </w:rPr>
        <w:t>年   月  日</w:t>
      </w:r>
      <w:bookmarkEnd w:id="537"/>
    </w:p>
    <w:p w14:paraId="5D2131D8">
      <w:pPr>
        <w:widowControl/>
        <w:wordWrap/>
        <w:snapToGrid w:val="0"/>
        <w:spacing w:before="157" w:beforeLines="50" w:line="560" w:lineRule="exact"/>
        <w:outlineLvl w:val="9"/>
        <w:rPr>
          <w:rFonts w:hint="eastAsia" w:ascii="宋体" w:hAnsi="宋体" w:eastAsia="宋体"/>
          <w:b/>
          <w:color w:val="000000"/>
          <w:sz w:val="24"/>
        </w:rPr>
      </w:pPr>
    </w:p>
    <w:p w14:paraId="0A3D416D">
      <w:pPr>
        <w:widowControl/>
        <w:wordWrap/>
        <w:snapToGrid w:val="0"/>
        <w:spacing w:before="157" w:beforeLines="50" w:line="560" w:lineRule="exact"/>
        <w:outlineLvl w:val="1"/>
        <w:rPr>
          <w:rFonts w:hint="eastAsia" w:ascii="宋体" w:eastAsia="宋体"/>
          <w:b/>
          <w:color w:val="000000"/>
          <w:sz w:val="36"/>
          <w:szCs w:val="36"/>
        </w:rPr>
      </w:pPr>
      <w:bookmarkStart w:id="538" w:name="_Toc7597"/>
      <w:bookmarkStart w:id="539" w:name="_Toc14547"/>
      <w:bookmarkStart w:id="540" w:name="_Toc6913_WPSOffice_Level3"/>
      <w:bookmarkStart w:id="541" w:name="_Toc16236"/>
      <w:bookmarkStart w:id="542" w:name="_Toc18025_WPSOffice_Level3"/>
      <w:bookmarkStart w:id="543" w:name="_Toc28590"/>
      <w:bookmarkStart w:id="544" w:name="_Toc28501"/>
      <w:r>
        <w:rPr>
          <w:rFonts w:hint="eastAsia" w:ascii="楷体_GB2312" w:hAnsi="楷体_GB2312" w:eastAsia="楷体_GB2312" w:cs="楷体_GB2312"/>
          <w:b/>
          <w:bCs w:val="0"/>
          <w:color w:val="000000"/>
          <w:kern w:val="2"/>
          <w:sz w:val="32"/>
          <w:szCs w:val="32"/>
          <w:lang w:val="en-US" w:eastAsia="zh-CN" w:bidi="ar-SA"/>
        </w:rPr>
        <w:t>附件13：</w:t>
      </w:r>
      <w:bookmarkEnd w:id="538"/>
      <w:bookmarkEnd w:id="539"/>
      <w:bookmarkEnd w:id="540"/>
      <w:r>
        <w:rPr>
          <w:rFonts w:hint="eastAsia" w:ascii="楷体_GB2312" w:hAnsi="楷体_GB2312" w:eastAsia="楷体_GB2312" w:cs="楷体_GB2312"/>
          <w:b/>
          <w:bCs w:val="0"/>
          <w:color w:val="000000"/>
          <w:kern w:val="2"/>
          <w:sz w:val="32"/>
          <w:szCs w:val="32"/>
          <w:lang w:val="en-US" w:eastAsia="zh-CN" w:bidi="ar-SA"/>
        </w:rPr>
        <w:t>产品相关资料（具备履行合同所必须的设备和专业技术能力证明）</w:t>
      </w:r>
      <w:bookmarkEnd w:id="541"/>
      <w:bookmarkEnd w:id="542"/>
      <w:bookmarkEnd w:id="543"/>
      <w:bookmarkEnd w:id="544"/>
    </w:p>
    <w:p w14:paraId="2AABDA31">
      <w:pPr>
        <w:wordWrap/>
        <w:spacing w:before="157" w:beforeLines="50" w:line="560" w:lineRule="exact"/>
        <w:jc w:val="center"/>
        <w:outlineLvl w:val="9"/>
        <w:rPr>
          <w:rFonts w:hint="eastAsia" w:ascii="宋体" w:hAnsi="宋体" w:eastAsia="宋体"/>
          <w:bCs/>
          <w:color w:val="000000"/>
          <w:sz w:val="24"/>
        </w:rPr>
      </w:pPr>
      <w:bookmarkStart w:id="545" w:name="_Toc19683_WPSOffice_Level1"/>
      <w:bookmarkStart w:id="546" w:name="_Toc2954_WPSOffice_Level1"/>
      <w:bookmarkStart w:id="547" w:name="_Toc21309_WPSOffice_Level3"/>
      <w:r>
        <w:rPr>
          <w:rFonts w:hint="eastAsia" w:ascii="仿宋_GB2312" w:hAnsi="仿宋_GB2312" w:eastAsia="仿宋_GB2312" w:cs="仿宋_GB2312"/>
          <w:b/>
          <w:color w:val="000000"/>
          <w:sz w:val="32"/>
          <w:szCs w:val="32"/>
          <w:lang w:val="zh-CN" w:eastAsia="zh-CN"/>
        </w:rPr>
        <w:t>产品相关资料</w:t>
      </w:r>
      <w:bookmarkEnd w:id="545"/>
      <w:bookmarkEnd w:id="546"/>
      <w:bookmarkEnd w:id="547"/>
    </w:p>
    <w:p w14:paraId="48ACEA52">
      <w:pPr>
        <w:wordWrap/>
        <w:adjustRightIn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根据采购项目内容，</w:t>
      </w:r>
      <w:r>
        <w:rPr>
          <w:rFonts w:hint="eastAsia" w:ascii="仿宋_GB2312" w:hAnsi="仿宋_GB2312" w:eastAsia="仿宋_GB2312" w:cs="仿宋_GB2312"/>
          <w:color w:val="000000"/>
          <w:sz w:val="32"/>
          <w:szCs w:val="32"/>
          <w:lang w:eastAsia="zh-CN"/>
        </w:rPr>
        <w:t>响应</w:t>
      </w:r>
      <w:r>
        <w:rPr>
          <w:rFonts w:hint="eastAsia" w:ascii="仿宋_GB2312" w:hAnsi="仿宋_GB2312" w:eastAsia="仿宋_GB2312" w:cs="仿宋_GB2312"/>
          <w:color w:val="000000"/>
          <w:sz w:val="32"/>
          <w:szCs w:val="32"/>
        </w:rPr>
        <w:t>提供国家认可的质监机构出具的产品的产品检验报告或生产厂家出具的产品彩页等能够证明技术参数响应的相关资料。</w:t>
      </w:r>
    </w:p>
    <w:p w14:paraId="7E7047E5">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20A299FC">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428F815F">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2E9EE47D">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7136A646">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24935752">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53EF5F92">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1D115BE5">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028C942C">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11468E4D">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7879F36A">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664BB7FE">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6E2D0DA6">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293F58EC">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1EB2532D">
      <w:pPr>
        <w:widowControl/>
        <w:wordWrap/>
        <w:adjustRightInd w:val="0"/>
        <w:snapToGrid w:val="0"/>
        <w:spacing w:before="157" w:beforeLines="50" w:line="560" w:lineRule="exact"/>
        <w:jc w:val="left"/>
        <w:rPr>
          <w:rFonts w:hint="eastAsia" w:ascii="宋体" w:hAnsi="宋体" w:eastAsia="宋体" w:cs="宋体"/>
          <w:spacing w:val="6"/>
          <w:kern w:val="0"/>
          <w:szCs w:val="21"/>
        </w:rPr>
      </w:pPr>
    </w:p>
    <w:p w14:paraId="0E9F73F6">
      <w:pPr>
        <w:widowControl/>
        <w:wordWrap/>
        <w:snapToGrid w:val="0"/>
        <w:spacing w:before="157" w:beforeLines="50" w:line="560" w:lineRule="exact"/>
        <w:outlineLvl w:val="1"/>
        <w:rPr>
          <w:rFonts w:hint="eastAsia" w:ascii="楷体_GB2312" w:hAnsi="楷体_GB2312" w:eastAsia="楷体_GB2312" w:cs="楷体_GB2312"/>
          <w:b/>
          <w:bCs w:val="0"/>
          <w:color w:val="000000"/>
          <w:kern w:val="2"/>
          <w:sz w:val="32"/>
          <w:szCs w:val="32"/>
          <w:lang w:val="en-US" w:eastAsia="zh-CN" w:bidi="ar-SA"/>
        </w:rPr>
      </w:pPr>
      <w:bookmarkStart w:id="548" w:name="_Toc31301_WPSOffice_Level3"/>
      <w:bookmarkStart w:id="549" w:name="_Toc1180"/>
      <w:bookmarkStart w:id="550" w:name="_Toc11887"/>
      <w:bookmarkStart w:id="551" w:name="_Toc8294"/>
      <w:bookmarkStart w:id="552" w:name="_Toc3146_WPSOffice_Level3"/>
      <w:bookmarkStart w:id="553" w:name="_Toc10368"/>
      <w:bookmarkStart w:id="554" w:name="_Toc4925"/>
      <w:r>
        <w:rPr>
          <w:rFonts w:hint="eastAsia" w:ascii="楷体_GB2312" w:hAnsi="楷体_GB2312" w:eastAsia="楷体_GB2312" w:cs="楷体_GB2312"/>
          <w:b/>
          <w:bCs w:val="0"/>
          <w:color w:val="000000"/>
          <w:kern w:val="2"/>
          <w:sz w:val="32"/>
          <w:szCs w:val="32"/>
          <w:lang w:val="en-US" w:eastAsia="zh-CN" w:bidi="ar-SA"/>
        </w:rPr>
        <w:t>附件14：享受政府采购政策优惠的证明资料</w:t>
      </w:r>
      <w:bookmarkEnd w:id="548"/>
      <w:bookmarkEnd w:id="549"/>
      <w:bookmarkEnd w:id="550"/>
      <w:bookmarkEnd w:id="551"/>
      <w:bookmarkEnd w:id="552"/>
      <w:bookmarkEnd w:id="553"/>
      <w:bookmarkEnd w:id="554"/>
    </w:p>
    <w:p w14:paraId="752D7C31">
      <w:pPr>
        <w:numPr>
          <w:ilvl w:val="0"/>
          <w:numId w:val="10"/>
        </w:numPr>
        <w:wordWrap/>
        <w:adjustRightInd w:val="0"/>
        <w:snapToGrid w:val="0"/>
        <w:spacing w:before="157" w:beforeLines="50" w:line="560" w:lineRule="exact"/>
        <w:jc w:val="center"/>
        <w:outlineLvl w:val="9"/>
        <w:rPr>
          <w:rFonts w:hint="eastAsia" w:ascii="楷体" w:hAnsi="楷体" w:eastAsia="楷体" w:cs="楷体"/>
          <w:b w:val="0"/>
          <w:bCs w:val="0"/>
          <w:kern w:val="2"/>
          <w:sz w:val="32"/>
          <w:szCs w:val="32"/>
          <w:lang w:val="en-US" w:eastAsia="zh-CN" w:bidi="ar-SA"/>
        </w:rPr>
      </w:pPr>
      <w:bookmarkStart w:id="555" w:name="_Toc25276"/>
      <w:r>
        <w:rPr>
          <w:rFonts w:hint="eastAsia" w:ascii="楷体" w:hAnsi="楷体" w:eastAsia="楷体" w:cs="楷体"/>
          <w:b w:val="0"/>
          <w:bCs w:val="0"/>
          <w:kern w:val="2"/>
          <w:sz w:val="32"/>
          <w:szCs w:val="32"/>
          <w:lang w:val="en-US" w:eastAsia="zh-CN" w:bidi="ar-SA"/>
        </w:rPr>
        <w:t>节能产品、环境标志产品证明材料</w:t>
      </w:r>
      <w:bookmarkEnd w:id="555"/>
    </w:p>
    <w:p w14:paraId="2EE1C8CF">
      <w:pPr>
        <w:widowControl w:val="0"/>
        <w:numPr>
          <w:ilvl w:val="0"/>
          <w:numId w:val="0"/>
        </w:numPr>
        <w:wordWrap/>
        <w:adjustRightInd w:val="0"/>
        <w:snapToGrid w:val="0"/>
        <w:spacing w:line="56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产品</w:t>
      </w:r>
      <w:r>
        <w:rPr>
          <w:rFonts w:hint="eastAsia" w:ascii="仿宋_GB2312" w:hAnsi="仿宋_GB2312" w:eastAsia="仿宋_GB2312" w:cs="仿宋_GB2312"/>
          <w:bCs/>
          <w:sz w:val="32"/>
          <w:szCs w:val="32"/>
        </w:rPr>
        <w:t>属于</w:t>
      </w:r>
      <w:r>
        <w:rPr>
          <w:rFonts w:hint="eastAsia" w:ascii="仿宋_GB2312" w:hAnsi="仿宋_GB2312" w:eastAsia="仿宋_GB2312" w:cs="仿宋_GB2312"/>
          <w:bCs/>
          <w:sz w:val="32"/>
          <w:szCs w:val="32"/>
          <w:lang w:eastAsia="zh-CN"/>
        </w:rPr>
        <w:t>品目清单范围的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Cs/>
          <w:sz w:val="32"/>
          <w:szCs w:val="32"/>
          <w:lang w:eastAsia="zh-CN"/>
        </w:rPr>
        <w:t>实施政府优先采购和强制采购。</w:t>
      </w:r>
      <w:r>
        <w:rPr>
          <w:rFonts w:hint="eastAsia" w:ascii="仿宋_GB2312" w:hAnsi="仿宋_GB2312" w:eastAsia="仿宋_GB2312" w:cs="仿宋_GB2312"/>
          <w:sz w:val="32"/>
          <w:szCs w:val="32"/>
        </w:rPr>
        <w:t>供应商应</w:t>
      </w:r>
      <w:r>
        <w:rPr>
          <w:rFonts w:hint="eastAsia" w:ascii="仿宋_GB2312" w:hAnsi="仿宋_GB2312" w:eastAsia="仿宋_GB2312" w:cs="仿宋_GB2312"/>
          <w:sz w:val="32"/>
          <w:szCs w:val="32"/>
          <w:lang w:eastAsia="zh-CN"/>
        </w:rPr>
        <w:t>提供</w:t>
      </w:r>
      <w:r>
        <w:rPr>
          <w:rFonts w:hint="eastAsia" w:ascii="仿宋_GB2312" w:hAnsi="仿宋_GB2312" w:eastAsia="仿宋_GB2312" w:cs="仿宋_GB2312"/>
          <w:sz w:val="32"/>
          <w:szCs w:val="32"/>
        </w:rPr>
        <w:t>国家确定的认证机构出具的、处于有效期之内的节能产品、环境标志产品认证证书，并加盖供应商单位公章。</w:t>
      </w:r>
    </w:p>
    <w:p w14:paraId="0448AF8C">
      <w:pPr>
        <w:numPr>
          <w:ilvl w:val="0"/>
          <w:numId w:val="0"/>
        </w:numPr>
        <w:wordWrap/>
        <w:adjustRightInd w:val="0"/>
        <w:snapToGrid w:val="0"/>
        <w:spacing w:before="157" w:beforeLines="50" w:line="560" w:lineRule="exact"/>
        <w:jc w:val="left"/>
        <w:rPr>
          <w:rFonts w:hint="eastAsia" w:ascii="宋体" w:hAnsi="宋体" w:eastAsia="宋体"/>
          <w:szCs w:val="21"/>
        </w:rPr>
      </w:pPr>
    </w:p>
    <w:p w14:paraId="445CEAF5">
      <w:pPr>
        <w:wordWrap/>
        <w:adjustRightInd w:val="0"/>
        <w:snapToGrid w:val="0"/>
        <w:spacing w:before="157" w:beforeLines="50" w:line="560" w:lineRule="exact"/>
        <w:ind w:firstLine="420" w:firstLineChars="200"/>
        <w:jc w:val="left"/>
        <w:rPr>
          <w:rFonts w:ascii="宋体" w:hAnsi="宋体" w:eastAsia="宋体"/>
          <w:szCs w:val="21"/>
        </w:rPr>
      </w:pPr>
    </w:p>
    <w:p w14:paraId="3055F18A">
      <w:pPr>
        <w:widowControl/>
        <w:wordWrap/>
        <w:snapToGrid w:val="0"/>
        <w:spacing w:before="157" w:beforeLines="50" w:line="560" w:lineRule="exact"/>
        <w:outlineLvl w:val="9"/>
        <w:rPr>
          <w:rFonts w:hint="default" w:ascii="宋体" w:eastAsia="宋体"/>
          <w:b/>
          <w:color w:val="000000"/>
          <w:sz w:val="28"/>
          <w:szCs w:val="28"/>
          <w:lang w:val="en-US" w:eastAsia="zh-CN"/>
        </w:rPr>
      </w:pPr>
    </w:p>
    <w:p w14:paraId="48E652FB">
      <w:pPr>
        <w:widowControl/>
        <w:wordWrap/>
        <w:snapToGrid w:val="0"/>
        <w:spacing w:before="157" w:beforeLines="50" w:line="560" w:lineRule="exact"/>
        <w:outlineLvl w:val="9"/>
        <w:rPr>
          <w:rFonts w:hint="default" w:ascii="宋体" w:eastAsia="宋体"/>
          <w:b/>
          <w:color w:val="000000"/>
          <w:sz w:val="28"/>
          <w:szCs w:val="28"/>
          <w:lang w:val="en-US" w:eastAsia="zh-CN"/>
        </w:rPr>
      </w:pPr>
    </w:p>
    <w:p w14:paraId="2DB3F40B">
      <w:pPr>
        <w:widowControl/>
        <w:wordWrap/>
        <w:snapToGrid w:val="0"/>
        <w:spacing w:before="157" w:beforeLines="50" w:line="560" w:lineRule="exact"/>
        <w:outlineLvl w:val="9"/>
        <w:rPr>
          <w:rFonts w:hint="default" w:ascii="宋体" w:eastAsia="宋体"/>
          <w:b/>
          <w:color w:val="000000"/>
          <w:sz w:val="28"/>
          <w:szCs w:val="28"/>
          <w:lang w:val="en-US" w:eastAsia="zh-CN"/>
        </w:rPr>
      </w:pPr>
    </w:p>
    <w:p w14:paraId="2A4F050B">
      <w:pPr>
        <w:widowControl/>
        <w:wordWrap/>
        <w:snapToGrid w:val="0"/>
        <w:spacing w:before="157" w:beforeLines="50" w:line="560" w:lineRule="exact"/>
        <w:outlineLvl w:val="9"/>
        <w:rPr>
          <w:rFonts w:hint="default" w:ascii="宋体" w:eastAsia="宋体"/>
          <w:b/>
          <w:color w:val="000000"/>
          <w:sz w:val="28"/>
          <w:szCs w:val="28"/>
          <w:lang w:val="en-US" w:eastAsia="zh-CN"/>
        </w:rPr>
      </w:pPr>
    </w:p>
    <w:p w14:paraId="7966C2FC">
      <w:pPr>
        <w:widowControl/>
        <w:wordWrap/>
        <w:snapToGrid w:val="0"/>
        <w:spacing w:before="157" w:beforeLines="50" w:line="560" w:lineRule="exact"/>
        <w:outlineLvl w:val="9"/>
        <w:rPr>
          <w:rFonts w:hint="default" w:ascii="宋体" w:eastAsia="宋体"/>
          <w:b/>
          <w:color w:val="000000"/>
          <w:sz w:val="28"/>
          <w:szCs w:val="28"/>
          <w:lang w:val="en-US" w:eastAsia="zh-CN"/>
        </w:rPr>
      </w:pPr>
    </w:p>
    <w:p w14:paraId="568D6584">
      <w:pPr>
        <w:widowControl/>
        <w:wordWrap/>
        <w:snapToGrid w:val="0"/>
        <w:spacing w:before="157" w:beforeLines="50" w:line="560" w:lineRule="exact"/>
        <w:outlineLvl w:val="9"/>
        <w:rPr>
          <w:rFonts w:hint="default" w:ascii="宋体" w:eastAsia="宋体"/>
          <w:b/>
          <w:color w:val="000000"/>
          <w:sz w:val="28"/>
          <w:szCs w:val="28"/>
          <w:lang w:val="en-US" w:eastAsia="zh-CN"/>
        </w:rPr>
      </w:pPr>
    </w:p>
    <w:p w14:paraId="159FF6C5">
      <w:pPr>
        <w:widowControl/>
        <w:wordWrap/>
        <w:snapToGrid w:val="0"/>
        <w:spacing w:before="157" w:beforeLines="50" w:line="560" w:lineRule="exact"/>
        <w:outlineLvl w:val="9"/>
        <w:rPr>
          <w:rFonts w:hint="default" w:ascii="宋体" w:eastAsia="宋体"/>
          <w:b/>
          <w:color w:val="000000"/>
          <w:sz w:val="28"/>
          <w:szCs w:val="28"/>
          <w:lang w:val="en-US" w:eastAsia="zh-CN"/>
        </w:rPr>
      </w:pPr>
    </w:p>
    <w:p w14:paraId="7D4207B1">
      <w:pPr>
        <w:widowControl/>
        <w:wordWrap/>
        <w:snapToGrid w:val="0"/>
        <w:spacing w:before="157" w:beforeLines="50" w:line="560" w:lineRule="exact"/>
        <w:outlineLvl w:val="9"/>
        <w:rPr>
          <w:rFonts w:hint="default" w:ascii="宋体" w:eastAsia="宋体"/>
          <w:b/>
          <w:color w:val="000000"/>
          <w:sz w:val="28"/>
          <w:szCs w:val="28"/>
          <w:lang w:val="en-US" w:eastAsia="zh-CN"/>
        </w:rPr>
      </w:pPr>
    </w:p>
    <w:p w14:paraId="25258747">
      <w:pPr>
        <w:rPr>
          <w:rFonts w:hint="default" w:ascii="宋体" w:eastAsia="宋体"/>
          <w:b/>
          <w:color w:val="000000"/>
          <w:sz w:val="28"/>
          <w:szCs w:val="28"/>
          <w:lang w:val="en-US" w:eastAsia="zh-CN"/>
        </w:rPr>
      </w:pPr>
      <w:r>
        <w:rPr>
          <w:rFonts w:hint="default" w:ascii="宋体" w:eastAsia="宋体"/>
          <w:b/>
          <w:color w:val="000000"/>
          <w:sz w:val="28"/>
          <w:szCs w:val="28"/>
          <w:lang w:val="en-US" w:eastAsia="zh-CN"/>
        </w:rPr>
        <w:br w:type="page"/>
      </w:r>
    </w:p>
    <w:p w14:paraId="5AF2F647">
      <w:pPr>
        <w:numPr>
          <w:ilvl w:val="0"/>
          <w:numId w:val="0"/>
        </w:numPr>
        <w:wordWrap/>
        <w:adjustRightInd w:val="0"/>
        <w:snapToGrid w:val="0"/>
        <w:spacing w:before="157" w:beforeLines="50" w:line="560" w:lineRule="exact"/>
        <w:jc w:val="center"/>
        <w:outlineLvl w:val="9"/>
        <w:rPr>
          <w:rFonts w:hint="eastAsia" w:ascii="楷体" w:hAnsi="楷体" w:eastAsia="楷体" w:cs="楷体"/>
          <w:b w:val="0"/>
          <w:bCs w:val="0"/>
          <w:kern w:val="2"/>
          <w:sz w:val="32"/>
          <w:szCs w:val="32"/>
          <w:lang w:val="en-US" w:eastAsia="zh-CN" w:bidi="ar-SA"/>
        </w:rPr>
      </w:pPr>
      <w:bookmarkStart w:id="556" w:name="_Toc31539"/>
      <w:bookmarkStart w:id="557" w:name="_Toc6454"/>
      <w:bookmarkStart w:id="558" w:name="_Toc22784_WPSOffice_Level3"/>
      <w:r>
        <w:rPr>
          <w:rFonts w:hint="eastAsia" w:ascii="楷体" w:hAnsi="楷体" w:eastAsia="楷体" w:cs="楷体"/>
          <w:b w:val="0"/>
          <w:bCs w:val="0"/>
          <w:kern w:val="2"/>
          <w:sz w:val="32"/>
          <w:szCs w:val="32"/>
          <w:lang w:val="en-US" w:eastAsia="zh-CN" w:bidi="ar-SA"/>
        </w:rPr>
        <w:t>2.中小企业声明函</w:t>
      </w:r>
      <w:bookmarkEnd w:id="556"/>
      <w:bookmarkEnd w:id="557"/>
      <w:bookmarkEnd w:id="558"/>
    </w:p>
    <w:p w14:paraId="7D691B2D">
      <w:pPr>
        <w:widowControl/>
        <w:wordWrap/>
        <w:adjustRightInd w:val="0"/>
        <w:snapToGrid w:val="0"/>
        <w:spacing w:line="560" w:lineRule="exact"/>
        <w:jc w:val="center"/>
        <w:textAlignment w:val="auto"/>
        <w:outlineLvl w:val="9"/>
        <w:rPr>
          <w:rFonts w:hint="eastAsia" w:ascii="仿宋_GB2312" w:hAnsi="仿宋_GB2312" w:eastAsia="仿宋_GB2312" w:cs="仿宋_GB2312"/>
          <w:b/>
          <w:spacing w:val="6"/>
          <w:kern w:val="0"/>
          <w:sz w:val="32"/>
          <w:szCs w:val="32"/>
        </w:rPr>
      </w:pPr>
      <w:bookmarkStart w:id="559" w:name="_Toc1901_WPSOffice_Level3"/>
      <w:bookmarkStart w:id="560" w:name="_Toc3019_WPSOffice_Level3"/>
      <w:r>
        <w:rPr>
          <w:rFonts w:hint="eastAsia" w:ascii="仿宋_GB2312" w:hAnsi="仿宋_GB2312" w:eastAsia="仿宋_GB2312" w:cs="仿宋_GB2312"/>
          <w:b/>
          <w:spacing w:val="6"/>
          <w:kern w:val="0"/>
          <w:sz w:val="32"/>
          <w:szCs w:val="32"/>
        </w:rPr>
        <w:t>(不满足以下条件的无需填写)</w:t>
      </w:r>
      <w:bookmarkEnd w:id="559"/>
      <w:bookmarkEnd w:id="560"/>
    </w:p>
    <w:p w14:paraId="472A0210">
      <w:pPr>
        <w:wordWrap/>
        <w:autoSpaceDE w:val="0"/>
        <w:autoSpaceDN w:val="0"/>
        <w:spacing w:line="560" w:lineRule="exact"/>
        <w:textAlignment w:val="auto"/>
        <w:outlineLvl w:val="9"/>
        <w:rPr>
          <w:rFonts w:hint="eastAsia" w:ascii="仿宋_GB2312" w:hAnsi="仿宋_GB2312" w:eastAsia="仿宋_GB2312" w:cs="仿宋_GB2312"/>
          <w:spacing w:val="6"/>
          <w:kern w:val="0"/>
          <w:sz w:val="32"/>
          <w:szCs w:val="32"/>
        </w:rPr>
      </w:pPr>
      <w:bookmarkStart w:id="561" w:name="_Toc22185_WPSOffice_Level2"/>
      <w:bookmarkStart w:id="562" w:name="_Toc17607_WPSOffice_Level2"/>
      <w:bookmarkStart w:id="563" w:name="_Toc16462_WPSOffice_Level2"/>
      <w:r>
        <w:rPr>
          <w:rFonts w:hint="eastAsia" w:ascii="仿宋_GB2312" w:hAnsi="仿宋_GB2312" w:eastAsia="仿宋_GB2312" w:cs="仿宋_GB2312"/>
          <w:b/>
          <w:bCs/>
          <w:color w:val="000000"/>
          <w:kern w:val="0"/>
          <w:sz w:val="28"/>
          <w:szCs w:val="28"/>
          <w:lang w:val="zh-CN"/>
        </w:rPr>
        <w:t>致：</w:t>
      </w:r>
      <w:r>
        <w:rPr>
          <w:rFonts w:hint="eastAsia" w:ascii="仿宋_GB2312" w:hAnsi="仿宋_GB2312" w:eastAsia="仿宋_GB2312" w:cs="仿宋_GB2312"/>
          <w:b/>
          <w:bCs/>
          <w:color w:val="000000"/>
          <w:kern w:val="0"/>
          <w:sz w:val="24"/>
          <w:szCs w:val="24"/>
          <w:lang w:val="zh-CN"/>
        </w:rPr>
        <w:t>（</w:t>
      </w:r>
      <w:r>
        <w:rPr>
          <w:rFonts w:hint="eastAsia" w:ascii="仿宋_GB2312" w:hAnsi="仿宋_GB2312" w:eastAsia="仿宋_GB2312" w:cs="仿宋_GB2312"/>
          <w:b/>
          <w:bCs/>
          <w:color w:val="000000"/>
          <w:kern w:val="0"/>
          <w:sz w:val="28"/>
          <w:szCs w:val="28"/>
          <w:u w:val="single"/>
          <w:lang w:val="zh-CN"/>
        </w:rPr>
        <w:t>采购人或者采购代理机构）</w:t>
      </w:r>
      <w:bookmarkEnd w:id="561"/>
      <w:bookmarkEnd w:id="562"/>
      <w:bookmarkEnd w:id="563"/>
    </w:p>
    <w:p w14:paraId="61D07B8D">
      <w:pPr>
        <w:widowControl/>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spacing w:val="6"/>
          <w:kern w:val="0"/>
          <w:sz w:val="32"/>
          <w:szCs w:val="32"/>
        </w:rPr>
      </w:pPr>
      <w:bookmarkStart w:id="564" w:name="_Toc12160"/>
      <w:bookmarkStart w:id="565" w:name="_Toc14211_WPSOffice_Level3"/>
      <w:bookmarkStart w:id="566" w:name="_Toc11740"/>
      <w:r>
        <w:rPr>
          <w:rFonts w:hint="eastAsia" w:ascii="仿宋_GB2312" w:hAnsi="仿宋_GB2312" w:eastAsia="仿宋_GB2312" w:cs="仿宋_GB2312"/>
          <w:spacing w:val="6"/>
          <w:kern w:val="0"/>
          <w:sz w:val="32"/>
          <w:szCs w:val="32"/>
          <w:lang w:val="en-US" w:eastAsia="zh-CN"/>
        </w:rPr>
        <w:t>本公司（联合体）郑重声明，根据《政府采购促进中小企业发展管理办法》（财库﹝2020﹞46 号）的规定，本公司（联合体）参加（</w:t>
      </w:r>
      <w:r>
        <w:rPr>
          <w:rFonts w:hint="eastAsia" w:ascii="仿宋_GB2312" w:hAnsi="仿宋_GB2312" w:eastAsia="仿宋_GB2312" w:cs="仿宋_GB2312"/>
          <w:spacing w:val="6"/>
          <w:kern w:val="0"/>
          <w:sz w:val="32"/>
          <w:szCs w:val="32"/>
          <w:u w:val="single"/>
          <w:lang w:val="en-US" w:eastAsia="zh-CN"/>
        </w:rPr>
        <w:t>单位名称</w:t>
      </w:r>
      <w:r>
        <w:rPr>
          <w:rFonts w:hint="eastAsia" w:ascii="仿宋_GB2312" w:hAnsi="仿宋_GB2312" w:eastAsia="仿宋_GB2312" w:cs="仿宋_GB2312"/>
          <w:spacing w:val="6"/>
          <w:kern w:val="0"/>
          <w:sz w:val="32"/>
          <w:szCs w:val="32"/>
          <w:lang w:val="en-US" w:eastAsia="zh-CN"/>
        </w:rPr>
        <w:t>）的（</w:t>
      </w:r>
      <w:r>
        <w:rPr>
          <w:rFonts w:hint="eastAsia" w:ascii="仿宋_GB2312" w:hAnsi="仿宋_GB2312" w:eastAsia="仿宋_GB2312" w:cs="仿宋_GB2312"/>
          <w:spacing w:val="6"/>
          <w:kern w:val="0"/>
          <w:sz w:val="32"/>
          <w:szCs w:val="32"/>
          <w:u w:val="single"/>
          <w:lang w:val="en-US" w:eastAsia="zh-CN"/>
        </w:rPr>
        <w:t>项目名称</w:t>
      </w:r>
      <w:r>
        <w:rPr>
          <w:rFonts w:hint="eastAsia" w:ascii="仿宋_GB2312" w:hAnsi="仿宋_GB2312" w:eastAsia="仿宋_GB2312" w:cs="仿宋_GB2312"/>
          <w:spacing w:val="6"/>
          <w:kern w:val="0"/>
          <w:sz w:val="32"/>
          <w:szCs w:val="32"/>
          <w:lang w:val="en-US" w:eastAsia="zh-CN"/>
        </w:rPr>
        <w:t>）采购活动，相关企业（含联合体中的中小企业、签订分包意向协议的中小企业）的具体情况如下：</w:t>
      </w:r>
    </w:p>
    <w:p w14:paraId="2DC15728">
      <w:pPr>
        <w:widowControl/>
        <w:numPr>
          <w:ilvl w:val="0"/>
          <w:numId w:val="11"/>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spacing w:val="6"/>
          <w:kern w:val="0"/>
          <w:sz w:val="32"/>
          <w:szCs w:val="32"/>
          <w:lang w:val="en-US" w:eastAsia="zh-CN"/>
        </w:rPr>
      </w:pPr>
      <w:r>
        <w:rPr>
          <w:rFonts w:hint="eastAsia" w:ascii="仿宋_GB2312" w:hAnsi="仿宋_GB2312" w:eastAsia="仿宋_GB2312" w:cs="仿宋_GB2312"/>
          <w:spacing w:val="6"/>
          <w:kern w:val="0"/>
          <w:sz w:val="32"/>
          <w:szCs w:val="32"/>
          <w:lang w:val="en-US" w:eastAsia="zh-CN"/>
        </w:rPr>
        <w:t>（</w:t>
      </w:r>
      <w:r>
        <w:rPr>
          <w:rFonts w:hint="eastAsia" w:ascii="仿宋_GB2312" w:hAnsi="仿宋_GB2312" w:eastAsia="仿宋_GB2312" w:cs="仿宋_GB2312"/>
          <w:spacing w:val="6"/>
          <w:kern w:val="0"/>
          <w:sz w:val="32"/>
          <w:szCs w:val="32"/>
          <w:u w:val="single"/>
          <w:lang w:val="en-US" w:eastAsia="zh-CN"/>
        </w:rPr>
        <w:t>标的名称</w:t>
      </w:r>
      <w:r>
        <w:rPr>
          <w:rFonts w:hint="eastAsia" w:ascii="仿宋_GB2312" w:hAnsi="仿宋_GB2312" w:eastAsia="仿宋_GB2312" w:cs="仿宋_GB2312"/>
          <w:spacing w:val="6"/>
          <w:kern w:val="0"/>
          <w:sz w:val="32"/>
          <w:szCs w:val="32"/>
          <w:lang w:val="en-US" w:eastAsia="zh-CN"/>
        </w:rPr>
        <w:t>） ，属于 （</w:t>
      </w:r>
      <w:r>
        <w:rPr>
          <w:rFonts w:hint="eastAsia" w:ascii="仿宋_GB2312" w:hAnsi="仿宋_GB2312" w:eastAsia="仿宋_GB2312" w:cs="仿宋_GB2312"/>
          <w:spacing w:val="6"/>
          <w:kern w:val="0"/>
          <w:sz w:val="32"/>
          <w:szCs w:val="32"/>
          <w:u w:val="single"/>
          <w:lang w:val="en-US" w:eastAsia="zh-CN"/>
        </w:rPr>
        <w:t>制造业</w:t>
      </w:r>
      <w:r>
        <w:rPr>
          <w:rFonts w:hint="eastAsia" w:ascii="仿宋_GB2312" w:hAnsi="仿宋_GB2312" w:eastAsia="仿宋_GB2312" w:cs="仿宋_GB2312"/>
          <w:spacing w:val="6"/>
          <w:kern w:val="0"/>
          <w:sz w:val="32"/>
          <w:szCs w:val="32"/>
          <w:lang w:val="en-US" w:eastAsia="zh-CN"/>
        </w:rPr>
        <w:t>）；制造商为（</w:t>
      </w:r>
      <w:r>
        <w:rPr>
          <w:rFonts w:hint="eastAsia" w:ascii="仿宋_GB2312" w:hAnsi="仿宋_GB2312" w:eastAsia="仿宋_GB2312" w:cs="仿宋_GB2312"/>
          <w:spacing w:val="6"/>
          <w:kern w:val="0"/>
          <w:sz w:val="32"/>
          <w:szCs w:val="32"/>
          <w:u w:val="single"/>
          <w:lang w:val="en-US" w:eastAsia="zh-CN"/>
        </w:rPr>
        <w:t>企业名称</w:t>
      </w:r>
      <w:r>
        <w:rPr>
          <w:rFonts w:hint="eastAsia" w:ascii="仿宋_GB2312" w:hAnsi="仿宋_GB2312" w:eastAsia="仿宋_GB2312" w:cs="仿宋_GB2312"/>
          <w:spacing w:val="6"/>
          <w:kern w:val="0"/>
          <w:sz w:val="32"/>
          <w:szCs w:val="32"/>
          <w:lang w:val="en-US" w:eastAsia="zh-CN"/>
        </w:rPr>
        <w:t>），从业人员</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人，营业收入为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万元，属于</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w:t>
      </w:r>
      <w:r>
        <w:rPr>
          <w:rFonts w:hint="eastAsia" w:ascii="仿宋_GB2312" w:hAnsi="仿宋_GB2312" w:eastAsia="仿宋_GB2312" w:cs="仿宋_GB2312"/>
          <w:spacing w:val="6"/>
          <w:kern w:val="0"/>
          <w:sz w:val="32"/>
          <w:szCs w:val="32"/>
          <w:u w:val="single"/>
          <w:lang w:val="en-US" w:eastAsia="zh-CN"/>
        </w:rPr>
        <w:t>中型企业、小型企业、微型企业</w:t>
      </w:r>
      <w:r>
        <w:rPr>
          <w:rFonts w:hint="eastAsia" w:ascii="仿宋_GB2312" w:hAnsi="仿宋_GB2312" w:eastAsia="仿宋_GB2312" w:cs="仿宋_GB2312"/>
          <w:spacing w:val="6"/>
          <w:kern w:val="0"/>
          <w:sz w:val="32"/>
          <w:szCs w:val="32"/>
          <w:lang w:val="en-US" w:eastAsia="zh-CN"/>
        </w:rPr>
        <w:t xml:space="preserve">）； </w:t>
      </w:r>
    </w:p>
    <w:p w14:paraId="1BB4FFA6">
      <w:pPr>
        <w:widowControl/>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spacing w:val="6"/>
          <w:kern w:val="0"/>
          <w:sz w:val="32"/>
          <w:szCs w:val="32"/>
          <w:lang w:val="en-US" w:eastAsia="zh-CN"/>
        </w:rPr>
      </w:pPr>
      <w:r>
        <w:rPr>
          <w:rFonts w:hint="eastAsia" w:ascii="仿宋_GB2312" w:hAnsi="仿宋_GB2312" w:eastAsia="仿宋_GB2312" w:cs="仿宋_GB2312"/>
          <w:spacing w:val="6"/>
          <w:kern w:val="0"/>
          <w:sz w:val="32"/>
          <w:szCs w:val="32"/>
          <w:lang w:val="en-US" w:eastAsia="zh-CN"/>
        </w:rPr>
        <w:t>2. （</w:t>
      </w:r>
      <w:r>
        <w:rPr>
          <w:rFonts w:hint="eastAsia" w:ascii="仿宋_GB2312" w:hAnsi="仿宋_GB2312" w:eastAsia="仿宋_GB2312" w:cs="仿宋_GB2312"/>
          <w:spacing w:val="6"/>
          <w:kern w:val="0"/>
          <w:sz w:val="32"/>
          <w:szCs w:val="32"/>
          <w:u w:val="single"/>
          <w:lang w:val="en-US" w:eastAsia="zh-CN"/>
        </w:rPr>
        <w:t>标的名称</w:t>
      </w:r>
      <w:r>
        <w:rPr>
          <w:rFonts w:hint="eastAsia" w:ascii="仿宋_GB2312" w:hAnsi="仿宋_GB2312" w:eastAsia="仿宋_GB2312" w:cs="仿宋_GB2312"/>
          <w:spacing w:val="6"/>
          <w:kern w:val="0"/>
          <w:sz w:val="32"/>
          <w:szCs w:val="32"/>
          <w:lang w:val="en-US" w:eastAsia="zh-CN"/>
        </w:rPr>
        <w:t>） ，属于 （</w:t>
      </w:r>
      <w:r>
        <w:rPr>
          <w:rFonts w:hint="eastAsia" w:ascii="仿宋_GB2312" w:hAnsi="仿宋_GB2312" w:eastAsia="仿宋_GB2312" w:cs="仿宋_GB2312"/>
          <w:spacing w:val="6"/>
          <w:kern w:val="0"/>
          <w:sz w:val="32"/>
          <w:szCs w:val="32"/>
          <w:u w:val="single"/>
          <w:lang w:val="en-US" w:eastAsia="zh-CN"/>
        </w:rPr>
        <w:t>制造业</w:t>
      </w:r>
      <w:r>
        <w:rPr>
          <w:rFonts w:hint="eastAsia" w:ascii="仿宋_GB2312" w:hAnsi="仿宋_GB2312" w:eastAsia="仿宋_GB2312" w:cs="仿宋_GB2312"/>
          <w:spacing w:val="6"/>
          <w:kern w:val="0"/>
          <w:sz w:val="32"/>
          <w:szCs w:val="32"/>
          <w:lang w:val="en-US" w:eastAsia="zh-CN"/>
        </w:rPr>
        <w:t>）；制造商为（</w:t>
      </w:r>
      <w:r>
        <w:rPr>
          <w:rFonts w:hint="eastAsia" w:ascii="仿宋_GB2312" w:hAnsi="仿宋_GB2312" w:eastAsia="仿宋_GB2312" w:cs="仿宋_GB2312"/>
          <w:spacing w:val="6"/>
          <w:kern w:val="0"/>
          <w:sz w:val="32"/>
          <w:szCs w:val="32"/>
          <w:u w:val="single"/>
          <w:lang w:val="en-US" w:eastAsia="zh-CN"/>
        </w:rPr>
        <w:t>企业名称</w:t>
      </w:r>
      <w:r>
        <w:rPr>
          <w:rFonts w:hint="eastAsia" w:ascii="仿宋_GB2312" w:hAnsi="仿宋_GB2312" w:eastAsia="仿宋_GB2312" w:cs="仿宋_GB2312"/>
          <w:spacing w:val="6"/>
          <w:kern w:val="0"/>
          <w:sz w:val="32"/>
          <w:szCs w:val="32"/>
          <w:lang w:val="en-US" w:eastAsia="zh-CN"/>
        </w:rPr>
        <w:t>），从业人员</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人，营业收入为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万元，属于</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w:t>
      </w:r>
      <w:r>
        <w:rPr>
          <w:rFonts w:hint="eastAsia" w:ascii="仿宋_GB2312" w:hAnsi="仿宋_GB2312" w:eastAsia="仿宋_GB2312" w:cs="仿宋_GB2312"/>
          <w:spacing w:val="6"/>
          <w:kern w:val="0"/>
          <w:sz w:val="32"/>
          <w:szCs w:val="32"/>
          <w:u w:val="single"/>
          <w:lang w:val="en-US" w:eastAsia="zh-CN"/>
        </w:rPr>
        <w:t>中型企业、小型企业、微型企业</w:t>
      </w:r>
      <w:r>
        <w:rPr>
          <w:rFonts w:hint="eastAsia" w:ascii="仿宋_GB2312" w:hAnsi="仿宋_GB2312" w:eastAsia="仿宋_GB2312" w:cs="仿宋_GB2312"/>
          <w:spacing w:val="6"/>
          <w:kern w:val="0"/>
          <w:sz w:val="32"/>
          <w:szCs w:val="32"/>
          <w:lang w:val="en-US" w:eastAsia="zh-CN"/>
        </w:rPr>
        <w:t xml:space="preserve">）； </w:t>
      </w:r>
    </w:p>
    <w:p w14:paraId="75A30B39">
      <w:pPr>
        <w:widowControl/>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lang w:val="en-US" w:eastAsia="zh-CN"/>
        </w:rPr>
        <w:t>……</w:t>
      </w:r>
    </w:p>
    <w:p w14:paraId="27746422">
      <w:pPr>
        <w:widowControl/>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lang w:val="en-US" w:eastAsia="zh-CN"/>
        </w:rPr>
        <w:t>以上企业，不属于大企业的分支机构，不存在控股股东为大企业的情形，也不存在与大企业的负责人为同一人的情形。</w:t>
      </w:r>
    </w:p>
    <w:p w14:paraId="49098262">
      <w:pPr>
        <w:widowControl/>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lang w:val="en-US" w:eastAsia="zh-CN"/>
        </w:rPr>
        <w:t>本企业对上述声明内容的真实性负责。如有虚假，将依法承担相应责任。</w:t>
      </w:r>
      <w:r>
        <w:rPr>
          <w:rFonts w:hint="eastAsia" w:ascii="仿宋_GB2312" w:hAnsi="仿宋_GB2312" w:eastAsia="仿宋_GB2312" w:cs="仿宋_GB2312"/>
          <w:spacing w:val="6"/>
          <w:kern w:val="0"/>
          <w:sz w:val="32"/>
          <w:szCs w:val="32"/>
        </w:rPr>
        <w:t>任。</w:t>
      </w:r>
    </w:p>
    <w:p w14:paraId="570E2170">
      <w:pPr>
        <w:wordWrap/>
        <w:spacing w:before="157" w:beforeLines="50" w:line="560" w:lineRule="exact"/>
        <w:ind w:firstLine="482" w:firstLineChars="200"/>
        <w:jc w:val="center"/>
        <w:outlineLvl w:val="9"/>
        <w:rPr>
          <w:rFonts w:hint="eastAsia" w:ascii="仿宋_GB2312" w:hAnsi="仿宋_GB2312" w:eastAsia="仿宋_GB2312" w:cs="仿宋_GB2312"/>
          <w:b w:val="0"/>
          <w:bCs/>
          <w:color w:val="000000"/>
          <w:sz w:val="32"/>
          <w:szCs w:val="32"/>
        </w:rPr>
      </w:pPr>
      <w:r>
        <w:rPr>
          <w:rFonts w:hint="eastAsia" w:ascii="宋体" w:hAnsi="宋体" w:eastAsia="宋体" w:cs="Times New Roman"/>
          <w:b/>
          <w:color w:val="000000"/>
          <w:sz w:val="24"/>
          <w:lang w:val="en-US" w:eastAsia="zh-CN"/>
        </w:rPr>
        <w:t xml:space="preserve">                       </w:t>
      </w:r>
      <w:bookmarkStart w:id="567" w:name="_Toc21636_WPSOffice_Level3"/>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bookmarkEnd w:id="567"/>
    </w:p>
    <w:p w14:paraId="1C0368CF">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568" w:name="_Toc19511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568"/>
    </w:p>
    <w:p w14:paraId="22ADC81C">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 xml:space="preserve"> </w:t>
      </w:r>
      <w:bookmarkStart w:id="569" w:name="_Toc20470_WPSOffice_Level3"/>
      <w:r>
        <w:rPr>
          <w:rFonts w:hint="eastAsia" w:ascii="仿宋_GB2312" w:hAnsi="仿宋_GB2312" w:eastAsia="仿宋_GB2312" w:cs="仿宋_GB2312"/>
          <w:b w:val="0"/>
          <w:bCs/>
          <w:color w:val="000000"/>
          <w:sz w:val="32"/>
          <w:szCs w:val="32"/>
        </w:rPr>
        <w:t>年   月  日</w:t>
      </w:r>
      <w:bookmarkEnd w:id="569"/>
    </w:p>
    <w:p w14:paraId="2F3C4FDE">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rPr>
      </w:pPr>
    </w:p>
    <w:p w14:paraId="7B5BD0D0">
      <w:pPr>
        <w:wordWrap/>
        <w:spacing w:before="157" w:beforeLines="50" w:line="560" w:lineRule="exact"/>
        <w:ind w:firstLine="640" w:firstLineChars="200"/>
        <w:jc w:val="center"/>
        <w:outlineLvl w:val="9"/>
        <w:rPr>
          <w:rFonts w:hint="default" w:ascii="仿宋_GB2312" w:hAnsi="仿宋_GB2312" w:eastAsia="仿宋_GB2312" w:cs="仿宋_GB2312"/>
          <w:b w:val="0"/>
          <w:bCs/>
          <w:color w:val="000000"/>
          <w:sz w:val="32"/>
          <w:szCs w:val="32"/>
          <w:lang w:val="en-US" w:eastAsia="zh-CN"/>
        </w:rPr>
      </w:pPr>
    </w:p>
    <w:p w14:paraId="72A7A149">
      <w:pPr>
        <w:numPr>
          <w:ilvl w:val="0"/>
          <w:numId w:val="0"/>
        </w:numPr>
        <w:wordWrap/>
        <w:adjustRightInd w:val="0"/>
        <w:snapToGrid w:val="0"/>
        <w:spacing w:before="157" w:beforeLines="50" w:line="560" w:lineRule="exact"/>
        <w:jc w:val="center"/>
        <w:outlineLvl w:val="9"/>
        <w:rPr>
          <w:rFonts w:hint="eastAsia" w:ascii="楷体" w:hAnsi="楷体" w:eastAsia="楷体" w:cs="楷体"/>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t>3.残疾人福利性单位声明函</w:t>
      </w:r>
      <w:bookmarkEnd w:id="564"/>
      <w:bookmarkEnd w:id="565"/>
      <w:bookmarkEnd w:id="566"/>
    </w:p>
    <w:p w14:paraId="5E46AFD9">
      <w:pPr>
        <w:widowControl w:val="0"/>
        <w:wordWrap/>
        <w:adjustRightInd w:val="0"/>
        <w:snapToGrid w:val="0"/>
        <w:spacing w:line="560" w:lineRule="exact"/>
        <w:jc w:val="center"/>
        <w:textAlignment w:val="auto"/>
        <w:outlineLvl w:val="9"/>
        <w:rPr>
          <w:rFonts w:hint="eastAsia" w:ascii="仿宋_GB2312" w:hAnsi="仿宋_GB2312" w:eastAsia="仿宋_GB2312" w:cs="仿宋_GB2312"/>
          <w:spacing w:val="6"/>
          <w:sz w:val="32"/>
          <w:szCs w:val="32"/>
        </w:rPr>
      </w:pPr>
      <w:bookmarkStart w:id="570" w:name="_Toc12079_WPSOffice_Level3"/>
      <w:bookmarkStart w:id="571" w:name="_Toc17469_WPSOffice_Level3"/>
      <w:r>
        <w:rPr>
          <w:rFonts w:hint="eastAsia" w:ascii="仿宋_GB2312" w:hAnsi="仿宋_GB2312" w:eastAsia="仿宋_GB2312" w:cs="仿宋_GB2312"/>
          <w:b/>
          <w:spacing w:val="6"/>
          <w:sz w:val="32"/>
          <w:szCs w:val="32"/>
        </w:rPr>
        <w:t>(不属于残疾人福利性单位的无需填写)</w:t>
      </w:r>
      <w:bookmarkEnd w:id="570"/>
      <w:bookmarkEnd w:id="571"/>
    </w:p>
    <w:p w14:paraId="1CB64A41">
      <w:pPr>
        <w:widowControl w:val="0"/>
        <w:wordWrap/>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本单位郑重声明，根据《财政部、民政部、中国残疾人联合会关于促进残疾人就业政府采购政策的通知》（财库〔2017〕141号）的规定，本单位为符合条件的残疾人福利性单位，本单位在职职工人数为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人，安置的残疾人人数</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人。且本单位参加</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单位的</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项目采购活动提供本单位制造的货物（由本单位承担工程/提供服务），或者提供其他残疾人福利性单位制造的货物（不包括使用非残疾人福利性单位注册商标的货物）。</w:t>
      </w:r>
    </w:p>
    <w:p w14:paraId="07465DFD">
      <w:pPr>
        <w:widowControl w:val="0"/>
        <w:wordWrap/>
        <w:spacing w:line="560" w:lineRule="exact"/>
        <w:ind w:firstLine="48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本单位对上述声明的真实性负责。如有虚假，将依法承担相应责任。</w:t>
      </w:r>
    </w:p>
    <w:p w14:paraId="7DBF1B15">
      <w:pPr>
        <w:widowControl w:val="0"/>
        <w:wordWrap/>
        <w:adjustRightInd w:val="0"/>
        <w:snapToGrid w:val="0"/>
        <w:spacing w:line="560" w:lineRule="exact"/>
        <w:ind w:firstLine="664" w:firstLineChars="200"/>
        <w:textAlignment w:val="auto"/>
        <w:outlineLvl w:val="9"/>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本单位对上述声明的真实性负责。如有虚假，将依法承担相应责任。</w:t>
      </w:r>
    </w:p>
    <w:p w14:paraId="4B14FB1F">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lang w:val="en-US" w:eastAsia="zh-CN"/>
        </w:rPr>
        <w:t xml:space="preserve">                 </w:t>
      </w:r>
      <w:bookmarkStart w:id="572" w:name="_Toc17628_WPSOffice_Level3"/>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bookmarkEnd w:id="572"/>
    </w:p>
    <w:p w14:paraId="0050822F">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573" w:name="_Toc32124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573"/>
    </w:p>
    <w:p w14:paraId="71A75541">
      <w:pPr>
        <w:wordWrap/>
        <w:spacing w:before="157" w:beforeLines="50" w:line="560" w:lineRule="exact"/>
        <w:ind w:firstLine="640" w:firstLineChars="200"/>
        <w:jc w:val="center"/>
        <w:outlineLvl w:val="9"/>
        <w:rPr>
          <w:rFonts w:ascii="宋体" w:hAnsi="宋体" w:eastAsia="宋体"/>
          <w:spacing w:val="6"/>
          <w:sz w:val="21"/>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 xml:space="preserve"> </w:t>
      </w:r>
      <w:bookmarkStart w:id="574" w:name="_Toc1871_WPSOffice_Level3"/>
      <w:r>
        <w:rPr>
          <w:rFonts w:hint="eastAsia" w:ascii="仿宋_GB2312" w:hAnsi="仿宋_GB2312" w:eastAsia="仿宋_GB2312" w:cs="仿宋_GB2312"/>
          <w:b w:val="0"/>
          <w:bCs/>
          <w:color w:val="000000"/>
          <w:sz w:val="32"/>
          <w:szCs w:val="32"/>
        </w:rPr>
        <w:t xml:space="preserve">年   月  </w:t>
      </w:r>
      <w:r>
        <w:rPr>
          <w:rFonts w:hint="eastAsia" w:ascii="仿宋_GB2312" w:hAnsi="仿宋_GB2312" w:eastAsia="仿宋_GB2312" w:cs="仿宋_GB2312"/>
          <w:b w:val="0"/>
          <w:bCs/>
          <w:color w:val="000000"/>
          <w:sz w:val="32"/>
          <w:szCs w:val="32"/>
          <w:lang w:eastAsia="zh-CN"/>
        </w:rPr>
        <w:t>日</w:t>
      </w:r>
      <w:bookmarkEnd w:id="574"/>
    </w:p>
    <w:p w14:paraId="47533C0E">
      <w:pPr>
        <w:widowControl w:val="0"/>
        <w:wordWrap/>
        <w:adjustRightInd w:val="0"/>
        <w:snapToGrid w:val="0"/>
        <w:spacing w:line="560" w:lineRule="exact"/>
        <w:ind w:firstLine="664" w:firstLineChars="200"/>
        <w:textAlignment w:val="auto"/>
        <w:outlineLvl w:val="9"/>
        <w:rPr>
          <w:rFonts w:hint="eastAsia" w:ascii="仿宋_GB2312" w:hAnsi="仿宋_GB2312" w:eastAsia="仿宋_GB2312" w:cs="仿宋_GB2312"/>
          <w:spacing w:val="6"/>
          <w:sz w:val="32"/>
          <w:szCs w:val="32"/>
        </w:rPr>
      </w:pPr>
    </w:p>
    <w:p w14:paraId="01263E0D">
      <w:pPr>
        <w:widowControl w:val="0"/>
        <w:wordWrap/>
        <w:adjustRightInd w:val="0"/>
        <w:snapToGrid w:val="0"/>
        <w:spacing w:line="560" w:lineRule="exact"/>
        <w:ind w:firstLine="664" w:firstLineChars="200"/>
        <w:textAlignment w:val="auto"/>
        <w:outlineLvl w:val="9"/>
        <w:rPr>
          <w:rFonts w:hint="eastAsia" w:ascii="仿宋_GB2312" w:hAnsi="仿宋_GB2312" w:eastAsia="仿宋_GB2312" w:cs="仿宋_GB2312"/>
          <w:spacing w:val="6"/>
          <w:sz w:val="32"/>
          <w:szCs w:val="32"/>
        </w:rPr>
      </w:pPr>
    </w:p>
    <w:p w14:paraId="04B41221">
      <w:pPr>
        <w:wordWrap/>
        <w:adjustRightInd w:val="0"/>
        <w:snapToGrid w:val="0"/>
        <w:spacing w:before="157" w:beforeLines="50" w:line="560" w:lineRule="exact"/>
        <w:ind w:firstLine="444" w:firstLineChars="200"/>
        <w:outlineLvl w:val="9"/>
        <w:rPr>
          <w:rFonts w:ascii="宋体" w:hAnsi="宋体" w:eastAsia="宋体"/>
          <w:spacing w:val="6"/>
          <w:szCs w:val="21"/>
        </w:rPr>
      </w:pPr>
    </w:p>
    <w:p w14:paraId="0654C1E4">
      <w:pPr>
        <w:wordWrap/>
        <w:adjustRightInd w:val="0"/>
        <w:snapToGrid w:val="0"/>
        <w:spacing w:before="157" w:beforeLines="50" w:line="560" w:lineRule="exact"/>
        <w:ind w:firstLine="444" w:firstLineChars="200"/>
        <w:outlineLvl w:val="9"/>
        <w:rPr>
          <w:rFonts w:ascii="宋体" w:hAnsi="宋体" w:eastAsia="宋体"/>
          <w:spacing w:val="6"/>
          <w:szCs w:val="21"/>
        </w:rPr>
      </w:pPr>
    </w:p>
    <w:p w14:paraId="3B663B7A">
      <w:pPr>
        <w:wordWrap/>
        <w:adjustRightInd w:val="0"/>
        <w:snapToGrid w:val="0"/>
        <w:spacing w:before="157" w:beforeLines="50" w:line="560" w:lineRule="exact"/>
        <w:ind w:firstLine="444" w:firstLineChars="200"/>
        <w:outlineLvl w:val="9"/>
        <w:rPr>
          <w:rFonts w:ascii="宋体" w:hAnsi="宋体" w:eastAsia="宋体"/>
          <w:spacing w:val="6"/>
          <w:szCs w:val="21"/>
        </w:rPr>
      </w:pPr>
    </w:p>
    <w:p w14:paraId="34D95252">
      <w:pPr>
        <w:wordWrap/>
        <w:adjustRightInd w:val="0"/>
        <w:snapToGrid w:val="0"/>
        <w:spacing w:before="157" w:beforeLines="50" w:line="560" w:lineRule="exact"/>
        <w:ind w:firstLine="444" w:firstLineChars="200"/>
        <w:outlineLvl w:val="9"/>
        <w:rPr>
          <w:rFonts w:ascii="宋体" w:hAnsi="宋体" w:eastAsia="宋体"/>
          <w:spacing w:val="6"/>
          <w:szCs w:val="21"/>
        </w:rPr>
      </w:pPr>
    </w:p>
    <w:p w14:paraId="08F1BEF2">
      <w:pPr>
        <w:wordWrap/>
        <w:adjustRightInd w:val="0"/>
        <w:snapToGrid w:val="0"/>
        <w:spacing w:before="157" w:beforeLines="50" w:line="560" w:lineRule="exact"/>
        <w:ind w:firstLine="444" w:firstLineChars="200"/>
        <w:outlineLvl w:val="9"/>
        <w:rPr>
          <w:rFonts w:ascii="宋体" w:hAnsi="宋体" w:eastAsia="宋体"/>
          <w:spacing w:val="6"/>
          <w:szCs w:val="21"/>
        </w:rPr>
      </w:pPr>
    </w:p>
    <w:p w14:paraId="538E0CDD">
      <w:pPr>
        <w:wordWrap/>
        <w:adjustRightInd w:val="0"/>
        <w:snapToGrid w:val="0"/>
        <w:spacing w:before="157" w:beforeLines="50" w:line="560" w:lineRule="exact"/>
        <w:ind w:firstLine="444" w:firstLineChars="200"/>
        <w:outlineLvl w:val="9"/>
        <w:rPr>
          <w:rFonts w:ascii="宋体" w:hAnsi="宋体" w:eastAsia="宋体"/>
          <w:spacing w:val="6"/>
          <w:szCs w:val="21"/>
        </w:rPr>
      </w:pPr>
    </w:p>
    <w:p w14:paraId="157DA854">
      <w:pPr>
        <w:numPr>
          <w:ilvl w:val="0"/>
          <w:numId w:val="0"/>
        </w:numPr>
        <w:wordWrap/>
        <w:adjustRightInd w:val="0"/>
        <w:snapToGrid w:val="0"/>
        <w:spacing w:before="157" w:beforeLines="50" w:line="560" w:lineRule="exact"/>
        <w:jc w:val="center"/>
        <w:outlineLvl w:val="9"/>
        <w:rPr>
          <w:rFonts w:hint="eastAsia" w:ascii="楷体" w:hAnsi="楷体" w:eastAsia="楷体" w:cs="楷体"/>
          <w:b w:val="0"/>
          <w:bCs w:val="0"/>
          <w:kern w:val="2"/>
          <w:sz w:val="32"/>
          <w:szCs w:val="32"/>
          <w:lang w:val="en-US" w:eastAsia="zh-CN" w:bidi="ar-SA"/>
        </w:rPr>
      </w:pPr>
      <w:bookmarkStart w:id="575" w:name="_Toc9477"/>
      <w:bookmarkStart w:id="576" w:name="_Toc30801"/>
      <w:r>
        <w:rPr>
          <w:rFonts w:hint="eastAsia" w:ascii="楷体" w:hAnsi="楷体" w:eastAsia="楷体" w:cs="楷体"/>
          <w:b w:val="0"/>
          <w:bCs w:val="0"/>
          <w:kern w:val="2"/>
          <w:sz w:val="32"/>
          <w:szCs w:val="32"/>
          <w:lang w:val="en-US" w:eastAsia="zh-CN" w:bidi="ar-SA"/>
        </w:rPr>
        <w:t>4.监狱企业证明资料</w:t>
      </w:r>
      <w:bookmarkEnd w:id="575"/>
      <w:bookmarkEnd w:id="576"/>
    </w:p>
    <w:p w14:paraId="7F61C36C">
      <w:pPr>
        <w:widowControl w:val="0"/>
        <w:wordWrap/>
        <w:adjustRightInd w:val="0"/>
        <w:snapToGrid w:val="0"/>
        <w:spacing w:line="560" w:lineRule="exact"/>
        <w:jc w:val="center"/>
        <w:textAlignment w:val="auto"/>
        <w:outlineLvl w:val="9"/>
        <w:rPr>
          <w:rFonts w:hint="eastAsia" w:ascii="仿宋_GB2312" w:hAnsi="仿宋_GB2312" w:eastAsia="仿宋_GB2312" w:cs="仿宋_GB2312"/>
          <w:sz w:val="32"/>
          <w:szCs w:val="32"/>
        </w:rPr>
      </w:pPr>
      <w:bookmarkStart w:id="577" w:name="_Toc28022_WPSOffice_Level3"/>
      <w:bookmarkStart w:id="578" w:name="_Toc25903_WPSOffice_Level3"/>
      <w:r>
        <w:rPr>
          <w:rFonts w:hint="eastAsia" w:ascii="仿宋_GB2312" w:hAnsi="仿宋_GB2312" w:eastAsia="仿宋_GB2312" w:cs="仿宋_GB2312"/>
          <w:b/>
          <w:spacing w:val="6"/>
          <w:sz w:val="32"/>
          <w:szCs w:val="32"/>
        </w:rPr>
        <w:t>(不属于监狱企业的无需提供)</w:t>
      </w:r>
      <w:bookmarkEnd w:id="577"/>
      <w:bookmarkEnd w:id="578"/>
    </w:p>
    <w:p w14:paraId="154395B1">
      <w:pPr>
        <w:widowControl w:val="0"/>
        <w:wordWrap/>
        <w:adjustRightInd w:val="0"/>
        <w:snapToGrid w:val="0"/>
        <w:spacing w:line="560" w:lineRule="exact"/>
        <w:ind w:firstLine="664"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Cs/>
          <w:spacing w:val="6"/>
          <w:kern w:val="0"/>
          <w:sz w:val="32"/>
          <w:szCs w:val="32"/>
        </w:rPr>
        <w:t>备注：</w:t>
      </w:r>
      <w:r>
        <w:rPr>
          <w:rFonts w:hint="eastAsia" w:ascii="仿宋_GB2312" w:hAnsi="仿宋_GB2312" w:eastAsia="仿宋_GB2312" w:cs="仿宋_GB2312"/>
          <w:sz w:val="32"/>
          <w:szCs w:val="32"/>
        </w:rPr>
        <w:t>按</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财政部 司法部关于政府采购支持监狱企业发展有关问题的通知</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(财库〔2014〕68号)文件规定提供证明文件（复印件）。</w:t>
      </w:r>
    </w:p>
    <w:p w14:paraId="64E24786">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lang w:val="en-US" w:eastAsia="zh-CN"/>
        </w:rPr>
        <w:t xml:space="preserve">                 </w:t>
      </w:r>
      <w:bookmarkStart w:id="579" w:name="_Toc22071_WPSOffice_Level3"/>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bookmarkEnd w:id="579"/>
    </w:p>
    <w:p w14:paraId="088659D3">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580" w:name="_Toc11539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580"/>
    </w:p>
    <w:p w14:paraId="12267BDC">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 xml:space="preserve"> </w:t>
      </w:r>
      <w:bookmarkStart w:id="581" w:name="_Toc3285_WPSOffice_Level3"/>
      <w:r>
        <w:rPr>
          <w:rFonts w:hint="eastAsia" w:ascii="仿宋_GB2312" w:hAnsi="仿宋_GB2312" w:eastAsia="仿宋_GB2312" w:cs="仿宋_GB2312"/>
          <w:b w:val="0"/>
          <w:bCs/>
          <w:color w:val="000000"/>
          <w:sz w:val="32"/>
          <w:szCs w:val="32"/>
        </w:rPr>
        <w:t xml:space="preserve">年   月  </w:t>
      </w:r>
      <w:r>
        <w:rPr>
          <w:rFonts w:hint="eastAsia" w:ascii="仿宋_GB2312" w:hAnsi="仿宋_GB2312" w:eastAsia="仿宋_GB2312" w:cs="仿宋_GB2312"/>
          <w:b w:val="0"/>
          <w:bCs/>
          <w:color w:val="000000"/>
          <w:sz w:val="32"/>
          <w:szCs w:val="32"/>
          <w:lang w:eastAsia="zh-CN"/>
        </w:rPr>
        <w:t>日</w:t>
      </w:r>
      <w:bookmarkEnd w:id="581"/>
    </w:p>
    <w:p w14:paraId="0EB121F7">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4AD58D6C">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37CF5037">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739FF266">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1D8BB2EB">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3BC1719B">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4E2A63C3">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426EBF79">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4DF406D9">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19B9568F">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67712CC9">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4276FD2B">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512A4A48">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5801FD22">
      <w:pPr>
        <w:wordWrap/>
        <w:spacing w:before="157" w:beforeLines="50" w:line="560" w:lineRule="exact"/>
        <w:ind w:firstLine="640" w:firstLineChars="200"/>
        <w:jc w:val="center"/>
        <w:outlineLvl w:val="9"/>
        <w:rPr>
          <w:rFonts w:hint="eastAsia" w:ascii="仿宋_GB2312" w:hAnsi="仿宋_GB2312" w:eastAsia="仿宋_GB2312" w:cs="仿宋_GB2312"/>
          <w:b w:val="0"/>
          <w:bCs/>
          <w:color w:val="000000"/>
          <w:sz w:val="32"/>
          <w:szCs w:val="32"/>
          <w:lang w:eastAsia="zh-CN"/>
        </w:rPr>
      </w:pPr>
    </w:p>
    <w:p w14:paraId="5130DBE2">
      <w:pPr>
        <w:numPr>
          <w:ilvl w:val="0"/>
          <w:numId w:val="0"/>
        </w:numPr>
        <w:wordWrap/>
        <w:adjustRightInd w:val="0"/>
        <w:snapToGrid w:val="0"/>
        <w:spacing w:before="157" w:beforeLines="50" w:line="560" w:lineRule="exact"/>
        <w:ind w:firstLine="1080" w:firstLineChars="300"/>
        <w:jc w:val="both"/>
        <w:outlineLvl w:val="9"/>
        <w:rPr>
          <w:rFonts w:hint="eastAsia" w:ascii="方正仿宋_GB18030" w:hAnsi="方正仿宋_GB18030" w:eastAsia="方正仿宋_GB18030" w:cs="方正仿宋_GB18030"/>
          <w:b w:val="0"/>
          <w:bCs w:val="0"/>
          <w:kern w:val="2"/>
          <w:sz w:val="36"/>
          <w:szCs w:val="36"/>
          <w:lang w:val="en-US" w:eastAsia="zh-CN" w:bidi="ar-SA"/>
        </w:rPr>
      </w:pPr>
      <w:bookmarkStart w:id="582" w:name="_Toc3739"/>
      <w:r>
        <w:rPr>
          <w:rFonts w:hint="eastAsia" w:ascii="方正仿宋_GB18030" w:hAnsi="方正仿宋_GB18030" w:eastAsia="方正仿宋_GB18030" w:cs="方正仿宋_GB18030"/>
          <w:b w:val="0"/>
          <w:bCs w:val="0"/>
          <w:kern w:val="2"/>
          <w:sz w:val="36"/>
          <w:szCs w:val="36"/>
          <w:lang w:val="en-US" w:eastAsia="zh-CN" w:bidi="ar-SA"/>
        </w:rPr>
        <w:t>5.关于符合本国产品标准的声明函或有关证明文件</w:t>
      </w:r>
      <w:bookmarkEnd w:id="582"/>
    </w:p>
    <w:p w14:paraId="5A8D5077">
      <w:pPr>
        <w:bidi w:val="0"/>
        <w:rPr>
          <w:rFonts w:hint="eastAsia" w:ascii="方正仿宋_GB18030" w:hAnsi="方正仿宋_GB18030" w:eastAsia="方正仿宋_GB18030" w:cs="方正仿宋_GB18030"/>
          <w:sz w:val="22"/>
          <w:szCs w:val="28"/>
          <w:lang w:val="en-US" w:eastAsia="zh-CN"/>
        </w:rPr>
      </w:pPr>
    </w:p>
    <w:p w14:paraId="2A3C8EDD">
      <w:pPr>
        <w:bidi w:val="0"/>
        <w:jc w:val="center"/>
        <w:rPr>
          <w:rFonts w:hint="eastAsia" w:ascii="方正仿宋_GB18030" w:hAnsi="方正仿宋_GB18030" w:eastAsia="方正仿宋_GB18030" w:cs="方正仿宋_GB18030"/>
          <w:b w:val="0"/>
          <w:bCs w:val="0"/>
          <w:kern w:val="2"/>
          <w:sz w:val="36"/>
          <w:szCs w:val="36"/>
          <w:lang w:val="en-US" w:eastAsia="zh-CN" w:bidi="ar-SA"/>
        </w:rPr>
      </w:pPr>
      <w:r>
        <w:rPr>
          <w:rFonts w:hint="eastAsia" w:ascii="方正仿宋_GB18030" w:hAnsi="方正仿宋_GB18030" w:eastAsia="方正仿宋_GB18030" w:cs="方正仿宋_GB18030"/>
          <w:b w:val="0"/>
          <w:bCs w:val="0"/>
          <w:kern w:val="2"/>
          <w:sz w:val="36"/>
          <w:szCs w:val="36"/>
          <w:lang w:val="en-US" w:eastAsia="zh-CN" w:bidi="ar-SA"/>
        </w:rPr>
        <w:t>关于符合本国产品标准的声明函</w:t>
      </w:r>
    </w:p>
    <w:p w14:paraId="340E482D">
      <w:pPr>
        <w:bidi w:val="0"/>
        <w:jc w:val="center"/>
        <w:rPr>
          <w:rFonts w:hint="eastAsia" w:ascii="方正仿宋_GB18030" w:hAnsi="方正仿宋_GB18030" w:eastAsia="方正仿宋_GB18030" w:cs="方正仿宋_GB18030"/>
          <w:b w:val="0"/>
          <w:bCs w:val="0"/>
          <w:kern w:val="2"/>
          <w:sz w:val="36"/>
          <w:szCs w:val="36"/>
          <w:lang w:val="en-US" w:eastAsia="zh-CN" w:bidi="ar-SA"/>
        </w:rPr>
      </w:pPr>
    </w:p>
    <w:p w14:paraId="3901CA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b/>
          <w:bCs/>
          <w:color w:val="auto"/>
          <w:sz w:val="22"/>
          <w:szCs w:val="28"/>
        </w:rPr>
        <w:t>致：</w:t>
      </w:r>
      <w:r>
        <w:rPr>
          <w:rFonts w:hint="eastAsia" w:ascii="方正仿宋_GB18030" w:hAnsi="方正仿宋_GB18030" w:eastAsia="方正仿宋_GB18030" w:cs="方正仿宋_GB18030"/>
          <w:b/>
          <w:bCs/>
          <w:color w:val="auto"/>
          <w:kern w:val="0"/>
          <w:sz w:val="22"/>
          <w:szCs w:val="28"/>
          <w:lang w:val="zh-CN"/>
        </w:rPr>
        <w:t>采购代理机构</w:t>
      </w:r>
    </w:p>
    <w:p w14:paraId="6DA4014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本公司（单位）郑重声明，根据《国务院办公厅关于在政府采购中实施本国产品标准及相关政策的通知》（国办发〔2025〕34号）的规定，本公司（单位）提供的以下产品属于本国产品。具体情况如下：</w:t>
      </w:r>
    </w:p>
    <w:p w14:paraId="1E4B8C1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1.</w:t>
      </w:r>
      <w:r>
        <w:rPr>
          <w:rFonts w:hint="eastAsia" w:ascii="方正仿宋_GB18030" w:hAnsi="方正仿宋_GB18030" w:eastAsia="方正仿宋_GB18030" w:cs="方正仿宋_GB18030"/>
          <w:color w:val="auto"/>
          <w:sz w:val="28"/>
          <w:szCs w:val="28"/>
          <w:u w:val="single"/>
        </w:rPr>
        <w:t>（产品名称1）</w:t>
      </w:r>
      <w:r>
        <w:rPr>
          <w:rFonts w:hint="eastAsia" w:ascii="方正仿宋_GB18030" w:hAnsi="方正仿宋_GB18030" w:eastAsia="方正仿宋_GB18030" w:cs="方正仿宋_GB18030"/>
          <w:color w:val="auto"/>
          <w:sz w:val="28"/>
          <w:szCs w:val="28"/>
          <w:vertAlign w:val="superscript"/>
        </w:rPr>
        <w:t>1</w:t>
      </w:r>
      <w:r>
        <w:rPr>
          <w:rFonts w:hint="eastAsia" w:ascii="方正仿宋_GB18030" w:hAnsi="方正仿宋_GB18030" w:eastAsia="方正仿宋_GB18030" w:cs="方正仿宋_GB18030"/>
          <w:color w:val="auto"/>
          <w:sz w:val="28"/>
          <w:szCs w:val="28"/>
        </w:rPr>
        <w:t>，生产厂为</w:t>
      </w:r>
      <w:r>
        <w:rPr>
          <w:rFonts w:hint="eastAsia" w:ascii="方正仿宋_GB18030" w:hAnsi="方正仿宋_GB18030" w:eastAsia="方正仿宋_GB18030" w:cs="方正仿宋_GB18030"/>
          <w:color w:val="auto"/>
          <w:sz w:val="28"/>
          <w:szCs w:val="28"/>
          <w:u w:val="single"/>
        </w:rPr>
        <w:t>（厂名）</w:t>
      </w:r>
      <w:r>
        <w:rPr>
          <w:rFonts w:hint="eastAsia" w:ascii="方正仿宋_GB18030" w:hAnsi="方正仿宋_GB18030" w:eastAsia="方正仿宋_GB18030" w:cs="方正仿宋_GB18030"/>
          <w:color w:val="auto"/>
          <w:sz w:val="28"/>
          <w:szCs w:val="28"/>
          <w:vertAlign w:val="superscript"/>
        </w:rPr>
        <w:t>2</w:t>
      </w:r>
      <w:r>
        <w:rPr>
          <w:rFonts w:hint="eastAsia" w:ascii="方正仿宋_GB18030" w:hAnsi="方正仿宋_GB18030" w:eastAsia="方正仿宋_GB18030" w:cs="方正仿宋_GB18030"/>
          <w:color w:val="auto"/>
          <w:sz w:val="28"/>
          <w:szCs w:val="28"/>
        </w:rPr>
        <w:t>，厂址为</w:t>
      </w:r>
      <w:r>
        <w:rPr>
          <w:rFonts w:hint="eastAsia" w:ascii="方正仿宋_GB18030" w:hAnsi="方正仿宋_GB18030" w:eastAsia="方正仿宋_GB18030" w:cs="方正仿宋_GB18030"/>
          <w:color w:val="auto"/>
          <w:sz w:val="28"/>
          <w:szCs w:val="28"/>
          <w:u w:val="single"/>
        </w:rPr>
        <w:t>（生产厂址）</w:t>
      </w:r>
      <w:r>
        <w:rPr>
          <w:rFonts w:hint="eastAsia" w:ascii="方正仿宋_GB18030" w:hAnsi="方正仿宋_GB18030" w:eastAsia="方正仿宋_GB18030" w:cs="方正仿宋_GB18030"/>
          <w:color w:val="auto"/>
          <w:sz w:val="28"/>
          <w:szCs w:val="28"/>
        </w:rPr>
        <w:t>。</w:t>
      </w:r>
      <w:r>
        <w:rPr>
          <w:rFonts w:hint="eastAsia" w:ascii="方正仿宋_GB18030" w:hAnsi="方正仿宋_GB18030" w:eastAsia="方正仿宋_GB18030" w:cs="方正仿宋_GB18030"/>
          <w:color w:val="auto"/>
          <w:sz w:val="28"/>
          <w:szCs w:val="28"/>
          <w:u w:val="single"/>
        </w:rPr>
        <w:t>（产品名称1）</w:t>
      </w:r>
      <w:r>
        <w:rPr>
          <w:rFonts w:hint="eastAsia" w:ascii="方正仿宋_GB18030" w:hAnsi="方正仿宋_GB18030" w:eastAsia="方正仿宋_GB18030" w:cs="方正仿宋_GB18030"/>
          <w:color w:val="auto"/>
          <w:sz w:val="28"/>
          <w:szCs w:val="28"/>
        </w:rPr>
        <w:t>的中国境内生产的组件成本占比≥</w:t>
      </w:r>
      <w:r>
        <w:rPr>
          <w:rFonts w:hint="eastAsia" w:ascii="方正仿宋_GB18030" w:hAnsi="方正仿宋_GB18030" w:eastAsia="方正仿宋_GB18030" w:cs="方正仿宋_GB18030"/>
          <w:color w:val="auto"/>
          <w:sz w:val="28"/>
          <w:szCs w:val="28"/>
          <w:u w:val="single"/>
        </w:rPr>
        <w:t>（规定比例）</w:t>
      </w:r>
      <w:r>
        <w:rPr>
          <w:rFonts w:hint="eastAsia" w:ascii="方正仿宋_GB18030" w:hAnsi="方正仿宋_GB18030" w:eastAsia="方正仿宋_GB18030" w:cs="方正仿宋_GB18030"/>
          <w:color w:val="auto"/>
          <w:sz w:val="28"/>
          <w:szCs w:val="28"/>
          <w:vertAlign w:val="superscript"/>
        </w:rPr>
        <w:t>3</w:t>
      </w:r>
      <w:r>
        <w:rPr>
          <w:rFonts w:hint="eastAsia" w:ascii="方正仿宋_GB18030" w:hAnsi="方正仿宋_GB18030" w:eastAsia="方正仿宋_GB18030" w:cs="方正仿宋_GB18030"/>
          <w:color w:val="auto"/>
          <w:sz w:val="28"/>
          <w:szCs w:val="28"/>
        </w:rPr>
        <w:t>。</w:t>
      </w:r>
      <w:r>
        <w:rPr>
          <w:rFonts w:hint="eastAsia" w:ascii="方正仿宋_GB18030" w:hAnsi="方正仿宋_GB18030" w:eastAsia="方正仿宋_GB18030" w:cs="方正仿宋_GB18030"/>
          <w:color w:val="auto"/>
          <w:sz w:val="28"/>
          <w:szCs w:val="28"/>
          <w:u w:val="single"/>
        </w:rPr>
        <w:t>（产品名称1）</w:t>
      </w:r>
      <w:r>
        <w:rPr>
          <w:rFonts w:hint="eastAsia" w:ascii="方正仿宋_GB18030" w:hAnsi="方正仿宋_GB18030" w:eastAsia="方正仿宋_GB18030" w:cs="方正仿宋_GB18030"/>
          <w:color w:val="auto"/>
          <w:sz w:val="28"/>
          <w:szCs w:val="28"/>
        </w:rPr>
        <w:t>的</w:t>
      </w:r>
      <w:r>
        <w:rPr>
          <w:rFonts w:hint="eastAsia" w:ascii="方正仿宋_GB18030" w:hAnsi="方正仿宋_GB18030" w:eastAsia="方正仿宋_GB18030" w:cs="方正仿宋_GB18030"/>
          <w:color w:val="auto"/>
          <w:sz w:val="28"/>
          <w:szCs w:val="28"/>
          <w:u w:val="single"/>
        </w:rPr>
        <w:t>（关键组件）</w:t>
      </w:r>
      <w:r>
        <w:rPr>
          <w:rFonts w:hint="eastAsia" w:ascii="方正仿宋_GB18030" w:hAnsi="方正仿宋_GB18030" w:eastAsia="方正仿宋_GB18030" w:cs="方正仿宋_GB18030"/>
          <w:color w:val="auto"/>
          <w:sz w:val="28"/>
          <w:szCs w:val="28"/>
          <w:vertAlign w:val="superscript"/>
        </w:rPr>
        <w:t>4</w:t>
      </w:r>
      <w:r>
        <w:rPr>
          <w:rFonts w:hint="eastAsia" w:ascii="方正仿宋_GB18030" w:hAnsi="方正仿宋_GB18030" w:eastAsia="方正仿宋_GB18030" w:cs="方正仿宋_GB18030"/>
          <w:color w:val="auto"/>
          <w:sz w:val="28"/>
          <w:szCs w:val="28"/>
        </w:rPr>
        <w:t>在中国境内生产。</w:t>
      </w:r>
      <w:r>
        <w:rPr>
          <w:rFonts w:hint="eastAsia" w:ascii="方正仿宋_GB18030" w:hAnsi="方正仿宋_GB18030" w:eastAsia="方正仿宋_GB18030" w:cs="方正仿宋_GB18030"/>
          <w:color w:val="auto"/>
          <w:sz w:val="28"/>
          <w:szCs w:val="28"/>
          <w:u w:val="single"/>
        </w:rPr>
        <w:t>（产品名称1）</w:t>
      </w:r>
      <w:r>
        <w:rPr>
          <w:rFonts w:hint="eastAsia" w:ascii="方正仿宋_GB18030" w:hAnsi="方正仿宋_GB18030" w:eastAsia="方正仿宋_GB18030" w:cs="方正仿宋_GB18030"/>
          <w:color w:val="auto"/>
          <w:sz w:val="28"/>
          <w:szCs w:val="28"/>
        </w:rPr>
        <w:t>的</w:t>
      </w:r>
      <w:r>
        <w:rPr>
          <w:rFonts w:hint="eastAsia" w:ascii="方正仿宋_GB18030" w:hAnsi="方正仿宋_GB18030" w:eastAsia="方正仿宋_GB18030" w:cs="方正仿宋_GB18030"/>
          <w:color w:val="auto"/>
          <w:sz w:val="28"/>
          <w:szCs w:val="28"/>
          <w:u w:val="single"/>
        </w:rPr>
        <w:t>（关键工序）</w:t>
      </w:r>
      <w:r>
        <w:rPr>
          <w:rFonts w:hint="eastAsia" w:ascii="方正仿宋_GB18030" w:hAnsi="方正仿宋_GB18030" w:eastAsia="方正仿宋_GB18030" w:cs="方正仿宋_GB18030"/>
          <w:color w:val="auto"/>
          <w:sz w:val="28"/>
          <w:szCs w:val="28"/>
          <w:vertAlign w:val="superscript"/>
        </w:rPr>
        <w:t>5</w:t>
      </w:r>
      <w:r>
        <w:rPr>
          <w:rFonts w:hint="eastAsia" w:ascii="方正仿宋_GB18030" w:hAnsi="方正仿宋_GB18030" w:eastAsia="方正仿宋_GB18030" w:cs="方正仿宋_GB18030"/>
          <w:color w:val="auto"/>
          <w:sz w:val="28"/>
          <w:szCs w:val="28"/>
        </w:rPr>
        <w:t>在中国境内完成。</w:t>
      </w:r>
    </w:p>
    <w:p w14:paraId="141526F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2.</w:t>
      </w:r>
      <w:r>
        <w:rPr>
          <w:rFonts w:hint="eastAsia" w:ascii="方正仿宋_GB18030" w:hAnsi="方正仿宋_GB18030" w:eastAsia="方正仿宋_GB18030" w:cs="方正仿宋_GB18030"/>
          <w:color w:val="auto"/>
          <w:sz w:val="28"/>
          <w:szCs w:val="28"/>
          <w:u w:val="single"/>
        </w:rPr>
        <w:t>（产品名称2）</w:t>
      </w:r>
      <w:r>
        <w:rPr>
          <w:rFonts w:hint="eastAsia" w:ascii="方正仿宋_GB18030" w:hAnsi="方正仿宋_GB18030" w:eastAsia="方正仿宋_GB18030" w:cs="方正仿宋_GB18030"/>
          <w:color w:val="auto"/>
          <w:sz w:val="28"/>
          <w:szCs w:val="28"/>
        </w:rPr>
        <w:t>，生产厂为</w:t>
      </w:r>
      <w:r>
        <w:rPr>
          <w:rFonts w:hint="eastAsia" w:ascii="方正仿宋_GB18030" w:hAnsi="方正仿宋_GB18030" w:eastAsia="方正仿宋_GB18030" w:cs="方正仿宋_GB18030"/>
          <w:color w:val="auto"/>
          <w:sz w:val="28"/>
          <w:szCs w:val="28"/>
          <w:u w:val="single"/>
        </w:rPr>
        <w:t>（厂名）</w:t>
      </w:r>
      <w:r>
        <w:rPr>
          <w:rFonts w:hint="eastAsia" w:ascii="方正仿宋_GB18030" w:hAnsi="方正仿宋_GB18030" w:eastAsia="方正仿宋_GB18030" w:cs="方正仿宋_GB18030"/>
          <w:color w:val="auto"/>
          <w:sz w:val="28"/>
          <w:szCs w:val="28"/>
        </w:rPr>
        <w:t>，厂址为</w:t>
      </w:r>
      <w:r>
        <w:rPr>
          <w:rFonts w:hint="eastAsia" w:ascii="方正仿宋_GB18030" w:hAnsi="方正仿宋_GB18030" w:eastAsia="方正仿宋_GB18030" w:cs="方正仿宋_GB18030"/>
          <w:color w:val="auto"/>
          <w:sz w:val="28"/>
          <w:szCs w:val="28"/>
          <w:u w:val="single"/>
        </w:rPr>
        <w:t>（生产厂址）</w:t>
      </w:r>
      <w:r>
        <w:rPr>
          <w:rFonts w:hint="eastAsia" w:ascii="方正仿宋_GB18030" w:hAnsi="方正仿宋_GB18030" w:eastAsia="方正仿宋_GB18030" w:cs="方正仿宋_GB18030"/>
          <w:color w:val="auto"/>
          <w:sz w:val="28"/>
          <w:szCs w:val="28"/>
        </w:rPr>
        <w:t>。</w:t>
      </w:r>
      <w:r>
        <w:rPr>
          <w:rFonts w:hint="eastAsia" w:ascii="方正仿宋_GB18030" w:hAnsi="方正仿宋_GB18030" w:eastAsia="方正仿宋_GB18030" w:cs="方正仿宋_GB18030"/>
          <w:color w:val="auto"/>
          <w:sz w:val="28"/>
          <w:szCs w:val="28"/>
          <w:u w:val="single"/>
        </w:rPr>
        <w:t>（产品名称2）</w:t>
      </w:r>
      <w:r>
        <w:rPr>
          <w:rFonts w:hint="eastAsia" w:ascii="方正仿宋_GB18030" w:hAnsi="方正仿宋_GB18030" w:eastAsia="方正仿宋_GB18030" w:cs="方正仿宋_GB18030"/>
          <w:color w:val="auto"/>
          <w:sz w:val="28"/>
          <w:szCs w:val="28"/>
        </w:rPr>
        <w:t>的中国境内生产的组件成本占比≥</w:t>
      </w:r>
      <w:r>
        <w:rPr>
          <w:rFonts w:hint="eastAsia" w:ascii="方正仿宋_GB18030" w:hAnsi="方正仿宋_GB18030" w:eastAsia="方正仿宋_GB18030" w:cs="方正仿宋_GB18030"/>
          <w:color w:val="auto"/>
          <w:sz w:val="28"/>
          <w:szCs w:val="28"/>
          <w:u w:val="single"/>
        </w:rPr>
        <w:t>（规定比例）</w:t>
      </w:r>
      <w:r>
        <w:rPr>
          <w:rFonts w:hint="eastAsia" w:ascii="方正仿宋_GB18030" w:hAnsi="方正仿宋_GB18030" w:eastAsia="方正仿宋_GB18030" w:cs="方正仿宋_GB18030"/>
          <w:color w:val="auto"/>
          <w:sz w:val="28"/>
          <w:szCs w:val="28"/>
        </w:rPr>
        <w:t>。</w:t>
      </w:r>
      <w:r>
        <w:rPr>
          <w:rFonts w:hint="eastAsia" w:ascii="方正仿宋_GB18030" w:hAnsi="方正仿宋_GB18030" w:eastAsia="方正仿宋_GB18030" w:cs="方正仿宋_GB18030"/>
          <w:color w:val="auto"/>
          <w:sz w:val="28"/>
          <w:szCs w:val="28"/>
          <w:u w:val="single"/>
        </w:rPr>
        <w:t>（产品名称2）</w:t>
      </w:r>
      <w:r>
        <w:rPr>
          <w:rFonts w:hint="eastAsia" w:ascii="方正仿宋_GB18030" w:hAnsi="方正仿宋_GB18030" w:eastAsia="方正仿宋_GB18030" w:cs="方正仿宋_GB18030"/>
          <w:color w:val="auto"/>
          <w:sz w:val="28"/>
          <w:szCs w:val="28"/>
        </w:rPr>
        <w:t>的</w:t>
      </w:r>
      <w:r>
        <w:rPr>
          <w:rFonts w:hint="eastAsia" w:ascii="方正仿宋_GB18030" w:hAnsi="方正仿宋_GB18030" w:eastAsia="方正仿宋_GB18030" w:cs="方正仿宋_GB18030"/>
          <w:color w:val="auto"/>
          <w:sz w:val="28"/>
          <w:szCs w:val="28"/>
          <w:u w:val="single"/>
        </w:rPr>
        <w:t>（关键组件）</w:t>
      </w:r>
      <w:r>
        <w:rPr>
          <w:rFonts w:hint="eastAsia" w:ascii="方正仿宋_GB18030" w:hAnsi="方正仿宋_GB18030" w:eastAsia="方正仿宋_GB18030" w:cs="方正仿宋_GB18030"/>
          <w:color w:val="auto"/>
          <w:sz w:val="28"/>
          <w:szCs w:val="28"/>
        </w:rPr>
        <w:t>在中国境内生产。</w:t>
      </w:r>
      <w:r>
        <w:rPr>
          <w:rFonts w:hint="eastAsia" w:ascii="方正仿宋_GB18030" w:hAnsi="方正仿宋_GB18030" w:eastAsia="方正仿宋_GB18030" w:cs="方正仿宋_GB18030"/>
          <w:color w:val="auto"/>
          <w:sz w:val="28"/>
          <w:szCs w:val="28"/>
          <w:u w:val="single"/>
        </w:rPr>
        <w:t>（产品名称2）</w:t>
      </w:r>
      <w:r>
        <w:rPr>
          <w:rFonts w:hint="eastAsia" w:ascii="方正仿宋_GB18030" w:hAnsi="方正仿宋_GB18030" w:eastAsia="方正仿宋_GB18030" w:cs="方正仿宋_GB18030"/>
          <w:color w:val="auto"/>
          <w:sz w:val="28"/>
          <w:szCs w:val="28"/>
        </w:rPr>
        <w:t>的</w:t>
      </w:r>
      <w:r>
        <w:rPr>
          <w:rFonts w:hint="eastAsia" w:ascii="方正仿宋_GB18030" w:hAnsi="方正仿宋_GB18030" w:eastAsia="方正仿宋_GB18030" w:cs="方正仿宋_GB18030"/>
          <w:color w:val="auto"/>
          <w:sz w:val="28"/>
          <w:szCs w:val="28"/>
          <w:u w:val="single"/>
        </w:rPr>
        <w:t>（关键工序）</w:t>
      </w:r>
      <w:r>
        <w:rPr>
          <w:rFonts w:hint="eastAsia" w:ascii="方正仿宋_GB18030" w:hAnsi="方正仿宋_GB18030" w:eastAsia="方正仿宋_GB18030" w:cs="方正仿宋_GB18030"/>
          <w:color w:val="auto"/>
          <w:sz w:val="28"/>
          <w:szCs w:val="28"/>
        </w:rPr>
        <w:t>在中国境内完成。</w:t>
      </w:r>
    </w:p>
    <w:p w14:paraId="3D434AE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w:t>
      </w:r>
    </w:p>
    <w:p w14:paraId="7406321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本公司（单位）对上述声明内容的真实性负责。如有虚假，愿承担相应法律责任。</w:t>
      </w:r>
    </w:p>
    <w:p w14:paraId="1DA2AE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18030" w:hAnsi="方正仿宋_GB18030" w:eastAsia="方正仿宋_GB18030" w:cs="方正仿宋_GB18030"/>
          <w:color w:val="auto"/>
          <w:sz w:val="28"/>
          <w:szCs w:val="28"/>
        </w:rPr>
      </w:pPr>
    </w:p>
    <w:p w14:paraId="5884CC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_GB18030" w:hAnsi="方正仿宋_GB18030" w:eastAsia="方正仿宋_GB18030" w:cs="方正仿宋_GB18030"/>
          <w:b/>
          <w:bCs/>
          <w:color w:val="auto"/>
          <w:sz w:val="28"/>
          <w:szCs w:val="28"/>
          <w:lang w:val="en-US" w:eastAsia="zh-CN"/>
        </w:rPr>
      </w:pPr>
      <w:r>
        <w:rPr>
          <w:rFonts w:hint="eastAsia" w:ascii="方正仿宋_GB18030" w:hAnsi="方正仿宋_GB18030" w:eastAsia="方正仿宋_GB18030" w:cs="方正仿宋_GB18030"/>
          <w:b/>
          <w:bCs/>
          <w:color w:val="auto"/>
          <w:sz w:val="28"/>
          <w:szCs w:val="28"/>
        </w:rPr>
        <w:t>公司（单位）名称（盖章）：</w:t>
      </w:r>
    </w:p>
    <w:p w14:paraId="15F02B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_GB18030" w:hAnsi="方正仿宋_GB18030" w:eastAsia="方正仿宋_GB18030" w:cs="方正仿宋_GB18030"/>
          <w:b/>
          <w:bCs/>
          <w:color w:val="auto"/>
          <w:sz w:val="28"/>
          <w:szCs w:val="28"/>
        </w:rPr>
      </w:pPr>
      <w:r>
        <w:rPr>
          <w:rFonts w:hint="eastAsia" w:ascii="方正仿宋_GB18030" w:hAnsi="方正仿宋_GB18030" w:eastAsia="方正仿宋_GB18030" w:cs="方正仿宋_GB18030"/>
          <w:b/>
          <w:bCs/>
          <w:color w:val="auto"/>
          <w:sz w:val="28"/>
          <w:szCs w:val="28"/>
        </w:rPr>
        <w:t>日期：</w:t>
      </w:r>
      <w:r>
        <w:rPr>
          <w:rFonts w:hint="eastAsia" w:ascii="方正仿宋_GB18030" w:hAnsi="方正仿宋_GB18030" w:eastAsia="方正仿宋_GB18030" w:cs="方正仿宋_GB18030"/>
          <w:b/>
          <w:bCs/>
          <w:color w:val="auto"/>
          <w:sz w:val="28"/>
          <w:szCs w:val="28"/>
          <w:lang w:val="en-US" w:eastAsia="zh-CN"/>
        </w:rPr>
        <w:t xml:space="preserve">      </w:t>
      </w:r>
      <w:r>
        <w:rPr>
          <w:rFonts w:hint="eastAsia" w:ascii="方正仿宋_GB18030" w:hAnsi="方正仿宋_GB18030" w:eastAsia="方正仿宋_GB18030" w:cs="方正仿宋_GB18030"/>
          <w:b/>
          <w:bCs/>
          <w:color w:val="auto"/>
          <w:sz w:val="28"/>
          <w:szCs w:val="28"/>
        </w:rPr>
        <w:t>年</w:t>
      </w:r>
      <w:r>
        <w:rPr>
          <w:rFonts w:hint="eastAsia" w:ascii="方正仿宋_GB18030" w:hAnsi="方正仿宋_GB18030" w:eastAsia="方正仿宋_GB18030" w:cs="方正仿宋_GB18030"/>
          <w:b/>
          <w:bCs/>
          <w:color w:val="auto"/>
          <w:sz w:val="28"/>
          <w:szCs w:val="28"/>
          <w:lang w:val="en-US" w:eastAsia="zh-CN"/>
        </w:rPr>
        <w:t xml:space="preserve">     </w:t>
      </w:r>
      <w:r>
        <w:rPr>
          <w:rFonts w:hint="eastAsia" w:ascii="方正仿宋_GB18030" w:hAnsi="方正仿宋_GB18030" w:eastAsia="方正仿宋_GB18030" w:cs="方正仿宋_GB18030"/>
          <w:b/>
          <w:bCs/>
          <w:color w:val="auto"/>
          <w:sz w:val="28"/>
          <w:szCs w:val="28"/>
        </w:rPr>
        <w:t>月</w:t>
      </w:r>
      <w:r>
        <w:rPr>
          <w:rFonts w:hint="eastAsia" w:ascii="方正仿宋_GB18030" w:hAnsi="方正仿宋_GB18030" w:eastAsia="方正仿宋_GB18030" w:cs="方正仿宋_GB18030"/>
          <w:b/>
          <w:bCs/>
          <w:color w:val="auto"/>
          <w:sz w:val="28"/>
          <w:szCs w:val="28"/>
          <w:lang w:val="en-US" w:eastAsia="zh-CN"/>
        </w:rPr>
        <w:t xml:space="preserve">   </w:t>
      </w:r>
      <w:r>
        <w:rPr>
          <w:rFonts w:hint="eastAsia" w:ascii="方正仿宋_GB18030" w:hAnsi="方正仿宋_GB18030" w:eastAsia="方正仿宋_GB18030" w:cs="方正仿宋_GB18030"/>
          <w:b/>
          <w:bCs/>
          <w:color w:val="auto"/>
          <w:sz w:val="28"/>
          <w:szCs w:val="28"/>
        </w:rPr>
        <w:t>日</w:t>
      </w:r>
    </w:p>
    <w:p w14:paraId="35AAB2B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i w:val="0"/>
          <w:iCs w:val="0"/>
          <w:caps w:val="0"/>
          <w:color w:val="auto"/>
          <w:spacing w:val="0"/>
          <w:sz w:val="28"/>
          <w:szCs w:val="28"/>
          <w:shd w:val="clear" w:color="auto" w:fill="FFFFFF"/>
          <w:lang w:val="en-US" w:eastAsia="zh-CN"/>
        </w:rPr>
        <w:t>注：</w:t>
      </w:r>
      <w:r>
        <w:rPr>
          <w:rFonts w:hint="eastAsia" w:ascii="方正仿宋_GB18030" w:hAnsi="方正仿宋_GB18030" w:eastAsia="方正仿宋_GB18030" w:cs="方正仿宋_GB18030"/>
          <w:color w:val="auto"/>
          <w:sz w:val="28"/>
          <w:szCs w:val="28"/>
        </w:rPr>
        <w:t>1.产品如有型号，请在“产品名称”栏一并填写。</w:t>
      </w:r>
    </w:p>
    <w:p w14:paraId="03EF118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2.生产厂名与厂址应与生产厂营业执照载明的相关信息保持一致。</w:t>
      </w:r>
    </w:p>
    <w:p w14:paraId="755F9E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3.该产品的中国境内生产的组件成本占比相关要求实施前，“规定比例”栏可不填，下同。</w:t>
      </w:r>
    </w:p>
    <w:p w14:paraId="3290071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4.该产品的关键组件要求实施前，“关键组件”栏可不填，下同。</w:t>
      </w:r>
    </w:p>
    <w:p w14:paraId="1D5D092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b/>
          <w:bCs/>
          <w:color w:val="auto"/>
          <w:sz w:val="28"/>
          <w:szCs w:val="28"/>
        </w:rPr>
      </w:pPr>
      <w:r>
        <w:rPr>
          <w:rFonts w:hint="eastAsia" w:ascii="方正仿宋_GB18030" w:hAnsi="方正仿宋_GB18030" w:eastAsia="方正仿宋_GB18030" w:cs="方正仿宋_GB18030"/>
          <w:color w:val="auto"/>
          <w:sz w:val="28"/>
          <w:szCs w:val="28"/>
        </w:rPr>
        <w:t>5.该产品的关键工序要求实施前，“关键工序”栏可不填，下同。</w:t>
      </w:r>
      <w:r>
        <w:rPr>
          <w:rFonts w:hint="eastAsia" w:ascii="方正仿宋_GB18030" w:hAnsi="方正仿宋_GB18030" w:eastAsia="方正仿宋_GB18030" w:cs="方正仿宋_GB18030"/>
          <w:b/>
          <w:bCs/>
          <w:color w:val="auto"/>
          <w:sz w:val="28"/>
          <w:szCs w:val="28"/>
        </w:rPr>
        <w:br w:type="page"/>
      </w:r>
    </w:p>
    <w:p w14:paraId="0261A618">
      <w:pPr>
        <w:bidi w:val="0"/>
        <w:jc w:val="center"/>
        <w:rPr>
          <w:rFonts w:hint="eastAsia" w:ascii="方正仿宋_GB18030" w:hAnsi="方正仿宋_GB18030" w:eastAsia="方正仿宋_GB18030" w:cs="方正仿宋_GB18030"/>
          <w:b w:val="0"/>
          <w:bCs w:val="0"/>
          <w:kern w:val="2"/>
          <w:sz w:val="36"/>
          <w:szCs w:val="36"/>
          <w:lang w:val="en-US" w:eastAsia="zh-CN" w:bidi="ar-SA"/>
        </w:rPr>
      </w:pPr>
      <w:r>
        <w:rPr>
          <w:rFonts w:hint="eastAsia" w:ascii="方正仿宋_GB18030" w:hAnsi="方正仿宋_GB18030" w:eastAsia="方正仿宋_GB18030" w:cs="方正仿宋_GB18030"/>
          <w:b w:val="0"/>
          <w:bCs w:val="0"/>
          <w:kern w:val="2"/>
          <w:sz w:val="36"/>
          <w:szCs w:val="36"/>
          <w:lang w:val="en-US" w:eastAsia="zh-CN" w:bidi="ar-SA"/>
        </w:rPr>
        <w:t>中国境内生产的组件成本核算基本规则</w:t>
      </w:r>
    </w:p>
    <w:p w14:paraId="3A41F33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41B2660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一、产品的一级组件是指直接组成产品的组件。产品的二级组件是指直接组成产品一级组件的组件。一级组件不可分解的，视同二级组件。</w:t>
      </w:r>
    </w:p>
    <w:p w14:paraId="1CE419C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二、二级组件在中国境内生产的，其全部成本计入中国境内生产的组件成本；二级组件不在中国境内生产的，其成本不计入中国境内生产的组件成本。</w:t>
      </w:r>
    </w:p>
    <w:p w14:paraId="382AFF8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三、产品总成本和组件成本以相关会计核算数据、采购合同、进货记录等为基础进行计算。</w:t>
      </w:r>
    </w:p>
    <w:p w14:paraId="7EB18459">
      <w:pPr>
        <w:tabs>
          <w:tab w:val="left" w:pos="3413"/>
        </w:tabs>
        <w:bidi w:val="0"/>
        <w:ind w:firstLine="560" w:firstLineChars="200"/>
        <w:jc w:val="left"/>
        <w:rPr>
          <w:rFonts w:hint="eastAsia" w:ascii="方正仿宋_GB18030" w:hAnsi="方正仿宋_GB18030" w:eastAsia="方正仿宋_GB18030" w:cs="方正仿宋_GB18030"/>
          <w:sz w:val="22"/>
          <w:szCs w:val="28"/>
          <w:lang w:val="zh-CN" w:eastAsia="zh-CN"/>
        </w:rPr>
        <w:sectPr>
          <w:footerReference r:id="rId5" w:type="default"/>
          <w:pgSz w:w="11910" w:h="16840"/>
          <w:pgMar w:top="1440" w:right="1080" w:bottom="1440" w:left="1080" w:header="0" w:footer="989" w:gutter="0"/>
          <w:pgNumType w:start="60"/>
          <w:cols w:space="720" w:num="1"/>
        </w:sectPr>
      </w:pPr>
      <w:r>
        <w:rPr>
          <w:rFonts w:hint="eastAsia" w:ascii="方正仿宋_GB18030" w:hAnsi="方正仿宋_GB18030" w:eastAsia="方正仿宋_GB18030" w:cs="方正仿宋_GB18030"/>
          <w:color w:val="auto"/>
          <w:sz w:val="28"/>
          <w:szCs w:val="28"/>
        </w:rPr>
        <w:t>四、需要对成本核算规则予以进一步明确的其他有关事项，由财政部会同有关部门另行规定。</w:t>
      </w:r>
    </w:p>
    <w:p w14:paraId="103267A0">
      <w:pPr>
        <w:widowControl/>
        <w:wordWrap/>
        <w:snapToGrid w:val="0"/>
        <w:spacing w:before="157" w:beforeLines="50" w:line="560" w:lineRule="exact"/>
        <w:outlineLvl w:val="1"/>
        <w:rPr>
          <w:rFonts w:hint="eastAsia" w:ascii="楷体_GB2312" w:hAnsi="楷体_GB2312" w:eastAsia="楷体_GB2312" w:cs="楷体_GB2312"/>
          <w:b/>
          <w:bCs w:val="0"/>
          <w:color w:val="000000"/>
          <w:kern w:val="2"/>
          <w:sz w:val="32"/>
          <w:szCs w:val="32"/>
          <w:lang w:val="en-US" w:eastAsia="zh-CN" w:bidi="ar-SA"/>
        </w:rPr>
      </w:pPr>
      <w:bookmarkStart w:id="583" w:name="_Toc12068_WPSOffice_Level3"/>
      <w:bookmarkStart w:id="584" w:name="_Toc23033_WPSOffice_Level3"/>
      <w:bookmarkStart w:id="585" w:name="_Toc8740"/>
      <w:bookmarkStart w:id="586" w:name="_Toc7109"/>
      <w:bookmarkStart w:id="587" w:name="_Toc21346"/>
      <w:r>
        <w:rPr>
          <w:rFonts w:hint="eastAsia" w:ascii="楷体_GB2312" w:hAnsi="楷体_GB2312" w:eastAsia="楷体_GB2312" w:cs="楷体_GB2312"/>
          <w:b/>
          <w:bCs w:val="0"/>
          <w:color w:val="000000"/>
          <w:kern w:val="2"/>
          <w:sz w:val="32"/>
          <w:szCs w:val="32"/>
          <w:lang w:val="en-US" w:eastAsia="zh-CN" w:bidi="ar-SA"/>
        </w:rPr>
        <w:t>附件15：最后报价表</w:t>
      </w:r>
      <w:bookmarkEnd w:id="583"/>
      <w:bookmarkEnd w:id="584"/>
      <w:bookmarkEnd w:id="585"/>
      <w:bookmarkEnd w:id="586"/>
      <w:bookmarkEnd w:id="587"/>
    </w:p>
    <w:p w14:paraId="2BB6E2D7">
      <w:pPr>
        <w:widowControl w:val="0"/>
        <w:wordWrap/>
        <w:autoSpaceDE w:val="0"/>
        <w:autoSpaceDN w:val="0"/>
        <w:adjustRightInd w:val="0"/>
        <w:snapToGrid/>
        <w:spacing w:line="560" w:lineRule="exact"/>
        <w:ind w:left="283" w:leftChars="135"/>
        <w:jc w:val="center"/>
        <w:outlineLvl w:val="9"/>
        <w:rPr>
          <w:rFonts w:hint="eastAsia" w:ascii="楷体_GB2312" w:hAnsi="楷体_GB2312" w:eastAsia="楷体_GB2312" w:cs="楷体_GB2312"/>
          <w:b/>
          <w:bCs w:val="0"/>
          <w:sz w:val="32"/>
          <w:szCs w:val="32"/>
          <w:lang w:val="zh-CN"/>
        </w:rPr>
      </w:pPr>
      <w:bookmarkStart w:id="588" w:name="_Toc27800_WPSOffice_Level2"/>
      <w:bookmarkStart w:id="589" w:name="_Toc27699_WPSOffice_Level2"/>
      <w:r>
        <w:rPr>
          <w:rFonts w:hint="eastAsia" w:ascii="楷体_GB2312" w:hAnsi="楷体_GB2312" w:eastAsia="楷体_GB2312" w:cs="楷体_GB2312"/>
          <w:b/>
          <w:bCs w:val="0"/>
          <w:sz w:val="32"/>
          <w:szCs w:val="32"/>
          <w:lang w:val="en-US" w:eastAsia="zh-CN"/>
        </w:rPr>
        <w:t>1.</w:t>
      </w:r>
      <w:bookmarkEnd w:id="588"/>
      <w:bookmarkEnd w:id="589"/>
      <w:r>
        <w:rPr>
          <w:rFonts w:hint="eastAsia" w:ascii="楷体_GB2312" w:hAnsi="楷体_GB2312" w:eastAsia="楷体_GB2312" w:cs="楷体_GB2312"/>
          <w:b/>
          <w:bCs w:val="0"/>
          <w:color w:val="000000"/>
          <w:kern w:val="2"/>
          <w:sz w:val="32"/>
          <w:szCs w:val="32"/>
          <w:lang w:val="en-US" w:eastAsia="zh-CN" w:bidi="ar-SA"/>
        </w:rPr>
        <w:t>最后报价表</w:t>
      </w:r>
    </w:p>
    <w:p w14:paraId="50198D6E">
      <w:pPr>
        <w:widowControl w:val="0"/>
        <w:wordWrap/>
        <w:snapToGrid/>
        <w:spacing w:line="560" w:lineRule="exact"/>
        <w:ind w:left="283" w:leftChars="135"/>
        <w:outlineLvl w:val="9"/>
        <w:rPr>
          <w:rFonts w:hint="eastAsia" w:ascii="仿宋_GB2312" w:hAnsi="仿宋_GB2312" w:eastAsia="仿宋_GB2312" w:cs="仿宋_GB2312"/>
          <w:b/>
          <w:bCs w:val="0"/>
          <w:sz w:val="32"/>
          <w:szCs w:val="32"/>
        </w:rPr>
      </w:pPr>
      <w:bookmarkStart w:id="590" w:name="_Toc26632_WPSOffice_Level2"/>
      <w:bookmarkStart w:id="591" w:name="_Toc31451_WPSOffice_Level2"/>
      <w:r>
        <w:rPr>
          <w:rFonts w:hint="eastAsia" w:ascii="仿宋_GB2312" w:hAnsi="仿宋_GB2312" w:eastAsia="仿宋_GB2312" w:cs="仿宋_GB2312"/>
          <w:b/>
          <w:bCs w:val="0"/>
          <w:sz w:val="32"/>
          <w:szCs w:val="32"/>
        </w:rPr>
        <w:t>项目名称：</w:t>
      </w:r>
      <w:bookmarkEnd w:id="590"/>
      <w:bookmarkEnd w:id="591"/>
      <w:r>
        <w:rPr>
          <w:rFonts w:hint="eastAsia" w:ascii="仿宋_GB2312" w:hAnsi="仿宋_GB2312" w:eastAsia="仿宋_GB2312" w:cs="仿宋_GB2312"/>
          <w:b/>
          <w:bCs w:val="0"/>
          <w:sz w:val="32"/>
          <w:szCs w:val="32"/>
        </w:rPr>
        <w:t xml:space="preserve">                                           </w:t>
      </w:r>
    </w:p>
    <w:p w14:paraId="746FB4D4">
      <w:pPr>
        <w:wordWrap/>
        <w:spacing w:before="157" w:beforeLines="50" w:line="560" w:lineRule="exact"/>
        <w:ind w:firstLine="321" w:firstLineChars="100"/>
        <w:outlineLvl w:val="9"/>
        <w:rPr>
          <w:rFonts w:hint="eastAsia" w:ascii="仿宋_GB2312" w:hAnsi="仿宋_GB2312" w:eastAsia="仿宋_GB2312" w:cs="仿宋_GB2312"/>
          <w:bCs/>
          <w:color w:val="000000"/>
          <w:sz w:val="32"/>
          <w:szCs w:val="32"/>
        </w:rPr>
      </w:pPr>
      <w:bookmarkStart w:id="592" w:name="_Toc18301_WPSOffice_Level2"/>
      <w:bookmarkStart w:id="593" w:name="_Toc16830_WPSOffice_Level2"/>
      <w:r>
        <w:rPr>
          <w:rFonts w:hint="eastAsia" w:ascii="仿宋_GB2312" w:hAnsi="仿宋_GB2312" w:eastAsia="仿宋_GB2312" w:cs="仿宋_GB2312"/>
          <w:b/>
          <w:bCs w:val="0"/>
          <w:sz w:val="32"/>
          <w:szCs w:val="32"/>
        </w:rPr>
        <w:t>项目编号：</w:t>
      </w:r>
      <w:r>
        <w:rPr>
          <w:rFonts w:hint="eastAsia" w:ascii="仿宋_GB2312" w:hAnsi="仿宋_GB2312" w:eastAsia="仿宋_GB2312" w:cs="仿宋_GB2312"/>
          <w:b/>
          <w:bCs w:val="0"/>
          <w:sz w:val="32"/>
          <w:szCs w:val="32"/>
          <w:lang w:val="en-US" w:eastAsia="zh-CN"/>
        </w:rPr>
        <w:t xml:space="preserve">                            </w:t>
      </w:r>
      <w:r>
        <w:rPr>
          <w:rFonts w:hint="eastAsia" w:ascii="仿宋_GB2312" w:hAnsi="仿宋_GB2312" w:eastAsia="仿宋_GB2312" w:cs="仿宋_GB2312"/>
          <w:color w:val="000000"/>
          <w:sz w:val="32"/>
          <w:szCs w:val="32"/>
        </w:rPr>
        <w:t>单位：</w:t>
      </w:r>
      <w:r>
        <w:rPr>
          <w:rFonts w:hint="eastAsia" w:ascii="仿宋_GB2312" w:hAnsi="仿宋_GB2312" w:eastAsia="仿宋_GB2312" w:cs="仿宋_GB2312"/>
          <w:bCs/>
          <w:color w:val="000000"/>
          <w:sz w:val="32"/>
          <w:szCs w:val="32"/>
        </w:rPr>
        <w:t>人民币(元)</w:t>
      </w:r>
      <w:bookmarkEnd w:id="592"/>
      <w:bookmarkEnd w:id="593"/>
    </w:p>
    <w:p w14:paraId="3F138D1B">
      <w:pPr>
        <w:wordWrap/>
        <w:spacing w:before="157" w:beforeLines="50" w:line="560" w:lineRule="exact"/>
        <w:ind w:firstLine="320" w:firstLineChars="100"/>
        <w:outlineLvl w:val="9"/>
        <w:rPr>
          <w:rFonts w:hint="eastAsia" w:ascii="仿宋_GB2312" w:hAnsi="仿宋_GB2312" w:eastAsia="仿宋_GB2312" w:cs="仿宋_GB2312"/>
          <w:bCs/>
          <w:color w:val="000000"/>
          <w:sz w:val="32"/>
          <w:szCs w:val="32"/>
          <w:lang w:val="en-US" w:eastAsia="zh-CN"/>
        </w:rPr>
      </w:pPr>
      <w:r>
        <w:rPr>
          <w:rFonts w:hint="eastAsia" w:ascii="仿宋_GB2312" w:hAnsi="仿宋_GB2312" w:eastAsia="仿宋_GB2312" w:cs="仿宋_GB2312"/>
          <w:bCs/>
          <w:color w:val="000000"/>
          <w:sz w:val="32"/>
          <w:szCs w:val="32"/>
          <w:lang w:eastAsia="zh-CN"/>
        </w:rPr>
        <w:t>（本表在谈判结束后单独填写并提交）</w:t>
      </w:r>
    </w:p>
    <w:tbl>
      <w:tblPr>
        <w:tblStyle w:val="18"/>
        <w:tblpPr w:leftFromText="180" w:rightFromText="180" w:vertAnchor="text" w:horzAnchor="page" w:tblpX="1972" w:tblpY="1319"/>
        <w:tblOverlap w:val="never"/>
        <w:tblW w:w="81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905"/>
        <w:gridCol w:w="2445"/>
        <w:gridCol w:w="1499"/>
      </w:tblGrid>
      <w:tr w14:paraId="68CA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292" w:type="dxa"/>
            <w:vAlign w:val="center"/>
          </w:tcPr>
          <w:p w14:paraId="2EBF16B7">
            <w:pPr>
              <w:widowControl w:val="0"/>
              <w:wordWrap/>
              <w:snapToGrid/>
              <w:spacing w:line="560" w:lineRule="exact"/>
              <w:ind w:left="283" w:leftChars="135"/>
              <w:jc w:val="center"/>
              <w:outlineLvl w:val="9"/>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包号</w:t>
            </w:r>
          </w:p>
        </w:tc>
        <w:tc>
          <w:tcPr>
            <w:tcW w:w="2905" w:type="dxa"/>
            <w:vAlign w:val="center"/>
          </w:tcPr>
          <w:p w14:paraId="2CB2B8BC">
            <w:pPr>
              <w:widowControl w:val="0"/>
              <w:wordWrap/>
              <w:snapToGrid/>
              <w:spacing w:line="560" w:lineRule="exact"/>
              <w:ind w:left="283" w:leftChars="135"/>
              <w:jc w:val="center"/>
              <w:outlineLvl w:val="9"/>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最初报价</w:t>
            </w:r>
          </w:p>
        </w:tc>
        <w:tc>
          <w:tcPr>
            <w:tcW w:w="2445" w:type="dxa"/>
            <w:vAlign w:val="center"/>
          </w:tcPr>
          <w:p w14:paraId="660BCDC9">
            <w:pPr>
              <w:widowControl w:val="0"/>
              <w:wordWrap/>
              <w:snapToGrid/>
              <w:spacing w:line="560" w:lineRule="exact"/>
              <w:ind w:left="283" w:leftChars="135"/>
              <w:jc w:val="center"/>
              <w:outlineLvl w:val="9"/>
              <w:rPr>
                <w:rFonts w:hint="eastAsia" w:ascii="仿宋_GB2312" w:hAnsi="仿宋_GB2312" w:eastAsia="仿宋_GB2312" w:cs="仿宋_GB2312"/>
                <w:b/>
                <w:bCs w:val="0"/>
                <w:sz w:val="32"/>
                <w:szCs w:val="32"/>
                <w:lang w:eastAsia="zh-CN"/>
              </w:rPr>
            </w:pPr>
            <w:r>
              <w:rPr>
                <w:rFonts w:hint="eastAsia" w:ascii="仿宋_GB2312" w:hAnsi="仿宋_GB2312" w:eastAsia="仿宋_GB2312" w:cs="仿宋_GB2312"/>
                <w:b/>
                <w:bCs w:val="0"/>
                <w:sz w:val="32"/>
                <w:szCs w:val="32"/>
                <w:lang w:eastAsia="zh-CN"/>
              </w:rPr>
              <w:t>最后报价</w:t>
            </w:r>
          </w:p>
        </w:tc>
        <w:tc>
          <w:tcPr>
            <w:tcW w:w="1499" w:type="dxa"/>
            <w:vAlign w:val="center"/>
          </w:tcPr>
          <w:p w14:paraId="11A72FBE">
            <w:pPr>
              <w:widowControl w:val="0"/>
              <w:wordWrap/>
              <w:snapToGrid/>
              <w:spacing w:line="560" w:lineRule="exact"/>
              <w:ind w:left="283" w:leftChars="135"/>
              <w:jc w:val="center"/>
              <w:outlineLvl w:val="9"/>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交货期</w:t>
            </w:r>
          </w:p>
        </w:tc>
      </w:tr>
      <w:tr w14:paraId="4CAD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292" w:type="dxa"/>
            <w:vMerge w:val="restart"/>
            <w:tcBorders>
              <w:left w:val="single" w:color="auto" w:sz="4" w:space="0"/>
            </w:tcBorders>
            <w:vAlign w:val="center"/>
          </w:tcPr>
          <w:p w14:paraId="23CBB179">
            <w:pPr>
              <w:widowControl w:val="0"/>
              <w:wordWrap/>
              <w:snapToGrid/>
              <w:spacing w:line="560" w:lineRule="exact"/>
              <w:ind w:left="283" w:leftChars="135"/>
              <w:jc w:val="center"/>
              <w:outlineLvl w:val="9"/>
              <w:rPr>
                <w:rFonts w:hint="eastAsia" w:ascii="仿宋_GB2312" w:hAnsi="仿宋_GB2312" w:eastAsia="仿宋_GB2312" w:cs="仿宋_GB2312"/>
                <w:b/>
                <w:bCs w:val="0"/>
                <w:sz w:val="32"/>
                <w:szCs w:val="32"/>
              </w:rPr>
            </w:pPr>
          </w:p>
        </w:tc>
        <w:tc>
          <w:tcPr>
            <w:tcW w:w="2905" w:type="dxa"/>
            <w:vAlign w:val="top"/>
          </w:tcPr>
          <w:p w14:paraId="5EA764DC">
            <w:pPr>
              <w:widowControl w:val="0"/>
              <w:wordWrap/>
              <w:adjustRightInd w:val="0"/>
              <w:snapToGrid/>
              <w:spacing w:line="560" w:lineRule="exact"/>
              <w:textAlignment w:val="baseline"/>
              <w:outlineLvl w:val="9"/>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color w:val="000000"/>
                <w:sz w:val="32"/>
                <w:szCs w:val="32"/>
              </w:rPr>
              <w:t>大写：</w:t>
            </w:r>
          </w:p>
        </w:tc>
        <w:tc>
          <w:tcPr>
            <w:tcW w:w="2445" w:type="dxa"/>
            <w:vAlign w:val="top"/>
          </w:tcPr>
          <w:p w14:paraId="13DD082F">
            <w:pPr>
              <w:widowControl w:val="0"/>
              <w:wordWrap/>
              <w:adjustRightInd w:val="0"/>
              <w:snapToGrid/>
              <w:spacing w:line="560" w:lineRule="exact"/>
              <w:textAlignment w:val="baseline"/>
              <w:outlineLvl w:val="9"/>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color w:val="000000"/>
                <w:sz w:val="32"/>
                <w:szCs w:val="32"/>
              </w:rPr>
              <w:t>大写：</w:t>
            </w:r>
          </w:p>
        </w:tc>
        <w:tc>
          <w:tcPr>
            <w:tcW w:w="1499" w:type="dxa"/>
            <w:vMerge w:val="restart"/>
            <w:vAlign w:val="center"/>
          </w:tcPr>
          <w:p w14:paraId="71D3CDEB">
            <w:pPr>
              <w:widowControl w:val="0"/>
              <w:wordWrap/>
              <w:snapToGrid/>
              <w:spacing w:line="560" w:lineRule="exact"/>
              <w:ind w:left="283" w:leftChars="135"/>
              <w:jc w:val="center"/>
              <w:outlineLvl w:val="9"/>
              <w:rPr>
                <w:rFonts w:hint="eastAsia" w:ascii="仿宋_GB2312" w:hAnsi="仿宋_GB2312" w:eastAsia="仿宋_GB2312" w:cs="仿宋_GB2312"/>
                <w:b/>
                <w:bCs w:val="0"/>
                <w:sz w:val="32"/>
                <w:szCs w:val="32"/>
              </w:rPr>
            </w:pPr>
          </w:p>
        </w:tc>
      </w:tr>
      <w:tr w14:paraId="15CC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1292" w:type="dxa"/>
            <w:vMerge w:val="continue"/>
            <w:tcBorders>
              <w:left w:val="single" w:color="auto" w:sz="4" w:space="0"/>
              <w:right w:val="nil"/>
            </w:tcBorders>
            <w:vAlign w:val="center"/>
          </w:tcPr>
          <w:p w14:paraId="47ADCC7B">
            <w:pPr>
              <w:widowControl w:val="0"/>
              <w:wordWrap/>
              <w:snapToGrid/>
              <w:spacing w:line="560" w:lineRule="exact"/>
              <w:ind w:left="283" w:leftChars="135"/>
              <w:jc w:val="center"/>
              <w:outlineLvl w:val="9"/>
              <w:rPr>
                <w:rFonts w:hint="eastAsia" w:ascii="仿宋_GB2312" w:hAnsi="仿宋_GB2312" w:eastAsia="仿宋_GB2312" w:cs="仿宋_GB2312"/>
                <w:b/>
                <w:bCs w:val="0"/>
                <w:sz w:val="32"/>
                <w:szCs w:val="32"/>
              </w:rPr>
            </w:pPr>
          </w:p>
        </w:tc>
        <w:tc>
          <w:tcPr>
            <w:tcW w:w="2905" w:type="dxa"/>
            <w:vAlign w:val="top"/>
          </w:tcPr>
          <w:p w14:paraId="7B35D302">
            <w:pPr>
              <w:widowControl w:val="0"/>
              <w:wordWrap/>
              <w:adjustRightInd w:val="0"/>
              <w:snapToGrid/>
              <w:spacing w:line="560" w:lineRule="exact"/>
              <w:textAlignment w:val="baseline"/>
              <w:outlineLvl w:val="9"/>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color w:val="000000"/>
                <w:sz w:val="32"/>
                <w:szCs w:val="32"/>
              </w:rPr>
              <w:t>小写：</w:t>
            </w:r>
          </w:p>
        </w:tc>
        <w:tc>
          <w:tcPr>
            <w:tcW w:w="2445" w:type="dxa"/>
            <w:vAlign w:val="top"/>
          </w:tcPr>
          <w:p w14:paraId="4616A067">
            <w:pPr>
              <w:widowControl w:val="0"/>
              <w:wordWrap/>
              <w:adjustRightInd w:val="0"/>
              <w:snapToGrid/>
              <w:spacing w:line="560" w:lineRule="exact"/>
              <w:textAlignment w:val="baseline"/>
              <w:outlineLvl w:val="9"/>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color w:val="000000"/>
                <w:sz w:val="32"/>
                <w:szCs w:val="32"/>
              </w:rPr>
              <w:t>小写：</w:t>
            </w:r>
          </w:p>
        </w:tc>
        <w:tc>
          <w:tcPr>
            <w:tcW w:w="1499" w:type="dxa"/>
            <w:vMerge w:val="continue"/>
            <w:vAlign w:val="center"/>
          </w:tcPr>
          <w:p w14:paraId="1FFA4831">
            <w:pPr>
              <w:widowControl w:val="0"/>
              <w:wordWrap/>
              <w:snapToGrid/>
              <w:spacing w:line="560" w:lineRule="exact"/>
              <w:ind w:left="283" w:leftChars="135"/>
              <w:jc w:val="center"/>
              <w:outlineLvl w:val="9"/>
              <w:rPr>
                <w:rFonts w:hint="eastAsia" w:ascii="仿宋_GB2312" w:hAnsi="仿宋_GB2312" w:eastAsia="仿宋_GB2312" w:cs="仿宋_GB2312"/>
                <w:b/>
                <w:bCs w:val="0"/>
                <w:sz w:val="32"/>
                <w:szCs w:val="32"/>
              </w:rPr>
            </w:pPr>
          </w:p>
        </w:tc>
      </w:tr>
      <w:tr w14:paraId="0326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0" w:hRule="atLeast"/>
        </w:trPr>
        <w:tc>
          <w:tcPr>
            <w:tcW w:w="8141" w:type="dxa"/>
            <w:gridSpan w:val="4"/>
            <w:tcBorders>
              <w:bottom w:val="single" w:color="auto" w:sz="4" w:space="0"/>
            </w:tcBorders>
            <w:vAlign w:val="center"/>
          </w:tcPr>
          <w:p w14:paraId="082D592B">
            <w:pPr>
              <w:widowControl w:val="0"/>
              <w:wordWrap/>
              <w:snapToGrid/>
              <w:spacing w:line="560" w:lineRule="exact"/>
              <w:ind w:left="283" w:leftChars="135"/>
              <w:jc w:val="left"/>
              <w:outlineLvl w:val="9"/>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最终确定的质量保证及服务承诺</w:t>
            </w:r>
          </w:p>
        </w:tc>
      </w:tr>
    </w:tbl>
    <w:p w14:paraId="223CA054">
      <w:pPr>
        <w:widowControl w:val="0"/>
        <w:wordWrap/>
        <w:autoSpaceDE w:val="0"/>
        <w:autoSpaceDN w:val="0"/>
        <w:adjustRightInd w:val="0"/>
        <w:snapToGrid/>
        <w:spacing w:line="560" w:lineRule="exact"/>
        <w:jc w:val="both"/>
        <w:outlineLvl w:val="9"/>
        <w:rPr>
          <w:rFonts w:hint="eastAsia" w:ascii="楷体_GB2312" w:hAnsi="楷体_GB2312" w:eastAsia="楷体_GB2312" w:cs="楷体_GB2312"/>
          <w:b/>
          <w:bCs w:val="0"/>
          <w:sz w:val="32"/>
          <w:szCs w:val="32"/>
          <w:lang w:val="en-US" w:eastAsia="zh-CN"/>
        </w:rPr>
      </w:pPr>
      <w:r>
        <w:rPr>
          <w:rFonts w:hint="eastAsia" w:ascii="宋体" w:hAnsi="宋体" w:eastAsia="宋体"/>
          <w:b/>
          <w:color w:val="000000"/>
          <w:sz w:val="21"/>
          <w:szCs w:val="21"/>
        </w:rPr>
        <w:t xml:space="preserve">                   </w:t>
      </w:r>
      <w:r>
        <w:rPr>
          <w:rFonts w:hint="eastAsia" w:ascii="宋体" w:hAnsi="宋体" w:eastAsia="宋体"/>
          <w:b/>
          <w:bCs/>
          <w:color w:val="000000"/>
          <w:sz w:val="21"/>
          <w:szCs w:val="21"/>
        </w:rPr>
        <w:t xml:space="preserve">        </w:t>
      </w:r>
    </w:p>
    <w:p w14:paraId="28AC0DB2">
      <w:pPr>
        <w:rPr>
          <w:rFonts w:hint="eastAsia" w:ascii="宋体" w:hAnsi="宋体" w:eastAsia="宋体"/>
          <w:bCs/>
          <w:szCs w:val="21"/>
          <w:lang w:eastAsia="zh-CN"/>
        </w:rPr>
      </w:pPr>
      <w:r>
        <w:rPr>
          <w:rFonts w:hint="eastAsia" w:ascii="宋体" w:hAnsi="宋体" w:eastAsia="宋体"/>
          <w:bCs/>
          <w:szCs w:val="21"/>
        </w:rPr>
        <w:br w:type="page"/>
      </w:r>
    </w:p>
    <w:p w14:paraId="2969B88D">
      <w:pPr>
        <w:wordWrap/>
        <w:spacing w:before="157" w:beforeLines="50" w:line="560" w:lineRule="exact"/>
        <w:jc w:val="center"/>
        <w:outlineLvl w:val="9"/>
        <w:rPr>
          <w:rFonts w:hint="eastAsia" w:ascii="宋体" w:hAnsi="宋体" w:eastAsia="宋体"/>
          <w:b/>
          <w:color w:val="000000"/>
          <w:sz w:val="36"/>
          <w:szCs w:val="36"/>
          <w:u w:val="single"/>
        </w:rPr>
      </w:pPr>
      <w:r>
        <w:rPr>
          <w:rFonts w:hint="eastAsia" w:ascii="仿宋_GB2312" w:hAnsi="仿宋_GB2312" w:eastAsia="仿宋_GB2312" w:cs="仿宋_GB2312"/>
          <w:b/>
          <w:color w:val="000000"/>
          <w:sz w:val="32"/>
          <w:szCs w:val="32"/>
          <w:u w:val="single"/>
          <w:lang w:val="en-US" w:eastAsia="zh-CN"/>
        </w:rPr>
        <w:t>2.最终</w:t>
      </w:r>
      <w:r>
        <w:rPr>
          <w:rFonts w:hint="eastAsia" w:ascii="仿宋_GB2312" w:hAnsi="仿宋_GB2312" w:eastAsia="仿宋_GB2312" w:cs="仿宋_GB2312"/>
          <w:b/>
          <w:color w:val="000000"/>
          <w:sz w:val="32"/>
          <w:szCs w:val="32"/>
          <w:u w:val="single"/>
          <w:lang w:val="zh-CN" w:eastAsia="zh-CN"/>
        </w:rPr>
        <w:t>分项报价表</w:t>
      </w:r>
    </w:p>
    <w:p w14:paraId="670BFB94">
      <w:pPr>
        <w:widowControl w:val="0"/>
        <w:wordWrap/>
        <w:adjustRightInd/>
        <w:snapToGrid/>
        <w:spacing w:line="560" w:lineRule="exact"/>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Cs/>
          <w:color w:val="000000"/>
          <w:sz w:val="32"/>
          <w:szCs w:val="32"/>
          <w:lang w:eastAsia="zh-CN"/>
        </w:rPr>
        <w:t>（本表在谈判结束后单独填写并提交）</w:t>
      </w:r>
    </w:p>
    <w:p w14:paraId="38B3DA61">
      <w:pPr>
        <w:widowControl w:val="0"/>
        <w:wordWrap/>
        <w:adjustRightInd/>
        <w:snapToGrid/>
        <w:spacing w:line="560" w:lineRule="exact"/>
        <w:textAlignment w:val="auto"/>
        <w:outlineLvl w:val="9"/>
        <w:rPr>
          <w:rFonts w:hint="eastAsia" w:ascii="仿宋_GB2312" w:hAnsi="仿宋_GB2312" w:eastAsia="仿宋_GB2312" w:cs="仿宋_GB2312"/>
          <w:b w:val="0"/>
          <w:bCs/>
          <w:color w:val="000000"/>
          <w:sz w:val="32"/>
          <w:szCs w:val="32"/>
          <w:lang w:val="en-US" w:eastAsia="zh-CN"/>
        </w:rPr>
      </w:pPr>
      <w:r>
        <w:rPr>
          <w:rFonts w:hint="eastAsia" w:ascii="仿宋_GB2312" w:hAnsi="仿宋_GB2312" w:eastAsia="仿宋_GB2312" w:cs="仿宋_GB2312"/>
          <w:b w:val="0"/>
          <w:bCs/>
          <w:color w:val="000000"/>
          <w:sz w:val="32"/>
          <w:szCs w:val="32"/>
        </w:rPr>
        <w:t>供应商名称:</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单位：人民币(元)</w:t>
      </w:r>
      <w:r>
        <w:rPr>
          <w:rFonts w:hint="eastAsia" w:ascii="仿宋_GB2312" w:hAnsi="仿宋_GB2312" w:eastAsia="仿宋_GB2312" w:cs="仿宋_GB2312"/>
          <w:b w:val="0"/>
          <w:bCs/>
          <w:color w:val="000000"/>
          <w:sz w:val="32"/>
          <w:szCs w:val="32"/>
          <w:lang w:val="en-US" w:eastAsia="zh-CN"/>
        </w:rPr>
        <w:t xml:space="preserve">                                          </w:t>
      </w:r>
    </w:p>
    <w:tbl>
      <w:tblPr>
        <w:tblStyle w:val="19"/>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8"/>
        <w:gridCol w:w="1497"/>
        <w:gridCol w:w="992"/>
        <w:gridCol w:w="1052"/>
        <w:gridCol w:w="1356"/>
        <w:gridCol w:w="953"/>
        <w:gridCol w:w="710"/>
        <w:gridCol w:w="851"/>
        <w:gridCol w:w="850"/>
      </w:tblGrid>
      <w:tr w14:paraId="01C9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380EA5C9">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序号</w:t>
            </w:r>
          </w:p>
        </w:tc>
        <w:tc>
          <w:tcPr>
            <w:tcW w:w="1497" w:type="dxa"/>
            <w:vAlign w:val="center"/>
          </w:tcPr>
          <w:p w14:paraId="1A2EF0D2">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产品名称</w:t>
            </w:r>
          </w:p>
        </w:tc>
        <w:tc>
          <w:tcPr>
            <w:tcW w:w="992" w:type="dxa"/>
            <w:vAlign w:val="center"/>
          </w:tcPr>
          <w:p w14:paraId="3BFE5275">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品牌</w:t>
            </w:r>
          </w:p>
        </w:tc>
        <w:tc>
          <w:tcPr>
            <w:tcW w:w="1052" w:type="dxa"/>
            <w:vAlign w:val="center"/>
          </w:tcPr>
          <w:p w14:paraId="0C34380F">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规格型号</w:t>
            </w:r>
          </w:p>
        </w:tc>
        <w:tc>
          <w:tcPr>
            <w:tcW w:w="1356" w:type="dxa"/>
            <w:vAlign w:val="center"/>
          </w:tcPr>
          <w:p w14:paraId="35FDB514">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生产厂家</w:t>
            </w:r>
          </w:p>
        </w:tc>
        <w:tc>
          <w:tcPr>
            <w:tcW w:w="953" w:type="dxa"/>
            <w:vAlign w:val="center"/>
          </w:tcPr>
          <w:p w14:paraId="4998CC2A">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数量及单位</w:t>
            </w:r>
          </w:p>
        </w:tc>
        <w:tc>
          <w:tcPr>
            <w:tcW w:w="710" w:type="dxa"/>
            <w:vAlign w:val="center"/>
          </w:tcPr>
          <w:p w14:paraId="105BEB2F">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单价</w:t>
            </w:r>
          </w:p>
        </w:tc>
        <w:tc>
          <w:tcPr>
            <w:tcW w:w="851" w:type="dxa"/>
            <w:vAlign w:val="center"/>
          </w:tcPr>
          <w:p w14:paraId="42A16250">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合计</w:t>
            </w:r>
          </w:p>
        </w:tc>
        <w:tc>
          <w:tcPr>
            <w:tcW w:w="850" w:type="dxa"/>
            <w:vAlign w:val="center"/>
          </w:tcPr>
          <w:p w14:paraId="67BECDC0">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备注</w:t>
            </w:r>
          </w:p>
        </w:tc>
      </w:tr>
      <w:tr w14:paraId="2BBF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342B3C86">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1</w:t>
            </w:r>
          </w:p>
        </w:tc>
        <w:tc>
          <w:tcPr>
            <w:tcW w:w="1497" w:type="dxa"/>
            <w:vAlign w:val="center"/>
          </w:tcPr>
          <w:p w14:paraId="1D1667CC">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45C720E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6C97FF9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7D360DD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6B5E00E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6E6467EE">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1D9BB796">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1AF79B11">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2967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07D35A84">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2</w:t>
            </w:r>
          </w:p>
        </w:tc>
        <w:tc>
          <w:tcPr>
            <w:tcW w:w="1497" w:type="dxa"/>
            <w:vAlign w:val="center"/>
          </w:tcPr>
          <w:p w14:paraId="5B52142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33D4DC4E">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547CCAD2">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59BF20C1">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0539B92E">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0C8BE8B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058614D5">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5649B92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1EBD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28A5962B">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3</w:t>
            </w:r>
          </w:p>
        </w:tc>
        <w:tc>
          <w:tcPr>
            <w:tcW w:w="1497" w:type="dxa"/>
            <w:vAlign w:val="center"/>
          </w:tcPr>
          <w:p w14:paraId="679991B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03D0D071">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7E9514C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76FDBA7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440C329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4179849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6CBC5B81">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4E42C76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5A14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1097CA9B">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4</w:t>
            </w:r>
          </w:p>
        </w:tc>
        <w:tc>
          <w:tcPr>
            <w:tcW w:w="1497" w:type="dxa"/>
            <w:vAlign w:val="center"/>
          </w:tcPr>
          <w:p w14:paraId="17440826">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770FA772">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3E58BAA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28129A8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74C2F850">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43C6A41F">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5AEC6AC2">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6370852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5487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05C961A8">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w:t>
            </w:r>
          </w:p>
        </w:tc>
        <w:tc>
          <w:tcPr>
            <w:tcW w:w="1497" w:type="dxa"/>
            <w:vAlign w:val="center"/>
          </w:tcPr>
          <w:p w14:paraId="1436D652">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3FA6BC51">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38BFD4F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5E73E26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4659CB5E">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42F2F7C4">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6208D080">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0E11FBB4">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022D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7" w:hRule="atLeast"/>
        </w:trPr>
        <w:tc>
          <w:tcPr>
            <w:tcW w:w="8919" w:type="dxa"/>
            <w:gridSpan w:val="9"/>
            <w:vAlign w:val="center"/>
          </w:tcPr>
          <w:p w14:paraId="0BEECD2A">
            <w:pPr>
              <w:widowControl w:val="0"/>
              <w:wordWrap/>
              <w:adjustRightInd/>
              <w:snapToGrid/>
              <w:spacing w:line="560" w:lineRule="exact"/>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其他承诺及需要说明的事项：</w:t>
            </w:r>
          </w:p>
        </w:tc>
      </w:tr>
      <w:tr w14:paraId="5523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2155" w:type="dxa"/>
            <w:gridSpan w:val="2"/>
            <w:vAlign w:val="center"/>
          </w:tcPr>
          <w:p w14:paraId="57C9E6D7">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总价</w:t>
            </w:r>
          </w:p>
        </w:tc>
        <w:tc>
          <w:tcPr>
            <w:tcW w:w="6764" w:type="dxa"/>
            <w:gridSpan w:val="7"/>
            <w:vAlign w:val="center"/>
          </w:tcPr>
          <w:p w14:paraId="44A8C063">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大写：                      小写：</w:t>
            </w:r>
          </w:p>
        </w:tc>
      </w:tr>
    </w:tbl>
    <w:p w14:paraId="7BFF096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 w:hAnsi="仿宋" w:eastAsia="仿宋" w:cs="仿宋"/>
          <w:b w:val="0"/>
          <w:bCs/>
          <w:color w:val="000000"/>
          <w:sz w:val="24"/>
        </w:rPr>
      </w:pPr>
      <w:r>
        <w:rPr>
          <w:rFonts w:hint="eastAsia" w:ascii="仿宋" w:hAnsi="仿宋" w:eastAsia="仿宋" w:cs="仿宋"/>
          <w:b w:val="0"/>
          <w:bCs/>
          <w:color w:val="000000"/>
          <w:sz w:val="24"/>
        </w:rPr>
        <w:t>注：1.此表不需填写在谈判响应文件中。在谈判期间，由谈判小组确定合格的谈判供应商线上提交，谈判供应商须在规定的时间内，将最终分项报价表以附件形式上传；</w:t>
      </w:r>
    </w:p>
    <w:p w14:paraId="201B6AC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_GB2312" w:hAnsi="仿宋_GB2312" w:eastAsia="仿宋_GB2312" w:cs="仿宋_GB2312"/>
          <w:b w:val="0"/>
          <w:bCs/>
          <w:color w:val="000000"/>
          <w:sz w:val="32"/>
          <w:szCs w:val="32"/>
          <w:lang w:val="en-US" w:eastAsia="zh-CN"/>
        </w:rPr>
      </w:pPr>
      <w:r>
        <w:rPr>
          <w:rFonts w:hint="eastAsia" w:ascii="仿宋" w:hAnsi="仿宋" w:eastAsia="仿宋" w:cs="仿宋"/>
          <w:b w:val="0"/>
          <w:bCs/>
          <w:color w:val="000000"/>
          <w:sz w:val="24"/>
        </w:rPr>
        <w:t xml:space="preserve">2.为了节省评标时间，请投标人提前填写此表中的产品名称、品牌、规格型号、生产厂家、数量及单位等项  </w:t>
      </w:r>
      <w:r>
        <w:rPr>
          <w:rFonts w:hint="eastAsia" w:ascii="仿宋" w:hAnsi="仿宋" w:eastAsia="仿宋" w:cs="仿宋"/>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p>
    <w:p w14:paraId="0F45CFA3">
      <w:pPr>
        <w:widowControl w:val="0"/>
        <w:wordWrap/>
        <w:adjustRightInd/>
        <w:snapToGrid/>
        <w:spacing w:line="560" w:lineRule="exact"/>
        <w:jc w:val="both"/>
        <w:textAlignment w:val="auto"/>
        <w:outlineLvl w:val="9"/>
        <w:rPr>
          <w:rFonts w:hint="eastAsia" w:ascii="仿宋_GB2312" w:hAnsi="仿宋_GB2312" w:eastAsia="仿宋_GB2312" w:cs="仿宋_GB2312"/>
          <w:b w:val="0"/>
          <w:bCs/>
          <w:color w:val="000000"/>
          <w:sz w:val="32"/>
          <w:szCs w:val="32"/>
          <w:lang w:val="en-US" w:eastAsia="zh-CN"/>
        </w:rPr>
      </w:pPr>
    </w:p>
    <w:p w14:paraId="192FECFD">
      <w:pPr>
        <w:widowControl w:val="0"/>
        <w:wordWrap/>
        <w:adjustRightInd/>
        <w:snapToGrid/>
        <w:spacing w:line="560" w:lineRule="exact"/>
        <w:jc w:val="both"/>
        <w:textAlignment w:val="auto"/>
        <w:outlineLvl w:val="9"/>
        <w:rPr>
          <w:rFonts w:hint="eastAsia" w:ascii="仿宋_GB2312" w:hAnsi="仿宋_GB2312" w:eastAsia="仿宋_GB2312" w:cs="仿宋_GB2312"/>
          <w:b w:val="0"/>
          <w:bCs/>
          <w:color w:val="000000"/>
          <w:sz w:val="32"/>
          <w:szCs w:val="32"/>
          <w:lang w:val="en-US" w:eastAsia="zh-CN"/>
        </w:rPr>
      </w:pPr>
    </w:p>
    <w:p w14:paraId="7BF505F5">
      <w:pPr>
        <w:widowControl w:val="0"/>
        <w:wordWrap/>
        <w:adjustRightInd/>
        <w:snapToGrid/>
        <w:spacing w:line="560" w:lineRule="exact"/>
        <w:jc w:val="right"/>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p>
    <w:p w14:paraId="165012FF">
      <w:pPr>
        <w:widowControl w:val="0"/>
        <w:wordWrap/>
        <w:adjustRightInd/>
        <w:snapToGrid/>
        <w:spacing w:line="560" w:lineRule="exact"/>
        <w:ind w:firstLine="640" w:firstLineChars="200"/>
        <w:jc w:val="right"/>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p>
    <w:p w14:paraId="03F19C5F">
      <w:pPr>
        <w:widowControl w:val="0"/>
        <w:wordWrap/>
        <w:adjustRightInd/>
        <w:snapToGrid/>
        <w:spacing w:line="560" w:lineRule="exact"/>
        <w:ind w:firstLine="640" w:firstLineChars="200"/>
        <w:jc w:val="right"/>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年   月  日</w:t>
      </w:r>
    </w:p>
    <w:p w14:paraId="2699426C">
      <w:pPr>
        <w:rPr>
          <w:rFonts w:hint="eastAsia" w:ascii="宋体" w:hAnsi="宋体" w:eastAsia="宋体"/>
          <w:b/>
          <w:color w:val="000000"/>
          <w:sz w:val="24"/>
        </w:rPr>
      </w:pPr>
      <w:r>
        <w:rPr>
          <w:rFonts w:hint="eastAsia" w:ascii="宋体" w:hAnsi="宋体" w:eastAsia="宋体"/>
          <w:b/>
          <w:color w:val="000000"/>
          <w:sz w:val="24"/>
        </w:rPr>
        <w:br w:type="page"/>
      </w:r>
    </w:p>
    <w:p w14:paraId="0DA7E23D">
      <w:pPr>
        <w:keepNext/>
        <w:widowControl w:val="0"/>
        <w:wordWrap/>
        <w:adjustRightInd w:val="0"/>
        <w:snapToGrid w:val="0"/>
        <w:spacing w:before="157" w:beforeLines="50" w:line="560" w:lineRule="exact"/>
        <w:jc w:val="center"/>
        <w:outlineLvl w:val="0"/>
        <w:rPr>
          <w:rFonts w:hint="eastAsia" w:ascii="华文中宋" w:hAnsi="华文中宋" w:eastAsia="华文中宋" w:cs="华文中宋"/>
          <w:b w:val="0"/>
          <w:bCs w:val="0"/>
          <w:kern w:val="2"/>
          <w:sz w:val="44"/>
          <w:szCs w:val="44"/>
          <w:lang w:val="en-US" w:eastAsia="zh-CN" w:bidi="ar-SA"/>
        </w:rPr>
      </w:pPr>
      <w:bookmarkStart w:id="594" w:name="_Toc376936766"/>
      <w:bookmarkStart w:id="595" w:name="_Toc238"/>
      <w:bookmarkStart w:id="596" w:name="_Toc7329_WPSOffice_Level1"/>
      <w:bookmarkStart w:id="597" w:name="_Toc24112_WPSOffice_Level1"/>
      <w:bookmarkStart w:id="598" w:name="_Toc5169"/>
      <w:bookmarkStart w:id="599" w:name="_Toc32655"/>
      <w:bookmarkStart w:id="600" w:name="_Toc16779_WPSOffice_Level1"/>
      <w:bookmarkStart w:id="601" w:name="_Toc16082_WPSOffice_Level1"/>
      <w:bookmarkStart w:id="602" w:name="_Toc27557_WPSOffice_Level1"/>
      <w:bookmarkStart w:id="603" w:name="_Toc23740"/>
      <w:bookmarkStart w:id="604" w:name="_Toc5233"/>
      <w:bookmarkStart w:id="605" w:name="_Toc23722_WPSOffice_Level1"/>
      <w:bookmarkStart w:id="606" w:name="_Toc416183225"/>
      <w:bookmarkStart w:id="607" w:name="_Toc12949996"/>
      <w:r>
        <w:rPr>
          <w:rFonts w:hint="eastAsia" w:ascii="华文中宋" w:hAnsi="华文中宋" w:eastAsia="华文中宋" w:cs="华文中宋"/>
          <w:b w:val="0"/>
          <w:bCs w:val="0"/>
          <w:kern w:val="2"/>
          <w:sz w:val="44"/>
          <w:szCs w:val="44"/>
          <w:lang w:val="en-US" w:eastAsia="zh-CN" w:bidi="ar-SA"/>
        </w:rPr>
        <w:t xml:space="preserve">第五部分 </w:t>
      </w:r>
      <w:bookmarkEnd w:id="594"/>
      <w:r>
        <w:rPr>
          <w:rFonts w:hint="eastAsia" w:ascii="华文中宋" w:hAnsi="华文中宋" w:eastAsia="华文中宋" w:cs="华文中宋"/>
          <w:b w:val="0"/>
          <w:bCs w:val="0"/>
          <w:kern w:val="2"/>
          <w:sz w:val="44"/>
          <w:szCs w:val="44"/>
          <w:lang w:val="en-US" w:eastAsia="zh-CN" w:bidi="ar-SA"/>
        </w:rPr>
        <w:t>青海省政府采购项目合同书范本</w:t>
      </w:r>
      <w:bookmarkEnd w:id="595"/>
      <w:bookmarkEnd w:id="596"/>
      <w:bookmarkEnd w:id="597"/>
      <w:bookmarkEnd w:id="598"/>
      <w:bookmarkEnd w:id="599"/>
    </w:p>
    <w:p w14:paraId="39E106A5">
      <w:pPr>
        <w:keepNext/>
        <w:widowControl w:val="0"/>
        <w:wordWrap/>
        <w:adjustRightInd w:val="0"/>
        <w:snapToGrid w:val="0"/>
        <w:spacing w:before="157" w:beforeLines="50" w:line="560" w:lineRule="exact"/>
        <w:jc w:val="center"/>
        <w:outlineLvl w:val="0"/>
        <w:rPr>
          <w:rFonts w:hint="eastAsia" w:ascii="华文中宋" w:hAnsi="华文中宋" w:eastAsia="华文中宋" w:cs="华文中宋"/>
          <w:b w:val="0"/>
          <w:bCs w:val="0"/>
          <w:kern w:val="2"/>
          <w:sz w:val="44"/>
          <w:szCs w:val="44"/>
          <w:lang w:val="en-US" w:eastAsia="zh-CN" w:bidi="ar-SA"/>
        </w:rPr>
      </w:pPr>
      <w:bookmarkStart w:id="608" w:name="_Toc22776_WPSOffice_Level1"/>
      <w:bookmarkStart w:id="609" w:name="_Toc6517"/>
      <w:bookmarkStart w:id="610" w:name="_Toc29785_WPSOffice_Level1"/>
      <w:bookmarkStart w:id="611" w:name="_Toc15"/>
      <w:bookmarkStart w:id="612" w:name="_Toc32639"/>
      <w:r>
        <w:rPr>
          <w:rFonts w:hint="eastAsia" w:ascii="华文中宋" w:hAnsi="华文中宋" w:eastAsia="华文中宋" w:cs="华文中宋"/>
          <w:b w:val="0"/>
          <w:bCs w:val="0"/>
          <w:kern w:val="2"/>
          <w:sz w:val="44"/>
          <w:szCs w:val="44"/>
          <w:lang w:val="en-US" w:eastAsia="zh-CN" w:bidi="ar-SA"/>
        </w:rPr>
        <w:t>（货物类）</w:t>
      </w:r>
      <w:bookmarkEnd w:id="600"/>
      <w:bookmarkEnd w:id="601"/>
      <w:bookmarkEnd w:id="602"/>
      <w:bookmarkEnd w:id="603"/>
      <w:bookmarkEnd w:id="604"/>
      <w:bookmarkEnd w:id="605"/>
      <w:bookmarkEnd w:id="606"/>
      <w:bookmarkEnd w:id="607"/>
      <w:bookmarkEnd w:id="608"/>
      <w:bookmarkEnd w:id="609"/>
      <w:bookmarkEnd w:id="610"/>
      <w:bookmarkEnd w:id="611"/>
      <w:bookmarkEnd w:id="612"/>
    </w:p>
    <w:p w14:paraId="05FC2BB8">
      <w:pPr>
        <w:wordWrap/>
        <w:adjustRightInd w:val="0"/>
        <w:snapToGrid w:val="0"/>
        <w:spacing w:before="157" w:beforeLines="50" w:line="560" w:lineRule="exact"/>
        <w:outlineLvl w:val="9"/>
        <w:rPr>
          <w:rFonts w:hint="eastAsia" w:ascii="宋体" w:hAnsi="宋体" w:eastAsia="宋体"/>
          <w:bCs/>
          <w:szCs w:val="21"/>
        </w:rPr>
      </w:pPr>
      <w:bookmarkStart w:id="613" w:name="_Toc375576842"/>
      <w:bookmarkStart w:id="614" w:name="_Toc373936315"/>
      <w:bookmarkStart w:id="615" w:name="_Toc373954603"/>
    </w:p>
    <w:bookmarkEnd w:id="613"/>
    <w:bookmarkEnd w:id="614"/>
    <w:bookmarkEnd w:id="615"/>
    <w:p w14:paraId="702C5924">
      <w:pPr>
        <w:bidi w:val="0"/>
        <w:jc w:val="center"/>
        <w:rPr>
          <w:rFonts w:hint="eastAsia" w:eastAsia="宋体"/>
          <w:sz w:val="32"/>
          <w:szCs w:val="40"/>
        </w:rPr>
      </w:pPr>
      <w:bookmarkStart w:id="616" w:name="_Toc9152_WPSOffice_Level1"/>
      <w:bookmarkStart w:id="617" w:name="_Toc12949997"/>
      <w:bookmarkStart w:id="618" w:name="_Toc10999_WPSOffice_Level1"/>
      <w:bookmarkStart w:id="619" w:name="_Toc416183226"/>
      <w:bookmarkStart w:id="620" w:name="_Toc4308"/>
      <w:bookmarkStart w:id="621" w:name="_Toc8067_WPSOffice_Level1"/>
      <w:bookmarkStart w:id="622" w:name="_Toc9715"/>
      <w:bookmarkStart w:id="623" w:name="_Toc3676_WPSOffice_Level1"/>
      <w:bookmarkStart w:id="624" w:name="_Toc31604_WPSOffice_Level1"/>
      <w:r>
        <w:rPr>
          <w:rFonts w:hint="eastAsia" w:eastAsia="宋体"/>
          <w:sz w:val="32"/>
          <w:szCs w:val="40"/>
        </w:rPr>
        <w:t>青海省政府采购项目合同书</w:t>
      </w:r>
      <w:bookmarkEnd w:id="616"/>
      <w:bookmarkEnd w:id="617"/>
      <w:bookmarkEnd w:id="618"/>
      <w:bookmarkEnd w:id="619"/>
      <w:bookmarkEnd w:id="620"/>
      <w:bookmarkEnd w:id="621"/>
      <w:bookmarkEnd w:id="622"/>
      <w:bookmarkEnd w:id="623"/>
      <w:bookmarkEnd w:id="624"/>
    </w:p>
    <w:p w14:paraId="2763A5EC">
      <w:pPr>
        <w:wordWrap/>
        <w:spacing w:before="157" w:beforeLines="50" w:line="560" w:lineRule="exact"/>
        <w:jc w:val="center"/>
        <w:outlineLvl w:val="9"/>
        <w:rPr>
          <w:rFonts w:hint="eastAsia" w:ascii="华文中宋" w:hAnsi="华文中宋" w:eastAsia="华文中宋" w:cs="华文中宋"/>
          <w:b w:val="0"/>
          <w:bCs/>
          <w:color w:val="000000"/>
          <w:sz w:val="32"/>
          <w:szCs w:val="32"/>
        </w:rPr>
      </w:pPr>
    </w:p>
    <w:p w14:paraId="2EA35F16">
      <w:pPr>
        <w:wordWrap/>
        <w:spacing w:before="157" w:beforeLines="50" w:line="560" w:lineRule="exact"/>
        <w:ind w:firstLine="640" w:firstLineChars="200"/>
        <w:outlineLvl w:val="9"/>
        <w:rPr>
          <w:rFonts w:hint="eastAsia" w:ascii="华文中宋" w:hAnsi="华文中宋" w:eastAsia="华文中宋" w:cs="华文中宋"/>
          <w:b w:val="0"/>
          <w:bCs/>
          <w:color w:val="000000"/>
          <w:sz w:val="32"/>
          <w:szCs w:val="32"/>
        </w:rPr>
      </w:pPr>
    </w:p>
    <w:p w14:paraId="51CABE41">
      <w:pPr>
        <w:wordWrap/>
        <w:spacing w:before="157" w:beforeLines="50" w:line="560" w:lineRule="exact"/>
        <w:ind w:left="2878" w:leftChars="304" w:hanging="2240" w:hangingChars="700"/>
        <w:outlineLvl w:val="9"/>
        <w:rPr>
          <w:rFonts w:hint="eastAsia" w:ascii="华文中宋" w:hAnsi="华文中宋" w:eastAsia="华文中宋" w:cs="华文中宋"/>
          <w:b w:val="0"/>
          <w:bCs/>
          <w:color w:val="000000"/>
          <w:sz w:val="32"/>
          <w:szCs w:val="32"/>
          <w:u w:val="single"/>
          <w:lang w:eastAsia="zh-CN"/>
        </w:rPr>
      </w:pPr>
      <w:bookmarkStart w:id="625" w:name="_Toc18140_WPSOffice_Level1"/>
      <w:bookmarkStart w:id="626" w:name="_Toc23548_WPSOffice_Level1"/>
      <w:bookmarkStart w:id="627" w:name="_Toc19373_WPSOffice_Level1"/>
      <w:bookmarkStart w:id="628" w:name="_Toc23338_WPSOffice_Level1"/>
      <w:r>
        <w:rPr>
          <w:rFonts w:hint="eastAsia" w:ascii="华文中宋" w:hAnsi="华文中宋" w:eastAsia="华文中宋" w:cs="华文中宋"/>
          <w:b w:val="0"/>
          <w:bCs/>
          <w:color w:val="000000"/>
          <w:sz w:val="32"/>
          <w:szCs w:val="32"/>
        </w:rPr>
        <w:t>采购项目名称：</w:t>
      </w:r>
      <w:bookmarkEnd w:id="625"/>
      <w:bookmarkEnd w:id="626"/>
      <w:bookmarkEnd w:id="627"/>
      <w:bookmarkEnd w:id="628"/>
      <w:r>
        <w:rPr>
          <w:rFonts w:hint="eastAsia" w:ascii="华文中宋" w:hAnsi="华文中宋" w:eastAsia="华文中宋" w:cs="华文中宋"/>
          <w:b w:val="0"/>
          <w:bCs/>
          <w:color w:val="000000"/>
          <w:sz w:val="32"/>
          <w:szCs w:val="32"/>
          <w:u w:val="single"/>
          <w:lang w:eastAsia="zh-CN"/>
        </w:rPr>
        <w:t>刚察县医共体沙柳河镇分院2026年老年病科建设项目</w:t>
      </w:r>
      <w:bookmarkStart w:id="629" w:name="_Toc20437_WPSOffice_Level1"/>
      <w:bookmarkStart w:id="630" w:name="_Toc19950_WPSOffice_Level1"/>
      <w:bookmarkStart w:id="631" w:name="_Toc2957_WPSOffice_Level1"/>
      <w:bookmarkStart w:id="632" w:name="_Toc2770_WPSOffice_Level1"/>
    </w:p>
    <w:p w14:paraId="68A3E465">
      <w:pPr>
        <w:wordWrap/>
        <w:spacing w:before="157" w:beforeLines="50" w:line="560" w:lineRule="exact"/>
        <w:ind w:firstLine="640" w:firstLineChars="200"/>
        <w:outlineLvl w:val="9"/>
        <w:rPr>
          <w:rFonts w:hint="eastAsia" w:ascii="华文中宋" w:hAnsi="华文中宋" w:eastAsia="华文中宋" w:cs="华文中宋"/>
          <w:b w:val="0"/>
          <w:bCs/>
          <w:color w:val="000000"/>
          <w:sz w:val="32"/>
          <w:szCs w:val="32"/>
        </w:rPr>
      </w:pPr>
      <w:r>
        <w:rPr>
          <w:rFonts w:hint="eastAsia" w:ascii="华文中宋" w:hAnsi="华文中宋" w:eastAsia="华文中宋" w:cs="华文中宋"/>
          <w:b w:val="0"/>
          <w:bCs/>
          <w:color w:val="000000"/>
          <w:sz w:val="32"/>
          <w:szCs w:val="32"/>
        </w:rPr>
        <w:t>采购项目编号：</w:t>
      </w:r>
      <w:bookmarkEnd w:id="629"/>
      <w:bookmarkEnd w:id="630"/>
      <w:bookmarkEnd w:id="631"/>
      <w:bookmarkEnd w:id="632"/>
      <w:r>
        <w:rPr>
          <w:rFonts w:hint="eastAsia" w:ascii="华文中宋" w:hAnsi="华文中宋" w:eastAsia="华文中宋" w:cs="华文中宋"/>
          <w:b w:val="0"/>
          <w:bCs/>
          <w:color w:val="000000"/>
          <w:sz w:val="32"/>
          <w:szCs w:val="32"/>
          <w:u w:val="single"/>
          <w:lang w:eastAsia="zh-CN"/>
        </w:rPr>
        <w:t>青海赫铭竞谈（货物）2026-008</w:t>
      </w:r>
      <w:r>
        <w:rPr>
          <w:rFonts w:hint="eastAsia" w:ascii="华文中宋" w:hAnsi="华文中宋" w:eastAsia="华文中宋" w:cs="华文中宋"/>
          <w:b w:val="0"/>
          <w:bCs/>
          <w:color w:val="000000"/>
          <w:sz w:val="32"/>
          <w:szCs w:val="32"/>
          <w:u w:val="single"/>
        </w:rPr>
        <w:t xml:space="preserve"> </w:t>
      </w:r>
      <w:r>
        <w:rPr>
          <w:rFonts w:hint="eastAsia" w:ascii="华文中宋" w:hAnsi="华文中宋" w:eastAsia="华文中宋" w:cs="华文中宋"/>
          <w:b w:val="0"/>
          <w:bCs/>
          <w:color w:val="000000"/>
          <w:sz w:val="32"/>
          <w:szCs w:val="32"/>
        </w:rPr>
        <w:t xml:space="preserve">  </w:t>
      </w:r>
      <w:bookmarkStart w:id="633" w:name="_Toc3022_WPSOffice_Level1"/>
      <w:bookmarkStart w:id="634" w:name="_Toc1998_WPSOffice_Level1"/>
      <w:bookmarkStart w:id="635" w:name="_Toc19490_WPSOffice_Level1"/>
      <w:bookmarkStart w:id="636" w:name="_Toc31508_WPSOffice_Level1"/>
    </w:p>
    <w:p w14:paraId="2C21AC64">
      <w:pPr>
        <w:wordWrap/>
        <w:spacing w:before="157" w:beforeLines="50" w:line="560" w:lineRule="exact"/>
        <w:ind w:firstLine="640" w:firstLineChars="200"/>
        <w:outlineLvl w:val="9"/>
        <w:rPr>
          <w:rFonts w:hint="eastAsia" w:ascii="华文中宋" w:hAnsi="华文中宋" w:eastAsia="华文中宋" w:cs="华文中宋"/>
          <w:b w:val="0"/>
          <w:bCs/>
          <w:color w:val="000000"/>
          <w:sz w:val="32"/>
          <w:szCs w:val="32"/>
        </w:rPr>
      </w:pPr>
      <w:r>
        <w:rPr>
          <w:rFonts w:hint="eastAsia" w:ascii="华文中宋" w:hAnsi="华文中宋" w:eastAsia="华文中宋" w:cs="华文中宋"/>
          <w:b w:val="0"/>
          <w:bCs/>
          <w:color w:val="000000"/>
          <w:sz w:val="32"/>
          <w:szCs w:val="32"/>
        </w:rPr>
        <w:t>采购合同编号：</w:t>
      </w:r>
      <w:bookmarkEnd w:id="633"/>
      <w:bookmarkEnd w:id="634"/>
      <w:bookmarkEnd w:id="635"/>
      <w:bookmarkEnd w:id="636"/>
      <w:r>
        <w:rPr>
          <w:rFonts w:hint="eastAsia" w:ascii="华文中宋" w:hAnsi="华文中宋" w:eastAsia="华文中宋" w:cs="华文中宋"/>
          <w:b w:val="0"/>
          <w:bCs/>
          <w:color w:val="000000"/>
          <w:sz w:val="32"/>
          <w:szCs w:val="32"/>
          <w:u w:val="single"/>
        </w:rPr>
        <w:t xml:space="preserve">   </w:t>
      </w:r>
      <w:r>
        <w:rPr>
          <w:rFonts w:hint="eastAsia" w:ascii="华文中宋" w:hAnsi="华文中宋" w:eastAsia="华文中宋" w:cs="华文中宋"/>
          <w:b w:val="0"/>
          <w:bCs/>
          <w:color w:val="000000"/>
          <w:sz w:val="32"/>
          <w:szCs w:val="32"/>
          <w:u w:val="single"/>
          <w:lang w:val="en-US" w:eastAsia="zh-CN"/>
        </w:rPr>
        <w:t xml:space="preserve">  QHHM2026-008         </w:t>
      </w:r>
      <w:r>
        <w:rPr>
          <w:rFonts w:hint="eastAsia" w:ascii="华文中宋" w:hAnsi="华文中宋" w:eastAsia="华文中宋" w:cs="华文中宋"/>
          <w:b w:val="0"/>
          <w:bCs/>
          <w:color w:val="000000"/>
          <w:sz w:val="32"/>
          <w:szCs w:val="32"/>
        </w:rPr>
        <w:t xml:space="preserve">   </w:t>
      </w:r>
    </w:p>
    <w:p w14:paraId="23AD0344">
      <w:pPr>
        <w:wordWrap/>
        <w:spacing w:before="157" w:beforeLines="50" w:line="560" w:lineRule="exact"/>
        <w:ind w:firstLine="640" w:firstLineChars="200"/>
        <w:outlineLvl w:val="9"/>
        <w:rPr>
          <w:rFonts w:hint="eastAsia" w:ascii="华文中宋" w:hAnsi="华文中宋" w:eastAsia="华文中宋" w:cs="华文中宋"/>
          <w:b w:val="0"/>
          <w:bCs/>
          <w:color w:val="000000"/>
          <w:sz w:val="32"/>
          <w:szCs w:val="32"/>
        </w:rPr>
      </w:pPr>
      <w:bookmarkStart w:id="637" w:name="_Toc2711_WPSOffice_Level1"/>
      <w:bookmarkStart w:id="638" w:name="_Toc24942_WPSOffice_Level1"/>
      <w:bookmarkStart w:id="639" w:name="_Toc5994_WPSOffice_Level1"/>
      <w:bookmarkStart w:id="640" w:name="_Toc8063_WPSOffice_Level1"/>
      <w:r>
        <w:rPr>
          <w:rFonts w:hint="eastAsia" w:ascii="华文中宋" w:hAnsi="华文中宋" w:eastAsia="华文中宋" w:cs="华文中宋"/>
          <w:b w:val="0"/>
          <w:bCs/>
          <w:color w:val="000000"/>
          <w:sz w:val="32"/>
          <w:szCs w:val="32"/>
        </w:rPr>
        <w:t>合同金额（人民币）：</w:t>
      </w:r>
      <w:bookmarkEnd w:id="637"/>
      <w:bookmarkEnd w:id="638"/>
      <w:bookmarkEnd w:id="639"/>
      <w:bookmarkEnd w:id="640"/>
      <w:r>
        <w:rPr>
          <w:rFonts w:hint="eastAsia" w:ascii="华文中宋" w:hAnsi="华文中宋" w:eastAsia="华文中宋" w:cs="华文中宋"/>
          <w:b w:val="0"/>
          <w:bCs/>
          <w:color w:val="000000"/>
          <w:sz w:val="32"/>
          <w:szCs w:val="32"/>
          <w:u w:val="single"/>
        </w:rPr>
        <w:t xml:space="preserve">                       </w:t>
      </w:r>
      <w:r>
        <w:rPr>
          <w:rFonts w:hint="eastAsia" w:ascii="华文中宋" w:hAnsi="华文中宋" w:eastAsia="华文中宋" w:cs="华文中宋"/>
          <w:b w:val="0"/>
          <w:bCs/>
          <w:color w:val="000000"/>
          <w:sz w:val="32"/>
          <w:szCs w:val="32"/>
        </w:rPr>
        <w:t xml:space="preserve">    </w:t>
      </w:r>
    </w:p>
    <w:p w14:paraId="017AC76F">
      <w:pPr>
        <w:wordWrap/>
        <w:spacing w:before="157" w:beforeLines="50" w:line="560" w:lineRule="exact"/>
        <w:ind w:firstLine="640" w:firstLineChars="200"/>
        <w:jc w:val="left"/>
        <w:outlineLvl w:val="9"/>
        <w:rPr>
          <w:rFonts w:hint="eastAsia" w:ascii="华文中宋" w:hAnsi="华文中宋" w:eastAsia="华文中宋" w:cs="华文中宋"/>
          <w:b w:val="0"/>
          <w:bCs/>
          <w:color w:val="000000"/>
          <w:sz w:val="32"/>
          <w:szCs w:val="32"/>
        </w:rPr>
      </w:pPr>
      <w:bookmarkStart w:id="641" w:name="_Toc3522_WPSOffice_Level1"/>
      <w:bookmarkStart w:id="642" w:name="_Toc6126_WPSOffice_Level1"/>
      <w:bookmarkStart w:id="643" w:name="_Toc10610_WPSOffice_Level1"/>
      <w:bookmarkStart w:id="644" w:name="_Toc31793_WPSOffice_Level1"/>
      <w:r>
        <w:rPr>
          <w:rFonts w:hint="eastAsia" w:ascii="华文中宋" w:hAnsi="华文中宋" w:eastAsia="华文中宋" w:cs="华文中宋"/>
          <w:b w:val="0"/>
          <w:bCs/>
          <w:color w:val="000000"/>
          <w:sz w:val="32"/>
          <w:szCs w:val="32"/>
        </w:rPr>
        <w:t>采购单位（甲方）：</w:t>
      </w:r>
      <w:r>
        <w:rPr>
          <w:rFonts w:hint="eastAsia" w:ascii="华文中宋" w:hAnsi="华文中宋" w:eastAsia="华文中宋" w:cs="华文中宋"/>
          <w:b w:val="0"/>
          <w:bCs/>
          <w:color w:val="000000"/>
          <w:sz w:val="32"/>
          <w:szCs w:val="32"/>
          <w:u w:val="single"/>
        </w:rPr>
        <w:t xml:space="preserve">                        </w:t>
      </w:r>
      <w:r>
        <w:rPr>
          <w:rFonts w:hint="eastAsia" w:ascii="华文中宋" w:hAnsi="华文中宋" w:eastAsia="华文中宋" w:cs="华文中宋"/>
          <w:b w:val="0"/>
          <w:bCs/>
          <w:color w:val="000000"/>
          <w:sz w:val="32"/>
          <w:szCs w:val="32"/>
        </w:rPr>
        <w:t>（盖章）</w:t>
      </w:r>
      <w:bookmarkEnd w:id="641"/>
      <w:bookmarkEnd w:id="642"/>
      <w:bookmarkEnd w:id="643"/>
      <w:bookmarkEnd w:id="644"/>
    </w:p>
    <w:p w14:paraId="39AFD1BE">
      <w:pPr>
        <w:wordWrap/>
        <w:spacing w:before="157" w:beforeLines="50" w:line="560" w:lineRule="exact"/>
        <w:ind w:firstLine="640" w:firstLineChars="200"/>
        <w:jc w:val="left"/>
        <w:outlineLvl w:val="9"/>
        <w:rPr>
          <w:rFonts w:hint="eastAsia" w:ascii="华文中宋" w:hAnsi="华文中宋" w:eastAsia="华文中宋" w:cs="华文中宋"/>
          <w:b w:val="0"/>
          <w:bCs/>
          <w:color w:val="000000"/>
          <w:sz w:val="32"/>
          <w:szCs w:val="32"/>
        </w:rPr>
      </w:pPr>
      <w:bookmarkStart w:id="645" w:name="_Toc22516_WPSOffice_Level1"/>
      <w:bookmarkStart w:id="646" w:name="_Toc7246_WPSOffice_Level1"/>
      <w:bookmarkStart w:id="647" w:name="_Toc14960_WPSOffice_Level1"/>
      <w:bookmarkStart w:id="648" w:name="_Toc382_WPSOffice_Level1"/>
      <w:r>
        <w:rPr>
          <w:rFonts w:hint="eastAsia" w:ascii="华文中宋" w:hAnsi="华文中宋" w:eastAsia="华文中宋" w:cs="华文中宋"/>
          <w:b w:val="0"/>
          <w:bCs/>
          <w:color w:val="000000"/>
          <w:sz w:val="32"/>
          <w:szCs w:val="32"/>
        </w:rPr>
        <w:t>成交供应商（乙方）：</w:t>
      </w:r>
      <w:r>
        <w:rPr>
          <w:rFonts w:hint="eastAsia" w:ascii="华文中宋" w:hAnsi="华文中宋" w:eastAsia="华文中宋" w:cs="华文中宋"/>
          <w:b w:val="0"/>
          <w:bCs/>
          <w:color w:val="000000"/>
          <w:sz w:val="32"/>
          <w:szCs w:val="32"/>
          <w:u w:val="single"/>
        </w:rPr>
        <w:t xml:space="preserve">                      </w:t>
      </w:r>
      <w:r>
        <w:rPr>
          <w:rFonts w:hint="eastAsia" w:ascii="华文中宋" w:hAnsi="华文中宋" w:eastAsia="华文中宋" w:cs="华文中宋"/>
          <w:b w:val="0"/>
          <w:bCs/>
          <w:color w:val="000000"/>
          <w:sz w:val="32"/>
          <w:szCs w:val="32"/>
        </w:rPr>
        <w:t>（盖章）</w:t>
      </w:r>
      <w:bookmarkEnd w:id="645"/>
      <w:bookmarkEnd w:id="646"/>
      <w:bookmarkEnd w:id="647"/>
      <w:bookmarkEnd w:id="648"/>
    </w:p>
    <w:p w14:paraId="7921E77B">
      <w:pPr>
        <w:pStyle w:val="7"/>
        <w:rPr>
          <w:rFonts w:hint="eastAsia" w:ascii="华文中宋" w:hAnsi="华文中宋" w:eastAsia="华文中宋" w:cs="华文中宋"/>
          <w:b w:val="0"/>
          <w:bCs/>
          <w:color w:val="000000"/>
          <w:sz w:val="32"/>
          <w:szCs w:val="32"/>
        </w:rPr>
      </w:pPr>
    </w:p>
    <w:p w14:paraId="427E4D01">
      <w:pPr>
        <w:pStyle w:val="8"/>
        <w:rPr>
          <w:rFonts w:hint="eastAsia" w:ascii="华文中宋" w:hAnsi="华文中宋" w:eastAsia="华文中宋" w:cs="华文中宋"/>
          <w:b w:val="0"/>
          <w:bCs/>
          <w:color w:val="000000"/>
          <w:sz w:val="32"/>
          <w:szCs w:val="32"/>
        </w:rPr>
      </w:pPr>
    </w:p>
    <w:p w14:paraId="52CE4EC0">
      <w:pPr>
        <w:pStyle w:val="9"/>
        <w:rPr>
          <w:rFonts w:hint="eastAsia" w:ascii="华文中宋" w:hAnsi="华文中宋" w:eastAsia="华文中宋" w:cs="华文中宋"/>
          <w:b w:val="0"/>
          <w:bCs/>
          <w:color w:val="000000"/>
          <w:sz w:val="24"/>
          <w:szCs w:val="24"/>
          <w:lang w:eastAsia="zh-CN"/>
        </w:rPr>
      </w:pPr>
      <w:r>
        <w:rPr>
          <w:rFonts w:hint="eastAsia" w:ascii="华文中宋" w:hAnsi="华文中宋" w:eastAsia="华文中宋" w:cs="华文中宋"/>
          <w:b w:val="0"/>
          <w:bCs/>
          <w:color w:val="000000"/>
          <w:sz w:val="24"/>
          <w:szCs w:val="24"/>
          <w:lang w:eastAsia="zh-CN"/>
        </w:rPr>
        <w:t>（注：具体以实际签订合同为准）</w:t>
      </w:r>
    </w:p>
    <w:p w14:paraId="0567F00E">
      <w:pPr>
        <w:rPr>
          <w:rFonts w:hint="eastAsia" w:ascii="华文中宋" w:hAnsi="华文中宋" w:eastAsia="华文中宋" w:cs="华文中宋"/>
          <w:b w:val="0"/>
          <w:bCs/>
          <w:color w:val="000000"/>
          <w:sz w:val="32"/>
          <w:szCs w:val="32"/>
        </w:rPr>
      </w:pPr>
    </w:p>
    <w:p w14:paraId="596DC161">
      <w:pPr>
        <w:pStyle w:val="9"/>
        <w:ind w:left="0" w:leftChars="0" w:firstLine="0" w:firstLineChars="0"/>
        <w:rPr>
          <w:rFonts w:hint="eastAsia" w:ascii="华文中宋" w:hAnsi="华文中宋" w:eastAsia="华文中宋" w:cs="华文中宋"/>
          <w:b w:val="0"/>
          <w:bCs/>
          <w:color w:val="000000"/>
          <w:sz w:val="32"/>
          <w:szCs w:val="32"/>
        </w:rPr>
      </w:pPr>
    </w:p>
    <w:p w14:paraId="59934939">
      <w:pPr>
        <w:rPr>
          <w:rFonts w:hint="eastAsia"/>
        </w:rPr>
      </w:pPr>
    </w:p>
    <w:p w14:paraId="259E87A6">
      <w:pPr>
        <w:widowControl w:val="0"/>
        <w:wordWrap/>
        <w:adjustRightInd w:val="0"/>
        <w:snapToGrid w:val="0"/>
        <w:spacing w:line="560" w:lineRule="exact"/>
        <w:ind w:firstLine="420" w:firstLineChars="200"/>
        <w:textAlignment w:val="auto"/>
        <w:outlineLvl w:val="9"/>
        <w:rPr>
          <w:rFonts w:hint="eastAsia" w:ascii="仿宋_GB2312" w:hAnsi="仿宋_GB2312" w:eastAsia="仿宋_GB2312" w:cs="仿宋_GB2312"/>
          <w:bCs/>
          <w:sz w:val="32"/>
          <w:szCs w:val="32"/>
        </w:rPr>
      </w:pPr>
      <w:r>
        <w:rPr>
          <w:rFonts w:hint="eastAsia" w:ascii="宋体" w:hAnsi="宋体" w:eastAsia="宋体"/>
          <w:bCs/>
          <w:szCs w:val="21"/>
        </w:rPr>
        <w:br w:type="page"/>
      </w:r>
      <w:r>
        <w:rPr>
          <w:rFonts w:hint="eastAsia" w:ascii="仿宋_GB2312" w:hAnsi="仿宋_GB2312" w:eastAsia="仿宋_GB2312" w:cs="仿宋_GB2312"/>
          <w:bCs/>
          <w:sz w:val="32"/>
          <w:szCs w:val="32"/>
        </w:rPr>
        <w:t>甲、乙双方根据20</w:t>
      </w:r>
      <w:r>
        <w:rPr>
          <w:rFonts w:hint="eastAsia" w:ascii="仿宋_GB2312" w:hAnsi="仿宋_GB2312" w:eastAsia="仿宋_GB2312" w:cs="仿宋_GB2312"/>
          <w:bCs/>
          <w:sz w:val="32"/>
          <w:szCs w:val="32"/>
          <w:lang w:val="en-US" w:eastAsia="zh-CN"/>
        </w:rPr>
        <w:t>2X</w:t>
      </w:r>
      <w:r>
        <w:rPr>
          <w:rFonts w:hint="eastAsia" w:ascii="仿宋_GB2312" w:hAnsi="仿宋_GB2312" w:eastAsia="仿宋_GB2312" w:cs="仿宋_GB2312"/>
          <w:bCs/>
          <w:sz w:val="32"/>
          <w:szCs w:val="32"/>
        </w:rPr>
        <w:t>年</w:t>
      </w:r>
      <w:r>
        <w:rPr>
          <w:rFonts w:hint="eastAsia" w:ascii="仿宋_GB2312" w:hAnsi="仿宋_GB2312" w:eastAsia="仿宋_GB2312" w:cs="仿宋_GB2312"/>
          <w:bCs/>
          <w:sz w:val="32"/>
          <w:szCs w:val="32"/>
          <w:u w:val="single"/>
          <w:lang w:val="en-US" w:eastAsia="zh-CN"/>
        </w:rPr>
        <w:t xml:space="preserve">  </w:t>
      </w:r>
      <w:r>
        <w:rPr>
          <w:rFonts w:hint="eastAsia" w:ascii="仿宋_GB2312" w:hAnsi="仿宋_GB2312" w:eastAsia="仿宋_GB2312" w:cs="仿宋_GB2312"/>
          <w:bCs/>
          <w:sz w:val="32"/>
          <w:szCs w:val="32"/>
        </w:rPr>
        <w:t>月</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u w:val="single"/>
          <w:lang w:val="en-US" w:eastAsia="zh-CN"/>
        </w:rPr>
        <w:t xml:space="preserve"> </w:t>
      </w:r>
      <w:r>
        <w:rPr>
          <w:rFonts w:hint="eastAsia" w:ascii="仿宋_GB2312" w:hAnsi="仿宋_GB2312" w:eastAsia="仿宋_GB2312" w:cs="仿宋_GB2312"/>
          <w:bCs/>
          <w:sz w:val="32"/>
          <w:szCs w:val="32"/>
        </w:rPr>
        <w:t xml:space="preserve">日 </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rPr>
        <w:t>项目（</w:t>
      </w:r>
      <w:r>
        <w:rPr>
          <w:rFonts w:hint="eastAsia" w:ascii="仿宋_GB2312" w:hAnsi="仿宋_GB2312" w:eastAsia="仿宋_GB2312" w:cs="仿宋_GB2312"/>
          <w:bCs/>
          <w:sz w:val="32"/>
          <w:szCs w:val="32"/>
          <w:lang w:eastAsia="zh-CN"/>
        </w:rPr>
        <w:t>项目编号</w:t>
      </w:r>
      <w:r>
        <w:rPr>
          <w:rFonts w:hint="eastAsia" w:ascii="仿宋_GB2312" w:hAnsi="仿宋_GB2312" w:eastAsia="仿宋_GB2312" w:cs="仿宋_GB2312"/>
          <w:bCs/>
          <w:sz w:val="32"/>
          <w:szCs w:val="32"/>
        </w:rPr>
        <w:t>）的谈判文件要求和采购机构出具的《成交通知书》，并经双方协商一致，达成合同总价款为</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rPr>
        <w:t>的</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rPr>
        <w:t>项目采购合同：</w:t>
      </w:r>
    </w:p>
    <w:p w14:paraId="1B78AD1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bookmarkStart w:id="649" w:name="_Toc6055_WPSOffice_Level1"/>
      <w:bookmarkStart w:id="650" w:name="_Toc28036_WPSOffice_Level1"/>
      <w:bookmarkStart w:id="651" w:name="_Toc29795_WPSOffice_Level1"/>
      <w:bookmarkStart w:id="652" w:name="_Toc96_WPSOffice_Level1"/>
      <w:bookmarkStart w:id="653" w:name="_Toc16675_WPSOffice_Level1"/>
      <w:bookmarkStart w:id="654" w:name="_Toc6866_WPSOffice_Level1"/>
      <w:r>
        <w:rPr>
          <w:rFonts w:hint="eastAsia" w:ascii="仿宋_GB2312" w:hAnsi="仿宋_GB2312" w:eastAsia="仿宋_GB2312" w:cs="仿宋_GB2312"/>
          <w:bCs/>
          <w:sz w:val="32"/>
          <w:szCs w:val="32"/>
          <w:lang w:val="zh-CN"/>
        </w:rPr>
        <w:t>一、签订本政府采购合同的依据</w:t>
      </w:r>
      <w:bookmarkEnd w:id="649"/>
      <w:bookmarkEnd w:id="650"/>
      <w:bookmarkEnd w:id="651"/>
      <w:bookmarkEnd w:id="652"/>
      <w:bookmarkEnd w:id="653"/>
      <w:bookmarkEnd w:id="654"/>
    </w:p>
    <w:p w14:paraId="799556B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lang w:val="zh-CN"/>
        </w:rPr>
        <w:t>本政府采购合同所附下列文件是构成本政府采购合同不可分割的部分：</w:t>
      </w:r>
    </w:p>
    <w:p w14:paraId="63C9932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bookmarkStart w:id="655" w:name="_Toc32479_WPSOffice_Level2"/>
      <w:bookmarkStart w:id="656" w:name="_Toc29065_WPSOffice_Level2"/>
      <w:bookmarkStart w:id="657" w:name="_Toc7329_WPSOffice_Level2"/>
      <w:r>
        <w:rPr>
          <w:rFonts w:hint="eastAsia" w:ascii="仿宋_GB2312" w:hAnsi="仿宋_GB2312" w:eastAsia="仿宋_GB2312" w:cs="仿宋_GB2312"/>
          <w:bCs/>
          <w:sz w:val="32"/>
          <w:szCs w:val="32"/>
          <w:lang w:val="zh-CN"/>
        </w:rPr>
        <w:t>1.谈判文件；</w:t>
      </w:r>
      <w:bookmarkEnd w:id="655"/>
      <w:bookmarkEnd w:id="656"/>
      <w:bookmarkEnd w:id="657"/>
    </w:p>
    <w:p w14:paraId="4EE7B95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bookmarkStart w:id="658" w:name="_Toc22776_WPSOffice_Level2"/>
      <w:bookmarkStart w:id="659" w:name="_Toc28112_WPSOffice_Level2"/>
      <w:bookmarkStart w:id="660" w:name="_Toc8989_WPSOffice_Level2"/>
      <w:r>
        <w:rPr>
          <w:rFonts w:hint="eastAsia" w:ascii="仿宋_GB2312" w:hAnsi="仿宋_GB2312" w:eastAsia="仿宋_GB2312" w:cs="仿宋_GB2312"/>
          <w:bCs/>
          <w:sz w:val="32"/>
          <w:szCs w:val="32"/>
          <w:lang w:val="zh-CN"/>
        </w:rPr>
        <w:t>2.谈判文件的更正、变更公告；</w:t>
      </w:r>
      <w:bookmarkEnd w:id="658"/>
      <w:bookmarkEnd w:id="659"/>
      <w:bookmarkEnd w:id="660"/>
    </w:p>
    <w:p w14:paraId="1734FF1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bookmarkStart w:id="661" w:name="_Toc29221_WPSOffice_Level2"/>
      <w:bookmarkStart w:id="662" w:name="_Toc28651_WPSOffice_Level2"/>
      <w:bookmarkStart w:id="663" w:name="_Toc29795_WPSOffice_Level2"/>
      <w:r>
        <w:rPr>
          <w:rFonts w:hint="eastAsia" w:ascii="仿宋_GB2312" w:hAnsi="仿宋_GB2312" w:eastAsia="仿宋_GB2312" w:cs="仿宋_GB2312"/>
          <w:bCs/>
          <w:sz w:val="32"/>
          <w:szCs w:val="32"/>
          <w:lang w:val="zh-CN"/>
        </w:rPr>
        <w:t>3.成交供应商提交的谈判响应文件；</w:t>
      </w:r>
      <w:bookmarkEnd w:id="661"/>
      <w:bookmarkEnd w:id="662"/>
      <w:bookmarkEnd w:id="663"/>
    </w:p>
    <w:p w14:paraId="4691EF4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bookmarkStart w:id="664" w:name="_Toc13685_WPSOffice_Level2"/>
      <w:bookmarkStart w:id="665" w:name="_Toc130_WPSOffice_Level2"/>
      <w:bookmarkStart w:id="666" w:name="_Toc10173_WPSOffice_Level2"/>
      <w:r>
        <w:rPr>
          <w:rFonts w:hint="eastAsia" w:ascii="仿宋_GB2312" w:hAnsi="仿宋_GB2312" w:eastAsia="仿宋_GB2312" w:cs="仿宋_GB2312"/>
          <w:bCs/>
          <w:sz w:val="32"/>
          <w:szCs w:val="32"/>
          <w:lang w:val="zh-CN"/>
        </w:rPr>
        <w:t>4.政府采购合同通用条款；</w:t>
      </w:r>
      <w:bookmarkEnd w:id="664"/>
      <w:bookmarkEnd w:id="665"/>
      <w:bookmarkEnd w:id="666"/>
    </w:p>
    <w:p w14:paraId="6471E94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bookmarkStart w:id="667" w:name="_Toc22537_WPSOffice_Level2"/>
      <w:bookmarkStart w:id="668" w:name="_Toc16117_WPSOffice_Level2"/>
      <w:bookmarkStart w:id="669" w:name="_Toc1858_WPSOffice_Level2"/>
      <w:r>
        <w:rPr>
          <w:rFonts w:hint="eastAsia" w:ascii="仿宋_GB2312" w:hAnsi="仿宋_GB2312" w:eastAsia="仿宋_GB2312" w:cs="仿宋_GB2312"/>
          <w:bCs/>
          <w:sz w:val="32"/>
          <w:szCs w:val="32"/>
          <w:lang w:val="zh-CN"/>
        </w:rPr>
        <w:t>5.成交通知书；</w:t>
      </w:r>
      <w:bookmarkEnd w:id="667"/>
      <w:bookmarkEnd w:id="668"/>
      <w:bookmarkEnd w:id="669"/>
    </w:p>
    <w:p w14:paraId="7AAAF53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bookmarkStart w:id="670" w:name="_Toc30677_WPSOffice_Level2"/>
      <w:bookmarkStart w:id="671" w:name="_Toc5771_WPSOffice_Level2"/>
      <w:bookmarkStart w:id="672" w:name="_Toc21545_WPSOffice_Level2"/>
      <w:r>
        <w:rPr>
          <w:rFonts w:hint="eastAsia" w:ascii="仿宋_GB2312" w:hAnsi="仿宋_GB2312" w:eastAsia="仿宋_GB2312" w:cs="仿宋_GB2312"/>
          <w:bCs/>
          <w:sz w:val="32"/>
          <w:szCs w:val="32"/>
          <w:lang w:val="zh-CN"/>
        </w:rPr>
        <w:t>6.履约保证金缴费证明；</w:t>
      </w:r>
      <w:bookmarkEnd w:id="670"/>
      <w:bookmarkEnd w:id="671"/>
      <w:bookmarkEnd w:id="672"/>
    </w:p>
    <w:p w14:paraId="4B3E50C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673" w:name="_Toc32599_WPSOffice_Level2"/>
      <w:bookmarkStart w:id="674" w:name="_Toc2205_WPSOffice_Level2"/>
      <w:bookmarkStart w:id="675" w:name="_Toc8581_WPSOffice_Level2"/>
      <w:r>
        <w:rPr>
          <w:rFonts w:hint="eastAsia" w:ascii="仿宋_GB2312" w:hAnsi="仿宋_GB2312" w:eastAsia="仿宋_GB2312" w:cs="仿宋_GB2312"/>
          <w:bCs/>
          <w:sz w:val="32"/>
          <w:szCs w:val="32"/>
        </w:rPr>
        <w:t>7.省级预算单位政府采购计划备案表。</w:t>
      </w:r>
      <w:bookmarkEnd w:id="673"/>
      <w:bookmarkEnd w:id="674"/>
      <w:bookmarkEnd w:id="675"/>
    </w:p>
    <w:p w14:paraId="295F6C22">
      <w:pPr>
        <w:bidi w:val="0"/>
        <w:rPr>
          <w:rFonts w:hint="eastAsia" w:eastAsia="宋体"/>
          <w:lang w:val="zh-CN"/>
        </w:rPr>
      </w:pPr>
      <w:bookmarkStart w:id="676" w:name="_Toc10173_WPSOffice_Level1"/>
      <w:bookmarkStart w:id="677" w:name="_Toc4921_WPSOffice_Level1"/>
      <w:bookmarkStart w:id="678" w:name="_Toc29813_WPSOffice_Level1"/>
      <w:bookmarkStart w:id="679" w:name="_Toc7426_WPSOffice_Level1"/>
      <w:bookmarkStart w:id="680" w:name="_Toc12658_WPSOffice_Level1"/>
      <w:bookmarkStart w:id="681" w:name="_Toc10843_WPSOffice_Level1"/>
      <w:r>
        <w:rPr>
          <w:rFonts w:hint="eastAsia" w:ascii="仿宋_GB2312" w:hAnsi="仿宋_GB2312" w:eastAsia="仿宋_GB2312" w:cs="仿宋_GB2312"/>
          <w:bCs/>
          <w:sz w:val="32"/>
          <w:szCs w:val="32"/>
          <w:lang w:val="zh-CN"/>
        </w:rPr>
        <w:t xml:space="preserve">二、合同标的及金额    </w:t>
      </w:r>
      <w:r>
        <w:rPr>
          <w:rFonts w:hint="eastAsia" w:eastAsia="宋体"/>
          <w:lang w:val="zh-CN"/>
        </w:rPr>
        <w:t xml:space="preserve">                                </w:t>
      </w:r>
      <w:r>
        <w:rPr>
          <w:rFonts w:hint="eastAsia" w:ascii="仿宋_GB2312" w:hAnsi="仿宋_GB2312" w:eastAsia="仿宋_GB2312" w:cs="仿宋_GB2312"/>
          <w:bCs/>
          <w:sz w:val="32"/>
          <w:szCs w:val="32"/>
          <w:lang w:val="zh-CN"/>
        </w:rPr>
        <w:t xml:space="preserve">   单位：元</w:t>
      </w:r>
      <w:bookmarkEnd w:id="676"/>
      <w:bookmarkEnd w:id="677"/>
      <w:bookmarkEnd w:id="678"/>
      <w:bookmarkEnd w:id="679"/>
      <w:bookmarkEnd w:id="680"/>
      <w:bookmarkEnd w:id="681"/>
    </w:p>
    <w:tbl>
      <w:tblPr>
        <w:tblStyle w:val="18"/>
        <w:tblW w:w="93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4"/>
        <w:gridCol w:w="1640"/>
        <w:gridCol w:w="1613"/>
        <w:gridCol w:w="1279"/>
        <w:gridCol w:w="1151"/>
        <w:gridCol w:w="1149"/>
        <w:gridCol w:w="1343"/>
      </w:tblGrid>
      <w:tr w14:paraId="60331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1204" w:type="dxa"/>
            <w:tcBorders>
              <w:top w:val="single" w:color="auto" w:sz="4" w:space="0"/>
              <w:left w:val="single" w:color="auto" w:sz="4" w:space="0"/>
              <w:bottom w:val="single" w:color="auto" w:sz="4" w:space="0"/>
              <w:right w:val="single" w:color="auto" w:sz="4" w:space="0"/>
            </w:tcBorders>
            <w:vAlign w:val="center"/>
          </w:tcPr>
          <w:p w14:paraId="6025CA2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left"/>
              <w:textAlignment w:val="auto"/>
              <w:outlineLvl w:val="9"/>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lang w:val="zh-CN"/>
              </w:rPr>
              <w:t>包号</w:t>
            </w:r>
          </w:p>
        </w:tc>
        <w:tc>
          <w:tcPr>
            <w:tcW w:w="1640" w:type="dxa"/>
            <w:tcBorders>
              <w:top w:val="single" w:color="auto" w:sz="4" w:space="0"/>
              <w:left w:val="single" w:color="auto" w:sz="4" w:space="0"/>
              <w:bottom w:val="single" w:color="auto" w:sz="4" w:space="0"/>
              <w:right w:val="single" w:color="auto" w:sz="4" w:space="0"/>
            </w:tcBorders>
            <w:vAlign w:val="center"/>
          </w:tcPr>
          <w:p w14:paraId="106A291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lang w:val="zh-CN"/>
              </w:rPr>
              <w:t>标的名称</w:t>
            </w:r>
          </w:p>
        </w:tc>
        <w:tc>
          <w:tcPr>
            <w:tcW w:w="1613" w:type="dxa"/>
            <w:tcBorders>
              <w:top w:val="single" w:color="auto" w:sz="4" w:space="0"/>
              <w:left w:val="single" w:color="auto" w:sz="4" w:space="0"/>
              <w:bottom w:val="single" w:color="auto" w:sz="4" w:space="0"/>
              <w:right w:val="single" w:color="auto" w:sz="4" w:space="0"/>
            </w:tcBorders>
            <w:vAlign w:val="center"/>
          </w:tcPr>
          <w:p w14:paraId="20D353E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lang w:val="zh-CN"/>
              </w:rPr>
              <w:t>型号规格</w:t>
            </w:r>
          </w:p>
        </w:tc>
        <w:tc>
          <w:tcPr>
            <w:tcW w:w="1279" w:type="dxa"/>
            <w:tcBorders>
              <w:top w:val="single" w:color="auto" w:sz="4" w:space="0"/>
              <w:left w:val="single" w:color="auto" w:sz="4" w:space="0"/>
              <w:bottom w:val="single" w:color="auto" w:sz="4" w:space="0"/>
              <w:right w:val="single" w:color="auto" w:sz="4" w:space="0"/>
            </w:tcBorders>
            <w:vAlign w:val="center"/>
          </w:tcPr>
          <w:p w14:paraId="334183B9">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lang w:val="zh-CN"/>
              </w:rPr>
              <w:t>数量</w:t>
            </w:r>
          </w:p>
        </w:tc>
        <w:tc>
          <w:tcPr>
            <w:tcW w:w="1151" w:type="dxa"/>
            <w:tcBorders>
              <w:top w:val="single" w:color="auto" w:sz="4" w:space="0"/>
              <w:left w:val="single" w:color="auto" w:sz="4" w:space="0"/>
              <w:bottom w:val="single" w:color="auto" w:sz="4" w:space="0"/>
              <w:right w:val="single" w:color="auto" w:sz="4" w:space="0"/>
            </w:tcBorders>
            <w:vAlign w:val="center"/>
          </w:tcPr>
          <w:p w14:paraId="616244A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lang w:val="zh-CN"/>
              </w:rPr>
              <w:t>单价</w:t>
            </w:r>
          </w:p>
        </w:tc>
        <w:tc>
          <w:tcPr>
            <w:tcW w:w="1149" w:type="dxa"/>
            <w:tcBorders>
              <w:top w:val="single" w:color="auto" w:sz="4" w:space="0"/>
              <w:left w:val="single" w:color="auto" w:sz="4" w:space="0"/>
              <w:bottom w:val="single" w:color="auto" w:sz="4" w:space="0"/>
              <w:right w:val="single" w:color="auto" w:sz="4" w:space="0"/>
            </w:tcBorders>
            <w:vAlign w:val="center"/>
          </w:tcPr>
          <w:p w14:paraId="048A44B9">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lang w:val="zh-CN"/>
              </w:rPr>
              <w:t>总价</w:t>
            </w:r>
          </w:p>
        </w:tc>
        <w:tc>
          <w:tcPr>
            <w:tcW w:w="1343" w:type="dxa"/>
            <w:tcBorders>
              <w:top w:val="single" w:color="auto" w:sz="4" w:space="0"/>
              <w:left w:val="single" w:color="auto" w:sz="4" w:space="0"/>
              <w:bottom w:val="single" w:color="auto" w:sz="4" w:space="0"/>
              <w:right w:val="single" w:color="auto" w:sz="4" w:space="0"/>
            </w:tcBorders>
            <w:vAlign w:val="center"/>
          </w:tcPr>
          <w:p w14:paraId="4A76EC0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lang w:val="zh-CN"/>
              </w:rPr>
              <w:t>备注</w:t>
            </w:r>
          </w:p>
        </w:tc>
      </w:tr>
      <w:tr w14:paraId="73A8D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90" w:hRule="atLeast"/>
          <w:jc w:val="center"/>
        </w:trPr>
        <w:tc>
          <w:tcPr>
            <w:tcW w:w="1204" w:type="dxa"/>
            <w:tcBorders>
              <w:top w:val="single" w:color="auto" w:sz="4" w:space="0"/>
              <w:left w:val="single" w:color="auto" w:sz="4" w:space="0"/>
              <w:bottom w:val="single" w:color="auto" w:sz="4" w:space="0"/>
              <w:right w:val="single" w:color="auto" w:sz="4" w:space="0"/>
            </w:tcBorders>
            <w:vAlign w:val="center"/>
          </w:tcPr>
          <w:p w14:paraId="29F7DAD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640" w:type="dxa"/>
            <w:tcBorders>
              <w:top w:val="single" w:color="auto" w:sz="4" w:space="0"/>
              <w:left w:val="single" w:color="auto" w:sz="4" w:space="0"/>
              <w:bottom w:val="single" w:color="auto" w:sz="4" w:space="0"/>
              <w:right w:val="single" w:color="auto" w:sz="4" w:space="0"/>
            </w:tcBorders>
            <w:vAlign w:val="center"/>
          </w:tcPr>
          <w:p w14:paraId="6BE7107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613" w:type="dxa"/>
            <w:tcBorders>
              <w:top w:val="single" w:color="auto" w:sz="4" w:space="0"/>
              <w:left w:val="single" w:color="auto" w:sz="4" w:space="0"/>
              <w:bottom w:val="single" w:color="auto" w:sz="4" w:space="0"/>
              <w:right w:val="single" w:color="auto" w:sz="4" w:space="0"/>
            </w:tcBorders>
            <w:vAlign w:val="center"/>
          </w:tcPr>
          <w:p w14:paraId="58C99B1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279" w:type="dxa"/>
            <w:tcBorders>
              <w:top w:val="single" w:color="auto" w:sz="4" w:space="0"/>
              <w:left w:val="single" w:color="auto" w:sz="4" w:space="0"/>
              <w:bottom w:val="single" w:color="auto" w:sz="4" w:space="0"/>
              <w:right w:val="single" w:color="auto" w:sz="4" w:space="0"/>
            </w:tcBorders>
            <w:vAlign w:val="center"/>
          </w:tcPr>
          <w:p w14:paraId="507192E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151" w:type="dxa"/>
            <w:tcBorders>
              <w:top w:val="single" w:color="auto" w:sz="4" w:space="0"/>
              <w:left w:val="single" w:color="auto" w:sz="4" w:space="0"/>
              <w:bottom w:val="single" w:color="auto" w:sz="4" w:space="0"/>
              <w:right w:val="single" w:color="auto" w:sz="4" w:space="0"/>
            </w:tcBorders>
            <w:vAlign w:val="center"/>
          </w:tcPr>
          <w:p w14:paraId="114E035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149" w:type="dxa"/>
            <w:tcBorders>
              <w:top w:val="single" w:color="auto" w:sz="4" w:space="0"/>
              <w:left w:val="single" w:color="auto" w:sz="4" w:space="0"/>
              <w:bottom w:val="single" w:color="auto" w:sz="4" w:space="0"/>
              <w:right w:val="single" w:color="auto" w:sz="4" w:space="0"/>
            </w:tcBorders>
            <w:vAlign w:val="center"/>
          </w:tcPr>
          <w:p w14:paraId="76EEC8A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343" w:type="dxa"/>
            <w:tcBorders>
              <w:top w:val="single" w:color="auto" w:sz="4" w:space="0"/>
              <w:left w:val="single" w:color="auto" w:sz="4" w:space="0"/>
              <w:bottom w:val="single" w:color="auto" w:sz="4" w:space="0"/>
              <w:right w:val="single" w:color="auto" w:sz="4" w:space="0"/>
            </w:tcBorders>
            <w:vAlign w:val="center"/>
          </w:tcPr>
          <w:p w14:paraId="1572057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r>
      <w:tr w14:paraId="3DB18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64" w:hRule="atLeast"/>
          <w:jc w:val="center"/>
        </w:trPr>
        <w:tc>
          <w:tcPr>
            <w:tcW w:w="1204" w:type="dxa"/>
            <w:tcBorders>
              <w:top w:val="single" w:color="auto" w:sz="4" w:space="0"/>
              <w:left w:val="single" w:color="auto" w:sz="4" w:space="0"/>
              <w:bottom w:val="single" w:color="auto" w:sz="4" w:space="0"/>
              <w:right w:val="single" w:color="auto" w:sz="4" w:space="0"/>
            </w:tcBorders>
            <w:vAlign w:val="center"/>
          </w:tcPr>
          <w:p w14:paraId="7DAC4B5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640" w:type="dxa"/>
            <w:tcBorders>
              <w:top w:val="single" w:color="auto" w:sz="4" w:space="0"/>
              <w:left w:val="single" w:color="auto" w:sz="4" w:space="0"/>
              <w:bottom w:val="single" w:color="auto" w:sz="4" w:space="0"/>
              <w:right w:val="single" w:color="auto" w:sz="4" w:space="0"/>
            </w:tcBorders>
            <w:vAlign w:val="center"/>
          </w:tcPr>
          <w:p w14:paraId="1E7E298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613" w:type="dxa"/>
            <w:tcBorders>
              <w:top w:val="single" w:color="auto" w:sz="4" w:space="0"/>
              <w:left w:val="single" w:color="auto" w:sz="4" w:space="0"/>
              <w:bottom w:val="single" w:color="auto" w:sz="4" w:space="0"/>
              <w:right w:val="single" w:color="auto" w:sz="4" w:space="0"/>
            </w:tcBorders>
            <w:vAlign w:val="center"/>
          </w:tcPr>
          <w:p w14:paraId="3012FA9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279" w:type="dxa"/>
            <w:tcBorders>
              <w:top w:val="single" w:color="auto" w:sz="4" w:space="0"/>
              <w:left w:val="single" w:color="auto" w:sz="4" w:space="0"/>
              <w:bottom w:val="single" w:color="auto" w:sz="4" w:space="0"/>
              <w:right w:val="single" w:color="auto" w:sz="4" w:space="0"/>
            </w:tcBorders>
            <w:vAlign w:val="center"/>
          </w:tcPr>
          <w:p w14:paraId="13A5C76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151" w:type="dxa"/>
            <w:tcBorders>
              <w:top w:val="single" w:color="auto" w:sz="4" w:space="0"/>
              <w:left w:val="single" w:color="auto" w:sz="4" w:space="0"/>
              <w:bottom w:val="single" w:color="auto" w:sz="4" w:space="0"/>
              <w:right w:val="single" w:color="auto" w:sz="4" w:space="0"/>
            </w:tcBorders>
            <w:vAlign w:val="center"/>
          </w:tcPr>
          <w:p w14:paraId="34EB4A8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149" w:type="dxa"/>
            <w:tcBorders>
              <w:top w:val="single" w:color="auto" w:sz="4" w:space="0"/>
              <w:left w:val="single" w:color="auto" w:sz="4" w:space="0"/>
              <w:bottom w:val="single" w:color="auto" w:sz="4" w:space="0"/>
              <w:right w:val="single" w:color="auto" w:sz="4" w:space="0"/>
            </w:tcBorders>
            <w:vAlign w:val="center"/>
          </w:tcPr>
          <w:p w14:paraId="73FE7C61">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343" w:type="dxa"/>
            <w:tcBorders>
              <w:top w:val="single" w:color="auto" w:sz="4" w:space="0"/>
              <w:left w:val="single" w:color="auto" w:sz="4" w:space="0"/>
              <w:bottom w:val="single" w:color="auto" w:sz="4" w:space="0"/>
              <w:right w:val="single" w:color="auto" w:sz="4" w:space="0"/>
            </w:tcBorders>
            <w:vAlign w:val="center"/>
          </w:tcPr>
          <w:p w14:paraId="2B921AE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r>
      <w:tr w14:paraId="1422C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64" w:hRule="atLeast"/>
          <w:jc w:val="center"/>
        </w:trPr>
        <w:tc>
          <w:tcPr>
            <w:tcW w:w="1204" w:type="dxa"/>
            <w:tcBorders>
              <w:top w:val="single" w:color="auto" w:sz="4" w:space="0"/>
              <w:left w:val="single" w:color="auto" w:sz="4" w:space="0"/>
              <w:bottom w:val="single" w:color="auto" w:sz="4" w:space="0"/>
              <w:right w:val="single" w:color="auto" w:sz="4" w:space="0"/>
            </w:tcBorders>
            <w:vAlign w:val="center"/>
          </w:tcPr>
          <w:p w14:paraId="02FACDD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640" w:type="dxa"/>
            <w:tcBorders>
              <w:top w:val="single" w:color="auto" w:sz="4" w:space="0"/>
              <w:left w:val="single" w:color="auto" w:sz="4" w:space="0"/>
              <w:bottom w:val="single" w:color="auto" w:sz="4" w:space="0"/>
              <w:right w:val="single" w:color="auto" w:sz="4" w:space="0"/>
            </w:tcBorders>
            <w:vAlign w:val="center"/>
          </w:tcPr>
          <w:p w14:paraId="3A2C8B7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613" w:type="dxa"/>
            <w:tcBorders>
              <w:top w:val="single" w:color="auto" w:sz="4" w:space="0"/>
              <w:left w:val="single" w:color="auto" w:sz="4" w:space="0"/>
              <w:bottom w:val="single" w:color="auto" w:sz="4" w:space="0"/>
              <w:right w:val="single" w:color="auto" w:sz="4" w:space="0"/>
            </w:tcBorders>
            <w:vAlign w:val="center"/>
          </w:tcPr>
          <w:p w14:paraId="1527E39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279" w:type="dxa"/>
            <w:tcBorders>
              <w:top w:val="single" w:color="auto" w:sz="4" w:space="0"/>
              <w:left w:val="single" w:color="auto" w:sz="4" w:space="0"/>
              <w:bottom w:val="single" w:color="auto" w:sz="4" w:space="0"/>
              <w:right w:val="single" w:color="auto" w:sz="4" w:space="0"/>
            </w:tcBorders>
            <w:vAlign w:val="center"/>
          </w:tcPr>
          <w:p w14:paraId="29A58A3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151" w:type="dxa"/>
            <w:tcBorders>
              <w:top w:val="single" w:color="auto" w:sz="4" w:space="0"/>
              <w:left w:val="single" w:color="auto" w:sz="4" w:space="0"/>
              <w:bottom w:val="single" w:color="auto" w:sz="4" w:space="0"/>
              <w:right w:val="single" w:color="auto" w:sz="4" w:space="0"/>
            </w:tcBorders>
            <w:vAlign w:val="center"/>
          </w:tcPr>
          <w:p w14:paraId="3150D00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149" w:type="dxa"/>
            <w:tcBorders>
              <w:top w:val="single" w:color="auto" w:sz="4" w:space="0"/>
              <w:left w:val="single" w:color="auto" w:sz="4" w:space="0"/>
              <w:bottom w:val="single" w:color="auto" w:sz="4" w:space="0"/>
              <w:right w:val="single" w:color="auto" w:sz="4" w:space="0"/>
            </w:tcBorders>
            <w:vAlign w:val="center"/>
          </w:tcPr>
          <w:p w14:paraId="4A8AABB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343" w:type="dxa"/>
            <w:tcBorders>
              <w:top w:val="single" w:color="auto" w:sz="4" w:space="0"/>
              <w:left w:val="single" w:color="auto" w:sz="4" w:space="0"/>
              <w:bottom w:val="single" w:color="auto" w:sz="4" w:space="0"/>
              <w:right w:val="single" w:color="auto" w:sz="4" w:space="0"/>
            </w:tcBorders>
            <w:vAlign w:val="center"/>
          </w:tcPr>
          <w:p w14:paraId="7F921FB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r>
      <w:tr w14:paraId="6E30B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64" w:hRule="atLeast"/>
          <w:jc w:val="center"/>
        </w:trPr>
        <w:tc>
          <w:tcPr>
            <w:tcW w:w="1204" w:type="dxa"/>
            <w:tcBorders>
              <w:top w:val="single" w:color="auto" w:sz="4" w:space="0"/>
              <w:left w:val="single" w:color="auto" w:sz="4" w:space="0"/>
              <w:bottom w:val="single" w:color="auto" w:sz="4" w:space="0"/>
              <w:right w:val="single" w:color="auto" w:sz="4" w:space="0"/>
            </w:tcBorders>
            <w:vAlign w:val="center"/>
          </w:tcPr>
          <w:p w14:paraId="7D3E2A2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640" w:type="dxa"/>
            <w:tcBorders>
              <w:top w:val="single" w:color="auto" w:sz="4" w:space="0"/>
              <w:left w:val="single" w:color="auto" w:sz="4" w:space="0"/>
              <w:bottom w:val="single" w:color="auto" w:sz="4" w:space="0"/>
              <w:right w:val="single" w:color="auto" w:sz="4" w:space="0"/>
            </w:tcBorders>
            <w:vAlign w:val="center"/>
          </w:tcPr>
          <w:p w14:paraId="3675C25C">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613" w:type="dxa"/>
            <w:tcBorders>
              <w:top w:val="single" w:color="auto" w:sz="4" w:space="0"/>
              <w:left w:val="single" w:color="auto" w:sz="4" w:space="0"/>
              <w:bottom w:val="single" w:color="auto" w:sz="4" w:space="0"/>
              <w:right w:val="single" w:color="auto" w:sz="4" w:space="0"/>
            </w:tcBorders>
            <w:vAlign w:val="center"/>
          </w:tcPr>
          <w:p w14:paraId="68B2480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279" w:type="dxa"/>
            <w:tcBorders>
              <w:top w:val="single" w:color="auto" w:sz="4" w:space="0"/>
              <w:left w:val="single" w:color="auto" w:sz="4" w:space="0"/>
              <w:bottom w:val="single" w:color="auto" w:sz="4" w:space="0"/>
              <w:right w:val="single" w:color="auto" w:sz="4" w:space="0"/>
            </w:tcBorders>
            <w:vAlign w:val="center"/>
          </w:tcPr>
          <w:p w14:paraId="5C44F76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151" w:type="dxa"/>
            <w:tcBorders>
              <w:top w:val="single" w:color="auto" w:sz="4" w:space="0"/>
              <w:left w:val="single" w:color="auto" w:sz="4" w:space="0"/>
              <w:bottom w:val="single" w:color="auto" w:sz="4" w:space="0"/>
              <w:right w:val="single" w:color="auto" w:sz="4" w:space="0"/>
            </w:tcBorders>
            <w:vAlign w:val="center"/>
          </w:tcPr>
          <w:p w14:paraId="54D9DBF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149" w:type="dxa"/>
            <w:tcBorders>
              <w:top w:val="single" w:color="auto" w:sz="4" w:space="0"/>
              <w:left w:val="single" w:color="auto" w:sz="4" w:space="0"/>
              <w:bottom w:val="single" w:color="auto" w:sz="4" w:space="0"/>
              <w:right w:val="single" w:color="auto" w:sz="4" w:space="0"/>
            </w:tcBorders>
            <w:vAlign w:val="center"/>
          </w:tcPr>
          <w:p w14:paraId="1584510C">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c>
          <w:tcPr>
            <w:tcW w:w="1343" w:type="dxa"/>
            <w:tcBorders>
              <w:top w:val="single" w:color="auto" w:sz="4" w:space="0"/>
              <w:left w:val="single" w:color="auto" w:sz="4" w:space="0"/>
              <w:bottom w:val="single" w:color="auto" w:sz="4" w:space="0"/>
              <w:right w:val="single" w:color="auto" w:sz="4" w:space="0"/>
            </w:tcBorders>
            <w:vAlign w:val="center"/>
          </w:tcPr>
          <w:p w14:paraId="00E5D80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outlineLvl w:val="9"/>
              <w:rPr>
                <w:rFonts w:hint="eastAsia" w:ascii="仿宋_GB2312" w:hAnsi="仿宋_GB2312" w:eastAsia="仿宋_GB2312" w:cs="仿宋_GB2312"/>
                <w:bCs/>
                <w:sz w:val="32"/>
                <w:szCs w:val="32"/>
                <w:lang w:val="zh-CN"/>
              </w:rPr>
            </w:pPr>
          </w:p>
        </w:tc>
      </w:tr>
    </w:tbl>
    <w:p w14:paraId="2793AED0">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lang w:val="zh-CN"/>
        </w:rPr>
        <w:t>根据上述政府采购合同文件要求，本政府采购合同的总金额为人民币</w:t>
      </w:r>
      <w:r>
        <w:rPr>
          <w:rFonts w:hint="eastAsia" w:ascii="仿宋_GB2312" w:hAnsi="仿宋_GB2312" w:eastAsia="仿宋_GB2312" w:cs="仿宋_GB2312"/>
          <w:bCs/>
          <w:sz w:val="32"/>
          <w:szCs w:val="32"/>
          <w:u w:val="single"/>
          <w:lang w:val="en-US" w:eastAsia="zh-CN"/>
        </w:rPr>
        <w:t xml:space="preserve">      </w:t>
      </w:r>
      <w:r>
        <w:rPr>
          <w:rFonts w:hint="eastAsia" w:ascii="仿宋_GB2312" w:hAnsi="仿宋_GB2312" w:eastAsia="仿宋_GB2312" w:cs="仿宋_GB2312"/>
          <w:bCs/>
          <w:sz w:val="32"/>
          <w:szCs w:val="32"/>
          <w:lang w:val="zh-CN"/>
        </w:rPr>
        <w:t>（大写）</w:t>
      </w:r>
      <w:r>
        <w:rPr>
          <w:rFonts w:hint="eastAsia" w:ascii="仿宋_GB2312" w:hAnsi="仿宋_GB2312" w:eastAsia="仿宋_GB2312" w:cs="仿宋_GB2312"/>
          <w:bCs/>
          <w:sz w:val="32"/>
          <w:szCs w:val="32"/>
          <w:u w:val="single"/>
          <w:lang w:val="en-US" w:eastAsia="zh-CN"/>
        </w:rPr>
        <w:t xml:space="preserve"> </w:t>
      </w:r>
      <w:r>
        <w:rPr>
          <w:rFonts w:hint="eastAsia" w:ascii="仿宋_GB2312" w:hAnsi="仿宋_GB2312" w:eastAsia="仿宋_GB2312" w:cs="仿宋_GB2312"/>
          <w:bCs/>
          <w:sz w:val="32"/>
          <w:szCs w:val="32"/>
          <w:u w:val="single"/>
          <w:lang w:val="zh-CN"/>
        </w:rPr>
        <w:t xml:space="preserve">          </w:t>
      </w:r>
      <w:r>
        <w:rPr>
          <w:rFonts w:hint="eastAsia" w:ascii="仿宋_GB2312" w:hAnsi="仿宋_GB2312" w:eastAsia="仿宋_GB2312" w:cs="仿宋_GB2312"/>
          <w:bCs/>
          <w:sz w:val="32"/>
          <w:szCs w:val="32"/>
          <w:lang w:val="zh-CN"/>
        </w:rPr>
        <w:t>元。</w:t>
      </w:r>
    </w:p>
    <w:p w14:paraId="19499372">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pacing w:val="0"/>
          <w:kern w:val="2"/>
          <w:sz w:val="32"/>
          <w:szCs w:val="32"/>
        </w:rPr>
      </w:pPr>
      <w:r>
        <w:rPr>
          <w:rFonts w:hint="eastAsia" w:ascii="仿宋_GB2312" w:hAnsi="仿宋_GB2312" w:eastAsia="仿宋_GB2312" w:cs="仿宋_GB2312"/>
          <w:bCs/>
          <w:sz w:val="32"/>
          <w:szCs w:val="32"/>
          <w:lang w:val="zh-CN"/>
        </w:rPr>
        <w:t>本合同以人民币进行结算，合同总价包括：</w:t>
      </w:r>
      <w:bookmarkStart w:id="682" w:name="_Toc7098_WPSOffice_Level1"/>
      <w:bookmarkStart w:id="683" w:name="_Toc22537_WPSOffice_Level1"/>
      <w:bookmarkStart w:id="684" w:name="_Toc20423_WPSOffice_Level1"/>
      <w:bookmarkStart w:id="685" w:name="_Toc6168_WPSOffice_Level1"/>
      <w:bookmarkStart w:id="686" w:name="_Toc28888_WPSOffice_Level1"/>
      <w:bookmarkStart w:id="687" w:name="_Toc23899_WPSOffice_Level1"/>
      <w:r>
        <w:rPr>
          <w:rFonts w:hint="eastAsia" w:ascii="仿宋_GB2312" w:hAnsi="仿宋_GB2312" w:eastAsia="仿宋_GB2312" w:cs="仿宋_GB2312"/>
          <w:bCs/>
          <w:spacing w:val="0"/>
          <w:kern w:val="2"/>
          <w:sz w:val="32"/>
          <w:szCs w:val="32"/>
        </w:rPr>
        <w:t>产品费、包装费、运输费、税金</w:t>
      </w:r>
      <w:r>
        <w:rPr>
          <w:rFonts w:hint="eastAsia" w:ascii="仿宋_GB2312" w:hAnsi="仿宋_GB2312" w:eastAsia="仿宋_GB2312" w:cs="仿宋_GB2312"/>
          <w:bCs/>
          <w:spacing w:val="0"/>
          <w:kern w:val="2"/>
          <w:sz w:val="32"/>
          <w:szCs w:val="32"/>
          <w:lang w:eastAsia="zh-CN"/>
        </w:rPr>
        <w:t>、</w:t>
      </w:r>
      <w:r>
        <w:rPr>
          <w:rFonts w:hint="eastAsia" w:ascii="仿宋_GB2312" w:hAnsi="仿宋_GB2312" w:eastAsia="仿宋_GB2312" w:cs="仿宋_GB2312"/>
          <w:bCs/>
          <w:spacing w:val="0"/>
          <w:kern w:val="2"/>
          <w:sz w:val="32"/>
          <w:szCs w:val="32"/>
        </w:rPr>
        <w:t>排版印刷费、装订费、及其他不可预见费等全部费用。</w:t>
      </w:r>
    </w:p>
    <w:p w14:paraId="31325700">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lang w:val="zh-CN"/>
        </w:rPr>
        <w:t>三、交付时间、地点和要求</w:t>
      </w:r>
      <w:bookmarkEnd w:id="682"/>
      <w:bookmarkEnd w:id="683"/>
      <w:bookmarkEnd w:id="684"/>
      <w:bookmarkEnd w:id="685"/>
      <w:bookmarkEnd w:id="686"/>
      <w:bookmarkEnd w:id="687"/>
    </w:p>
    <w:p w14:paraId="76D276B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rPr>
        <w:t>1.</w:t>
      </w:r>
      <w:r>
        <w:rPr>
          <w:rFonts w:hint="eastAsia" w:ascii="仿宋_GB2312" w:hAnsi="仿宋_GB2312" w:eastAsia="仿宋_GB2312" w:cs="仿宋_GB2312"/>
          <w:bCs/>
          <w:sz w:val="32"/>
          <w:szCs w:val="32"/>
          <w:lang w:val="zh-CN"/>
        </w:rPr>
        <w:t>交货时间：</w:t>
      </w:r>
      <w:r>
        <w:rPr>
          <w:rFonts w:hint="eastAsia" w:ascii="仿宋_GB2312" w:hAnsi="仿宋_GB2312" w:eastAsia="仿宋_GB2312" w:cs="仿宋_GB2312"/>
          <w:bCs/>
          <w:sz w:val="32"/>
          <w:szCs w:val="32"/>
          <w:u w:val="single"/>
          <w:lang w:val="zh-CN"/>
        </w:rPr>
        <w:t xml:space="preserve">                </w:t>
      </w:r>
      <w:r>
        <w:rPr>
          <w:rFonts w:hint="eastAsia" w:ascii="仿宋_GB2312" w:hAnsi="仿宋_GB2312" w:eastAsia="仿宋_GB2312" w:cs="仿宋_GB2312"/>
          <w:bCs/>
          <w:sz w:val="32"/>
          <w:szCs w:val="32"/>
          <w:u w:val="single"/>
          <w:lang w:val="en-US" w:eastAsia="zh-CN"/>
        </w:rPr>
        <w:t xml:space="preserve">                </w:t>
      </w:r>
      <w:r>
        <w:rPr>
          <w:rFonts w:hint="eastAsia" w:ascii="仿宋_GB2312" w:hAnsi="仿宋_GB2312" w:eastAsia="仿宋_GB2312" w:cs="仿宋_GB2312"/>
          <w:bCs/>
          <w:sz w:val="32"/>
          <w:szCs w:val="32"/>
          <w:lang w:val="zh-CN"/>
        </w:rPr>
        <w:t>；</w:t>
      </w:r>
    </w:p>
    <w:p w14:paraId="4BAB6CD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zh-CN"/>
        </w:rPr>
        <w:t>交货地点：</w:t>
      </w:r>
      <w:r>
        <w:rPr>
          <w:rFonts w:hint="eastAsia" w:ascii="仿宋_GB2312" w:hAnsi="仿宋_GB2312" w:eastAsia="仿宋_GB2312" w:cs="仿宋_GB2312"/>
          <w:bCs/>
          <w:sz w:val="32"/>
          <w:szCs w:val="32"/>
          <w:u w:val="single"/>
          <w:lang w:val="zh-CN"/>
        </w:rPr>
        <w:t xml:space="preserve">                </w:t>
      </w:r>
      <w:r>
        <w:rPr>
          <w:rFonts w:hint="eastAsia" w:ascii="仿宋_GB2312" w:hAnsi="仿宋_GB2312" w:eastAsia="仿宋_GB2312" w:cs="仿宋_GB2312"/>
          <w:bCs/>
          <w:sz w:val="32"/>
          <w:szCs w:val="32"/>
          <w:u w:val="single"/>
          <w:lang w:val="en-US" w:eastAsia="zh-CN"/>
        </w:rPr>
        <w:t xml:space="preserve">                </w:t>
      </w:r>
      <w:r>
        <w:rPr>
          <w:rFonts w:hint="eastAsia" w:ascii="仿宋_GB2312" w:hAnsi="仿宋_GB2312" w:eastAsia="仿宋_GB2312" w:cs="仿宋_GB2312"/>
          <w:bCs/>
          <w:sz w:val="32"/>
          <w:szCs w:val="32"/>
          <w:lang w:val="zh-CN"/>
        </w:rPr>
        <w:t xml:space="preserve"> 。</w:t>
      </w:r>
    </w:p>
    <w:p w14:paraId="3DAE6BF0">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w:t>
      </w:r>
      <w:r>
        <w:rPr>
          <w:rFonts w:hint="eastAsia" w:ascii="仿宋_GB2312" w:hAnsi="仿宋_GB2312" w:eastAsia="仿宋_GB2312" w:cs="仿宋_GB2312"/>
          <w:bCs/>
          <w:sz w:val="32"/>
          <w:szCs w:val="32"/>
          <w:lang w:val="zh-CN"/>
        </w:rPr>
        <w:t>乙方提供不符合谈判文件、谈判响应文件和本合同规定的产品，甲方有权拒绝接受。</w:t>
      </w:r>
    </w:p>
    <w:p w14:paraId="75D57C1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w:t>
      </w:r>
      <w:r>
        <w:rPr>
          <w:rFonts w:hint="eastAsia" w:ascii="仿宋_GB2312" w:hAnsi="仿宋_GB2312" w:eastAsia="仿宋_GB2312" w:cs="仿宋_GB2312"/>
          <w:bCs/>
          <w:sz w:val="32"/>
          <w:szCs w:val="32"/>
          <w:lang w:val="zh-CN"/>
        </w:rPr>
        <w:t>乙方应将提供产品的装箱清单、用户手册、资料、工具和备品、备件等交付给甲方，如有缺失应及时补齐，否则视为逾期交货。</w:t>
      </w:r>
    </w:p>
    <w:p w14:paraId="112EDFF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4. </w:t>
      </w:r>
      <w:r>
        <w:rPr>
          <w:rFonts w:hint="eastAsia" w:ascii="仿宋_GB2312" w:hAnsi="仿宋_GB2312" w:eastAsia="仿宋_GB2312" w:cs="仿宋_GB2312"/>
          <w:bCs/>
          <w:sz w:val="32"/>
          <w:szCs w:val="32"/>
          <w:lang w:val="zh-CN"/>
        </w:rPr>
        <w:t>甲方应当在到货（安装、调试完）后</w:t>
      </w:r>
      <w:r>
        <w:rPr>
          <w:rFonts w:hint="eastAsia" w:ascii="仿宋_GB2312" w:hAnsi="仿宋_GB2312" w:eastAsia="仿宋_GB2312" w:cs="仿宋_GB2312"/>
          <w:bCs/>
          <w:sz w:val="32"/>
          <w:szCs w:val="32"/>
          <w:u w:val="single"/>
          <w:lang w:val="zh-CN"/>
        </w:rPr>
        <w:t xml:space="preserve">    </w:t>
      </w:r>
      <w:r>
        <w:rPr>
          <w:rFonts w:hint="eastAsia" w:ascii="仿宋_GB2312" w:hAnsi="仿宋_GB2312" w:eastAsia="仿宋_GB2312" w:cs="仿宋_GB2312"/>
          <w:bCs/>
          <w:sz w:val="32"/>
          <w:szCs w:val="32"/>
          <w:lang w:val="zh-CN"/>
        </w:rPr>
        <w:t>个工作日内进行验收。验收合格后，由甲乙双方签署产品验收单并加盖采购人</w:t>
      </w:r>
      <w:r>
        <w:rPr>
          <w:rFonts w:hint="eastAsia" w:ascii="仿宋_GB2312" w:hAnsi="仿宋_GB2312" w:eastAsia="仿宋_GB2312" w:cs="仿宋_GB2312"/>
          <w:bCs/>
          <w:sz w:val="32"/>
          <w:szCs w:val="32"/>
          <w:highlight w:val="none"/>
          <w:lang w:val="zh-CN"/>
        </w:rPr>
        <w:t>公章</w:t>
      </w:r>
      <w:r>
        <w:rPr>
          <w:rFonts w:hint="eastAsia" w:ascii="仿宋_GB2312" w:hAnsi="仿宋_GB2312" w:eastAsia="仿宋_GB2312" w:cs="仿宋_GB2312"/>
          <w:bCs/>
          <w:sz w:val="32"/>
          <w:szCs w:val="32"/>
          <w:lang w:val="zh-CN"/>
        </w:rPr>
        <w:t>，甲乙双方各执一份。</w:t>
      </w:r>
    </w:p>
    <w:p w14:paraId="1B44EDC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5.</w:t>
      </w:r>
      <w:r>
        <w:rPr>
          <w:rFonts w:hint="eastAsia" w:ascii="仿宋_GB2312" w:hAnsi="仿宋_GB2312" w:eastAsia="仿宋_GB2312" w:cs="仿宋_GB2312"/>
          <w:bCs/>
          <w:sz w:val="32"/>
          <w:szCs w:val="32"/>
          <w:highlight w:val="none"/>
          <w:lang w:val="zh-CN"/>
        </w:rPr>
        <w:t xml:space="preserve"> 甲方应提供该项目验收报告交同级财政监管部门，由财政部门按规定程序抽验后办理资金拨付。</w:t>
      </w:r>
    </w:p>
    <w:p w14:paraId="45C3283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6.</w:t>
      </w:r>
      <w:r>
        <w:rPr>
          <w:rFonts w:hint="eastAsia" w:ascii="仿宋_GB2312" w:hAnsi="仿宋_GB2312" w:eastAsia="仿宋_GB2312" w:cs="仿宋_GB2312"/>
          <w:bCs/>
          <w:sz w:val="32"/>
          <w:szCs w:val="32"/>
          <w:highlight w:val="none"/>
          <w:lang w:val="zh-CN"/>
        </w:rPr>
        <w:t xml:space="preserve"> 甲方在履行合同过程中发现乙方有违约问题，可按谈判文件、谈判响应文件的规定要求乙方及时予以解决。</w:t>
      </w:r>
    </w:p>
    <w:p w14:paraId="7B7B45F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7.</w:t>
      </w:r>
      <w:r>
        <w:rPr>
          <w:rFonts w:hint="eastAsia" w:ascii="仿宋_GB2312" w:hAnsi="仿宋_GB2312" w:eastAsia="仿宋_GB2312" w:cs="仿宋_GB2312"/>
          <w:bCs/>
          <w:sz w:val="32"/>
          <w:szCs w:val="32"/>
          <w:highlight w:val="none"/>
          <w:lang w:val="zh-CN"/>
        </w:rPr>
        <w:t>乙方向甲方提供产品相关完税销售发票。</w:t>
      </w:r>
    </w:p>
    <w:p w14:paraId="57D5BC0A">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bookmarkStart w:id="688" w:name="_Toc29015_WPSOffice_Level1"/>
      <w:bookmarkStart w:id="689" w:name="_Toc2306_WPSOffice_Level1"/>
      <w:bookmarkStart w:id="690" w:name="_Toc5771_WPSOffice_Level1"/>
      <w:bookmarkStart w:id="691" w:name="_Toc23122_WPSOffice_Level1"/>
      <w:bookmarkStart w:id="692" w:name="_Toc32406_WPSOffice_Level1"/>
      <w:bookmarkStart w:id="693" w:name="_Toc19609_WPSOffice_Level1"/>
      <w:bookmarkStart w:id="694" w:name="_Toc4233_WPSOffice_Level1"/>
      <w:bookmarkStart w:id="695" w:name="_Toc1156_WPSOffice_Level1"/>
      <w:bookmarkStart w:id="696" w:name="_Toc8581_WPSOffice_Level1"/>
      <w:bookmarkStart w:id="697" w:name="_Toc26468_WPSOffice_Level1"/>
      <w:bookmarkStart w:id="698" w:name="_Toc4945_WPSOffice_Level1"/>
      <w:bookmarkStart w:id="699" w:name="_Toc9071_WPSOffice_Level1"/>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四、付款方式</w:t>
      </w:r>
      <w:bookmarkEnd w:id="688"/>
      <w:bookmarkEnd w:id="689"/>
      <w:bookmarkEnd w:id="690"/>
      <w:bookmarkEnd w:id="691"/>
      <w:bookmarkEnd w:id="692"/>
      <w:bookmarkEnd w:id="693"/>
    </w:p>
    <w:p w14:paraId="454CCCB7">
      <w:pPr>
        <w:widowControl w:val="0"/>
        <w:wordWrap/>
        <w:adjustRightInd w:val="0"/>
        <w:snapToGrid w:val="0"/>
        <w:spacing w:line="560" w:lineRule="exact"/>
        <w:ind w:firstLine="640" w:firstLineChars="200"/>
        <w:textAlignment w:val="auto"/>
        <w:outlineLvl w:val="9"/>
        <w:rPr>
          <w:rFonts w:hint="eastAsia" w:ascii="宋体" w:hAnsi="宋体" w:eastAsia="宋体" w:cs="宋体"/>
          <w:b/>
          <w:bCs/>
          <w:color w:val="000000" w:themeColor="text1"/>
          <w:kern w:val="0"/>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1.甲、乙双方签订合同前，乙方向甲方支付合同价款3%的履约保证金，即人民币（小写）：</w:t>
      </w:r>
      <w:r>
        <w:rPr>
          <w:rFonts w:hint="eastAsia" w:ascii="仿宋_GB2312" w:hAnsi="仿宋_GB2312" w:eastAsia="仿宋_GB2312" w:cs="仿宋_GB2312"/>
          <w:bCs/>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元，（大写）</w:t>
      </w:r>
      <w:r>
        <w:rPr>
          <w:rFonts w:hint="eastAsia" w:ascii="仿宋_GB2312" w:hAnsi="仿宋_GB2312" w:eastAsia="仿宋_GB2312" w:cs="仿宋_GB2312"/>
          <w:bCs/>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元 。</w:t>
      </w:r>
    </w:p>
    <w:p w14:paraId="0ABF47C4">
      <w:pPr>
        <w:widowControl w:val="0"/>
        <w:wordWrap/>
        <w:adjustRightInd w:val="0"/>
        <w:snapToGrid w:val="0"/>
        <w:spacing w:line="560" w:lineRule="exact"/>
        <w:ind w:firstLine="640" w:firstLineChars="200"/>
        <w:textAlignment w:val="auto"/>
        <w:outlineLvl w:val="9"/>
        <w:rPr>
          <w:rFonts w:ascii="宋体" w:hAnsi="宋体" w:eastAsia="宋体" w:cs="宋体"/>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2.甲、乙双方签订合同后，甲方向乙方支付合同价款30%的预付款；即人民币（小写）：</w:t>
      </w:r>
      <w:r>
        <w:rPr>
          <w:rFonts w:hint="eastAsia" w:ascii="仿宋_GB2312" w:hAnsi="仿宋_GB2312" w:eastAsia="仿宋_GB2312" w:cs="仿宋_GB2312"/>
          <w:bCs/>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元，（大写）</w:t>
      </w:r>
      <w:r>
        <w:rPr>
          <w:rFonts w:hint="eastAsia" w:ascii="仿宋_GB2312" w:hAnsi="仿宋_GB2312" w:eastAsia="仿宋_GB2312" w:cs="仿宋_GB2312"/>
          <w:bCs/>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。待所有货物到达交货地点，经甲方签收后，甲方向乙方支付合同价款的40%，即人民币（小写）</w:t>
      </w:r>
      <w:r>
        <w:rPr>
          <w:rFonts w:hint="eastAsia" w:ascii="仿宋_GB2312" w:hAnsi="仿宋_GB2312" w:eastAsia="仿宋_GB2312" w:cs="仿宋_GB2312"/>
          <w:bCs/>
          <w:color w:val="000000" w:themeColor="text1"/>
          <w:sz w:val="32"/>
          <w:szCs w:val="32"/>
          <w:highlight w:val="none"/>
          <w:u w:val="none"/>
          <w:lang w:val="en-US" w:eastAsia="zh-CN"/>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 xml:space="preserve"> 元，（大写</w:t>
      </w:r>
      <w:r>
        <w:rPr>
          <w:rFonts w:hint="eastAsia" w:ascii="仿宋_GB2312" w:hAnsi="仿宋_GB2312" w:eastAsia="仿宋_GB2312" w:cs="仿宋_GB2312"/>
          <w:bCs/>
          <w:color w:val="000000" w:themeColor="text1"/>
          <w:sz w:val="32"/>
          <w:szCs w:val="32"/>
          <w:highlight w:val="none"/>
          <w:u w:val="none"/>
          <w:lang w:val="en-US" w:eastAsia="zh-CN"/>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。乙方待所有货物安装、调试、试运行、培训，并由甲方验收合格后 ，甲方向乙方支付合同总价款的30%，即人民币（小写）：</w:t>
      </w:r>
      <w:r>
        <w:rPr>
          <w:rFonts w:hint="eastAsia" w:ascii="仿宋_GB2312" w:hAnsi="仿宋_GB2312" w:eastAsia="仿宋_GB2312" w:cs="仿宋_GB2312"/>
          <w:bCs/>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元，（大写）</w:t>
      </w:r>
      <w:r>
        <w:rPr>
          <w:rFonts w:hint="eastAsia" w:ascii="仿宋_GB2312" w:hAnsi="仿宋_GB2312" w:eastAsia="仿宋_GB2312" w:cs="仿宋_GB2312"/>
          <w:bCs/>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元 。待项目履约完成后，3%的履约保证金自动转为质量保证金 ，质量保证金自项目验收之日起满一年且产品无质量问题后甲方向乙方一次性全额无息返还。</w:t>
      </w:r>
    </w:p>
    <w:p w14:paraId="022A6AA0">
      <w:pPr>
        <w:widowControl w:val="0"/>
        <w:wordWrap/>
        <w:adjustRightInd w:val="0"/>
        <w:snapToGrid w:val="0"/>
        <w:spacing w:line="560" w:lineRule="exact"/>
        <w:textAlignment w:val="auto"/>
        <w:outlineLvl w:val="9"/>
        <w:rPr>
          <w:rFonts w:hint="eastAsia" w:ascii="仿宋_GB2312" w:hAnsi="仿宋_GB2312" w:eastAsia="仿宋_GB2312" w:cs="仿宋_GB2312"/>
          <w:bCs/>
          <w:sz w:val="32"/>
          <w:szCs w:val="32"/>
          <w:highlight w:val="none"/>
          <w:lang w:val="zh-CN"/>
        </w:rPr>
      </w:pPr>
      <w:r>
        <w:rPr>
          <w:rFonts w:hint="eastAsia" w:eastAsia="宋体"/>
          <w:highlight w:val="none"/>
          <w:lang w:val="en-US" w:eastAsia="zh-CN"/>
        </w:rPr>
        <w:t xml:space="preserve">    </w:t>
      </w:r>
      <w:r>
        <w:rPr>
          <w:rFonts w:hint="eastAsia" w:ascii="仿宋_GB2312" w:hAnsi="仿宋_GB2312" w:eastAsia="仿宋_GB2312" w:cs="仿宋_GB2312"/>
          <w:bCs/>
          <w:sz w:val="32"/>
          <w:szCs w:val="32"/>
          <w:highlight w:val="none"/>
          <w:lang w:val="zh-CN"/>
        </w:rPr>
        <w:t>五、合同的变更、终止与转让</w:t>
      </w:r>
      <w:bookmarkEnd w:id="694"/>
      <w:bookmarkEnd w:id="695"/>
      <w:bookmarkEnd w:id="696"/>
      <w:bookmarkEnd w:id="697"/>
      <w:bookmarkEnd w:id="698"/>
      <w:bookmarkEnd w:id="699"/>
    </w:p>
    <w:p w14:paraId="799B118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w:t>
      </w:r>
      <w:r>
        <w:rPr>
          <w:rFonts w:hint="eastAsia" w:ascii="仿宋_GB2312" w:hAnsi="仿宋_GB2312" w:eastAsia="仿宋_GB2312" w:cs="仿宋_GB2312"/>
          <w:bCs/>
          <w:sz w:val="32"/>
          <w:szCs w:val="32"/>
          <w:highlight w:val="none"/>
          <w:lang w:val="zh-CN"/>
        </w:rPr>
        <w:t>除《中华人民共和国政府采购法》第</w:t>
      </w:r>
      <w:r>
        <w:rPr>
          <w:rFonts w:hint="eastAsia" w:ascii="仿宋_GB2312" w:hAnsi="仿宋_GB2312" w:eastAsia="仿宋_GB2312" w:cs="仿宋_GB2312"/>
          <w:bCs/>
          <w:sz w:val="32"/>
          <w:szCs w:val="32"/>
          <w:highlight w:val="none"/>
        </w:rPr>
        <w:t>50</w:t>
      </w:r>
      <w:r>
        <w:rPr>
          <w:rFonts w:hint="eastAsia" w:ascii="仿宋_GB2312" w:hAnsi="仿宋_GB2312" w:eastAsia="仿宋_GB2312" w:cs="仿宋_GB2312"/>
          <w:bCs/>
          <w:sz w:val="32"/>
          <w:szCs w:val="32"/>
          <w:highlight w:val="none"/>
          <w:lang w:val="zh-CN"/>
        </w:rPr>
        <w:t>条规定的情形外，本合同一经签订，甲乙双方不得擅自变更、中止或终止。</w:t>
      </w:r>
    </w:p>
    <w:p w14:paraId="1872A78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w:t>
      </w:r>
      <w:r>
        <w:rPr>
          <w:rFonts w:hint="eastAsia" w:ascii="仿宋_GB2312" w:hAnsi="仿宋_GB2312" w:eastAsia="仿宋_GB2312" w:cs="仿宋_GB2312"/>
          <w:bCs/>
          <w:sz w:val="32"/>
          <w:szCs w:val="32"/>
          <w:highlight w:val="none"/>
          <w:lang w:val="zh-CN"/>
        </w:rPr>
        <w:t>乙方不得擅自转让其应履行的合同义务。</w:t>
      </w:r>
    </w:p>
    <w:p w14:paraId="095429D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highlight w:val="none"/>
          <w:lang w:val="zh-CN"/>
        </w:rPr>
      </w:pPr>
      <w:bookmarkStart w:id="700" w:name="_Toc29941_WPSOffice_Level1"/>
      <w:bookmarkStart w:id="701" w:name="_Toc27090_WPSOffice_Level1"/>
      <w:bookmarkStart w:id="702" w:name="_Toc20231_WPSOffice_Level1"/>
      <w:bookmarkStart w:id="703" w:name="_Toc14930_WPSOffice_Level1"/>
      <w:bookmarkStart w:id="704" w:name="_Toc21200_WPSOffice_Level1"/>
      <w:bookmarkStart w:id="705" w:name="_Toc2669_WPSOffice_Level1"/>
      <w:r>
        <w:rPr>
          <w:rFonts w:hint="eastAsia" w:ascii="仿宋_GB2312" w:hAnsi="仿宋_GB2312" w:eastAsia="仿宋_GB2312" w:cs="仿宋_GB2312"/>
          <w:bCs/>
          <w:sz w:val="32"/>
          <w:szCs w:val="32"/>
          <w:highlight w:val="none"/>
          <w:lang w:val="zh-CN"/>
        </w:rPr>
        <w:t>六、违约责任</w:t>
      </w:r>
      <w:bookmarkEnd w:id="700"/>
      <w:bookmarkEnd w:id="701"/>
      <w:bookmarkEnd w:id="702"/>
      <w:bookmarkEnd w:id="703"/>
      <w:bookmarkEnd w:id="704"/>
      <w:bookmarkEnd w:id="705"/>
    </w:p>
    <w:p w14:paraId="1C525C6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rPr>
        <w:t>1.</w:t>
      </w:r>
      <w:r>
        <w:rPr>
          <w:rFonts w:hint="eastAsia" w:ascii="仿宋_GB2312" w:hAnsi="仿宋_GB2312" w:eastAsia="仿宋_GB2312" w:cs="仿宋_GB2312"/>
          <w:bCs/>
          <w:sz w:val="32"/>
          <w:szCs w:val="32"/>
          <w:lang w:val="zh-CN"/>
        </w:rPr>
        <w:t>乙方所提供的产品规格、技术标准、材料等质量不合格的，应及时更换；更换不及时的，按逾期交货承担违约责任；</w:t>
      </w:r>
      <w:r>
        <w:rPr>
          <w:rFonts w:hint="eastAsia" w:ascii="仿宋_GB2312" w:hAnsi="仿宋_GB2312" w:eastAsia="仿宋_GB2312" w:cs="仿宋_GB2312"/>
          <w:bCs/>
          <w:sz w:val="32"/>
          <w:szCs w:val="32"/>
          <w:highlight w:val="none"/>
          <w:lang w:val="zh-CN"/>
        </w:rPr>
        <w:t>因质量问题甲方不同意接收的，甲方有权扣除质保金（或履约保证金），并由乙方赔偿由此引起的甲方的一切经济损失。</w:t>
      </w:r>
    </w:p>
    <w:p w14:paraId="0843A7DA">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w:t>
      </w:r>
      <w:r>
        <w:rPr>
          <w:rFonts w:hint="eastAsia" w:ascii="仿宋_GB2312" w:hAnsi="仿宋_GB2312" w:eastAsia="仿宋_GB2312" w:cs="仿宋_GB2312"/>
          <w:bCs/>
          <w:sz w:val="32"/>
          <w:szCs w:val="32"/>
          <w:lang w:val="zh-CN"/>
        </w:rPr>
        <w:t>乙方提供的货物如侵犯了第三方权益而引发纠纷或诉讼的，均由乙方负责交涉并承担全部责任。</w:t>
      </w:r>
    </w:p>
    <w:p w14:paraId="50E202E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w:t>
      </w:r>
      <w:r>
        <w:rPr>
          <w:rFonts w:hint="eastAsia" w:ascii="仿宋_GB2312" w:hAnsi="仿宋_GB2312" w:eastAsia="仿宋_GB2312" w:cs="仿宋_GB2312"/>
          <w:bCs/>
          <w:sz w:val="32"/>
          <w:szCs w:val="32"/>
          <w:lang w:val="zh-CN"/>
        </w:rPr>
        <w:t>因包装、运输引起的货物损坏，甲方有权拒收。</w:t>
      </w:r>
    </w:p>
    <w:p w14:paraId="7E09EAC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w:t>
      </w:r>
      <w:r>
        <w:rPr>
          <w:rFonts w:hint="eastAsia" w:ascii="仿宋_GB2312" w:hAnsi="仿宋_GB2312" w:eastAsia="仿宋_GB2312" w:cs="仿宋_GB2312"/>
          <w:bCs/>
          <w:sz w:val="32"/>
          <w:szCs w:val="32"/>
          <w:lang w:val="zh-CN"/>
        </w:rPr>
        <w:t>甲方无故延期接受货物和乙方逾期交货的，每天应向对方偿付未交货物的货款</w:t>
      </w:r>
      <w:r>
        <w:rPr>
          <w:rFonts w:hint="eastAsia" w:ascii="仿宋_GB2312" w:hAnsi="仿宋_GB2312" w:eastAsia="仿宋_GB2312" w:cs="仿宋_GB2312"/>
          <w:bCs/>
          <w:sz w:val="32"/>
          <w:szCs w:val="32"/>
          <w:u w:val="single"/>
          <w:lang w:val="en-US" w:eastAsia="zh-CN"/>
        </w:rPr>
        <w:t xml:space="preserve">       </w:t>
      </w:r>
      <w:r>
        <w:rPr>
          <w:rFonts w:hint="eastAsia" w:ascii="仿宋_GB2312" w:hAnsi="仿宋_GB2312" w:eastAsia="仿宋_GB2312" w:cs="仿宋_GB2312"/>
          <w:bCs/>
          <w:sz w:val="32"/>
          <w:szCs w:val="32"/>
          <w:lang w:val="zh-CN"/>
        </w:rPr>
        <w:t>的违约金，但违约金累计不得超过违约货款的</w:t>
      </w:r>
      <w:r>
        <w:rPr>
          <w:rFonts w:hint="eastAsia" w:ascii="仿宋_GB2312" w:hAnsi="仿宋_GB2312" w:eastAsia="仿宋_GB2312" w:cs="仿宋_GB2312"/>
          <w:bCs/>
          <w:sz w:val="32"/>
          <w:szCs w:val="32"/>
        </w:rPr>
        <w:t>5%</w:t>
      </w:r>
      <w:r>
        <w:rPr>
          <w:rFonts w:hint="eastAsia" w:ascii="仿宋_GB2312" w:hAnsi="仿宋_GB2312" w:eastAsia="仿宋_GB2312" w:cs="仿宋_GB2312"/>
          <w:bCs/>
          <w:sz w:val="32"/>
          <w:szCs w:val="32"/>
          <w:lang w:val="zh-CN"/>
        </w:rPr>
        <w:t>，超过</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lang w:val="zh-CN"/>
        </w:rPr>
        <w:t>天对方有权解除合同，违约方承担因此给对方造成的经济损失</w:t>
      </w:r>
      <w:r>
        <w:rPr>
          <w:rFonts w:hint="eastAsia" w:ascii="仿宋_GB2312" w:hAnsi="仿宋_GB2312" w:eastAsia="仿宋_GB2312" w:cs="仿宋_GB2312"/>
          <w:bCs/>
          <w:sz w:val="32"/>
          <w:szCs w:val="32"/>
        </w:rPr>
        <w:t xml:space="preserve"> </w:t>
      </w:r>
      <w:r>
        <w:rPr>
          <w:rFonts w:hint="eastAsia" w:ascii="仿宋_GB2312" w:hAnsi="仿宋_GB2312" w:eastAsia="仿宋_GB2312" w:cs="仿宋_GB2312"/>
          <w:bCs/>
          <w:sz w:val="32"/>
          <w:szCs w:val="32"/>
          <w:lang w:val="zh-CN"/>
        </w:rPr>
        <w:t>。</w:t>
      </w:r>
    </w:p>
    <w:p w14:paraId="21AFAC9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w:t>
      </w:r>
      <w:r>
        <w:rPr>
          <w:rFonts w:hint="eastAsia" w:ascii="仿宋_GB2312" w:hAnsi="仿宋_GB2312" w:eastAsia="仿宋_GB2312" w:cs="仿宋_GB2312"/>
          <w:bCs/>
          <w:sz w:val="32"/>
          <w:szCs w:val="32"/>
          <w:lang w:val="zh-CN"/>
        </w:rPr>
        <w:t>乙方未按本合同和响应文件中规定的服务承诺提供售后服务的，乙方应按本合同合计金额的</w:t>
      </w:r>
      <w:r>
        <w:rPr>
          <w:rFonts w:hint="eastAsia" w:ascii="仿宋_GB2312" w:hAnsi="仿宋_GB2312" w:eastAsia="仿宋_GB2312" w:cs="仿宋_GB2312"/>
          <w:bCs/>
          <w:sz w:val="32"/>
          <w:szCs w:val="32"/>
        </w:rPr>
        <w:t>5%</w:t>
      </w:r>
      <w:r>
        <w:rPr>
          <w:rFonts w:hint="eastAsia" w:ascii="仿宋_GB2312" w:hAnsi="仿宋_GB2312" w:eastAsia="仿宋_GB2312" w:cs="仿宋_GB2312"/>
          <w:bCs/>
          <w:sz w:val="32"/>
          <w:szCs w:val="32"/>
          <w:lang w:val="zh-CN"/>
        </w:rPr>
        <w:t>向甲方支付违约金。</w:t>
      </w:r>
    </w:p>
    <w:p w14:paraId="746F934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6.</w:t>
      </w:r>
      <w:r>
        <w:rPr>
          <w:rFonts w:hint="eastAsia" w:ascii="仿宋_GB2312" w:hAnsi="仿宋_GB2312" w:eastAsia="仿宋_GB2312" w:cs="仿宋_GB2312"/>
          <w:bCs/>
          <w:sz w:val="32"/>
          <w:szCs w:val="32"/>
          <w:lang w:val="zh-CN"/>
        </w:rPr>
        <w:t>乙方提供的货物在质量保证期内，因设计、工艺或材料的缺陷和其它质量原因造成的问题，由乙方负责，费用从</w:t>
      </w:r>
      <w:r>
        <w:rPr>
          <w:rFonts w:hint="eastAsia" w:ascii="仿宋_GB2312" w:hAnsi="仿宋_GB2312" w:eastAsia="仿宋_GB2312" w:cs="仿宋_GB2312"/>
          <w:bCs/>
          <w:sz w:val="32"/>
          <w:szCs w:val="32"/>
          <w:highlight w:val="none"/>
          <w:lang w:val="zh-CN"/>
        </w:rPr>
        <w:t>质量保证金</w:t>
      </w:r>
      <w:r>
        <w:rPr>
          <w:rFonts w:hint="eastAsia" w:ascii="仿宋_GB2312" w:hAnsi="仿宋_GB2312" w:eastAsia="仿宋_GB2312" w:cs="仿宋_GB2312"/>
          <w:bCs/>
          <w:sz w:val="32"/>
          <w:szCs w:val="32"/>
          <w:lang w:val="zh-CN"/>
        </w:rPr>
        <w:t>中扣除，不足另补。</w:t>
      </w:r>
    </w:p>
    <w:p w14:paraId="5CC43DB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7.</w:t>
      </w:r>
      <w:r>
        <w:rPr>
          <w:rFonts w:hint="eastAsia" w:ascii="仿宋_GB2312" w:hAnsi="仿宋_GB2312" w:eastAsia="仿宋_GB2312" w:cs="仿宋_GB2312"/>
          <w:bCs/>
          <w:sz w:val="32"/>
          <w:szCs w:val="32"/>
          <w:lang w:val="zh-CN"/>
        </w:rPr>
        <w:t>其它违约行为按违约货款额</w:t>
      </w:r>
      <w:r>
        <w:rPr>
          <w:rFonts w:hint="eastAsia" w:ascii="仿宋_GB2312" w:hAnsi="仿宋_GB2312" w:eastAsia="仿宋_GB2312" w:cs="仿宋_GB2312"/>
          <w:bCs/>
          <w:sz w:val="32"/>
          <w:szCs w:val="32"/>
        </w:rPr>
        <w:t>5%</w:t>
      </w:r>
      <w:r>
        <w:rPr>
          <w:rFonts w:hint="eastAsia" w:ascii="仿宋_GB2312" w:hAnsi="仿宋_GB2312" w:eastAsia="仿宋_GB2312" w:cs="仿宋_GB2312"/>
          <w:bCs/>
          <w:sz w:val="32"/>
          <w:szCs w:val="32"/>
          <w:lang w:val="zh-CN"/>
        </w:rPr>
        <w:t>收取违约金并赔偿经济损失。</w:t>
      </w:r>
    </w:p>
    <w:p w14:paraId="50C14E2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bookmarkStart w:id="706" w:name="_Toc2639_WPSOffice_Level1"/>
      <w:bookmarkStart w:id="707" w:name="_Toc13664_WPSOffice_Level1"/>
      <w:bookmarkStart w:id="708" w:name="_Toc31682_WPSOffice_Level1"/>
      <w:bookmarkStart w:id="709" w:name="_Toc4924_WPSOffice_Level1"/>
      <w:bookmarkStart w:id="710" w:name="_Toc29473_WPSOffice_Level1"/>
      <w:bookmarkStart w:id="711" w:name="_Toc2021_WPSOffice_Level1"/>
      <w:r>
        <w:rPr>
          <w:rFonts w:hint="eastAsia" w:ascii="仿宋_GB2312" w:hAnsi="仿宋_GB2312" w:eastAsia="仿宋_GB2312" w:cs="仿宋_GB2312"/>
          <w:bCs/>
          <w:sz w:val="32"/>
          <w:szCs w:val="32"/>
          <w:lang w:val="zh-CN"/>
        </w:rPr>
        <w:t>七、不可抗力</w:t>
      </w:r>
      <w:bookmarkEnd w:id="706"/>
      <w:bookmarkEnd w:id="707"/>
      <w:bookmarkEnd w:id="708"/>
      <w:bookmarkEnd w:id="709"/>
      <w:bookmarkEnd w:id="710"/>
      <w:bookmarkEnd w:id="711"/>
    </w:p>
    <w:p w14:paraId="657A812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bCs/>
          <w:sz w:val="32"/>
          <w:szCs w:val="32"/>
          <w:lang w:val="zh-CN"/>
        </w:rPr>
        <w:t>不可抗力使合同的某些内容有变更必要的，双方应通过协商在</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lang w:val="zh-CN"/>
        </w:rPr>
        <w:t>天内达成进一步履行合同的协议，因不可抗力致使合同不能履行的，合同终止。</w:t>
      </w:r>
    </w:p>
    <w:p w14:paraId="5AFD308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w:t>
      </w:r>
      <w:r>
        <w:rPr>
          <w:rFonts w:hint="eastAsia" w:ascii="仿宋_GB2312" w:hAnsi="仿宋_GB2312" w:eastAsia="仿宋_GB2312" w:cs="仿宋_GB2312"/>
          <w:bCs/>
          <w:sz w:val="32"/>
          <w:szCs w:val="32"/>
          <w:lang w:val="zh-CN"/>
        </w:rPr>
        <w:t>除法律、法规规定的不可抗力情形外，双方约定出现</w:t>
      </w:r>
      <w:r>
        <w:rPr>
          <w:rFonts w:hint="eastAsia" w:ascii="仿宋_GB2312" w:hAnsi="仿宋_GB2312" w:eastAsia="仿宋_GB2312" w:cs="仿宋_GB2312"/>
          <w:bCs/>
          <w:sz w:val="32"/>
          <w:szCs w:val="32"/>
        </w:rPr>
        <w:t xml:space="preserve">    </w:t>
      </w:r>
      <w:r>
        <w:rPr>
          <w:rFonts w:hint="eastAsia" w:ascii="仿宋_GB2312" w:hAnsi="仿宋_GB2312" w:eastAsia="仿宋_GB2312" w:cs="仿宋_GB2312"/>
          <w:bCs/>
          <w:sz w:val="32"/>
          <w:szCs w:val="32"/>
          <w:lang w:val="zh-CN"/>
        </w:rPr>
        <w:t>情况亦视为不可抗力。</w:t>
      </w:r>
    </w:p>
    <w:p w14:paraId="15E2084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bookmarkStart w:id="712" w:name="_Toc23622_WPSOffice_Level1"/>
      <w:bookmarkStart w:id="713" w:name="_Toc26412_WPSOffice_Level1"/>
      <w:bookmarkStart w:id="714" w:name="_Toc18318_WPSOffice_Level1"/>
      <w:bookmarkStart w:id="715" w:name="_Toc10383_WPSOffice_Level1"/>
      <w:bookmarkStart w:id="716" w:name="_Toc3848_WPSOffice_Level1"/>
      <w:bookmarkStart w:id="717" w:name="_Toc19414_WPSOffice_Level1"/>
      <w:r>
        <w:rPr>
          <w:rFonts w:hint="eastAsia" w:ascii="仿宋_GB2312" w:hAnsi="仿宋_GB2312" w:eastAsia="仿宋_GB2312" w:cs="仿宋_GB2312"/>
          <w:bCs/>
          <w:sz w:val="32"/>
          <w:szCs w:val="32"/>
          <w:lang w:val="zh-CN"/>
        </w:rPr>
        <w:t>八、知识产权：</w:t>
      </w:r>
      <w:bookmarkEnd w:id="712"/>
      <w:bookmarkEnd w:id="713"/>
      <w:bookmarkEnd w:id="714"/>
      <w:bookmarkEnd w:id="715"/>
      <w:bookmarkEnd w:id="716"/>
      <w:bookmarkEnd w:id="717"/>
    </w:p>
    <w:p w14:paraId="33B425DA">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bookmarkStart w:id="718" w:name="_Toc19632_WPSOffice_Level1"/>
      <w:bookmarkStart w:id="719" w:name="_Toc10217_WPSOffice_Level1"/>
      <w:bookmarkStart w:id="720" w:name="_Toc20210_WPSOffice_Level1"/>
      <w:bookmarkStart w:id="721" w:name="_Toc2260_WPSOffice_Level1"/>
      <w:bookmarkStart w:id="722" w:name="_Toc13231_WPSOffice_Level1"/>
      <w:bookmarkStart w:id="723" w:name="_Toc19749_WPSOffice_Level1"/>
      <w:r>
        <w:rPr>
          <w:rFonts w:hint="eastAsia" w:ascii="仿宋_GB2312" w:hAnsi="仿宋_GB2312" w:eastAsia="仿宋_GB2312" w:cs="仿宋_GB2312"/>
          <w:bCs/>
          <w:sz w:val="32"/>
          <w:szCs w:val="32"/>
          <w:lang w:val="zh-CN"/>
        </w:rPr>
        <w:t>九、其他约定：</w:t>
      </w:r>
      <w:bookmarkEnd w:id="718"/>
      <w:bookmarkEnd w:id="719"/>
      <w:bookmarkEnd w:id="720"/>
      <w:bookmarkEnd w:id="721"/>
      <w:bookmarkEnd w:id="722"/>
      <w:bookmarkEnd w:id="723"/>
    </w:p>
    <w:p w14:paraId="35D359B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val="zh-CN"/>
        </w:rPr>
      </w:pPr>
      <w:bookmarkStart w:id="724" w:name="_Toc18552_WPSOffice_Level1"/>
      <w:bookmarkStart w:id="725" w:name="_Toc23823_WPSOffice_Level1"/>
      <w:bookmarkStart w:id="726" w:name="_Toc20133_WPSOffice_Level1"/>
      <w:bookmarkStart w:id="727" w:name="_Toc6985_WPSOffice_Level1"/>
      <w:bookmarkStart w:id="728" w:name="_Toc2032_WPSOffice_Level1"/>
      <w:bookmarkStart w:id="729" w:name="_Toc19521_WPSOffice_Level1"/>
      <w:r>
        <w:rPr>
          <w:rFonts w:hint="eastAsia" w:ascii="仿宋_GB2312" w:hAnsi="仿宋_GB2312" w:eastAsia="仿宋_GB2312" w:cs="仿宋_GB2312"/>
          <w:bCs/>
          <w:sz w:val="32"/>
          <w:szCs w:val="32"/>
          <w:lang w:val="zh-CN"/>
        </w:rPr>
        <w:t>十、合同争议解决</w:t>
      </w:r>
      <w:bookmarkEnd w:id="724"/>
      <w:bookmarkEnd w:id="725"/>
      <w:bookmarkEnd w:id="726"/>
      <w:bookmarkEnd w:id="727"/>
      <w:bookmarkEnd w:id="728"/>
      <w:bookmarkEnd w:id="729"/>
    </w:p>
    <w:p w14:paraId="1FBB12C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bCs/>
          <w:sz w:val="32"/>
          <w:szCs w:val="32"/>
          <w:lang w:val="zh-CN"/>
        </w:rPr>
        <w:t>因产品质量问题发生争议的，应邀请国家认可的质量检测机构进行鉴定。产品符合标准的，鉴定费由甲方承担；产品不符合标准的，鉴定费由乙方承担。</w:t>
      </w:r>
    </w:p>
    <w:p w14:paraId="509F1F91">
      <w:pPr>
        <w:wordWrap/>
        <w:topLinePunct w:val="0"/>
        <w:ind w:firstLine="600"/>
        <w:rPr>
          <w:rFonts w:ascii="仿宋_GB2312" w:eastAsia="仿宋_GB2312"/>
          <w:sz w:val="30"/>
          <w:szCs w:val="30"/>
        </w:rPr>
      </w:pPr>
      <w:r>
        <w:rPr>
          <w:rFonts w:hint="eastAsia" w:ascii="仿宋_GB2312" w:hAnsi="仿宋_GB2312" w:eastAsia="仿宋_GB2312" w:cs="仿宋_GB2312"/>
          <w:bCs/>
          <w:sz w:val="32"/>
          <w:szCs w:val="32"/>
        </w:rPr>
        <w:t>2.</w:t>
      </w:r>
      <w:r>
        <w:rPr>
          <w:rFonts w:hint="eastAsia" w:ascii="仿宋_GB2312" w:hAnsi="仿宋_GB2312" w:eastAsia="仿宋_GB2312" w:cs="仿宋_GB2312"/>
          <w:bCs/>
          <w:sz w:val="32"/>
          <w:szCs w:val="32"/>
          <w:lang w:val="zh-CN"/>
        </w:rPr>
        <w:t>因履行本合同引起的或与本合同有关的争议，甲乙双方应首先通过友好协商解决，如果协商不能解决，可</w:t>
      </w:r>
      <w:r>
        <w:rPr>
          <w:rFonts w:hint="eastAsia" w:ascii="仿宋_GB2312" w:eastAsia="仿宋_GB2312"/>
          <w:sz w:val="30"/>
          <w:szCs w:val="30"/>
        </w:rPr>
        <w:t>按下列第</w:t>
      </w:r>
      <w:r>
        <w:rPr>
          <w:rFonts w:ascii="仿宋_GB2312" w:eastAsia="仿宋_GB2312"/>
          <w:sz w:val="30"/>
          <w:szCs w:val="30"/>
          <w:u w:val="single"/>
        </w:rPr>
        <w:t xml:space="preserve">    </w:t>
      </w:r>
      <w:r>
        <w:rPr>
          <w:rFonts w:ascii="仿宋_GB2312" w:eastAsia="仿宋_GB2312"/>
          <w:sz w:val="30"/>
          <w:szCs w:val="30"/>
        </w:rPr>
        <w:t>种方式解决：</w:t>
      </w:r>
    </w:p>
    <w:p w14:paraId="00A407F3">
      <w:pPr>
        <w:wordWrap/>
        <w:topLinePunct w:val="0"/>
        <w:ind w:firstLine="600"/>
        <w:rPr>
          <w:rFonts w:ascii="仿宋_GB2312" w:eastAsia="仿宋_GB2312"/>
          <w:sz w:val="30"/>
          <w:szCs w:val="30"/>
        </w:rPr>
      </w:pPr>
      <w:r>
        <w:rPr>
          <w:rFonts w:hint="eastAsia" w:ascii="仿宋_GB2312" w:eastAsia="仿宋_GB2312"/>
          <w:sz w:val="30"/>
          <w:szCs w:val="30"/>
        </w:rPr>
        <w:t>（</w:t>
      </w:r>
      <w:r>
        <w:rPr>
          <w:rFonts w:hint="eastAsia" w:ascii="仿宋_GB2312" w:eastAsia="仿宋_GB2312"/>
          <w:sz w:val="30"/>
          <w:szCs w:val="30"/>
          <w:lang w:val="en-US" w:eastAsia="zh-CN"/>
        </w:rPr>
        <w:t>1</w:t>
      </w:r>
      <w:r>
        <w:rPr>
          <w:rFonts w:ascii="仿宋_GB2312" w:eastAsia="仿宋_GB2312"/>
          <w:sz w:val="30"/>
          <w:szCs w:val="30"/>
        </w:rPr>
        <w:t>）向</w:t>
      </w:r>
      <w:r>
        <w:rPr>
          <w:rFonts w:ascii="仿宋_GB2312" w:eastAsia="仿宋_GB2312"/>
          <w:sz w:val="30"/>
          <w:szCs w:val="30"/>
          <w:u w:val="single"/>
        </w:rPr>
        <w:t xml:space="preserve">                  </w:t>
      </w:r>
      <w:r>
        <w:rPr>
          <w:rFonts w:ascii="仿宋_GB2312" w:eastAsia="仿宋_GB2312"/>
          <w:sz w:val="30"/>
          <w:szCs w:val="30"/>
        </w:rPr>
        <w:t>人民法院起诉。</w:t>
      </w:r>
    </w:p>
    <w:p w14:paraId="47E1DD82">
      <w:pPr>
        <w:wordWrap/>
        <w:topLinePunct w:val="0"/>
        <w:ind w:firstLine="600"/>
        <w:rPr>
          <w:rFonts w:ascii="仿宋_GB2312" w:eastAsia="仿宋_GB2312"/>
          <w:sz w:val="30"/>
          <w:szCs w:val="30"/>
        </w:rPr>
      </w:pPr>
      <w:r>
        <w:rPr>
          <w:rFonts w:hint="eastAsia" w:ascii="仿宋_GB2312" w:eastAsia="仿宋_GB2312"/>
          <w:sz w:val="30"/>
          <w:szCs w:val="30"/>
        </w:rPr>
        <w:t>（</w:t>
      </w:r>
      <w:r>
        <w:rPr>
          <w:rFonts w:hint="eastAsia" w:ascii="仿宋_GB2312" w:eastAsia="仿宋_GB2312"/>
          <w:sz w:val="30"/>
          <w:szCs w:val="30"/>
          <w:lang w:val="en-US" w:eastAsia="zh-CN"/>
        </w:rPr>
        <w:t>2</w:t>
      </w:r>
      <w:r>
        <w:rPr>
          <w:rFonts w:ascii="仿宋_GB2312" w:eastAsia="仿宋_GB2312"/>
          <w:sz w:val="30"/>
          <w:szCs w:val="30"/>
        </w:rPr>
        <w:t>）向</w:t>
      </w:r>
      <w:r>
        <w:rPr>
          <w:rFonts w:ascii="仿宋_GB2312" w:eastAsia="仿宋_GB2312"/>
          <w:sz w:val="30"/>
          <w:szCs w:val="30"/>
          <w:u w:val="single"/>
        </w:rPr>
        <w:t xml:space="preserve">                  </w:t>
      </w:r>
      <w:r>
        <w:rPr>
          <w:rFonts w:ascii="仿宋_GB2312" w:eastAsia="仿宋_GB2312"/>
          <w:sz w:val="30"/>
          <w:szCs w:val="30"/>
        </w:rPr>
        <w:t>仲裁委员会申请仲裁；</w:t>
      </w:r>
    </w:p>
    <w:p w14:paraId="742214C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w:t>
      </w:r>
      <w:r>
        <w:rPr>
          <w:rFonts w:hint="eastAsia" w:ascii="仿宋_GB2312" w:hAnsi="仿宋_GB2312" w:eastAsia="仿宋_GB2312" w:cs="仿宋_GB2312"/>
          <w:bCs/>
          <w:sz w:val="32"/>
          <w:szCs w:val="32"/>
          <w:lang w:val="zh-CN"/>
        </w:rPr>
        <w:t>诉讼期间，本合同继续履行。</w:t>
      </w:r>
    </w:p>
    <w:p w14:paraId="556AA35C">
      <w:pPr>
        <w:wordWrap/>
        <w:topLinePunct w:val="0"/>
        <w:ind w:firstLine="600"/>
        <w:rPr>
          <w:rFonts w:hint="eastAsia" w:ascii="仿宋_GB2312" w:hAnsi="仿宋_GB2312" w:eastAsia="仿宋_GB2312" w:cs="仿宋_GB2312"/>
          <w:bCs/>
          <w:sz w:val="32"/>
          <w:szCs w:val="32"/>
          <w:lang w:val="zh-CN"/>
        </w:rPr>
      </w:pPr>
      <w:bookmarkStart w:id="730" w:name="_Toc27544_WPSOffice_Level1"/>
      <w:bookmarkStart w:id="731" w:name="_Toc8439_WPSOffice_Level1"/>
      <w:bookmarkStart w:id="732" w:name="_Toc12915_WPSOffice_Level1"/>
      <w:bookmarkStart w:id="733" w:name="_Toc20057_WPSOffice_Level1"/>
      <w:bookmarkStart w:id="734" w:name="_Toc18713_WPSOffice_Level1"/>
      <w:bookmarkStart w:id="735" w:name="_Toc25759_WPSOffice_Level1"/>
      <w:r>
        <w:rPr>
          <w:rFonts w:hint="eastAsia" w:ascii="仿宋_GB2312" w:hAnsi="仿宋_GB2312" w:eastAsia="仿宋_GB2312" w:cs="仿宋_GB2312"/>
          <w:bCs/>
          <w:sz w:val="32"/>
          <w:szCs w:val="32"/>
          <w:lang w:val="zh-CN"/>
        </w:rPr>
        <w:t>十一、合同生效及其它：</w:t>
      </w:r>
      <w:bookmarkEnd w:id="730"/>
      <w:bookmarkEnd w:id="731"/>
      <w:bookmarkEnd w:id="732"/>
      <w:bookmarkEnd w:id="733"/>
      <w:bookmarkEnd w:id="734"/>
      <w:bookmarkEnd w:id="735"/>
    </w:p>
    <w:p w14:paraId="76218E49">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36" w:name="_Toc20231_WPSOffice_Level2"/>
      <w:bookmarkStart w:id="737" w:name="_Toc15526_WPSOffice_Level2"/>
      <w:bookmarkStart w:id="738" w:name="_Toc26653_WPSOffice_Level2"/>
      <w:r>
        <w:rPr>
          <w:rFonts w:hint="eastAsia" w:ascii="仿宋_GB2312" w:hAnsi="仿宋_GB2312" w:eastAsia="仿宋_GB2312" w:cs="仿宋_GB2312"/>
          <w:bCs/>
          <w:sz w:val="32"/>
          <w:szCs w:val="32"/>
        </w:rPr>
        <w:t>1.</w:t>
      </w:r>
      <w:r>
        <w:rPr>
          <w:rFonts w:hint="eastAsia" w:ascii="仿宋_GB2312" w:hAnsi="仿宋_GB2312" w:eastAsia="仿宋_GB2312" w:cs="仿宋_GB2312"/>
          <w:bCs/>
          <w:sz w:val="32"/>
          <w:szCs w:val="32"/>
          <w:lang w:val="zh-CN"/>
        </w:rPr>
        <w:t>本合同一式六份，经双方签字，并加盖公章即为生效。</w:t>
      </w:r>
      <w:bookmarkEnd w:id="736"/>
      <w:bookmarkEnd w:id="737"/>
      <w:bookmarkEnd w:id="738"/>
    </w:p>
    <w:p w14:paraId="46202AC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39" w:name="_Toc13664_WPSOffice_Level2"/>
      <w:bookmarkStart w:id="740" w:name="_Toc11979_WPSOffice_Level2"/>
      <w:bookmarkStart w:id="741" w:name="_Toc16154_WPSOffice_Level2"/>
      <w:r>
        <w:rPr>
          <w:rFonts w:hint="eastAsia" w:ascii="仿宋_GB2312" w:hAnsi="仿宋_GB2312" w:eastAsia="仿宋_GB2312" w:cs="仿宋_GB2312"/>
          <w:bCs/>
          <w:sz w:val="32"/>
          <w:szCs w:val="32"/>
        </w:rPr>
        <w:t>2.</w:t>
      </w:r>
      <w:r>
        <w:rPr>
          <w:rFonts w:hint="eastAsia" w:ascii="仿宋_GB2312" w:hAnsi="仿宋_GB2312" w:eastAsia="仿宋_GB2312" w:cs="仿宋_GB2312"/>
          <w:bCs/>
          <w:sz w:val="32"/>
          <w:szCs w:val="32"/>
          <w:lang w:val="zh-CN"/>
        </w:rPr>
        <w:t>本合同未尽事宜，按《民法典》有关规定处理。</w:t>
      </w:r>
      <w:bookmarkEnd w:id="739"/>
      <w:bookmarkEnd w:id="740"/>
      <w:bookmarkEnd w:id="741"/>
    </w:p>
    <w:p w14:paraId="0839207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p>
    <w:p w14:paraId="704F926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甲方（盖章）：                       乙方（盖章）：</w:t>
      </w:r>
    </w:p>
    <w:p w14:paraId="41F1AC9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地址：                              地址：</w:t>
      </w:r>
    </w:p>
    <w:p w14:paraId="49236D1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法定代表人或委托代理人：   </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法定代表人或委托代理人：</w:t>
      </w:r>
    </w:p>
    <w:p w14:paraId="1314B2E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开户银行：</w:t>
      </w:r>
    </w:p>
    <w:p w14:paraId="365C568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联系电话：                          账号：</w:t>
      </w:r>
    </w:p>
    <w:p w14:paraId="37032A9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联系电话：</w:t>
      </w:r>
    </w:p>
    <w:p w14:paraId="2A79AF3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签约时间：  年  月  日</w:t>
      </w:r>
    </w:p>
    <w:p w14:paraId="0688584A">
      <w:pPr>
        <w:widowControl w:val="0"/>
        <w:wordWrap/>
        <w:adjustRightInd w:val="0"/>
        <w:snapToGrid w:val="0"/>
        <w:spacing w:line="560" w:lineRule="exact"/>
        <w:textAlignment w:val="auto"/>
        <w:outlineLvl w:val="9"/>
        <w:rPr>
          <w:rFonts w:hint="eastAsia" w:ascii="仿宋_GB2312" w:hAnsi="仿宋_GB2312" w:eastAsia="仿宋_GB2312" w:cs="仿宋_GB2312"/>
          <w:bCs/>
          <w:sz w:val="32"/>
          <w:szCs w:val="32"/>
        </w:rPr>
      </w:pPr>
    </w:p>
    <w:p w14:paraId="2C6FAD32">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合同备案：青海赫铭工程项目管理有限公司      </w:t>
      </w:r>
    </w:p>
    <w:p w14:paraId="49D7994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经办人：</w:t>
      </w:r>
    </w:p>
    <w:p w14:paraId="45306D5F">
      <w:pPr>
        <w:widowControl w:val="0"/>
        <w:wordWrap/>
        <w:adjustRightInd w:val="0"/>
        <w:snapToGrid w:val="0"/>
        <w:spacing w:line="560" w:lineRule="exact"/>
        <w:ind w:firstLine="640" w:firstLineChars="200"/>
        <w:jc w:val="both"/>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合同备案时间：</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年  月  日</w:t>
      </w:r>
    </w:p>
    <w:p w14:paraId="3A4F2F06">
      <w:pPr>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br w:type="page"/>
      </w:r>
    </w:p>
    <w:p w14:paraId="22F1F17F">
      <w:pPr>
        <w:widowControl w:val="0"/>
        <w:wordWrap/>
        <w:adjustRightInd w:val="0"/>
        <w:snapToGrid w:val="0"/>
        <w:spacing w:line="560" w:lineRule="exact"/>
        <w:ind w:firstLine="640" w:firstLineChars="200"/>
        <w:jc w:val="center"/>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合同通用条款</w:t>
      </w:r>
    </w:p>
    <w:p w14:paraId="7650F888">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p>
    <w:p w14:paraId="1B9FB712">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根据《民法典》、《中华人民共和国政府采购法》的规定，合同双方经协商达成一致，自愿订立本合同，遵循公平原则明确双方的权利、义务，确保双方诚实守信地履行合同。</w:t>
      </w:r>
    </w:p>
    <w:p w14:paraId="52CE46E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42" w:name="_Toc26412_WPSOffice_Level2"/>
      <w:bookmarkStart w:id="743" w:name="_Toc20198_WPSOffice_Level2"/>
      <w:bookmarkStart w:id="744" w:name="_Toc22507_WPSOffice_Level2"/>
      <w:r>
        <w:rPr>
          <w:rFonts w:hint="eastAsia" w:ascii="仿宋_GB2312" w:hAnsi="仿宋_GB2312" w:eastAsia="仿宋_GB2312" w:cs="仿宋_GB2312"/>
          <w:bCs/>
          <w:sz w:val="32"/>
          <w:szCs w:val="32"/>
        </w:rPr>
        <w:t>1.定义</w:t>
      </w:r>
      <w:bookmarkEnd w:id="742"/>
      <w:bookmarkEnd w:id="743"/>
      <w:bookmarkEnd w:id="744"/>
    </w:p>
    <w:p w14:paraId="315F99C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本合同中的下列术语应解释为：</w:t>
      </w:r>
    </w:p>
    <w:p w14:paraId="7DA26B6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 “合同”指甲乙双方签署的、载明的甲乙双方权利义务的协议，包括所有的附件、附录和上述文件所提到的构成合同的所有文件。</w:t>
      </w:r>
    </w:p>
    <w:p w14:paraId="3E8E5BD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1.2 “合同金额”指根据合同规定，乙方在正确地完全履行合同义务后甲方应付给乙方的价款。</w:t>
      </w:r>
    </w:p>
    <w:p w14:paraId="66C99EA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1.3 “合同条款”指本合同条款。</w:t>
      </w:r>
    </w:p>
    <w:p w14:paraId="1CBA1F6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1.4 “货物”指乙方根据合同约定须向甲方提供的一切产品、设备、机械、仪表、备件等，包括辅助工具、使用手册等相关资料。</w:t>
      </w:r>
    </w:p>
    <w:p w14:paraId="15E2E429">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1.5 “服务”指根据本合同规定乙方承担与供货有关的辅助服务，如运输、保险及安装、调试、提供技术援助、培训和合同中规定乙方应承担的其它义务。</w:t>
      </w:r>
    </w:p>
    <w:p w14:paraId="0BEFFC1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1.6 “甲方”指购买货物和服务的单位。</w:t>
      </w:r>
    </w:p>
    <w:p w14:paraId="23B0F1A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1.7 “乙方”指提供本合同条款下货物和服务的公司或其他实体。</w:t>
      </w:r>
    </w:p>
    <w:p w14:paraId="6BCCAA1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1.8 “现场”指合同规定货物将要运至和安装的地点。</w:t>
      </w:r>
    </w:p>
    <w:p w14:paraId="45409A1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1.9 “验收”指合同双方依据强制性的国家技术质量规范和合同约定，确认合同条款下的货物符合合同规定的活动。</w:t>
      </w:r>
    </w:p>
    <w:p w14:paraId="7F710D1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1.10原厂商：产品制造商或其在中国境内设立的办事或技术服务机构。除另有说明外，本合同文件所述的制造商、产品制造商、制造厂家、产品制造厂家均为原厂商。</w:t>
      </w:r>
    </w:p>
    <w:p w14:paraId="2C75C20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1.11 原产地：指产品的生产地，或提供服务的来源地。</w:t>
      </w:r>
    </w:p>
    <w:p w14:paraId="7EE7CED2">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1.12 “工作日”指国家法定工作日，“天”指日历天数。</w:t>
      </w:r>
    </w:p>
    <w:p w14:paraId="7CB6A44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45" w:name="_Toc9343_WPSOffice_Level2"/>
      <w:bookmarkStart w:id="746" w:name="_Toc21237_WPSOffice_Level2"/>
      <w:bookmarkStart w:id="747" w:name="_Toc20210_WPSOffice_Level2"/>
      <w:r>
        <w:rPr>
          <w:rFonts w:hint="eastAsia" w:ascii="仿宋_GB2312" w:hAnsi="仿宋_GB2312" w:eastAsia="仿宋_GB2312" w:cs="仿宋_GB2312"/>
          <w:bCs/>
          <w:sz w:val="32"/>
          <w:szCs w:val="32"/>
        </w:rPr>
        <w:t>2.技术规格要求</w:t>
      </w:r>
      <w:bookmarkEnd w:id="745"/>
      <w:bookmarkEnd w:id="746"/>
      <w:bookmarkEnd w:id="747"/>
    </w:p>
    <w:p w14:paraId="46CC43C0">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2.1 本合同条款下提交货物的技术规格要求应等于或优于谈判文件、谈判响应文件技术规格要求。若技术规格要求中无相应规定，则应符合相应的国家有关部门最新颁布的相应正式标准。</w:t>
      </w:r>
    </w:p>
    <w:p w14:paraId="788B1F8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2.2 乙方应向甲方提供货物及服务有关的标准的中文文本。</w:t>
      </w:r>
    </w:p>
    <w:p w14:paraId="66C67D1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2.3 除非技术规范中另有规定，计量单位均采用中华人民共和国法定计量单位。</w:t>
      </w:r>
    </w:p>
    <w:p w14:paraId="7DAE311A">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48" w:name="_Toc415_WPSOffice_Level2"/>
      <w:bookmarkStart w:id="749" w:name="_Toc26773_WPSOffice_Level2"/>
      <w:bookmarkStart w:id="750" w:name="_Toc23823_WPSOffice_Level2"/>
      <w:r>
        <w:rPr>
          <w:rFonts w:hint="eastAsia" w:ascii="仿宋_GB2312" w:hAnsi="仿宋_GB2312" w:eastAsia="仿宋_GB2312" w:cs="仿宋_GB2312"/>
          <w:bCs/>
          <w:sz w:val="32"/>
          <w:szCs w:val="32"/>
        </w:rPr>
        <w:t>3.合同范围</w:t>
      </w:r>
      <w:bookmarkEnd w:id="748"/>
      <w:bookmarkEnd w:id="749"/>
      <w:bookmarkEnd w:id="750"/>
    </w:p>
    <w:p w14:paraId="6F51FE6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3.1 甲方同意从乙方处购买且乙方同意向甲方提供的设备及其附属设备，消耗性材料、专用工具等，包括各项技术服务、技术培训及满足合同设备组装、检验、培训、技术服务、安装调试指导、性能测试、正常运行及维修所必需的技术文件。</w:t>
      </w:r>
    </w:p>
    <w:p w14:paraId="276D511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3.2 乙方应负责培训甲方的技术人员。</w:t>
      </w:r>
    </w:p>
    <w:p w14:paraId="28985680">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3.3 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设备大修和维护所需的配件及服务。</w:t>
      </w:r>
    </w:p>
    <w:p w14:paraId="27A481C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51" w:name="_Toc22989_WPSOffice_Level2"/>
      <w:bookmarkStart w:id="752" w:name="_Toc27544_WPSOffice_Level2"/>
      <w:bookmarkStart w:id="753" w:name="_Toc1426_WPSOffice_Level2"/>
      <w:r>
        <w:rPr>
          <w:rFonts w:hint="eastAsia" w:ascii="仿宋_GB2312" w:hAnsi="仿宋_GB2312" w:eastAsia="仿宋_GB2312" w:cs="仿宋_GB2312"/>
          <w:bCs/>
          <w:sz w:val="32"/>
          <w:szCs w:val="32"/>
        </w:rPr>
        <w:t>4.合同文件和资料</w:t>
      </w:r>
      <w:bookmarkEnd w:id="751"/>
      <w:bookmarkEnd w:id="752"/>
      <w:bookmarkEnd w:id="753"/>
    </w:p>
    <w:p w14:paraId="47ECFC49">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4.1乙方在提供仪器设备时应同时提供中文版相关的技术资料，如目录索引、图纸、操作手册、使用指南、维修指南、服务手册等。</w:t>
      </w:r>
    </w:p>
    <w:p w14:paraId="4C2EF5AA">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4.2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0FD72EE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54" w:name="_Toc23784_WPSOffice_Level2"/>
      <w:bookmarkStart w:id="755" w:name="_Toc18584_WPSOffice_Level2"/>
      <w:bookmarkStart w:id="756" w:name="_Toc14802_WPSOffice_Level2"/>
      <w:r>
        <w:rPr>
          <w:rFonts w:hint="eastAsia" w:ascii="仿宋_GB2312" w:hAnsi="仿宋_GB2312" w:eastAsia="仿宋_GB2312" w:cs="仿宋_GB2312"/>
          <w:bCs/>
          <w:sz w:val="32"/>
          <w:szCs w:val="32"/>
        </w:rPr>
        <w:t>5.知识产权</w:t>
      </w:r>
      <w:bookmarkEnd w:id="754"/>
      <w:bookmarkEnd w:id="755"/>
      <w:bookmarkEnd w:id="756"/>
    </w:p>
    <w:p w14:paraId="0AD32BC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5.1乙方应保证甲方在使用该货物或其任何一部分时不受第三方提出的侵犯专利权、 著作权、商标权和工业设计权等的起诉。</w:t>
      </w:r>
    </w:p>
    <w:p w14:paraId="7A7D25D8">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5.2任何第三方提出侵权指控，乙方须与第三方交涉并承担由此产生的一切责任、费用和经济赔偿。</w:t>
      </w:r>
    </w:p>
    <w:p w14:paraId="3ABBFE2A">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5.3双方应共同遵守国家有关版权、专利、商标等知识产权方面的法律规定，相互尊重对方的知识产权，对本合同内容、对方的技术秘密和商业秘密负有保密责任。如有违反，违约方负相关法律责任。</w:t>
      </w:r>
    </w:p>
    <w:p w14:paraId="7A8D302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5.4在本合同生效时已经存在并为各方合法拥有或使用的所有技术、资料和信息的知识产权，仍应属于其各自的原权利人所有或享有，另有约定的除外。</w:t>
      </w:r>
    </w:p>
    <w:p w14:paraId="22E0C5B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5.5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2681FCE6">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57" w:name="_Toc25026_WPSOffice_Level2"/>
      <w:bookmarkStart w:id="758" w:name="_Toc22229_WPSOffice_Level2"/>
      <w:bookmarkStart w:id="759" w:name="_Toc13395_WPSOffice_Level2"/>
      <w:r>
        <w:rPr>
          <w:rFonts w:hint="eastAsia" w:ascii="仿宋_GB2312" w:hAnsi="仿宋_GB2312" w:eastAsia="仿宋_GB2312" w:cs="仿宋_GB2312"/>
          <w:bCs/>
          <w:sz w:val="32"/>
          <w:szCs w:val="32"/>
        </w:rPr>
        <w:t>6.保密</w:t>
      </w:r>
      <w:bookmarkEnd w:id="757"/>
      <w:bookmarkEnd w:id="758"/>
      <w:bookmarkEnd w:id="759"/>
    </w:p>
    <w:p w14:paraId="1D302B7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6.1在本合同履行期间及履行完毕后的任何时候，任何一方均应对因履行本合同从对方获取或知悉的保密信息承担保密责任，未经对方书面同意不得向第三方透露，否则应赔偿由此给对方造成的全部损失。</w:t>
      </w:r>
    </w:p>
    <w:p w14:paraId="34F549F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6.2保密信息指任何一方因履行本合同所知悉的任何以口头、书面、图表或电子形式存在的对方信息，具体包括：</w:t>
      </w:r>
    </w:p>
    <w:p w14:paraId="4C884EE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6.2.1任何涉及对方过去、现在或将来的商业计划、规章制度、操作规程、处理手段、财务信息；</w:t>
      </w:r>
    </w:p>
    <w:p w14:paraId="06EEABB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6.2.2任何对方的技术措施、技术方案、软件应用及开发，硬件设备的品种、质量、数量、品牌等；</w:t>
      </w:r>
    </w:p>
    <w:p w14:paraId="23955CA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6.2.3任何对方的技术秘密或专有知识、文件 、报告、数据、客户软件、流程图、数据库、发明、知识、贸易秘密。</w:t>
      </w:r>
    </w:p>
    <w:p w14:paraId="16F221B0">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6.3乙方应根据甲方的要求签署相应的保密协议，保密协议与本条款存在不一致的，以保密协议为准。</w:t>
      </w:r>
    </w:p>
    <w:p w14:paraId="04F441D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60" w:name="_Toc12645_WPSOffice_Level2"/>
      <w:bookmarkStart w:id="761" w:name="_Toc6752_WPSOffice_Level2"/>
      <w:bookmarkStart w:id="762" w:name="_Toc23853_WPSOffice_Level2"/>
      <w:r>
        <w:rPr>
          <w:rFonts w:hint="eastAsia" w:ascii="仿宋_GB2312" w:hAnsi="仿宋_GB2312" w:eastAsia="仿宋_GB2312" w:cs="仿宋_GB2312"/>
          <w:bCs/>
          <w:sz w:val="32"/>
          <w:szCs w:val="32"/>
        </w:rPr>
        <w:t>7. 质量保证</w:t>
      </w:r>
      <w:bookmarkEnd w:id="760"/>
      <w:bookmarkEnd w:id="761"/>
      <w:bookmarkEnd w:id="762"/>
    </w:p>
    <w:p w14:paraId="2F4025B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63" w:name="_Toc26729_WPSOffice_Level3"/>
      <w:bookmarkStart w:id="764" w:name="_Toc8450_WPSOffice_Level3"/>
      <w:r>
        <w:rPr>
          <w:rFonts w:hint="eastAsia" w:ascii="仿宋_GB2312" w:hAnsi="仿宋_GB2312" w:eastAsia="仿宋_GB2312" w:cs="仿宋_GB2312"/>
          <w:bCs/>
          <w:sz w:val="32"/>
          <w:szCs w:val="32"/>
        </w:rPr>
        <w:t>7.1货物质量保证</w:t>
      </w:r>
      <w:bookmarkEnd w:id="763"/>
      <w:bookmarkEnd w:id="764"/>
    </w:p>
    <w:p w14:paraId="4FDE2D6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7.1.1乙方必须保证货物是全新、未使用过的，并完全符合强制性的国家技术质量规范和合同规定的质量、规格、性能和技术规范等的要求。</w:t>
      </w:r>
    </w:p>
    <w:p w14:paraId="31F3893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7.1.2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5420FF0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7.1.3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5893EE39">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7.1.4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39034D7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7.1.5 合同条款下货物的质量保证期自货物通过最终验收起算，合同另行规定除外。</w:t>
      </w:r>
    </w:p>
    <w:p w14:paraId="2D6197A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65" w:name="_Toc18945_WPSOffice_Level3"/>
      <w:bookmarkStart w:id="766" w:name="_Toc9593_WPSOffice_Level3"/>
      <w:r>
        <w:rPr>
          <w:rFonts w:hint="eastAsia" w:ascii="仿宋_GB2312" w:hAnsi="仿宋_GB2312" w:eastAsia="仿宋_GB2312" w:cs="仿宋_GB2312"/>
          <w:bCs/>
          <w:sz w:val="32"/>
          <w:szCs w:val="32"/>
        </w:rPr>
        <w:t>7.2辅助服务质量保证</w:t>
      </w:r>
      <w:bookmarkEnd w:id="765"/>
      <w:bookmarkEnd w:id="766"/>
    </w:p>
    <w:p w14:paraId="47F3EAB2">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7.2.1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3E92D87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7.2.2乙方应保证合同条款下所提供的服务包括培训、安装指导、单机调试、系统联调和试验等，按合同规定方式进行，并保证不存在因乙方工作人员的过失、错误或疏忽而产生的缺陷。</w:t>
      </w:r>
    </w:p>
    <w:p w14:paraId="11D3728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67" w:name="_Toc444_WPSOffice_Level2"/>
      <w:bookmarkStart w:id="768" w:name="_Toc19930_WPSOffice_Level2"/>
      <w:bookmarkStart w:id="769" w:name="_Toc16656_WPSOffice_Level2"/>
      <w:r>
        <w:rPr>
          <w:rFonts w:hint="eastAsia" w:ascii="仿宋_GB2312" w:hAnsi="仿宋_GB2312" w:eastAsia="仿宋_GB2312" w:cs="仿宋_GB2312"/>
          <w:bCs/>
          <w:sz w:val="32"/>
          <w:szCs w:val="32"/>
        </w:rPr>
        <w:t>8.包装要求</w:t>
      </w:r>
      <w:bookmarkEnd w:id="767"/>
      <w:bookmarkEnd w:id="768"/>
      <w:bookmarkEnd w:id="769"/>
    </w:p>
    <w:p w14:paraId="434430D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8.1 除合同另有约定外，乙方提供的全部货物，均应采用本行业通用的方式进行包装，且该包装应符合国家有关包装的法律、法规的规定。</w:t>
      </w:r>
    </w:p>
    <w:p w14:paraId="5C412389">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8.2 包装应适应于远距离运输，并有良好的防潮、防震、防锈和防粗暴装卸等保护措施，以确保货物安全运抵现场。由于包装不善所引起的货物锈蚀、损坏和损失均由乙方承担。</w:t>
      </w:r>
    </w:p>
    <w:p w14:paraId="652DA43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乙方应提供货物运至合同规定的最终目的地所需要的包装，以防止货物在转运中损坏或变质。</w:t>
      </w:r>
    </w:p>
    <w:p w14:paraId="0D56D1B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8.3 乙方所提供的货物包装均为出厂时原包装。</w:t>
      </w:r>
    </w:p>
    <w:p w14:paraId="42FAA37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8.4 乙方所提供货物必须附有质量合格证，装箱清单，主机、附件、各种零部件和消耗品，有清楚的与装箱单相对应的名称和编号。</w:t>
      </w:r>
    </w:p>
    <w:p w14:paraId="09EA50D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8.5 货物运输中的运输费用和保险费用均由乙方承担。运输过程中的一切损失、损坏均由乙方负责。</w:t>
      </w:r>
    </w:p>
    <w:p w14:paraId="0653BC66">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70" w:name="_Toc19342_WPSOffice_Level2"/>
      <w:bookmarkStart w:id="771" w:name="_Toc15918_WPSOffice_Level2"/>
      <w:bookmarkStart w:id="772" w:name="_Toc9360_WPSOffice_Level2"/>
      <w:r>
        <w:rPr>
          <w:rFonts w:hint="eastAsia" w:ascii="仿宋_GB2312" w:hAnsi="仿宋_GB2312" w:eastAsia="仿宋_GB2312" w:cs="仿宋_GB2312"/>
          <w:bCs/>
          <w:sz w:val="32"/>
          <w:szCs w:val="32"/>
        </w:rPr>
        <w:t>9. 价格</w:t>
      </w:r>
      <w:bookmarkEnd w:id="770"/>
      <w:bookmarkEnd w:id="771"/>
      <w:bookmarkEnd w:id="772"/>
    </w:p>
    <w:p w14:paraId="26CF083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2A9EB82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9.2 本合同价格为固定价格，包括了乙方履行合同全过程产生的所有成本和费用以及乙方应承担的一切税费。</w:t>
      </w:r>
    </w:p>
    <w:p w14:paraId="693643D0">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9.3检验费用 </w:t>
      </w:r>
    </w:p>
    <w:p w14:paraId="07B5BB0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9.3.1 乙方必须负担本条款下属于乙方负责的检验、测试、调试、试运行和验收的所有费用，并负责乙方派往买方组织的检验、测试和验收人员的所有费用。</w:t>
      </w:r>
    </w:p>
    <w:p w14:paraId="157F78B6">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9.3.2 甲方按合同计划参加在乙方工厂所在地检验、测试和验收的费用全部由乙方负责并已包含在合同总价中。</w:t>
      </w:r>
    </w:p>
    <w:p w14:paraId="7FA8184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9.3.3甲方检验人员已到卖方所在地，测试无法依照合同进行， 而引起甲方人员延长逗留时间，所有由此产生的包括甲方人员在内的直接费用及成本由乙方承担。 </w:t>
      </w:r>
    </w:p>
    <w:p w14:paraId="65C269B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73" w:name="_Toc13355_WPSOffice_Level2"/>
      <w:bookmarkStart w:id="774" w:name="_Toc29082_WPSOffice_Level2"/>
      <w:bookmarkStart w:id="775" w:name="_Toc21379_WPSOffice_Level2"/>
      <w:r>
        <w:rPr>
          <w:rFonts w:hint="eastAsia" w:ascii="仿宋_GB2312" w:hAnsi="仿宋_GB2312" w:eastAsia="仿宋_GB2312" w:cs="仿宋_GB2312"/>
          <w:bCs/>
          <w:sz w:val="32"/>
          <w:szCs w:val="32"/>
        </w:rPr>
        <w:t>10.交货方式及交货日期</w:t>
      </w:r>
      <w:bookmarkEnd w:id="773"/>
      <w:bookmarkEnd w:id="774"/>
      <w:bookmarkEnd w:id="775"/>
    </w:p>
    <w:p w14:paraId="5A9E334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交货方式：现场交货，乙方负责办理运输和保险，将货物运抵现场。</w:t>
      </w:r>
    </w:p>
    <w:p w14:paraId="1E560DB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交货日期：所有货物运抵现场并经双方开箱验收合格之日。</w:t>
      </w:r>
    </w:p>
    <w:p w14:paraId="300DAB5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76" w:name="_Toc4905_WPSOffice_Level2"/>
      <w:bookmarkStart w:id="777" w:name="_Toc8711_WPSOffice_Level2"/>
      <w:bookmarkStart w:id="778" w:name="_Toc22184_WPSOffice_Level2"/>
      <w:r>
        <w:rPr>
          <w:rFonts w:hint="eastAsia" w:ascii="仿宋_GB2312" w:hAnsi="仿宋_GB2312" w:eastAsia="仿宋_GB2312" w:cs="仿宋_GB2312"/>
          <w:bCs/>
          <w:sz w:val="32"/>
          <w:szCs w:val="32"/>
        </w:rPr>
        <w:t>11.检验和验收</w:t>
      </w:r>
      <w:bookmarkEnd w:id="776"/>
      <w:bookmarkEnd w:id="777"/>
      <w:bookmarkEnd w:id="778"/>
    </w:p>
    <w:p w14:paraId="70BF21E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79" w:name="_Toc7309_WPSOffice_Level3"/>
      <w:bookmarkStart w:id="780" w:name="_Toc11588_WPSOffice_Level3"/>
      <w:r>
        <w:rPr>
          <w:rFonts w:hint="eastAsia" w:ascii="仿宋_GB2312" w:hAnsi="仿宋_GB2312" w:eastAsia="仿宋_GB2312" w:cs="仿宋_GB2312"/>
          <w:bCs/>
          <w:sz w:val="32"/>
          <w:szCs w:val="32"/>
        </w:rPr>
        <w:t>11.1开箱验收</w:t>
      </w:r>
      <w:bookmarkEnd w:id="779"/>
      <w:bookmarkEnd w:id="780"/>
    </w:p>
    <w:p w14:paraId="54CCFFE8">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11.1.1货物运抵现场后，双方应及时开箱验收，并制作验收记录，以确认与本合同约定的数量、型号等是否一致。</w:t>
      </w:r>
    </w:p>
    <w:p w14:paraId="223EFDC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11.1.2 乙方应在交货前对货物的质量、规格、数量等进行详细而全面的检验，并出具证明货物符合合同规定的文件。该文件将作为申请付款单据的一部分，但有关质量、规格、数量的检验不应视为最终检验。</w:t>
      </w:r>
    </w:p>
    <w:p w14:paraId="4110BE39">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11.1.3 开箱验收中如发现货物的数量、规格与合同约定不符，甲方有权拒收货物，乙方应及时按甲方要求免费对拒收货物采取更换或其他必要的补救措施，直至开箱验收合格，方视为乙方完成交货。</w:t>
      </w:r>
    </w:p>
    <w:p w14:paraId="1E7D1DE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81" w:name="_Toc13911_WPSOffice_Level3"/>
      <w:bookmarkStart w:id="782" w:name="_Toc26974_WPSOffice_Level3"/>
      <w:r>
        <w:rPr>
          <w:rFonts w:hint="eastAsia" w:ascii="仿宋_GB2312" w:hAnsi="仿宋_GB2312" w:eastAsia="仿宋_GB2312" w:cs="仿宋_GB2312"/>
          <w:bCs/>
          <w:sz w:val="32"/>
          <w:szCs w:val="32"/>
        </w:rPr>
        <w:t>11.2  检验验收</w:t>
      </w:r>
      <w:bookmarkEnd w:id="781"/>
      <w:bookmarkEnd w:id="782"/>
    </w:p>
    <w:p w14:paraId="117ED51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11.2.1 交货完成后，乙方应及时组装、调试、试运行，按照合同专用条款规定的试运行完成后，双方及时组织对货物检验验收。合同双方均须派人参加合同要求双方参加的试验、检验。</w:t>
      </w:r>
    </w:p>
    <w:p w14:paraId="7A733FA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11.2.2 在具体实施合同规定的检验验收之前，乙方需提前提交相应的测试计划（包括测试程序、测试内容和检验标准、试验时间安排等）供甲方确认。</w:t>
      </w:r>
    </w:p>
    <w:p w14:paraId="19544FF8">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11.2.3  除需甲方确认的试验验收外，乙方还应对所有检验验收测试的结果、步骤、原始数据等作妥善记录。如甲方要求，乙方应提供这些记录给买方。</w:t>
      </w:r>
    </w:p>
    <w:p w14:paraId="1BD51CC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11.2.4  检验测试出现全部或部分未达到本合同所约定的技术指标，甲方有权选择下列任一处理方式：</w:t>
      </w:r>
    </w:p>
    <w:p w14:paraId="6DDCC69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a.重新测试直至合格为止；</w:t>
      </w:r>
    </w:p>
    <w:p w14:paraId="0D299F5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b.要求乙方对货物进行免费更换，然后重新测试直至合格为止；</w:t>
      </w:r>
    </w:p>
    <w:p w14:paraId="419BAB0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无论选择何种方式，甲方因此而发生的因卖方原因引起的所有费用均由乙方负担。</w:t>
      </w:r>
    </w:p>
    <w:p w14:paraId="75931EF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83" w:name="_Toc5393_WPSOffice_Level3"/>
      <w:bookmarkStart w:id="784" w:name="_Toc1685_WPSOffice_Level3"/>
      <w:r>
        <w:rPr>
          <w:rFonts w:hint="eastAsia" w:ascii="仿宋_GB2312" w:hAnsi="仿宋_GB2312" w:eastAsia="仿宋_GB2312" w:cs="仿宋_GB2312"/>
          <w:bCs/>
          <w:sz w:val="32"/>
          <w:szCs w:val="32"/>
        </w:rPr>
        <w:t>11.3  使用过程检验</w:t>
      </w:r>
      <w:bookmarkEnd w:id="783"/>
      <w:bookmarkEnd w:id="784"/>
    </w:p>
    <w:p w14:paraId="21EA3A0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11.3.1在合同规定的质量保证期内，发现设备的质量或规格与合同规定不符，或证明设备有缺陷，包括潜在的缺陷或使用不合适的原材料等，由甲方组织质检（相关检测费用由卖方承担），据质检报告及质量保证条款向卖方提出索赔，此索赔并不免除乙方应承担的合同义务。</w:t>
      </w:r>
    </w:p>
    <w:p w14:paraId="435A9BE6">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11.3.2如果合同双方对乙方提供的上述试验结果报告的解释有分歧，双方须于出现分歧后10天内给对方声明，以陈述己方的观点。声明须附有关证据。分歧应通过协商解决。</w:t>
      </w:r>
    </w:p>
    <w:p w14:paraId="08A4829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85" w:name="_Toc17827_WPSOffice_Level2"/>
      <w:bookmarkStart w:id="786" w:name="_Toc10883_WPSOffice_Level2"/>
      <w:bookmarkStart w:id="787" w:name="_Toc17387_WPSOffice_Level2"/>
      <w:r>
        <w:rPr>
          <w:rFonts w:hint="eastAsia" w:ascii="仿宋_GB2312" w:hAnsi="仿宋_GB2312" w:eastAsia="仿宋_GB2312" w:cs="仿宋_GB2312"/>
          <w:bCs/>
          <w:sz w:val="32"/>
          <w:szCs w:val="32"/>
        </w:rPr>
        <w:t>12.付款条件</w:t>
      </w:r>
      <w:bookmarkEnd w:id="785"/>
      <w:bookmarkEnd w:id="786"/>
      <w:bookmarkEnd w:id="787"/>
    </w:p>
    <w:p w14:paraId="7E685D18">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本合同条款下的付款方法和条件在“合同专用条款”中具体规定。</w:t>
      </w:r>
    </w:p>
    <w:p w14:paraId="56EE6FF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88" w:name="_Toc24025_WPSOffice_Level2"/>
      <w:bookmarkStart w:id="789" w:name="_Toc25610_WPSOffice_Level2"/>
      <w:bookmarkStart w:id="790" w:name="_Toc8681_WPSOffice_Level2"/>
      <w:r>
        <w:rPr>
          <w:rFonts w:hint="eastAsia" w:ascii="仿宋_GB2312" w:hAnsi="仿宋_GB2312" w:eastAsia="仿宋_GB2312" w:cs="仿宋_GB2312"/>
          <w:bCs/>
          <w:sz w:val="32"/>
          <w:szCs w:val="32"/>
        </w:rPr>
        <w:t>13.履约保证金</w:t>
      </w:r>
      <w:bookmarkEnd w:id="788"/>
      <w:bookmarkEnd w:id="789"/>
      <w:bookmarkEnd w:id="790"/>
    </w:p>
    <w:p w14:paraId="4695547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13.1乙方应在合同签订后，按合同专用条款的约定提交履约保证金。</w:t>
      </w:r>
    </w:p>
    <w:p w14:paraId="5E72CFD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13.2履约保证金用于补偿甲方因卖方不能履行其合同义务而蒙受的损失。</w:t>
      </w:r>
    </w:p>
    <w:p w14:paraId="34C161F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13.3履约保证金应使用本合同货币，按下述方式之一提交（谈判文件中另有约定的除外）：</w:t>
      </w:r>
    </w:p>
    <w:p w14:paraId="55F72D99">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13.3.1甲方可接受的在中华人民共和国注册和营业的银行出具的履约保函； </w:t>
      </w:r>
    </w:p>
    <w:p w14:paraId="5D416FB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13.3.2 应当以支票、汇票、本票或者金融机构、担保机构出具的保函等非现金形式提交。</w:t>
      </w:r>
    </w:p>
    <w:p w14:paraId="4CF247B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13.4乙方未能按合同规定履行其义务，甲方有权从履约保证金中取得补偿。货物验收合格后，甲方将履约保证金退还乙方或转为质量保证金。</w:t>
      </w:r>
    </w:p>
    <w:p w14:paraId="5819A3A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91" w:name="_Toc21607_WPSOffice_Level2"/>
      <w:bookmarkStart w:id="792" w:name="_Toc2215_WPSOffice_Level2"/>
      <w:bookmarkStart w:id="793" w:name="_Toc13321_WPSOffice_Level2"/>
      <w:r>
        <w:rPr>
          <w:rFonts w:hint="eastAsia" w:ascii="仿宋_GB2312" w:hAnsi="仿宋_GB2312" w:eastAsia="仿宋_GB2312" w:cs="仿宋_GB2312"/>
          <w:bCs/>
          <w:sz w:val="32"/>
          <w:szCs w:val="32"/>
        </w:rPr>
        <w:t>14.索赔</w:t>
      </w:r>
      <w:bookmarkEnd w:id="791"/>
      <w:bookmarkEnd w:id="792"/>
      <w:bookmarkEnd w:id="793"/>
    </w:p>
    <w:p w14:paraId="6EFBAC00">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14.1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2BD5A2C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14.2在履约保证期和检验期内，乙方对甲方提出的索赔负有责任，乙方应按照甲方同意的下列一种或多种方式解决索赔事宜：</w:t>
      </w:r>
    </w:p>
    <w:p w14:paraId="42143DC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14.2.1在退货期内，乙方应按合同规定将货款退还给甲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3CEA92A8">
      <w:pPr>
        <w:widowControl w:val="0"/>
        <w:wordWrap/>
        <w:adjustRightInd w:val="0"/>
        <w:snapToGrid w:val="0"/>
        <w:spacing w:line="560" w:lineRule="exact"/>
        <w:jc w:val="left"/>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14.2.2根据货物低劣程度、损坏程度以及甲方所遭受损失的数额，经甲乙双方商定降低货物的价格，或由有资质的中介机构评估，以降低后的价格或评估价格为准。</w:t>
      </w:r>
    </w:p>
    <w:p w14:paraId="24C8D67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14.2.3用符合规格、质量和性能要求的新零件、部件或货物来更换有缺陷的部分或修补缺陷部分，乙方应承担一切费用和风险，并负担甲方所发生的一切直接费用。同时，乙方应相应延长修补或更换件的履约保证期。</w:t>
      </w:r>
    </w:p>
    <w:p w14:paraId="39130A8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14.3乙方收到甲方发出的索赔通知之日起5个工作日内未作答复的，甲方可从合同款或履约保证金中扣回索赔金额，如金额不足以补偿索赔金额，乙方应补足差额部分。</w:t>
      </w:r>
    </w:p>
    <w:p w14:paraId="0496B20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94" w:name="_Toc17056_WPSOffice_Level2"/>
      <w:bookmarkStart w:id="795" w:name="_Toc14292_WPSOffice_Level2"/>
      <w:bookmarkStart w:id="796" w:name="_Toc6747_WPSOffice_Level2"/>
      <w:r>
        <w:rPr>
          <w:rFonts w:hint="eastAsia" w:ascii="仿宋_GB2312" w:hAnsi="仿宋_GB2312" w:eastAsia="仿宋_GB2312" w:cs="仿宋_GB2312"/>
          <w:bCs/>
          <w:sz w:val="32"/>
          <w:szCs w:val="32"/>
        </w:rPr>
        <w:t>15.迟延交货</w:t>
      </w:r>
      <w:bookmarkEnd w:id="794"/>
      <w:bookmarkEnd w:id="795"/>
      <w:bookmarkEnd w:id="796"/>
    </w:p>
    <w:p w14:paraId="344B77A2">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15.1 乙方应按照合同约定的时间交货和提供服务。</w:t>
      </w:r>
    </w:p>
    <w:p w14:paraId="3E73C552">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15.2 除不可抗力因素外，乙方迟延交货，甲方有权提出违约损失赔偿或解除合同。</w:t>
      </w:r>
    </w:p>
    <w:p w14:paraId="6EE5C28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15.3在履行合同过程中，乙方遇到不能按时交货和提供服务的情况，应及时以书面形式将不能按时交货的理由、预期延误时间通知甲方。甲方收到乙方通知后，认为其理由正当的，可酌情延长交货时间。</w:t>
      </w:r>
    </w:p>
    <w:p w14:paraId="13A78AF8">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797" w:name="_Toc15350_WPSOffice_Level2"/>
      <w:bookmarkStart w:id="798" w:name="_Toc32293_WPSOffice_Level2"/>
      <w:bookmarkStart w:id="799" w:name="_Toc10642_WPSOffice_Level2"/>
      <w:r>
        <w:rPr>
          <w:rFonts w:hint="eastAsia" w:ascii="仿宋_GB2312" w:hAnsi="仿宋_GB2312" w:eastAsia="仿宋_GB2312" w:cs="仿宋_GB2312"/>
          <w:bCs/>
          <w:sz w:val="32"/>
          <w:szCs w:val="32"/>
        </w:rPr>
        <w:t>16.违约赔偿</w:t>
      </w:r>
      <w:bookmarkEnd w:id="797"/>
      <w:bookmarkEnd w:id="798"/>
      <w:bookmarkEnd w:id="799"/>
    </w:p>
    <w:p w14:paraId="32D268D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除不可抗力因素外，乙方没有按照合同规定的时间交货和提供服务，甲方可要求乙方支付违约金。违约金每日按合同总价款的千分之五计收。</w:t>
      </w:r>
    </w:p>
    <w:p w14:paraId="3C8A83E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800" w:name="_Toc132_WPSOffice_Level2"/>
      <w:bookmarkStart w:id="801" w:name="_Toc13101_WPSOffice_Level2"/>
      <w:bookmarkStart w:id="802" w:name="_Toc32484_WPSOffice_Level2"/>
      <w:r>
        <w:rPr>
          <w:rFonts w:hint="eastAsia" w:ascii="仿宋_GB2312" w:hAnsi="仿宋_GB2312" w:eastAsia="仿宋_GB2312" w:cs="仿宋_GB2312"/>
          <w:bCs/>
          <w:sz w:val="32"/>
          <w:szCs w:val="32"/>
        </w:rPr>
        <w:t>17.不可抗力</w:t>
      </w:r>
      <w:bookmarkEnd w:id="800"/>
      <w:bookmarkEnd w:id="801"/>
      <w:bookmarkEnd w:id="802"/>
    </w:p>
    <w:p w14:paraId="7F2C2199">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17.1.双方中任何一方遭遇法律规定的不可抗力，致使合同履行受阻时，履行合同的期限应予延长，延长的期限应相当于不可抗力所影响的时间。</w:t>
      </w:r>
    </w:p>
    <w:p w14:paraId="057FDFE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17.2受事故影响的一方应在不可抗力的事故发生后以书面形式通知另一方。</w:t>
      </w:r>
    </w:p>
    <w:p w14:paraId="54065B34">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17.3不可抗力使合同的某些内容有变更必要的， 双方应通过协商达成进一步履行合同的协议，因不可抗力致使合同不能履行的，合同终止。</w:t>
      </w:r>
    </w:p>
    <w:p w14:paraId="7ED3700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803" w:name="_Toc17666_WPSOffice_Level2"/>
      <w:bookmarkStart w:id="804" w:name="_Toc17980_WPSOffice_Level2"/>
      <w:bookmarkStart w:id="805" w:name="_Toc27502_WPSOffice_Level2"/>
      <w:r>
        <w:rPr>
          <w:rFonts w:hint="eastAsia" w:ascii="仿宋_GB2312" w:hAnsi="仿宋_GB2312" w:eastAsia="仿宋_GB2312" w:cs="仿宋_GB2312"/>
          <w:bCs/>
          <w:sz w:val="32"/>
          <w:szCs w:val="32"/>
        </w:rPr>
        <w:t>18.税费</w:t>
      </w:r>
      <w:bookmarkEnd w:id="803"/>
      <w:bookmarkEnd w:id="804"/>
      <w:bookmarkEnd w:id="805"/>
    </w:p>
    <w:p w14:paraId="6FAE626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与本合同有关的一切税费均由乙方承担。</w:t>
      </w:r>
    </w:p>
    <w:p w14:paraId="1C64D29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806" w:name="_Toc27070_WPSOffice_Level2"/>
      <w:bookmarkStart w:id="807" w:name="_Toc16036_WPSOffice_Level2"/>
      <w:bookmarkStart w:id="808" w:name="_Toc1449_WPSOffice_Level2"/>
      <w:r>
        <w:rPr>
          <w:rFonts w:hint="eastAsia" w:ascii="仿宋_GB2312" w:hAnsi="仿宋_GB2312" w:eastAsia="仿宋_GB2312" w:cs="仿宋_GB2312"/>
          <w:bCs/>
          <w:sz w:val="32"/>
          <w:szCs w:val="32"/>
        </w:rPr>
        <w:t>19.合同争议的解决</w:t>
      </w:r>
      <w:bookmarkEnd w:id="806"/>
      <w:bookmarkEnd w:id="807"/>
      <w:bookmarkEnd w:id="808"/>
    </w:p>
    <w:p w14:paraId="4069AE3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19.1甲方和乙方由于本合同的履行而发生任何争议时，双方可先通过协商解决。</w:t>
      </w:r>
    </w:p>
    <w:p w14:paraId="43806BDA">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19.2任何一方不愿通过协商或通过协商仍不能解决争议，则双方中任何一方均应向甲方所在地人民法院起诉。</w:t>
      </w:r>
    </w:p>
    <w:p w14:paraId="16D763C6">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809" w:name="_Toc4114_WPSOffice_Level2"/>
      <w:bookmarkStart w:id="810" w:name="_Toc1645_WPSOffice_Level2"/>
      <w:bookmarkStart w:id="811" w:name="_Toc25678_WPSOffice_Level2"/>
      <w:r>
        <w:rPr>
          <w:rFonts w:hint="eastAsia" w:ascii="仿宋_GB2312" w:hAnsi="仿宋_GB2312" w:eastAsia="仿宋_GB2312" w:cs="仿宋_GB2312"/>
          <w:bCs/>
          <w:sz w:val="32"/>
          <w:szCs w:val="32"/>
        </w:rPr>
        <w:t>20.违约解除合同</w:t>
      </w:r>
      <w:bookmarkEnd w:id="809"/>
      <w:bookmarkEnd w:id="810"/>
      <w:bookmarkEnd w:id="811"/>
    </w:p>
    <w:p w14:paraId="61A6C10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20.1出现下列情形之一的，视为乙方违约。甲方可向乙方发出书面通知，部分或全部终止合同，同时保留向乙方索赔的权利。</w:t>
      </w:r>
    </w:p>
    <w:p w14:paraId="38F2221A">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20.1.1乙方未能在合同规定的限期或甲方同意延长的限期内，提供全部或部分货物的； </w:t>
      </w:r>
    </w:p>
    <w:p w14:paraId="02EA965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20.1.2乙方未能履行合同规定的其它主要义务的；</w:t>
      </w:r>
    </w:p>
    <w:p w14:paraId="2DC74A6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20.1.3乙方在本合同履行过程中有欺诈行为的。</w:t>
      </w:r>
    </w:p>
    <w:p w14:paraId="55910928">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20.2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44F3ADF5">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812" w:name="_Toc26055_WPSOffice_Level2"/>
      <w:bookmarkStart w:id="813" w:name="_Toc3174_WPSOffice_Level2"/>
      <w:bookmarkStart w:id="814" w:name="_Toc4171_WPSOffice_Level2"/>
      <w:r>
        <w:rPr>
          <w:rFonts w:hint="eastAsia" w:ascii="仿宋_GB2312" w:hAnsi="仿宋_GB2312" w:eastAsia="仿宋_GB2312" w:cs="仿宋_GB2312"/>
          <w:bCs/>
          <w:sz w:val="32"/>
          <w:szCs w:val="32"/>
        </w:rPr>
        <w:t>21.破产终止合同</w:t>
      </w:r>
      <w:bookmarkEnd w:id="812"/>
      <w:bookmarkEnd w:id="813"/>
      <w:bookmarkEnd w:id="814"/>
    </w:p>
    <w:p w14:paraId="41C047A3">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乙方破产而无法完全履行本合同义务时，甲方可以书面方式通知乙方终止合同而不给予乙方补偿。该合同的终止将不损害或不影响甲方已经采取或将要采取任何行动或补救措施的权利。</w:t>
      </w:r>
    </w:p>
    <w:p w14:paraId="0DA9A99E">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815" w:name="_Toc17697_WPSOffice_Level2"/>
      <w:bookmarkStart w:id="816" w:name="_Toc12382_WPSOffice_Level2"/>
      <w:bookmarkStart w:id="817" w:name="_Toc6264_WPSOffice_Level2"/>
      <w:r>
        <w:rPr>
          <w:rFonts w:hint="eastAsia" w:ascii="仿宋_GB2312" w:hAnsi="仿宋_GB2312" w:eastAsia="仿宋_GB2312" w:cs="仿宋_GB2312"/>
          <w:bCs/>
          <w:sz w:val="32"/>
          <w:szCs w:val="32"/>
        </w:rPr>
        <w:t>22.转让和分包</w:t>
      </w:r>
      <w:bookmarkEnd w:id="815"/>
      <w:bookmarkEnd w:id="816"/>
      <w:bookmarkEnd w:id="817"/>
    </w:p>
    <w:p w14:paraId="647BC722">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22.1政府采购合同不能转让。</w:t>
      </w:r>
    </w:p>
    <w:p w14:paraId="704D79D0">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22.2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026E847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818" w:name="_Toc2646_WPSOffice_Level2"/>
      <w:bookmarkStart w:id="819" w:name="_Toc32240_WPSOffice_Level2"/>
      <w:bookmarkStart w:id="820" w:name="_Toc30393_WPSOffice_Level2"/>
      <w:r>
        <w:rPr>
          <w:rFonts w:hint="eastAsia" w:ascii="仿宋_GB2312" w:hAnsi="仿宋_GB2312" w:eastAsia="仿宋_GB2312" w:cs="仿宋_GB2312"/>
          <w:bCs/>
          <w:sz w:val="32"/>
          <w:szCs w:val="32"/>
        </w:rPr>
        <w:t>23.合同修改</w:t>
      </w:r>
      <w:bookmarkEnd w:id="818"/>
      <w:bookmarkEnd w:id="819"/>
      <w:bookmarkEnd w:id="820"/>
    </w:p>
    <w:p w14:paraId="24E1BF2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甲方和乙方都不得擅自变更本合同，但合同继续履行将损害国家和社会公共利益的除外。如必须对合同条款进行改动时，当事人双方须共同签署书面文件，做为合同的补充。</w:t>
      </w:r>
    </w:p>
    <w:p w14:paraId="312C3DD2">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821" w:name="_Toc17115_WPSOffice_Level2"/>
      <w:bookmarkStart w:id="822" w:name="_Toc20751_WPSOffice_Level2"/>
      <w:bookmarkStart w:id="823" w:name="_Toc11324_WPSOffice_Level2"/>
      <w:r>
        <w:rPr>
          <w:rFonts w:hint="eastAsia" w:ascii="仿宋_GB2312" w:hAnsi="仿宋_GB2312" w:eastAsia="仿宋_GB2312" w:cs="仿宋_GB2312"/>
          <w:bCs/>
          <w:sz w:val="32"/>
          <w:szCs w:val="32"/>
        </w:rPr>
        <w:t>24.通知</w:t>
      </w:r>
      <w:bookmarkEnd w:id="821"/>
      <w:bookmarkEnd w:id="822"/>
      <w:bookmarkEnd w:id="823"/>
    </w:p>
    <w:p w14:paraId="2B6122D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本合同任何一方给另一方的通知，都应以书面形式发送，而另一方也应以书面形式确认并发送到对方明确的地址。</w:t>
      </w:r>
    </w:p>
    <w:p w14:paraId="159C6317">
      <w:pPr>
        <w:widowControl w:val="0"/>
        <w:tabs>
          <w:tab w:val="left" w:pos="7283"/>
        </w:tabs>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lang w:eastAsia="zh-CN"/>
        </w:rPr>
      </w:pPr>
      <w:bookmarkStart w:id="824" w:name="_Toc15147_WPSOffice_Level2"/>
      <w:bookmarkStart w:id="825" w:name="_Toc11022_WPSOffice_Level2"/>
      <w:bookmarkStart w:id="826" w:name="_Toc11594_WPSOffice_Level2"/>
      <w:r>
        <w:rPr>
          <w:rFonts w:hint="eastAsia" w:ascii="仿宋_GB2312" w:hAnsi="仿宋_GB2312" w:eastAsia="仿宋_GB2312" w:cs="仿宋_GB2312"/>
          <w:bCs/>
          <w:sz w:val="32"/>
          <w:szCs w:val="32"/>
        </w:rPr>
        <w:t>25.计量单位</w:t>
      </w:r>
      <w:bookmarkEnd w:id="824"/>
      <w:bookmarkEnd w:id="825"/>
      <w:bookmarkEnd w:id="826"/>
      <w:r>
        <w:rPr>
          <w:rFonts w:hint="eastAsia" w:ascii="仿宋_GB2312" w:hAnsi="仿宋_GB2312" w:eastAsia="仿宋_GB2312" w:cs="仿宋_GB2312"/>
          <w:bCs/>
          <w:sz w:val="32"/>
          <w:szCs w:val="32"/>
          <w:lang w:eastAsia="zh-CN"/>
        </w:rPr>
        <w:tab/>
      </w:r>
    </w:p>
    <w:p w14:paraId="3C930261">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除技术规范中另有规定外，计量单位均使用国家法定计量单位。</w:t>
      </w:r>
    </w:p>
    <w:p w14:paraId="3826B3E8">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Cs/>
          <w:sz w:val="32"/>
          <w:szCs w:val="32"/>
        </w:rPr>
      </w:pPr>
      <w:bookmarkStart w:id="827" w:name="_Toc15506_WPSOffice_Level2"/>
      <w:bookmarkStart w:id="828" w:name="_Toc32417_WPSOffice_Level2"/>
      <w:bookmarkStart w:id="829" w:name="_Toc24346_WPSOffice_Level2"/>
      <w:r>
        <w:rPr>
          <w:rFonts w:hint="eastAsia" w:ascii="仿宋_GB2312" w:hAnsi="仿宋_GB2312" w:eastAsia="仿宋_GB2312" w:cs="仿宋_GB2312"/>
          <w:bCs/>
          <w:sz w:val="32"/>
          <w:szCs w:val="32"/>
        </w:rPr>
        <w:t>26.适用法律</w:t>
      </w:r>
      <w:bookmarkEnd w:id="827"/>
      <w:bookmarkEnd w:id="828"/>
      <w:bookmarkEnd w:id="829"/>
    </w:p>
    <w:p w14:paraId="180561EF">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b/>
          <w:color w:val="000000"/>
          <w:sz w:val="32"/>
          <w:szCs w:val="32"/>
        </w:rPr>
      </w:pPr>
      <w:r>
        <w:rPr>
          <w:rFonts w:hint="eastAsia" w:ascii="仿宋_GB2312" w:hAnsi="仿宋_GB2312" w:eastAsia="仿宋_GB2312" w:cs="仿宋_GB2312"/>
          <w:bCs/>
          <w:sz w:val="32"/>
          <w:szCs w:val="32"/>
        </w:rPr>
        <w:t>本合同按照中华人民共和国的相关法律进行解释。</w:t>
      </w:r>
    </w:p>
    <w:p w14:paraId="63A6450C">
      <w:pPr>
        <w:widowControl w:val="0"/>
        <w:wordWrap/>
        <w:adjustRightInd w:val="0"/>
        <w:snapToGrid w:val="0"/>
        <w:spacing w:line="560" w:lineRule="exact"/>
        <w:textAlignment w:val="auto"/>
        <w:outlineLvl w:val="9"/>
        <w:rPr>
          <w:rFonts w:hint="eastAsia" w:ascii="仿宋_GB2312" w:hAnsi="仿宋_GB2312" w:eastAsia="仿宋_GB2312" w:cs="仿宋_GB2312"/>
          <w:b/>
          <w:color w:val="000000"/>
          <w:sz w:val="32"/>
          <w:szCs w:val="32"/>
        </w:rPr>
      </w:pPr>
    </w:p>
    <w:p w14:paraId="0324E6F7">
      <w:pPr>
        <w:widowControl w:val="0"/>
        <w:wordWrap/>
        <w:adjustRightInd w:val="0"/>
        <w:snapToGrid w:val="0"/>
        <w:spacing w:line="560" w:lineRule="exact"/>
        <w:textAlignment w:val="auto"/>
        <w:outlineLvl w:val="9"/>
        <w:rPr>
          <w:rFonts w:hint="eastAsia" w:ascii="仿宋_GB2312" w:hAnsi="仿宋_GB2312" w:eastAsia="仿宋_GB2312" w:cs="仿宋_GB2312"/>
          <w:b/>
          <w:color w:val="000000"/>
          <w:sz w:val="32"/>
          <w:szCs w:val="32"/>
        </w:rPr>
      </w:pPr>
    </w:p>
    <w:sectPr>
      <w:pgSz w:w="11906" w:h="16838"/>
      <w:pgMar w:top="1984" w:right="1474" w:bottom="1871" w:left="1474"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57C9C4E-A4A1-4E66-AA7C-D6F5C7EBF61A}"/>
  </w:font>
  <w:font w:name="黑体">
    <w:panose1 w:val="02010609060101010101"/>
    <w:charset w:val="86"/>
    <w:family w:val="auto"/>
    <w:pitch w:val="default"/>
    <w:sig w:usb0="800002BF" w:usb1="38CF7CFA" w:usb2="00000016" w:usb3="00000000" w:csb0="00040001" w:csb1="00000000"/>
    <w:embedRegular r:id="rId2" w:fontKey="{105B758C-AB3D-4D1E-9F16-F26EFF2B037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隶书">
    <w:panose1 w:val="02010509060101010101"/>
    <w:charset w:val="86"/>
    <w:family w:val="auto"/>
    <w:pitch w:val="default"/>
    <w:sig w:usb0="00000001" w:usb1="080E0000" w:usb2="00000000" w:usb3="00000000" w:csb0="00040000" w:csb1="00000000"/>
    <w:embedRegular r:id="rId3" w:fontKey="{50D71254-291C-4246-9097-9BDFD425C07F}"/>
  </w:font>
  <w:font w:name="华文中宋">
    <w:panose1 w:val="02010600040101010101"/>
    <w:charset w:val="86"/>
    <w:family w:val="auto"/>
    <w:pitch w:val="default"/>
    <w:sig w:usb0="00000287" w:usb1="080F0000" w:usb2="00000000" w:usb3="00000000" w:csb0="0004009F" w:csb1="DFD70000"/>
    <w:embedRegular r:id="rId4" w:fontKey="{3186A3AE-5C8B-4E7C-966F-FED2C602DFC0}"/>
  </w:font>
  <w:font w:name="Tahoma">
    <w:panose1 w:val="020B0604030504040204"/>
    <w:charset w:val="00"/>
    <w:family w:val="auto"/>
    <w:pitch w:val="default"/>
    <w:sig w:usb0="E1002EFF" w:usb1="C000605B" w:usb2="00000029" w:usb3="00000000" w:csb0="200101FF" w:csb1="20280000"/>
    <w:embedRegular r:id="rId5" w:fontKey="{A4122DC2-8EB0-4B59-9AD8-5F06F9F5D79C}"/>
  </w:font>
  <w:font w:name="楷体_GB2312">
    <w:panose1 w:val="02010609030101010101"/>
    <w:charset w:val="86"/>
    <w:family w:val="auto"/>
    <w:pitch w:val="default"/>
    <w:sig w:usb0="00000001" w:usb1="080E0000" w:usb2="00000000" w:usb3="00000000" w:csb0="00040000" w:csb1="00000000"/>
    <w:embedRegular r:id="rId6" w:fontKey="{94EF308F-BCF5-4CE8-A2B3-F1F5664E7C77}"/>
  </w:font>
  <w:font w:name="仿宋_GB2312">
    <w:panose1 w:val="02010609030101010101"/>
    <w:charset w:val="86"/>
    <w:family w:val="auto"/>
    <w:pitch w:val="default"/>
    <w:sig w:usb0="00000001" w:usb1="080E0000" w:usb2="00000000" w:usb3="00000000" w:csb0="00040000" w:csb1="00000000"/>
    <w:embedRegular r:id="rId7" w:fontKey="{A7491462-CB96-4AC7-AE42-CD06F72386EE}"/>
  </w:font>
  <w:font w:name="仿宋">
    <w:panose1 w:val="02010609060101010101"/>
    <w:charset w:val="86"/>
    <w:family w:val="auto"/>
    <w:pitch w:val="default"/>
    <w:sig w:usb0="800002BF" w:usb1="38CF7CFA" w:usb2="00000016" w:usb3="00000000" w:csb0="00040001" w:csb1="00000000"/>
    <w:embedRegular r:id="rId8" w:fontKey="{F443A434-B550-467B-B090-12D26D5D77BE}"/>
  </w:font>
  <w:font w:name="Calibri Light">
    <w:panose1 w:val="020F0302020204030204"/>
    <w:charset w:val="00"/>
    <w:family w:val="swiss"/>
    <w:pitch w:val="default"/>
    <w:sig w:usb0="A00002EF" w:usb1="4000207B" w:usb2="00000000" w:usb3="00000000" w:csb0="2000019F" w:csb1="00000000"/>
    <w:embedRegular r:id="rId9" w:fontKey="{F8729576-6800-4C99-B40C-2ABDF2E0EEC8}"/>
  </w:font>
  <w:font w:name="楷体">
    <w:panose1 w:val="02010609060101010101"/>
    <w:charset w:val="86"/>
    <w:family w:val="auto"/>
    <w:pitch w:val="default"/>
    <w:sig w:usb0="800002BF" w:usb1="38CF7CFA" w:usb2="00000016" w:usb3="00000000" w:csb0="00040001" w:csb1="00000000"/>
    <w:embedRegular r:id="rId10" w:fontKey="{7FE1581A-4924-42D5-AD48-C3AF4B98A367}"/>
  </w:font>
  <w:font w:name="方正仿宋_GB18030">
    <w:panose1 w:val="02000000000000000000"/>
    <w:charset w:val="86"/>
    <w:family w:val="auto"/>
    <w:pitch w:val="default"/>
    <w:sig w:usb0="00000001" w:usb1="08000000" w:usb2="00000000" w:usb3="00000000" w:csb0="00040000" w:csb1="00000000"/>
    <w:embedRegular r:id="rId11" w:fontKey="{826F9347-50AC-4340-B5FF-068065F40D97}"/>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950E7">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91915">
    <w:pPr>
      <w:pStyle w:val="7"/>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3697605</wp:posOffset>
              </wp:positionH>
              <wp:positionV relativeFrom="page">
                <wp:posOffset>9924415</wp:posOffset>
              </wp:positionV>
              <wp:extent cx="166370" cy="1524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CFE1836">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1.15pt;margin-top:781.45pt;height:12pt;width:13.1pt;mso-position-horizontal-relative:page;mso-position-vertical-relative:page;z-index:-251657216;mso-width-relative:page;mso-height-relative:page;" filled="f" stroked="f" coordsize="21600,21600" o:gfxdata="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YDU/aAAAADQEAAA8AAAAAAAAAAQAgAAAAIgAAAGRycy9kb3ducmV2LnhtbFBLAQIU&#10;ABQAAAAIAIdO4kC5yBDYuAEAAHEDAAAOAAAAAAAAAAEAIAAAACkBAABkcnMvZTJvRG9jLnhtbFBL&#10;BQYAAAAABgAGAFkBAABTBQAAAAA=&#10;">
              <v:fill on="f" focussize="0,0"/>
              <v:stroke on="f"/>
              <v:imagedata o:title=""/>
              <o:lock v:ext="edit" aspectratio="f"/>
              <v:textbox inset="0mm,0mm,0mm,0mm">
                <w:txbxContent>
                  <w:p w14:paraId="5CFE1836">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4130F">
    <w:pPr>
      <w:widowControl w:val="0"/>
      <w:adjustRightInd w:val="0"/>
      <w:spacing w:after="60" w:afterLines="0" w:line="14" w:lineRule="auto"/>
      <w:ind w:left="63" w:leftChars="30" w:right="63" w:rightChars="30"/>
      <w:jc w:val="center"/>
      <w:textAlignment w:val="baseline"/>
      <w:rPr>
        <w:rFonts w:ascii="Times New Roman" w:hAnsi="Times New Roman" w:eastAsia="宋体" w:cs="Times New Roman"/>
        <w:kern w:val="0"/>
        <w:sz w:val="20"/>
        <w:szCs w:val="20"/>
        <w:lang w:val="en-US" w:eastAsia="zh-CN" w:bidi="ar-SA"/>
      </w:rPr>
    </w:pPr>
    <w:r>
      <w:rPr>
        <w:rFonts w:ascii="Times New Roman" w:hAnsi="Times New Roman" w:eastAsia="宋体" w:cs="Times New Roman"/>
        <w:kern w:val="0"/>
        <w:sz w:val="20"/>
        <w:szCs w:val="20"/>
        <w:lang w:val="en-US" w:eastAsia="zh-CN" w:bidi="ar-SA"/>
      </w:rPr>
      <mc:AlternateContent>
        <mc:Choice Requires="wps">
          <w:drawing>
            <wp:anchor distT="0" distB="0" distL="114300" distR="114300" simplePos="0" relativeHeight="251659264" behindDoc="1" locked="0" layoutInCell="1" allowOverlap="1">
              <wp:simplePos x="0" y="0"/>
              <wp:positionH relativeFrom="page">
                <wp:posOffset>3697605</wp:posOffset>
              </wp:positionH>
              <wp:positionV relativeFrom="page">
                <wp:posOffset>9924415</wp:posOffset>
              </wp:positionV>
              <wp:extent cx="166370" cy="1524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EBE7595">
                          <w:pPr>
                            <w:spacing w:before="12"/>
                            <w:ind w:left="40" w:right="0" w:firstLine="0"/>
                            <w:jc w:val="left"/>
                            <w:rPr>
                              <w:rFonts w:ascii="Times New Roman" w:eastAsia="宋体"/>
                              <w:sz w:val="18"/>
                            </w:rPr>
                          </w:pPr>
                          <w:r>
                            <w:rPr>
                              <w:rFonts w:eastAsia="宋体"/>
                            </w:rPr>
                            <w:fldChar w:fldCharType="begin"/>
                          </w:r>
                          <w:r>
                            <w:rPr>
                              <w:rFonts w:ascii="Times New Roman" w:eastAsia="宋体"/>
                              <w:sz w:val="18"/>
                            </w:rPr>
                            <w:instrText xml:space="preserve"> PAGE </w:instrText>
                          </w:r>
                          <w:r>
                            <w:rPr>
                              <w:rFonts w:eastAsia="宋体"/>
                            </w:rPr>
                            <w:fldChar w:fldCharType="separate"/>
                          </w:r>
                          <w:r>
                            <w:rPr>
                              <w:rFonts w:eastAsia="宋体"/>
                            </w:rPr>
                            <w:t>60</w:t>
                          </w:r>
                          <w:r>
                            <w:rPr>
                              <w:rFonts w:eastAsia="宋体"/>
                            </w:rPr>
                            <w:fldChar w:fldCharType="end"/>
                          </w:r>
                        </w:p>
                      </w:txbxContent>
                    </wps:txbx>
                    <wps:bodyPr lIns="0" tIns="0" rIns="0" bIns="0" upright="1"/>
                  </wps:wsp>
                </a:graphicData>
              </a:graphic>
            </wp:anchor>
          </w:drawing>
        </mc:Choice>
        <mc:Fallback>
          <w:pict>
            <v:shape id="_x0000_s1026" o:spid="_x0000_s1026" o:spt="202" type="#_x0000_t202" style="position:absolute;left:0pt;margin-left:291.15pt;margin-top:781.45pt;height:12pt;width:13.1pt;mso-position-horizontal-relative:page;mso-position-vertical-relative:page;z-index:-251657216;mso-width-relative:page;mso-height-relative:page;" filled="f" stroked="f" coordsize="21600,21600" o:gfxdata="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mA1P2gAAAA0BAAAPAAAAAAAAAAEAIAAAACIAAABkcnMvZG93bnJldi54bWxQSwEC&#10;FAAUAAAACACHTuJA59wb5rkBAABxAwAADgAAAAAAAAABACAAAAApAQAAZHJzL2Uyb0RvYy54bWxQ&#10;SwUGAAAAAAYABgBZAQAAVAUAAAAA&#10;">
              <v:fill on="f" focussize="0,0"/>
              <v:stroke on="f"/>
              <v:imagedata o:title=""/>
              <o:lock v:ext="edit" aspectratio="f"/>
              <v:textbox inset="0mm,0mm,0mm,0mm">
                <w:txbxContent>
                  <w:p w14:paraId="1EBE7595">
                    <w:pPr>
                      <w:spacing w:before="12"/>
                      <w:ind w:left="40" w:right="0" w:firstLine="0"/>
                      <w:jc w:val="left"/>
                      <w:rPr>
                        <w:rFonts w:ascii="Times New Roman" w:eastAsia="宋体"/>
                        <w:sz w:val="18"/>
                      </w:rPr>
                    </w:pPr>
                    <w:r>
                      <w:rPr>
                        <w:rFonts w:eastAsia="宋体"/>
                      </w:rPr>
                      <w:fldChar w:fldCharType="begin"/>
                    </w:r>
                    <w:r>
                      <w:rPr>
                        <w:rFonts w:ascii="Times New Roman" w:eastAsia="宋体"/>
                        <w:sz w:val="18"/>
                      </w:rPr>
                      <w:instrText xml:space="preserve"> PAGE </w:instrText>
                    </w:r>
                    <w:r>
                      <w:rPr>
                        <w:rFonts w:eastAsia="宋体"/>
                      </w:rPr>
                      <w:fldChar w:fldCharType="separate"/>
                    </w:r>
                    <w:r>
                      <w:rPr>
                        <w:rFonts w:eastAsia="宋体"/>
                      </w:rPr>
                      <w:t>60</w:t>
                    </w:r>
                    <w:r>
                      <w:rPr>
                        <w:rFonts w:eastAsia="宋体"/>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9EDE0"/>
    <w:multiLevelType w:val="singleLevel"/>
    <w:tmpl w:val="8F79EDE0"/>
    <w:lvl w:ilvl="0" w:tentative="0">
      <w:start w:val="1"/>
      <w:numFmt w:val="decimal"/>
      <w:lvlText w:val="%1."/>
      <w:lvlJc w:val="left"/>
      <w:pPr>
        <w:tabs>
          <w:tab w:val="left" w:pos="312"/>
        </w:tabs>
      </w:pPr>
    </w:lvl>
  </w:abstractNum>
  <w:abstractNum w:abstractNumId="1">
    <w:nsid w:val="913CB2D7"/>
    <w:multiLevelType w:val="singleLevel"/>
    <w:tmpl w:val="913CB2D7"/>
    <w:lvl w:ilvl="0" w:tentative="0">
      <w:start w:val="5"/>
      <w:numFmt w:val="decimal"/>
      <w:suff w:val="nothing"/>
      <w:lvlText w:val="%1、"/>
      <w:lvlJc w:val="left"/>
    </w:lvl>
  </w:abstractNum>
  <w:abstractNum w:abstractNumId="2">
    <w:nsid w:val="E2E1C4A8"/>
    <w:multiLevelType w:val="singleLevel"/>
    <w:tmpl w:val="E2E1C4A8"/>
    <w:lvl w:ilvl="0" w:tentative="0">
      <w:start w:val="1"/>
      <w:numFmt w:val="decimal"/>
      <w:suff w:val="nothing"/>
      <w:lvlText w:val="%1、"/>
      <w:lvlJc w:val="left"/>
    </w:lvl>
  </w:abstractNum>
  <w:abstractNum w:abstractNumId="3">
    <w:nsid w:val="0D482EC5"/>
    <w:multiLevelType w:val="singleLevel"/>
    <w:tmpl w:val="0D482EC5"/>
    <w:lvl w:ilvl="0" w:tentative="0">
      <w:start w:val="1"/>
      <w:numFmt w:val="decimal"/>
      <w:suff w:val="nothing"/>
      <w:lvlText w:val="%1、"/>
      <w:lvlJc w:val="left"/>
    </w:lvl>
  </w:abstractNum>
  <w:abstractNum w:abstractNumId="4">
    <w:nsid w:val="14FED333"/>
    <w:multiLevelType w:val="singleLevel"/>
    <w:tmpl w:val="14FED333"/>
    <w:lvl w:ilvl="0" w:tentative="0">
      <w:start w:val="1"/>
      <w:numFmt w:val="chineseCounting"/>
      <w:suff w:val="space"/>
      <w:lvlText w:val="第%1部分"/>
      <w:lvlJc w:val="left"/>
      <w:rPr>
        <w:rFonts w:hint="eastAsia"/>
      </w:rPr>
    </w:lvl>
  </w:abstractNum>
  <w:abstractNum w:abstractNumId="5">
    <w:nsid w:val="206277B4"/>
    <w:multiLevelType w:val="singleLevel"/>
    <w:tmpl w:val="206277B4"/>
    <w:lvl w:ilvl="0" w:tentative="0">
      <w:start w:val="1"/>
      <w:numFmt w:val="decimal"/>
      <w:suff w:val="nothing"/>
      <w:lvlText w:val="%1、"/>
      <w:lvlJc w:val="left"/>
    </w:lvl>
  </w:abstractNum>
  <w:abstractNum w:abstractNumId="6">
    <w:nsid w:val="27F20F34"/>
    <w:multiLevelType w:val="singleLevel"/>
    <w:tmpl w:val="27F20F34"/>
    <w:lvl w:ilvl="0" w:tentative="0">
      <w:start w:val="1"/>
      <w:numFmt w:val="chineseCounting"/>
      <w:suff w:val="nothing"/>
      <w:lvlText w:val="%1、"/>
      <w:lvlJc w:val="left"/>
      <w:rPr>
        <w:rFonts w:hint="eastAsia"/>
      </w:rPr>
    </w:lvl>
  </w:abstractNum>
  <w:abstractNum w:abstractNumId="7">
    <w:nsid w:val="5EC64F27"/>
    <w:multiLevelType w:val="singleLevel"/>
    <w:tmpl w:val="5EC64F27"/>
    <w:lvl w:ilvl="0" w:tentative="0">
      <w:start w:val="1"/>
      <w:numFmt w:val="decimal"/>
      <w:suff w:val="nothing"/>
      <w:lvlText w:val="（%1）"/>
      <w:lvlJc w:val="left"/>
    </w:lvl>
  </w:abstractNum>
  <w:abstractNum w:abstractNumId="8">
    <w:nsid w:val="5F5ABBC2"/>
    <w:multiLevelType w:val="singleLevel"/>
    <w:tmpl w:val="5F5ABBC2"/>
    <w:lvl w:ilvl="0" w:tentative="0">
      <w:start w:val="1"/>
      <w:numFmt w:val="decimal"/>
      <w:suff w:val="nothing"/>
      <w:lvlText w:val="%1、"/>
      <w:lvlJc w:val="left"/>
    </w:lvl>
  </w:abstractNum>
  <w:abstractNum w:abstractNumId="9">
    <w:nsid w:val="6276A4E0"/>
    <w:multiLevelType w:val="singleLevel"/>
    <w:tmpl w:val="6276A4E0"/>
    <w:lvl w:ilvl="0" w:tentative="0">
      <w:start w:val="13"/>
      <w:numFmt w:val="decimal"/>
      <w:suff w:val="nothing"/>
      <w:lvlText w:val="%1、"/>
      <w:lvlJc w:val="left"/>
    </w:lvl>
  </w:abstractNum>
  <w:abstractNum w:abstractNumId="10">
    <w:nsid w:val="7028119B"/>
    <w:multiLevelType w:val="singleLevel"/>
    <w:tmpl w:val="7028119B"/>
    <w:lvl w:ilvl="0" w:tentative="0">
      <w:start w:val="1"/>
      <w:numFmt w:val="decimal"/>
      <w:suff w:val="space"/>
      <w:lvlText w:val="%1."/>
      <w:lvlJc w:val="left"/>
    </w:lvl>
  </w:abstractNum>
  <w:num w:numId="1">
    <w:abstractNumId w:val="4"/>
  </w:num>
  <w:num w:numId="2">
    <w:abstractNumId w:val="7"/>
  </w:num>
  <w:num w:numId="3">
    <w:abstractNumId w:val="6"/>
  </w:num>
  <w:num w:numId="4">
    <w:abstractNumId w:val="9"/>
  </w:num>
  <w:num w:numId="5">
    <w:abstractNumId w:val="3"/>
  </w:num>
  <w:num w:numId="6">
    <w:abstractNumId w:val="8"/>
  </w:num>
  <w:num w:numId="7">
    <w:abstractNumId w:val="2"/>
  </w:num>
  <w:num w:numId="8">
    <w:abstractNumId w:val="1"/>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wZDkxN2U2NzNkMjkzNzJkOTk2MjZjZjQzMDEzNzYifQ=="/>
  </w:docVars>
  <w:rsids>
    <w:rsidRoot w:val="7D9B5E16"/>
    <w:rsid w:val="00133387"/>
    <w:rsid w:val="007D1003"/>
    <w:rsid w:val="00AB1812"/>
    <w:rsid w:val="010A597F"/>
    <w:rsid w:val="01422C5C"/>
    <w:rsid w:val="017E2EA4"/>
    <w:rsid w:val="01904F18"/>
    <w:rsid w:val="0192652E"/>
    <w:rsid w:val="01F94887"/>
    <w:rsid w:val="01FE5971"/>
    <w:rsid w:val="023906E6"/>
    <w:rsid w:val="02637B1D"/>
    <w:rsid w:val="02664A99"/>
    <w:rsid w:val="02A9297E"/>
    <w:rsid w:val="02F9244A"/>
    <w:rsid w:val="033455DC"/>
    <w:rsid w:val="03442F30"/>
    <w:rsid w:val="03962305"/>
    <w:rsid w:val="0397575E"/>
    <w:rsid w:val="039E5B81"/>
    <w:rsid w:val="03A34D06"/>
    <w:rsid w:val="03A762C0"/>
    <w:rsid w:val="03BD5AE4"/>
    <w:rsid w:val="043647F4"/>
    <w:rsid w:val="043A30D4"/>
    <w:rsid w:val="044437FF"/>
    <w:rsid w:val="04474517"/>
    <w:rsid w:val="049A5E25"/>
    <w:rsid w:val="049C585F"/>
    <w:rsid w:val="049C5A4B"/>
    <w:rsid w:val="04CA7377"/>
    <w:rsid w:val="04DE17B1"/>
    <w:rsid w:val="04E012CE"/>
    <w:rsid w:val="05043401"/>
    <w:rsid w:val="05210BC9"/>
    <w:rsid w:val="05455794"/>
    <w:rsid w:val="055D0822"/>
    <w:rsid w:val="056913B5"/>
    <w:rsid w:val="058638C0"/>
    <w:rsid w:val="05947E3D"/>
    <w:rsid w:val="05994FC3"/>
    <w:rsid w:val="05E12013"/>
    <w:rsid w:val="05FD3580"/>
    <w:rsid w:val="061817DC"/>
    <w:rsid w:val="0624278B"/>
    <w:rsid w:val="06415D52"/>
    <w:rsid w:val="069230A7"/>
    <w:rsid w:val="06C15B5E"/>
    <w:rsid w:val="06F2641E"/>
    <w:rsid w:val="071C25A3"/>
    <w:rsid w:val="07526921"/>
    <w:rsid w:val="07685A53"/>
    <w:rsid w:val="07867AF5"/>
    <w:rsid w:val="07A7582F"/>
    <w:rsid w:val="07FB726E"/>
    <w:rsid w:val="0820258B"/>
    <w:rsid w:val="082D0D5E"/>
    <w:rsid w:val="083E2F6B"/>
    <w:rsid w:val="084F6F27"/>
    <w:rsid w:val="085A7CD4"/>
    <w:rsid w:val="0891104C"/>
    <w:rsid w:val="08A8028B"/>
    <w:rsid w:val="08CE41EB"/>
    <w:rsid w:val="08DF4F5E"/>
    <w:rsid w:val="08EF3E92"/>
    <w:rsid w:val="090D1B45"/>
    <w:rsid w:val="093D1475"/>
    <w:rsid w:val="096A649A"/>
    <w:rsid w:val="09CA247E"/>
    <w:rsid w:val="09D36971"/>
    <w:rsid w:val="09D947CF"/>
    <w:rsid w:val="09ED69F7"/>
    <w:rsid w:val="09F43A4D"/>
    <w:rsid w:val="09F47D86"/>
    <w:rsid w:val="0A132EBA"/>
    <w:rsid w:val="0A536242"/>
    <w:rsid w:val="0A801DDE"/>
    <w:rsid w:val="0AC74E48"/>
    <w:rsid w:val="0AED28F4"/>
    <w:rsid w:val="0AF21C56"/>
    <w:rsid w:val="0B2B4C7E"/>
    <w:rsid w:val="0B3505E2"/>
    <w:rsid w:val="0BB54002"/>
    <w:rsid w:val="0BBE10DA"/>
    <w:rsid w:val="0BEE20F5"/>
    <w:rsid w:val="0C616F96"/>
    <w:rsid w:val="0C661388"/>
    <w:rsid w:val="0C6A432F"/>
    <w:rsid w:val="0C71579D"/>
    <w:rsid w:val="0C8D54B7"/>
    <w:rsid w:val="0CA041F5"/>
    <w:rsid w:val="0CA87A52"/>
    <w:rsid w:val="0CD65E68"/>
    <w:rsid w:val="0D256ADD"/>
    <w:rsid w:val="0D2632A0"/>
    <w:rsid w:val="0D616E1A"/>
    <w:rsid w:val="0D6D0687"/>
    <w:rsid w:val="0D711167"/>
    <w:rsid w:val="0DAD6A2D"/>
    <w:rsid w:val="0DC708B6"/>
    <w:rsid w:val="0DC739FA"/>
    <w:rsid w:val="0DCA14B1"/>
    <w:rsid w:val="0E1631A4"/>
    <w:rsid w:val="0E1726BB"/>
    <w:rsid w:val="0E6D3E52"/>
    <w:rsid w:val="0E6F7242"/>
    <w:rsid w:val="0E783BEB"/>
    <w:rsid w:val="0E874D29"/>
    <w:rsid w:val="0E930373"/>
    <w:rsid w:val="0E9F423B"/>
    <w:rsid w:val="0EC87A33"/>
    <w:rsid w:val="0F1862C4"/>
    <w:rsid w:val="0F3B6457"/>
    <w:rsid w:val="0F6C5FE1"/>
    <w:rsid w:val="0F784F7D"/>
    <w:rsid w:val="0FA638D0"/>
    <w:rsid w:val="0FB96CC5"/>
    <w:rsid w:val="0FBC2646"/>
    <w:rsid w:val="0FF54858"/>
    <w:rsid w:val="0FFE2A11"/>
    <w:rsid w:val="102336BD"/>
    <w:rsid w:val="103E6C71"/>
    <w:rsid w:val="104A0F36"/>
    <w:rsid w:val="106113B0"/>
    <w:rsid w:val="109055EB"/>
    <w:rsid w:val="1092654A"/>
    <w:rsid w:val="10C36704"/>
    <w:rsid w:val="10D75D0B"/>
    <w:rsid w:val="10DE48CA"/>
    <w:rsid w:val="10DF7E33"/>
    <w:rsid w:val="10FF4C9A"/>
    <w:rsid w:val="1130268E"/>
    <w:rsid w:val="118D10C7"/>
    <w:rsid w:val="11A110D7"/>
    <w:rsid w:val="11FB2BE7"/>
    <w:rsid w:val="12323F28"/>
    <w:rsid w:val="12400F8A"/>
    <w:rsid w:val="1289645E"/>
    <w:rsid w:val="12917653"/>
    <w:rsid w:val="129E2F84"/>
    <w:rsid w:val="12C834B3"/>
    <w:rsid w:val="12DA04F5"/>
    <w:rsid w:val="12DE62D5"/>
    <w:rsid w:val="131C3D04"/>
    <w:rsid w:val="134502E2"/>
    <w:rsid w:val="13D2255B"/>
    <w:rsid w:val="13DD5D2E"/>
    <w:rsid w:val="1430196B"/>
    <w:rsid w:val="144A16EA"/>
    <w:rsid w:val="14526E5B"/>
    <w:rsid w:val="146B2C35"/>
    <w:rsid w:val="148305FA"/>
    <w:rsid w:val="149A777C"/>
    <w:rsid w:val="14A64FF4"/>
    <w:rsid w:val="14AB1387"/>
    <w:rsid w:val="14C30759"/>
    <w:rsid w:val="14D42C8D"/>
    <w:rsid w:val="15143E00"/>
    <w:rsid w:val="15144855"/>
    <w:rsid w:val="1532490E"/>
    <w:rsid w:val="1536195E"/>
    <w:rsid w:val="153875AC"/>
    <w:rsid w:val="15767E6D"/>
    <w:rsid w:val="158C5CD5"/>
    <w:rsid w:val="15B217F8"/>
    <w:rsid w:val="15E94352"/>
    <w:rsid w:val="160A7634"/>
    <w:rsid w:val="162768D5"/>
    <w:rsid w:val="163F682C"/>
    <w:rsid w:val="16932406"/>
    <w:rsid w:val="16DC5318"/>
    <w:rsid w:val="16E15B36"/>
    <w:rsid w:val="17067ADD"/>
    <w:rsid w:val="170F61FF"/>
    <w:rsid w:val="17215F32"/>
    <w:rsid w:val="173330A0"/>
    <w:rsid w:val="17763132"/>
    <w:rsid w:val="177B1AE6"/>
    <w:rsid w:val="17B514B3"/>
    <w:rsid w:val="1802614F"/>
    <w:rsid w:val="18027B12"/>
    <w:rsid w:val="181531AE"/>
    <w:rsid w:val="181B71CC"/>
    <w:rsid w:val="1834090E"/>
    <w:rsid w:val="18493992"/>
    <w:rsid w:val="18511297"/>
    <w:rsid w:val="185A675A"/>
    <w:rsid w:val="18AE48C0"/>
    <w:rsid w:val="18C211CC"/>
    <w:rsid w:val="18CD0120"/>
    <w:rsid w:val="19227628"/>
    <w:rsid w:val="19410EA4"/>
    <w:rsid w:val="194445E1"/>
    <w:rsid w:val="194D1260"/>
    <w:rsid w:val="196350BE"/>
    <w:rsid w:val="19A4550A"/>
    <w:rsid w:val="19DD26DF"/>
    <w:rsid w:val="19E10B40"/>
    <w:rsid w:val="1A0F2ECF"/>
    <w:rsid w:val="1A483F2C"/>
    <w:rsid w:val="1A4E6CE5"/>
    <w:rsid w:val="1A584361"/>
    <w:rsid w:val="1A647E13"/>
    <w:rsid w:val="1A651193"/>
    <w:rsid w:val="1A8F1A9D"/>
    <w:rsid w:val="1A977682"/>
    <w:rsid w:val="1A9B208C"/>
    <w:rsid w:val="1ACC3E1B"/>
    <w:rsid w:val="1ACD08AB"/>
    <w:rsid w:val="1AD11780"/>
    <w:rsid w:val="1AEF4ED1"/>
    <w:rsid w:val="1B662DBF"/>
    <w:rsid w:val="1B9D3F6B"/>
    <w:rsid w:val="1BAC476F"/>
    <w:rsid w:val="1BB23A6B"/>
    <w:rsid w:val="1C2F5B31"/>
    <w:rsid w:val="1C4B5294"/>
    <w:rsid w:val="1C57129B"/>
    <w:rsid w:val="1C5E5533"/>
    <w:rsid w:val="1C79405B"/>
    <w:rsid w:val="1C896D63"/>
    <w:rsid w:val="1C8E2DB1"/>
    <w:rsid w:val="1C9629C5"/>
    <w:rsid w:val="1CA7556E"/>
    <w:rsid w:val="1CCE591A"/>
    <w:rsid w:val="1D13631D"/>
    <w:rsid w:val="1D392B2F"/>
    <w:rsid w:val="1D5054A3"/>
    <w:rsid w:val="1D7542D0"/>
    <w:rsid w:val="1D914DB0"/>
    <w:rsid w:val="1D9A4A78"/>
    <w:rsid w:val="1E2F4669"/>
    <w:rsid w:val="1E48221C"/>
    <w:rsid w:val="1E662D79"/>
    <w:rsid w:val="1EED3CFC"/>
    <w:rsid w:val="1EF65831"/>
    <w:rsid w:val="1EFD1033"/>
    <w:rsid w:val="1F022493"/>
    <w:rsid w:val="1F196E7F"/>
    <w:rsid w:val="1F1D4355"/>
    <w:rsid w:val="1F453FAB"/>
    <w:rsid w:val="1F4F03F4"/>
    <w:rsid w:val="1FB115B7"/>
    <w:rsid w:val="202A40A9"/>
    <w:rsid w:val="203223C8"/>
    <w:rsid w:val="20525060"/>
    <w:rsid w:val="207F0C88"/>
    <w:rsid w:val="2080016D"/>
    <w:rsid w:val="20B22796"/>
    <w:rsid w:val="20E238F4"/>
    <w:rsid w:val="2103657D"/>
    <w:rsid w:val="21134B3E"/>
    <w:rsid w:val="21222FD3"/>
    <w:rsid w:val="213273CE"/>
    <w:rsid w:val="213F1A88"/>
    <w:rsid w:val="21525337"/>
    <w:rsid w:val="215E6293"/>
    <w:rsid w:val="21880624"/>
    <w:rsid w:val="21BE2CFB"/>
    <w:rsid w:val="21C422F5"/>
    <w:rsid w:val="21FE2839"/>
    <w:rsid w:val="22362EF3"/>
    <w:rsid w:val="22480239"/>
    <w:rsid w:val="2272669E"/>
    <w:rsid w:val="22732F73"/>
    <w:rsid w:val="227F4D71"/>
    <w:rsid w:val="2280389A"/>
    <w:rsid w:val="22AE3CB3"/>
    <w:rsid w:val="22C16F18"/>
    <w:rsid w:val="22E446B2"/>
    <w:rsid w:val="23045086"/>
    <w:rsid w:val="230B17AD"/>
    <w:rsid w:val="23EA1FF9"/>
    <w:rsid w:val="240E6BB6"/>
    <w:rsid w:val="247C2A7C"/>
    <w:rsid w:val="248C17E4"/>
    <w:rsid w:val="24FD76C4"/>
    <w:rsid w:val="2518015B"/>
    <w:rsid w:val="25230322"/>
    <w:rsid w:val="2531136C"/>
    <w:rsid w:val="258F3839"/>
    <w:rsid w:val="25A60401"/>
    <w:rsid w:val="25C722E2"/>
    <w:rsid w:val="25D7082F"/>
    <w:rsid w:val="25DE1FA0"/>
    <w:rsid w:val="265E7989"/>
    <w:rsid w:val="26806F3F"/>
    <w:rsid w:val="26822C27"/>
    <w:rsid w:val="26A34BB6"/>
    <w:rsid w:val="26AD5D21"/>
    <w:rsid w:val="26B0198D"/>
    <w:rsid w:val="26D22DA5"/>
    <w:rsid w:val="26DF296C"/>
    <w:rsid w:val="270579F2"/>
    <w:rsid w:val="27127DE0"/>
    <w:rsid w:val="273C404C"/>
    <w:rsid w:val="2749750B"/>
    <w:rsid w:val="27776649"/>
    <w:rsid w:val="278F5CF9"/>
    <w:rsid w:val="27AC3E0C"/>
    <w:rsid w:val="2810627B"/>
    <w:rsid w:val="28237D5C"/>
    <w:rsid w:val="282731BB"/>
    <w:rsid w:val="284670EE"/>
    <w:rsid w:val="28773DCD"/>
    <w:rsid w:val="28901506"/>
    <w:rsid w:val="28A201C2"/>
    <w:rsid w:val="28E05C4D"/>
    <w:rsid w:val="28ED597C"/>
    <w:rsid w:val="28FD5488"/>
    <w:rsid w:val="293269E1"/>
    <w:rsid w:val="294246C9"/>
    <w:rsid w:val="29907531"/>
    <w:rsid w:val="29AE5B0E"/>
    <w:rsid w:val="29E76475"/>
    <w:rsid w:val="29EE2837"/>
    <w:rsid w:val="2A4070B4"/>
    <w:rsid w:val="2A7D5F90"/>
    <w:rsid w:val="2A880B33"/>
    <w:rsid w:val="2AAC7EF5"/>
    <w:rsid w:val="2AC31BAB"/>
    <w:rsid w:val="2AD464A0"/>
    <w:rsid w:val="2ADE5E46"/>
    <w:rsid w:val="2AF84D34"/>
    <w:rsid w:val="2B0D6AA1"/>
    <w:rsid w:val="2B163A97"/>
    <w:rsid w:val="2B397896"/>
    <w:rsid w:val="2B487954"/>
    <w:rsid w:val="2B78699C"/>
    <w:rsid w:val="2B8D4AB7"/>
    <w:rsid w:val="2B8E6BE7"/>
    <w:rsid w:val="2BAD3935"/>
    <w:rsid w:val="2BC41856"/>
    <w:rsid w:val="2BFF1BB0"/>
    <w:rsid w:val="2C2E5CBB"/>
    <w:rsid w:val="2C3B3C5A"/>
    <w:rsid w:val="2C40455C"/>
    <w:rsid w:val="2CC30608"/>
    <w:rsid w:val="2CDC2BCF"/>
    <w:rsid w:val="2D0D3E55"/>
    <w:rsid w:val="2D16129C"/>
    <w:rsid w:val="2D4A518B"/>
    <w:rsid w:val="2D8A6187"/>
    <w:rsid w:val="2E0D090C"/>
    <w:rsid w:val="2E261C16"/>
    <w:rsid w:val="2E2A72DB"/>
    <w:rsid w:val="2E2C6200"/>
    <w:rsid w:val="2E370464"/>
    <w:rsid w:val="2E373242"/>
    <w:rsid w:val="2EFB0945"/>
    <w:rsid w:val="2F1228D8"/>
    <w:rsid w:val="2F173B14"/>
    <w:rsid w:val="2F3471F1"/>
    <w:rsid w:val="2F7A1819"/>
    <w:rsid w:val="2F7B1CC0"/>
    <w:rsid w:val="2F9B4F5A"/>
    <w:rsid w:val="2FBE0CB3"/>
    <w:rsid w:val="2FD74D0A"/>
    <w:rsid w:val="301E705B"/>
    <w:rsid w:val="30436AE0"/>
    <w:rsid w:val="30442F65"/>
    <w:rsid w:val="30572652"/>
    <w:rsid w:val="30747DCF"/>
    <w:rsid w:val="30780DBF"/>
    <w:rsid w:val="30B46ED7"/>
    <w:rsid w:val="30D84A6D"/>
    <w:rsid w:val="30E33523"/>
    <w:rsid w:val="31026535"/>
    <w:rsid w:val="31224555"/>
    <w:rsid w:val="31345A5E"/>
    <w:rsid w:val="314F7BCC"/>
    <w:rsid w:val="315E2BBB"/>
    <w:rsid w:val="31CC6188"/>
    <w:rsid w:val="31CD6FAF"/>
    <w:rsid w:val="3226610A"/>
    <w:rsid w:val="32951856"/>
    <w:rsid w:val="3296184E"/>
    <w:rsid w:val="32A4602F"/>
    <w:rsid w:val="32D16607"/>
    <w:rsid w:val="32F522F5"/>
    <w:rsid w:val="33125D85"/>
    <w:rsid w:val="332F4735"/>
    <w:rsid w:val="3350110D"/>
    <w:rsid w:val="336D45D4"/>
    <w:rsid w:val="339C50EB"/>
    <w:rsid w:val="33AD497E"/>
    <w:rsid w:val="33C5716B"/>
    <w:rsid w:val="33F25B4F"/>
    <w:rsid w:val="34184F37"/>
    <w:rsid w:val="342866FA"/>
    <w:rsid w:val="342873FA"/>
    <w:rsid w:val="342D5ABF"/>
    <w:rsid w:val="34321327"/>
    <w:rsid w:val="34396320"/>
    <w:rsid w:val="344E1225"/>
    <w:rsid w:val="345B5A10"/>
    <w:rsid w:val="346A6D13"/>
    <w:rsid w:val="34745F53"/>
    <w:rsid w:val="348875DC"/>
    <w:rsid w:val="34D04F7F"/>
    <w:rsid w:val="35061DD1"/>
    <w:rsid w:val="353D7F83"/>
    <w:rsid w:val="356951E6"/>
    <w:rsid w:val="356B65D3"/>
    <w:rsid w:val="35DD6DFE"/>
    <w:rsid w:val="36081B02"/>
    <w:rsid w:val="3638029F"/>
    <w:rsid w:val="36446D39"/>
    <w:rsid w:val="36625FF9"/>
    <w:rsid w:val="367B5F3D"/>
    <w:rsid w:val="369845D5"/>
    <w:rsid w:val="36A10B2A"/>
    <w:rsid w:val="36B424C7"/>
    <w:rsid w:val="36FA437E"/>
    <w:rsid w:val="370A062F"/>
    <w:rsid w:val="371A5C2B"/>
    <w:rsid w:val="37585282"/>
    <w:rsid w:val="376D6AAD"/>
    <w:rsid w:val="376D741A"/>
    <w:rsid w:val="37A05856"/>
    <w:rsid w:val="37C0293D"/>
    <w:rsid w:val="381009F4"/>
    <w:rsid w:val="38177AC2"/>
    <w:rsid w:val="38196A86"/>
    <w:rsid w:val="38330237"/>
    <w:rsid w:val="385B0E4C"/>
    <w:rsid w:val="386F4E9B"/>
    <w:rsid w:val="38C059A8"/>
    <w:rsid w:val="38C9516C"/>
    <w:rsid w:val="38DA238F"/>
    <w:rsid w:val="38F62BB1"/>
    <w:rsid w:val="39461AFC"/>
    <w:rsid w:val="39882115"/>
    <w:rsid w:val="399461DD"/>
    <w:rsid w:val="39C01AE1"/>
    <w:rsid w:val="39E61C93"/>
    <w:rsid w:val="39EB4082"/>
    <w:rsid w:val="3A174A97"/>
    <w:rsid w:val="3A836346"/>
    <w:rsid w:val="3A856654"/>
    <w:rsid w:val="3AD46C94"/>
    <w:rsid w:val="3AD61226"/>
    <w:rsid w:val="3ADF09B2"/>
    <w:rsid w:val="3AF96301"/>
    <w:rsid w:val="3B0953A4"/>
    <w:rsid w:val="3B406388"/>
    <w:rsid w:val="3B514788"/>
    <w:rsid w:val="3B691AD2"/>
    <w:rsid w:val="3BCB4D5F"/>
    <w:rsid w:val="3BED0B84"/>
    <w:rsid w:val="3BF05D4F"/>
    <w:rsid w:val="3BF847AA"/>
    <w:rsid w:val="3C0E0D18"/>
    <w:rsid w:val="3C0E6A8C"/>
    <w:rsid w:val="3C327705"/>
    <w:rsid w:val="3CB748BC"/>
    <w:rsid w:val="3CDA061D"/>
    <w:rsid w:val="3CEA279F"/>
    <w:rsid w:val="3CF82477"/>
    <w:rsid w:val="3D193454"/>
    <w:rsid w:val="3D4C7081"/>
    <w:rsid w:val="3D85696B"/>
    <w:rsid w:val="3D9F3525"/>
    <w:rsid w:val="3DA66E5F"/>
    <w:rsid w:val="3DCC1178"/>
    <w:rsid w:val="3E004C98"/>
    <w:rsid w:val="3E1729E1"/>
    <w:rsid w:val="3E3B0987"/>
    <w:rsid w:val="3E481E73"/>
    <w:rsid w:val="3E5C573C"/>
    <w:rsid w:val="3E6F1C2A"/>
    <w:rsid w:val="3E834C59"/>
    <w:rsid w:val="3EBC2196"/>
    <w:rsid w:val="3EBF1A09"/>
    <w:rsid w:val="3ED01E68"/>
    <w:rsid w:val="3EE12264"/>
    <w:rsid w:val="3F000963"/>
    <w:rsid w:val="3F330535"/>
    <w:rsid w:val="3F776BBB"/>
    <w:rsid w:val="3F827606"/>
    <w:rsid w:val="3F8A03FC"/>
    <w:rsid w:val="3FB44E3F"/>
    <w:rsid w:val="3FC7184B"/>
    <w:rsid w:val="3FCC1BB2"/>
    <w:rsid w:val="3FD87003"/>
    <w:rsid w:val="3FFA1B0C"/>
    <w:rsid w:val="404A55F8"/>
    <w:rsid w:val="40511371"/>
    <w:rsid w:val="409A44DC"/>
    <w:rsid w:val="40B97554"/>
    <w:rsid w:val="422519D2"/>
    <w:rsid w:val="42576B28"/>
    <w:rsid w:val="429027CA"/>
    <w:rsid w:val="42A77656"/>
    <w:rsid w:val="42D00689"/>
    <w:rsid w:val="42F7700A"/>
    <w:rsid w:val="432450BB"/>
    <w:rsid w:val="43803F8D"/>
    <w:rsid w:val="43D146B8"/>
    <w:rsid w:val="440F181D"/>
    <w:rsid w:val="44107D9B"/>
    <w:rsid w:val="442D38C5"/>
    <w:rsid w:val="443D69C6"/>
    <w:rsid w:val="444C01E3"/>
    <w:rsid w:val="44BA09DD"/>
    <w:rsid w:val="451520DD"/>
    <w:rsid w:val="45530DAA"/>
    <w:rsid w:val="456904E4"/>
    <w:rsid w:val="458B6E22"/>
    <w:rsid w:val="45C0188C"/>
    <w:rsid w:val="45CB0043"/>
    <w:rsid w:val="45D472F0"/>
    <w:rsid w:val="45EE208A"/>
    <w:rsid w:val="460515BC"/>
    <w:rsid w:val="46170C81"/>
    <w:rsid w:val="4618037D"/>
    <w:rsid w:val="4624732B"/>
    <w:rsid w:val="47176167"/>
    <w:rsid w:val="47385EDA"/>
    <w:rsid w:val="4761150D"/>
    <w:rsid w:val="477729D5"/>
    <w:rsid w:val="478B23DE"/>
    <w:rsid w:val="47906638"/>
    <w:rsid w:val="4794205E"/>
    <w:rsid w:val="47953C4F"/>
    <w:rsid w:val="47983F18"/>
    <w:rsid w:val="47C462E6"/>
    <w:rsid w:val="47CF0B1D"/>
    <w:rsid w:val="47E23378"/>
    <w:rsid w:val="48237E62"/>
    <w:rsid w:val="484418DC"/>
    <w:rsid w:val="48F574B5"/>
    <w:rsid w:val="4907292A"/>
    <w:rsid w:val="49381EC2"/>
    <w:rsid w:val="494424E5"/>
    <w:rsid w:val="49480A6C"/>
    <w:rsid w:val="499C283D"/>
    <w:rsid w:val="4A0F06F9"/>
    <w:rsid w:val="4A707996"/>
    <w:rsid w:val="4AD87F7A"/>
    <w:rsid w:val="4AF8077D"/>
    <w:rsid w:val="4B100CD3"/>
    <w:rsid w:val="4B592939"/>
    <w:rsid w:val="4B6129A5"/>
    <w:rsid w:val="4B9A321D"/>
    <w:rsid w:val="4B9F2679"/>
    <w:rsid w:val="4BD862EA"/>
    <w:rsid w:val="4C04304D"/>
    <w:rsid w:val="4C38427F"/>
    <w:rsid w:val="4C8D39F2"/>
    <w:rsid w:val="4CB10ACF"/>
    <w:rsid w:val="4CBF6018"/>
    <w:rsid w:val="4CC01E86"/>
    <w:rsid w:val="4D1D02CA"/>
    <w:rsid w:val="4D2B7562"/>
    <w:rsid w:val="4D73233C"/>
    <w:rsid w:val="4D8A4BA3"/>
    <w:rsid w:val="4DAB321C"/>
    <w:rsid w:val="4DCE1C69"/>
    <w:rsid w:val="4DDB03B5"/>
    <w:rsid w:val="4DE64721"/>
    <w:rsid w:val="4DED4A76"/>
    <w:rsid w:val="4E6D0726"/>
    <w:rsid w:val="4E720846"/>
    <w:rsid w:val="4ED72EBD"/>
    <w:rsid w:val="4EE202E0"/>
    <w:rsid w:val="4F4277D3"/>
    <w:rsid w:val="4F5C1D7A"/>
    <w:rsid w:val="501A68C4"/>
    <w:rsid w:val="501D1E0A"/>
    <w:rsid w:val="50452592"/>
    <w:rsid w:val="50A15412"/>
    <w:rsid w:val="50A3118B"/>
    <w:rsid w:val="50B60CD4"/>
    <w:rsid w:val="50F25C6E"/>
    <w:rsid w:val="511C19E5"/>
    <w:rsid w:val="51271052"/>
    <w:rsid w:val="512E720F"/>
    <w:rsid w:val="51427FD2"/>
    <w:rsid w:val="514B3CFC"/>
    <w:rsid w:val="51521163"/>
    <w:rsid w:val="5176769E"/>
    <w:rsid w:val="519017FF"/>
    <w:rsid w:val="51B22AB2"/>
    <w:rsid w:val="51F515B1"/>
    <w:rsid w:val="51FE1D5B"/>
    <w:rsid w:val="51FE73D1"/>
    <w:rsid w:val="52320C2A"/>
    <w:rsid w:val="523D62F4"/>
    <w:rsid w:val="525E1176"/>
    <w:rsid w:val="52705B03"/>
    <w:rsid w:val="530D6DB5"/>
    <w:rsid w:val="53534733"/>
    <w:rsid w:val="535B4140"/>
    <w:rsid w:val="5371731E"/>
    <w:rsid w:val="539E1985"/>
    <w:rsid w:val="53B41740"/>
    <w:rsid w:val="53C41A0A"/>
    <w:rsid w:val="53D578AD"/>
    <w:rsid w:val="53E9079A"/>
    <w:rsid w:val="540648B0"/>
    <w:rsid w:val="540A76DC"/>
    <w:rsid w:val="54331A0E"/>
    <w:rsid w:val="54536FA9"/>
    <w:rsid w:val="54541372"/>
    <w:rsid w:val="54630688"/>
    <w:rsid w:val="54A84FC1"/>
    <w:rsid w:val="54AB36A4"/>
    <w:rsid w:val="54B06E11"/>
    <w:rsid w:val="54EA7388"/>
    <w:rsid w:val="54FE4BE1"/>
    <w:rsid w:val="550C50F7"/>
    <w:rsid w:val="55410F72"/>
    <w:rsid w:val="5571016F"/>
    <w:rsid w:val="557430F6"/>
    <w:rsid w:val="557F61CB"/>
    <w:rsid w:val="559612BE"/>
    <w:rsid w:val="55AB4E73"/>
    <w:rsid w:val="55B04C26"/>
    <w:rsid w:val="55C53951"/>
    <w:rsid w:val="55F51E57"/>
    <w:rsid w:val="561546F9"/>
    <w:rsid w:val="562474DE"/>
    <w:rsid w:val="56712A9B"/>
    <w:rsid w:val="568C7EDB"/>
    <w:rsid w:val="56A83158"/>
    <w:rsid w:val="56AB2B47"/>
    <w:rsid w:val="56BC4D54"/>
    <w:rsid w:val="56BF65F2"/>
    <w:rsid w:val="56CB28ED"/>
    <w:rsid w:val="56CF2CD9"/>
    <w:rsid w:val="56DD5348"/>
    <w:rsid w:val="5708799A"/>
    <w:rsid w:val="57521214"/>
    <w:rsid w:val="577E1C1A"/>
    <w:rsid w:val="579B0E0D"/>
    <w:rsid w:val="57BB500C"/>
    <w:rsid w:val="57EF4CB5"/>
    <w:rsid w:val="57F27B11"/>
    <w:rsid w:val="58711B6E"/>
    <w:rsid w:val="587D00AE"/>
    <w:rsid w:val="58AD516E"/>
    <w:rsid w:val="58AF3175"/>
    <w:rsid w:val="58DE337E"/>
    <w:rsid w:val="58F12B4C"/>
    <w:rsid w:val="590A0B07"/>
    <w:rsid w:val="59361F1D"/>
    <w:rsid w:val="599E5A25"/>
    <w:rsid w:val="59B83346"/>
    <w:rsid w:val="59D23C0D"/>
    <w:rsid w:val="5A3469D4"/>
    <w:rsid w:val="5A496657"/>
    <w:rsid w:val="5A8C3C9B"/>
    <w:rsid w:val="5A915E3F"/>
    <w:rsid w:val="5AA26202"/>
    <w:rsid w:val="5AAC3332"/>
    <w:rsid w:val="5ADF1011"/>
    <w:rsid w:val="5AE03DDB"/>
    <w:rsid w:val="5AEF00AC"/>
    <w:rsid w:val="5AF56F8D"/>
    <w:rsid w:val="5B235167"/>
    <w:rsid w:val="5B37206F"/>
    <w:rsid w:val="5B79457C"/>
    <w:rsid w:val="5B887691"/>
    <w:rsid w:val="5B8C63D0"/>
    <w:rsid w:val="5B9270AD"/>
    <w:rsid w:val="5BBE7042"/>
    <w:rsid w:val="5BE014E5"/>
    <w:rsid w:val="5BE7736C"/>
    <w:rsid w:val="5BFA2163"/>
    <w:rsid w:val="5BFE216A"/>
    <w:rsid w:val="5C0F5926"/>
    <w:rsid w:val="5C180C7F"/>
    <w:rsid w:val="5C217C66"/>
    <w:rsid w:val="5C441A74"/>
    <w:rsid w:val="5C5577D7"/>
    <w:rsid w:val="5C753C92"/>
    <w:rsid w:val="5CC84CFD"/>
    <w:rsid w:val="5CF4111F"/>
    <w:rsid w:val="5D3C06FD"/>
    <w:rsid w:val="5D4A3A21"/>
    <w:rsid w:val="5D6408DE"/>
    <w:rsid w:val="5D755C5D"/>
    <w:rsid w:val="5DD839F4"/>
    <w:rsid w:val="5DE3241E"/>
    <w:rsid w:val="5E467D15"/>
    <w:rsid w:val="5E814705"/>
    <w:rsid w:val="5E974A0B"/>
    <w:rsid w:val="5EF65D05"/>
    <w:rsid w:val="5F0F4FAB"/>
    <w:rsid w:val="5F116F65"/>
    <w:rsid w:val="5F4104EC"/>
    <w:rsid w:val="5F744410"/>
    <w:rsid w:val="5F8038FF"/>
    <w:rsid w:val="5FAB1260"/>
    <w:rsid w:val="5FB94527"/>
    <w:rsid w:val="5FD2383A"/>
    <w:rsid w:val="60116B8B"/>
    <w:rsid w:val="601254EC"/>
    <w:rsid w:val="602659AC"/>
    <w:rsid w:val="60810063"/>
    <w:rsid w:val="60AE2DC5"/>
    <w:rsid w:val="60B16E03"/>
    <w:rsid w:val="60F25329"/>
    <w:rsid w:val="610D0E27"/>
    <w:rsid w:val="61600953"/>
    <w:rsid w:val="61CB34F5"/>
    <w:rsid w:val="620D53AE"/>
    <w:rsid w:val="62314D79"/>
    <w:rsid w:val="62692398"/>
    <w:rsid w:val="62774470"/>
    <w:rsid w:val="62D84CC4"/>
    <w:rsid w:val="62F833D8"/>
    <w:rsid w:val="639F4715"/>
    <w:rsid w:val="63C50747"/>
    <w:rsid w:val="644D317A"/>
    <w:rsid w:val="64597C68"/>
    <w:rsid w:val="64BA6D50"/>
    <w:rsid w:val="64DC0886"/>
    <w:rsid w:val="64E45393"/>
    <w:rsid w:val="65366619"/>
    <w:rsid w:val="65A7260E"/>
    <w:rsid w:val="65B36BB3"/>
    <w:rsid w:val="65FC33BF"/>
    <w:rsid w:val="660E75CC"/>
    <w:rsid w:val="661E127D"/>
    <w:rsid w:val="6628294C"/>
    <w:rsid w:val="6658601C"/>
    <w:rsid w:val="666E6D57"/>
    <w:rsid w:val="668C6B1C"/>
    <w:rsid w:val="66912177"/>
    <w:rsid w:val="67126414"/>
    <w:rsid w:val="672506F4"/>
    <w:rsid w:val="67466E44"/>
    <w:rsid w:val="67BB7F68"/>
    <w:rsid w:val="67DA7730"/>
    <w:rsid w:val="67E25D6B"/>
    <w:rsid w:val="67F105D6"/>
    <w:rsid w:val="684F4382"/>
    <w:rsid w:val="685E7DB7"/>
    <w:rsid w:val="686618A4"/>
    <w:rsid w:val="688055E9"/>
    <w:rsid w:val="68AA0ED1"/>
    <w:rsid w:val="68AF64C7"/>
    <w:rsid w:val="68DC67A7"/>
    <w:rsid w:val="69666AA9"/>
    <w:rsid w:val="69934C07"/>
    <w:rsid w:val="69AE0851"/>
    <w:rsid w:val="69BF4C5E"/>
    <w:rsid w:val="6A003DB4"/>
    <w:rsid w:val="6A233D35"/>
    <w:rsid w:val="6A276531"/>
    <w:rsid w:val="6A312060"/>
    <w:rsid w:val="6A3A44B6"/>
    <w:rsid w:val="6AC11213"/>
    <w:rsid w:val="6AF228DA"/>
    <w:rsid w:val="6AF266A1"/>
    <w:rsid w:val="6AFA5C8E"/>
    <w:rsid w:val="6B3C7DBA"/>
    <w:rsid w:val="6B43383E"/>
    <w:rsid w:val="6B562A6F"/>
    <w:rsid w:val="6B5B2936"/>
    <w:rsid w:val="6B846048"/>
    <w:rsid w:val="6B8A6D77"/>
    <w:rsid w:val="6BB6488D"/>
    <w:rsid w:val="6BC0391C"/>
    <w:rsid w:val="6BCF356C"/>
    <w:rsid w:val="6BE56617"/>
    <w:rsid w:val="6C0F02D9"/>
    <w:rsid w:val="6C3118E9"/>
    <w:rsid w:val="6C615D2A"/>
    <w:rsid w:val="6C8D2FC3"/>
    <w:rsid w:val="6CB51DAA"/>
    <w:rsid w:val="6CEB7CE9"/>
    <w:rsid w:val="6D331018"/>
    <w:rsid w:val="6D484EC2"/>
    <w:rsid w:val="6D780CD8"/>
    <w:rsid w:val="6D9143ED"/>
    <w:rsid w:val="6DC93BDC"/>
    <w:rsid w:val="6E0B2DF1"/>
    <w:rsid w:val="6E2B60EC"/>
    <w:rsid w:val="6E3961E3"/>
    <w:rsid w:val="6E672B2B"/>
    <w:rsid w:val="6E7F49CE"/>
    <w:rsid w:val="6E804A52"/>
    <w:rsid w:val="6EEA6521"/>
    <w:rsid w:val="6F2A7532"/>
    <w:rsid w:val="6F443BEB"/>
    <w:rsid w:val="6F7922B4"/>
    <w:rsid w:val="6F945941"/>
    <w:rsid w:val="6FAF2974"/>
    <w:rsid w:val="6FB824BF"/>
    <w:rsid w:val="6FBC1364"/>
    <w:rsid w:val="6FFE44E5"/>
    <w:rsid w:val="700D390C"/>
    <w:rsid w:val="7013707D"/>
    <w:rsid w:val="702A052A"/>
    <w:rsid w:val="70425E72"/>
    <w:rsid w:val="70771AF6"/>
    <w:rsid w:val="70910BA8"/>
    <w:rsid w:val="70E4517B"/>
    <w:rsid w:val="70EE1BE6"/>
    <w:rsid w:val="711E68DF"/>
    <w:rsid w:val="712F1EBE"/>
    <w:rsid w:val="71797903"/>
    <w:rsid w:val="71810C1C"/>
    <w:rsid w:val="71C365ED"/>
    <w:rsid w:val="71E64DF1"/>
    <w:rsid w:val="71FC6228"/>
    <w:rsid w:val="7202096F"/>
    <w:rsid w:val="7221599F"/>
    <w:rsid w:val="727B566C"/>
    <w:rsid w:val="72C60FDD"/>
    <w:rsid w:val="72F0558E"/>
    <w:rsid w:val="7380413A"/>
    <w:rsid w:val="738E15E9"/>
    <w:rsid w:val="73972F2B"/>
    <w:rsid w:val="742C5837"/>
    <w:rsid w:val="74391B1A"/>
    <w:rsid w:val="74507A4C"/>
    <w:rsid w:val="74695916"/>
    <w:rsid w:val="747F7695"/>
    <w:rsid w:val="74C4154C"/>
    <w:rsid w:val="74DA65D6"/>
    <w:rsid w:val="75016B8F"/>
    <w:rsid w:val="75053FA4"/>
    <w:rsid w:val="752E1EA9"/>
    <w:rsid w:val="75575F1C"/>
    <w:rsid w:val="7563629C"/>
    <w:rsid w:val="757F7E3A"/>
    <w:rsid w:val="758962F1"/>
    <w:rsid w:val="75BE3D92"/>
    <w:rsid w:val="76275612"/>
    <w:rsid w:val="76283EC0"/>
    <w:rsid w:val="76364E44"/>
    <w:rsid w:val="76473B85"/>
    <w:rsid w:val="769F1EFB"/>
    <w:rsid w:val="76CC6FD9"/>
    <w:rsid w:val="76FE6E62"/>
    <w:rsid w:val="77280102"/>
    <w:rsid w:val="775070C7"/>
    <w:rsid w:val="775B5A6C"/>
    <w:rsid w:val="77864563"/>
    <w:rsid w:val="779A6490"/>
    <w:rsid w:val="77AA4599"/>
    <w:rsid w:val="77BE0E03"/>
    <w:rsid w:val="785724B6"/>
    <w:rsid w:val="78805386"/>
    <w:rsid w:val="789F6743"/>
    <w:rsid w:val="78B258B1"/>
    <w:rsid w:val="78D831C8"/>
    <w:rsid w:val="78EB3337"/>
    <w:rsid w:val="78F23D95"/>
    <w:rsid w:val="791F1F14"/>
    <w:rsid w:val="79465555"/>
    <w:rsid w:val="79466CCB"/>
    <w:rsid w:val="795A2A64"/>
    <w:rsid w:val="799019CC"/>
    <w:rsid w:val="799440C9"/>
    <w:rsid w:val="79AC3A8C"/>
    <w:rsid w:val="79F07DD0"/>
    <w:rsid w:val="79F91BF5"/>
    <w:rsid w:val="7A6C1EC7"/>
    <w:rsid w:val="7AC83418"/>
    <w:rsid w:val="7ADC498D"/>
    <w:rsid w:val="7AFB1355"/>
    <w:rsid w:val="7B315D17"/>
    <w:rsid w:val="7B3B008E"/>
    <w:rsid w:val="7B930AE8"/>
    <w:rsid w:val="7BAC64E4"/>
    <w:rsid w:val="7C1F211B"/>
    <w:rsid w:val="7C355CCF"/>
    <w:rsid w:val="7C46355F"/>
    <w:rsid w:val="7C6B4DDE"/>
    <w:rsid w:val="7C9D4BBC"/>
    <w:rsid w:val="7CBF08C5"/>
    <w:rsid w:val="7CC63C1B"/>
    <w:rsid w:val="7CE5560B"/>
    <w:rsid w:val="7CF04AB7"/>
    <w:rsid w:val="7D1B3439"/>
    <w:rsid w:val="7D1C1160"/>
    <w:rsid w:val="7D3B7F47"/>
    <w:rsid w:val="7D7004C3"/>
    <w:rsid w:val="7D9B5E16"/>
    <w:rsid w:val="7DB76FD2"/>
    <w:rsid w:val="7DD56578"/>
    <w:rsid w:val="7DF4784C"/>
    <w:rsid w:val="7E143686"/>
    <w:rsid w:val="7E377166"/>
    <w:rsid w:val="7E5A55AC"/>
    <w:rsid w:val="7E7D6D40"/>
    <w:rsid w:val="7E7F7D0E"/>
    <w:rsid w:val="7EE73E3D"/>
    <w:rsid w:val="7F3B0E70"/>
    <w:rsid w:val="7F5867C0"/>
    <w:rsid w:val="7F631454"/>
    <w:rsid w:val="7F88607A"/>
    <w:rsid w:val="7F9562A7"/>
    <w:rsid w:val="7F996879"/>
    <w:rsid w:val="7FBC7F56"/>
    <w:rsid w:val="7FBE3BB1"/>
    <w:rsid w:val="7FC00AF9"/>
    <w:rsid w:val="7FEF59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0"/>
    <w:pPr>
      <w:keepNext/>
      <w:jc w:val="center"/>
      <w:outlineLvl w:val="0"/>
    </w:pPr>
    <w:rPr>
      <w:b/>
      <w:bCs/>
      <w:sz w:val="24"/>
      <w:szCs w:val="20"/>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paragraph" w:styleId="4">
    <w:name w:val="heading 3"/>
    <w:basedOn w:val="1"/>
    <w:next w:val="1"/>
    <w:link w:val="50"/>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8"/>
    <w:qFormat/>
    <w:uiPriority w:val="0"/>
    <w:pPr>
      <w:adjustRightInd w:val="0"/>
      <w:spacing w:after="60" w:afterLines="0" w:line="360" w:lineRule="atLeast"/>
      <w:ind w:left="72" w:leftChars="30" w:right="30" w:rightChars="30"/>
      <w:jc w:val="center"/>
      <w:textAlignment w:val="baseline"/>
    </w:pPr>
    <w:rPr>
      <w:rFonts w:ascii="Times New Roman" w:hAnsi="Times New Roman"/>
      <w:kern w:val="0"/>
      <w:sz w:val="20"/>
      <w:szCs w:val="20"/>
    </w:rPr>
  </w:style>
  <w:style w:type="paragraph" w:styleId="8">
    <w:name w:val="Body Text Indent"/>
    <w:basedOn w:val="1"/>
    <w:next w:val="9"/>
    <w:qFormat/>
    <w:uiPriority w:val="0"/>
    <w:pPr>
      <w:tabs>
        <w:tab w:val="left" w:pos="2160"/>
      </w:tabs>
      <w:ind w:left="2159" w:leftChars="1028" w:firstLine="1"/>
    </w:pPr>
    <w:rPr>
      <w:rFonts w:ascii="宋体" w:hAnsi="宋体"/>
      <w:szCs w:val="21"/>
    </w:rPr>
  </w:style>
  <w:style w:type="paragraph" w:styleId="9">
    <w:name w:val="Body Text First Indent 2"/>
    <w:basedOn w:val="8"/>
    <w:next w:val="1"/>
    <w:qFormat/>
    <w:uiPriority w:val="0"/>
    <w:pPr>
      <w:ind w:firstLine="420" w:firstLineChars="200"/>
    </w:pPr>
    <w:rPr>
      <w:rFonts w:ascii="Times New Roman" w:hAnsi="Times New Roman" w:cs="Times New Roman"/>
      <w:sz w:val="20"/>
    </w:rPr>
  </w:style>
  <w:style w:type="paragraph" w:styleId="10">
    <w:name w:val="toc 3"/>
    <w:basedOn w:val="1"/>
    <w:next w:val="1"/>
    <w:qFormat/>
    <w:uiPriority w:val="0"/>
    <w:pPr>
      <w:ind w:left="840" w:leftChars="400"/>
    </w:pPr>
  </w:style>
  <w:style w:type="paragraph" w:styleId="11">
    <w:name w:val="Plain Text"/>
    <w:basedOn w:val="1"/>
    <w:qFormat/>
    <w:uiPriority w:val="0"/>
    <w:rPr>
      <w:rFonts w:ascii="宋体" w:hAnsi="Courier New" w:cs="Courier New"/>
      <w:szCs w:val="21"/>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spacing w:before="100" w:beforeAutospacing="1" w:after="100" w:afterAutospacing="1"/>
      <w:ind w:left="0" w:right="0"/>
      <w:jc w:val="left"/>
    </w:pPr>
    <w:rPr>
      <w:kern w:val="0"/>
      <w:sz w:val="24"/>
      <w:lang w:val="en-US" w:eastAsia="zh-CN"/>
    </w:rPr>
  </w:style>
  <w:style w:type="paragraph" w:styleId="17">
    <w:name w:val="Title"/>
    <w:basedOn w:val="1"/>
    <w:next w:val="1"/>
    <w:qFormat/>
    <w:uiPriority w:val="0"/>
    <w:pPr>
      <w:spacing w:before="240" w:after="60"/>
      <w:jc w:val="center"/>
      <w:outlineLvl w:val="0"/>
    </w:pPr>
    <w:rPr>
      <w:rFonts w:ascii="Cambria" w:hAnsi="Cambria"/>
      <w:b/>
      <w:bCs/>
      <w:sz w:val="36"/>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qFormat/>
    <w:uiPriority w:val="0"/>
    <w:rPr>
      <w:rFonts w:hint="eastAsia" w:ascii="微软雅黑" w:hAnsi="微软雅黑" w:eastAsia="微软雅黑" w:cs="微软雅黑"/>
      <w:color w:val="02396F"/>
      <w:u w:val="single"/>
    </w:rPr>
  </w:style>
  <w:style w:type="character" w:styleId="24">
    <w:name w:val="Emphasis"/>
    <w:basedOn w:val="20"/>
    <w:qFormat/>
    <w:uiPriority w:val="0"/>
    <w:rPr>
      <w:b/>
      <w:bCs/>
    </w:rPr>
  </w:style>
  <w:style w:type="character" w:styleId="25">
    <w:name w:val="HTML Definition"/>
    <w:basedOn w:val="20"/>
    <w:qFormat/>
    <w:uiPriority w:val="0"/>
  </w:style>
  <w:style w:type="character" w:styleId="26">
    <w:name w:val="HTML Typewriter"/>
    <w:basedOn w:val="20"/>
    <w:qFormat/>
    <w:uiPriority w:val="0"/>
    <w:rPr>
      <w:rFonts w:hint="default" w:ascii="monospace" w:hAnsi="monospace" w:eastAsia="monospace" w:cs="monospace"/>
      <w:sz w:val="20"/>
    </w:rPr>
  </w:style>
  <w:style w:type="character" w:styleId="27">
    <w:name w:val="HTML Acronym"/>
    <w:basedOn w:val="20"/>
    <w:qFormat/>
    <w:uiPriority w:val="0"/>
  </w:style>
  <w:style w:type="character" w:styleId="28">
    <w:name w:val="HTML Variable"/>
    <w:basedOn w:val="20"/>
    <w:qFormat/>
    <w:uiPriority w:val="0"/>
  </w:style>
  <w:style w:type="character" w:styleId="29">
    <w:name w:val="Hyperlink"/>
    <w:basedOn w:val="20"/>
    <w:qFormat/>
    <w:uiPriority w:val="0"/>
    <w:rPr>
      <w:rFonts w:ascii="微软雅黑" w:hAnsi="微软雅黑" w:eastAsia="微软雅黑" w:cs="微软雅黑"/>
      <w:color w:val="02396F"/>
      <w:u w:val="single"/>
    </w:rPr>
  </w:style>
  <w:style w:type="character" w:styleId="30">
    <w:name w:val="HTML Code"/>
    <w:basedOn w:val="20"/>
    <w:qFormat/>
    <w:uiPriority w:val="0"/>
    <w:rPr>
      <w:rFonts w:ascii="monospace" w:hAnsi="monospace" w:eastAsia="monospace" w:cs="monospace"/>
      <w:sz w:val="20"/>
    </w:rPr>
  </w:style>
  <w:style w:type="character" w:styleId="31">
    <w:name w:val="HTML Cite"/>
    <w:basedOn w:val="20"/>
    <w:qFormat/>
    <w:uiPriority w:val="0"/>
  </w:style>
  <w:style w:type="character" w:styleId="32">
    <w:name w:val="HTML Keyboard"/>
    <w:basedOn w:val="20"/>
    <w:qFormat/>
    <w:uiPriority w:val="0"/>
    <w:rPr>
      <w:rFonts w:hint="default" w:ascii="monospace" w:hAnsi="monospace" w:eastAsia="monospace" w:cs="monospace"/>
      <w:sz w:val="20"/>
      <w:bdr w:val="single" w:color="999999" w:sz="6" w:space="0"/>
      <w:shd w:val="clear" w:fill="FFFFFF"/>
    </w:rPr>
  </w:style>
  <w:style w:type="character" w:styleId="33">
    <w:name w:val="HTML Sample"/>
    <w:basedOn w:val="20"/>
    <w:qFormat/>
    <w:uiPriority w:val="0"/>
    <w:rPr>
      <w:rFonts w:hint="default" w:ascii="monospace" w:hAnsi="monospace" w:eastAsia="monospace" w:cs="monospace"/>
    </w:rPr>
  </w:style>
  <w:style w:type="character" w:customStyle="1" w:styleId="34">
    <w:name w:val="标题 1 Char"/>
    <w:link w:val="2"/>
    <w:qFormat/>
    <w:uiPriority w:val="0"/>
    <w:rPr>
      <w:b/>
      <w:bCs/>
      <w:sz w:val="24"/>
      <w:szCs w:val="20"/>
    </w:rPr>
  </w:style>
  <w:style w:type="paragraph" w:customStyle="1" w:styleId="35">
    <w:name w:val="一级条标题"/>
    <w:basedOn w:val="36"/>
    <w:next w:val="1"/>
    <w:qFormat/>
    <w:uiPriority w:val="99"/>
    <w:pPr>
      <w:widowControl/>
      <w:ind w:left="420"/>
      <w:outlineLvl w:val="2"/>
    </w:pPr>
    <w:rPr>
      <w:rFonts w:ascii="黑体" w:hAnsi="Times New Roman" w:eastAsia="黑体" w:cs="黑体"/>
      <w:kern w:val="0"/>
      <w:szCs w:val="21"/>
    </w:rPr>
  </w:style>
  <w:style w:type="paragraph" w:customStyle="1" w:styleId="36">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37">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39">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40">
    <w:name w:val="p0"/>
    <w:basedOn w:val="1"/>
    <w:qFormat/>
    <w:uiPriority w:val="0"/>
    <w:pPr>
      <w:widowControl/>
    </w:pPr>
    <w:rPr>
      <w:kern w:val="0"/>
      <w:szCs w:val="21"/>
    </w:rPr>
  </w:style>
  <w:style w:type="paragraph" w:customStyle="1" w:styleId="41">
    <w:name w:val="文章正文"/>
    <w:basedOn w:val="1"/>
    <w:qFormat/>
    <w:uiPriority w:val="0"/>
    <w:pPr>
      <w:adjustRightInd w:val="0"/>
      <w:snapToGrid w:val="0"/>
      <w:spacing w:beforeLines="100" w:line="360" w:lineRule="auto"/>
      <w:ind w:firstLine="200" w:firstLineChars="200"/>
    </w:pPr>
    <w:rPr>
      <w:sz w:val="24"/>
      <w:szCs w:val="22"/>
    </w:rPr>
  </w:style>
  <w:style w:type="paragraph" w:customStyle="1" w:styleId="42">
    <w:name w:val="WPSOffice手动目录 2"/>
    <w:qFormat/>
    <w:uiPriority w:val="0"/>
    <w:pPr>
      <w:ind w:leftChars="200"/>
    </w:pPr>
    <w:rPr>
      <w:rFonts w:ascii="Times New Roman" w:hAnsi="Times New Roman" w:eastAsia="宋体" w:cs="Times New Roman"/>
      <w:sz w:val="20"/>
      <w:szCs w:val="20"/>
      <w:lang w:val="en-US" w:eastAsia="zh-CN" w:bidi="ar-SA"/>
    </w:rPr>
  </w:style>
  <w:style w:type="paragraph" w:customStyle="1" w:styleId="43">
    <w:name w:val="WPSOffice手动目录 3"/>
    <w:qFormat/>
    <w:uiPriority w:val="0"/>
    <w:pPr>
      <w:ind w:leftChars="400"/>
    </w:pPr>
    <w:rPr>
      <w:rFonts w:ascii="Times New Roman" w:hAnsi="Times New Roman" w:eastAsia="宋体" w:cs="Times New Roman"/>
      <w:sz w:val="20"/>
      <w:szCs w:val="20"/>
      <w:lang w:val="en-US" w:eastAsia="zh-CN" w:bidi="ar-SA"/>
    </w:rPr>
  </w:style>
  <w:style w:type="character" w:customStyle="1" w:styleId="44">
    <w:name w:val="gjfg"/>
    <w:basedOn w:val="20"/>
    <w:qFormat/>
    <w:uiPriority w:val="0"/>
  </w:style>
  <w:style w:type="character" w:customStyle="1" w:styleId="45">
    <w:name w:val="displayarti"/>
    <w:basedOn w:val="20"/>
    <w:qFormat/>
    <w:uiPriority w:val="0"/>
    <w:rPr>
      <w:color w:val="FFFFFF"/>
      <w:shd w:val="clear" w:color="010000" w:fill="A00000"/>
    </w:rPr>
  </w:style>
  <w:style w:type="character" w:customStyle="1" w:styleId="46">
    <w:name w:val="redfilefwwh"/>
    <w:basedOn w:val="20"/>
    <w:qFormat/>
    <w:uiPriority w:val="0"/>
    <w:rPr>
      <w:color w:val="BA2636"/>
      <w:sz w:val="14"/>
      <w:szCs w:val="14"/>
    </w:rPr>
  </w:style>
  <w:style w:type="character" w:customStyle="1" w:styleId="47">
    <w:name w:val="redfilenumber"/>
    <w:basedOn w:val="20"/>
    <w:qFormat/>
    <w:uiPriority w:val="0"/>
    <w:rPr>
      <w:color w:val="BA2636"/>
      <w:sz w:val="14"/>
      <w:szCs w:val="14"/>
    </w:rPr>
  </w:style>
  <w:style w:type="character" w:customStyle="1" w:styleId="48">
    <w:name w:val="qxdate"/>
    <w:basedOn w:val="20"/>
    <w:qFormat/>
    <w:uiPriority w:val="0"/>
    <w:rPr>
      <w:color w:val="333333"/>
      <w:sz w:val="14"/>
      <w:szCs w:val="14"/>
    </w:rPr>
  </w:style>
  <w:style w:type="character" w:customStyle="1" w:styleId="49">
    <w:name w:val="cfdate"/>
    <w:basedOn w:val="20"/>
    <w:qFormat/>
    <w:uiPriority w:val="0"/>
    <w:rPr>
      <w:color w:val="333333"/>
      <w:sz w:val="14"/>
      <w:szCs w:val="14"/>
    </w:rPr>
  </w:style>
  <w:style w:type="character" w:customStyle="1" w:styleId="50">
    <w:name w:val="标题 3 Char"/>
    <w:link w:val="4"/>
    <w:qFormat/>
    <w:uiPriority w:val="0"/>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37235</Words>
  <Characters>40703</Characters>
  <Lines>0</Lines>
  <Paragraphs>0</Paragraphs>
  <TotalTime>23</TotalTime>
  <ScaleCrop>false</ScaleCrop>
  <LinksUpToDate>false</LinksUpToDate>
  <CharactersWithSpaces>43468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2020-04-01T00:51:00Z</dcterms:created>
  <dc:creator>Administrator</dc:creator>
  <cp:lastModifiedBy>鹤归</cp:lastModifiedBy>
  <cp:lastPrinted>2021-12-13T01:53:00Z</cp:lastPrinted>
  <dcterms:modified xsi:type="dcterms:W3CDTF">2026-04-22T09:28:04Z</dcterms:modified>
  <dc:title>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31A0F80BC7904782B8F4EDD83341E07A_13</vt:lpwstr>
  </property>
  <property fmtid="{D5CDD505-2E9C-101B-9397-08002B2CF9AE}" pid="4" name="KSOTemplateDocerSaveRecord">
    <vt:lpwstr>eyJoZGlkIjoiOGFjNGU3ODU4OTAzMTliNzc4MDA0YzY0YjdkNGI4MGIiLCJ1c2VySWQiOiIyMzUzNjEzMDgifQ==</vt:lpwstr>
  </property>
</Properties>
</file>