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BA54F">
      <w:pPr>
        <w:adjustRightInd/>
        <w:spacing w:line="360" w:lineRule="auto"/>
        <w:jc w:val="center"/>
        <w:rPr>
          <w:rFonts w:hint="eastAsia" w:ascii="宋体" w:hAnsi="宋体" w:eastAsia="宋体" w:cs="宋体"/>
          <w:color w:val="auto"/>
          <w:sz w:val="52"/>
          <w:szCs w:val="52"/>
          <w:highlight w:val="none"/>
          <w:u w:val="single"/>
        </w:rPr>
      </w:pPr>
      <w:r>
        <w:rPr>
          <w:rFonts w:hint="eastAsia" w:ascii="宋体" w:hAnsi="宋体" w:eastAsia="宋体" w:cs="宋体"/>
          <w:color w:val="auto"/>
          <w:sz w:val="52"/>
          <w:szCs w:val="52"/>
          <w:highlight w:val="none"/>
          <w:u w:val="single"/>
        </w:rPr>
        <w:t>浙江农林大学</w:t>
      </w:r>
      <w:r>
        <w:rPr>
          <w:rFonts w:hint="eastAsia" w:ascii="宋体" w:hAnsi="宋体" w:eastAsia="宋体" w:cs="宋体"/>
          <w:color w:val="auto"/>
          <w:sz w:val="52"/>
          <w:szCs w:val="52"/>
          <w:highlight w:val="none"/>
          <w:u w:val="single"/>
          <w:lang w:eastAsia="zh-CN"/>
        </w:rPr>
        <w:t>细胞房</w:t>
      </w:r>
      <w:r>
        <w:rPr>
          <w:rFonts w:hint="eastAsia" w:ascii="宋体" w:hAnsi="宋体" w:eastAsia="宋体" w:cs="宋体"/>
          <w:color w:val="auto"/>
          <w:sz w:val="52"/>
          <w:szCs w:val="52"/>
          <w:highlight w:val="none"/>
          <w:u w:val="single"/>
        </w:rPr>
        <w:t>项目</w:t>
      </w:r>
    </w:p>
    <w:p w14:paraId="3AD225D7">
      <w:pPr>
        <w:adjustRightInd/>
        <w:spacing w:line="360" w:lineRule="auto"/>
        <w:jc w:val="center"/>
        <w:rPr>
          <w:rFonts w:hint="eastAsia" w:ascii="宋体" w:hAnsi="宋体" w:eastAsia="宋体" w:cs="宋体"/>
          <w:color w:val="auto"/>
          <w:sz w:val="48"/>
          <w:szCs w:val="48"/>
          <w:highlight w:val="none"/>
        </w:rPr>
      </w:pPr>
    </w:p>
    <w:p w14:paraId="17CCC40B">
      <w:pPr>
        <w:adjustRightInd/>
        <w:jc w:val="center"/>
        <w:rPr>
          <w:rFonts w:hint="eastAsia" w:ascii="宋体" w:hAnsi="宋体" w:eastAsia="宋体" w:cs="宋体"/>
          <w:color w:val="auto"/>
          <w:sz w:val="96"/>
          <w:szCs w:val="96"/>
          <w:highlight w:val="none"/>
        </w:rPr>
      </w:pPr>
      <w:r>
        <w:rPr>
          <w:rFonts w:hint="eastAsia" w:ascii="宋体" w:hAnsi="宋体" w:eastAsia="宋体" w:cs="宋体"/>
          <w:color w:val="auto"/>
          <w:sz w:val="104"/>
          <w:szCs w:val="104"/>
          <w:highlight w:val="none"/>
        </w:rPr>
        <w:t>招标文件</w:t>
      </w:r>
      <w:r>
        <w:rPr>
          <w:rFonts w:hint="eastAsia" w:ascii="宋体" w:hAnsi="宋体" w:eastAsia="宋体" w:cs="宋体"/>
          <w:color w:val="auto"/>
          <w:sz w:val="96"/>
          <w:szCs w:val="96"/>
          <w:highlight w:val="none"/>
        </w:rPr>
        <w:t xml:space="preserve"> </w:t>
      </w:r>
    </w:p>
    <w:p w14:paraId="47A9C46D">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3063C2C5">
      <w:pPr>
        <w:snapToGrid w:val="0"/>
        <w:spacing w:line="360" w:lineRule="auto"/>
        <w:jc w:val="center"/>
        <w:rPr>
          <w:rFonts w:hint="eastAsia" w:ascii="宋体" w:hAnsi="宋体" w:eastAsia="宋体" w:cs="宋体"/>
          <w:color w:val="auto"/>
          <w:sz w:val="30"/>
          <w:szCs w:val="30"/>
          <w:highlight w:val="none"/>
        </w:rPr>
      </w:pPr>
    </w:p>
    <w:p w14:paraId="0F0CE4EB">
      <w:pPr>
        <w:pStyle w:val="3"/>
        <w:ind w:left="852"/>
        <w:rPr>
          <w:rFonts w:hint="eastAsia" w:ascii="宋体" w:hAnsi="宋体" w:eastAsia="宋体" w:cs="宋体"/>
          <w:color w:val="auto"/>
          <w:highlight w:val="none"/>
        </w:rPr>
      </w:pPr>
    </w:p>
    <w:p w14:paraId="42D2B29F">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采购方式：公开招标</w:t>
      </w:r>
    </w:p>
    <w:p w14:paraId="603C364F">
      <w:pPr>
        <w:snapToGrid w:val="0"/>
        <w:spacing w:line="360" w:lineRule="auto"/>
        <w:jc w:val="center"/>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u w:val="single"/>
          <w:lang w:eastAsia="zh-CN"/>
        </w:rPr>
        <w:t>330000263030040000163-ZJYC2026060(GK)</w:t>
      </w:r>
    </w:p>
    <w:p w14:paraId="501A743A">
      <w:pPr>
        <w:adjustRightInd/>
        <w:spacing w:line="360" w:lineRule="auto"/>
        <w:rPr>
          <w:rFonts w:hint="eastAsia" w:ascii="宋体" w:hAnsi="宋体" w:eastAsia="宋体" w:cs="宋体"/>
          <w:color w:val="auto"/>
          <w:sz w:val="28"/>
          <w:szCs w:val="20"/>
          <w:highlight w:val="none"/>
        </w:rPr>
      </w:pPr>
    </w:p>
    <w:p w14:paraId="2B2B8D9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6E1031AA">
      <w:pPr>
        <w:spacing w:line="360" w:lineRule="auto"/>
        <w:jc w:val="center"/>
        <w:rPr>
          <w:rFonts w:hint="eastAsia" w:ascii="宋体" w:hAnsi="宋体" w:eastAsia="宋体" w:cs="宋体"/>
          <w:b/>
          <w:color w:val="auto"/>
          <w:sz w:val="44"/>
          <w:szCs w:val="44"/>
          <w:highlight w:val="none"/>
        </w:rPr>
      </w:pPr>
    </w:p>
    <w:p w14:paraId="3990087C">
      <w:pPr>
        <w:snapToGrid w:val="0"/>
        <w:spacing w:line="360" w:lineRule="auto"/>
        <w:ind w:firstLine="2560" w:firstLine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   购  人：</w:t>
      </w:r>
      <w:r>
        <w:rPr>
          <w:rFonts w:hint="eastAsia" w:ascii="宋体" w:hAnsi="宋体" w:eastAsia="宋体" w:cs="宋体"/>
          <w:color w:val="auto"/>
          <w:sz w:val="32"/>
          <w:szCs w:val="32"/>
          <w:highlight w:val="none"/>
          <w:u w:val="single"/>
        </w:rPr>
        <w:t xml:space="preserve">浙江农林大学 </w:t>
      </w:r>
    </w:p>
    <w:p w14:paraId="77B97AA4">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采购代理机构</w:t>
      </w:r>
      <w:r>
        <w:rPr>
          <w:rFonts w:hint="eastAsia" w:ascii="宋体" w:hAnsi="宋体" w:eastAsia="宋体" w:cs="宋体"/>
          <w:color w:val="auto"/>
          <w:sz w:val="32"/>
          <w:szCs w:val="32"/>
          <w:highlight w:val="none"/>
        </w:rPr>
        <w:t>：</w:t>
      </w:r>
      <w:r>
        <w:rPr>
          <w:rFonts w:hint="eastAsia" w:ascii="宋体" w:hAnsi="宋体" w:eastAsia="宋体" w:cs="宋体"/>
          <w:bCs/>
          <w:color w:val="auto"/>
          <w:sz w:val="32"/>
          <w:szCs w:val="32"/>
          <w:highlight w:val="none"/>
          <w:u w:val="single"/>
        </w:rPr>
        <w:t>浙江乐诚工程咨询有限公司</w:t>
      </w:r>
    </w:p>
    <w:p w14:paraId="4BB8B432">
      <w:pPr>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202</w:t>
      </w:r>
      <w:r>
        <w:rPr>
          <w:rFonts w:hint="eastAsia" w:ascii="宋体" w:hAnsi="宋体" w:eastAsia="宋体" w:cs="宋体"/>
          <w:bCs/>
          <w:color w:val="auto"/>
          <w:sz w:val="32"/>
          <w:szCs w:val="32"/>
          <w:highlight w:val="none"/>
          <w:lang w:val="en-US" w:eastAsia="zh-CN"/>
        </w:rPr>
        <w:t>6</w:t>
      </w:r>
      <w:r>
        <w:rPr>
          <w:rFonts w:hint="eastAsia" w:ascii="宋体" w:hAnsi="宋体" w:eastAsia="宋体" w:cs="宋体"/>
          <w:bCs/>
          <w:color w:val="auto"/>
          <w:sz w:val="32"/>
          <w:szCs w:val="32"/>
          <w:highlight w:val="none"/>
        </w:rPr>
        <w:t>年</w:t>
      </w:r>
      <w:r>
        <w:rPr>
          <w:rFonts w:hint="eastAsia" w:ascii="宋体" w:hAnsi="宋体" w:eastAsia="宋体" w:cs="宋体"/>
          <w:bCs/>
          <w:color w:val="auto"/>
          <w:sz w:val="32"/>
          <w:szCs w:val="32"/>
          <w:highlight w:val="none"/>
          <w:lang w:val="en-US" w:eastAsia="zh-CN"/>
        </w:rPr>
        <w:t>03</w:t>
      </w:r>
      <w:r>
        <w:rPr>
          <w:rFonts w:hint="eastAsia" w:ascii="宋体" w:hAnsi="宋体" w:eastAsia="宋体" w:cs="宋体"/>
          <w:bCs/>
          <w:color w:val="auto"/>
          <w:sz w:val="32"/>
          <w:szCs w:val="32"/>
          <w:highlight w:val="none"/>
        </w:rPr>
        <w:t>月</w:t>
      </w:r>
    </w:p>
    <w:p w14:paraId="7D9EA687">
      <w:pPr>
        <w:spacing w:line="360" w:lineRule="auto"/>
        <w:jc w:val="center"/>
        <w:rPr>
          <w:rFonts w:hint="eastAsia" w:ascii="宋体" w:hAnsi="宋体" w:eastAsia="宋体" w:cs="宋体"/>
          <w:b/>
          <w:color w:val="auto"/>
          <w:sz w:val="48"/>
          <w:szCs w:val="48"/>
          <w:highlight w:val="none"/>
        </w:rPr>
      </w:pPr>
      <w:bookmarkStart w:id="0" w:name="_Hlt67893495"/>
      <w:bookmarkEnd w:id="0"/>
      <w:r>
        <w:rPr>
          <w:rFonts w:hint="eastAsia" w:ascii="宋体" w:hAnsi="宋体" w:eastAsia="宋体" w:cs="宋体"/>
          <w:b/>
          <w:color w:val="auto"/>
          <w:sz w:val="48"/>
          <w:szCs w:val="48"/>
          <w:highlight w:val="none"/>
        </w:rPr>
        <w:br w:type="page"/>
      </w:r>
      <w:r>
        <w:rPr>
          <w:rFonts w:hint="eastAsia" w:ascii="宋体" w:hAnsi="宋体" w:eastAsia="宋体" w:cs="宋体"/>
          <w:b/>
          <w:color w:val="auto"/>
          <w:sz w:val="48"/>
          <w:szCs w:val="48"/>
          <w:highlight w:val="none"/>
        </w:rPr>
        <w:t>目  录</w:t>
      </w:r>
    </w:p>
    <w:p w14:paraId="769A7E81">
      <w:pPr>
        <w:jc w:val="center"/>
        <w:rPr>
          <w:rFonts w:hint="eastAsia" w:ascii="宋体" w:hAnsi="宋体" w:eastAsia="宋体" w:cs="宋体"/>
          <w:color w:val="auto"/>
          <w:highlight w:val="none"/>
        </w:rPr>
      </w:pPr>
    </w:p>
    <w:p w14:paraId="655975ED">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TOC \o "1-2" \h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第一部分 招标公告</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_Toc12448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71B8C0FB">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第二部分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_Toc11818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77A2BA07">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"_Toc32412"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_Toc32412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51499D84">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"_Toc13185"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_Toc13185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3FD690D">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"_Toc24017"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二、招标文件的构成、澄清、修改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_Toc24017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18</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DF62111">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"_Toc4310"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三、投标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_Toc4310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0434A37">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"_Toc31514"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四、开标、资格审查与信用信息查询</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5A98EFA">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"_Toc9926"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五、评标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_Toc9926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47D584C">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"_Toc18185"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六、定标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_Toc18185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A5480BB">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"_Toc5215"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七、合同授予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_Toc5215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0891B04">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八、电子交易活动的中止</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_Toc6701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A00C802">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"_Toc5829"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九、验收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_Toc5829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464A7C2">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第三部分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_Toc12454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26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CB5322E">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第四部分 评标办法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_Toc18169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47</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4710DA2B">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第五部分 拟签订的合同文本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_Toc24392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55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8207F87">
      <w:pPr>
        <w:pStyle w:val="14"/>
        <w:tabs>
          <w:tab w:val="right" w:leader="hyphen" w:pos="9746"/>
        </w:tabs>
        <w:ind w:firstLine="0" w:firstLineChars="0"/>
        <w:rPr>
          <w:rFonts w:hint="eastAsia" w:ascii="宋体" w:hAnsi="宋体" w:eastAsia="宋体" w:cs="宋体"/>
          <w:color w:val="auto"/>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第六部分 应提交的有关格式范例</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_Toc12021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60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2DF0F2C">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"_Toc14037"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资格文件部分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_Toc14037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C00864B">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"_Toc14447"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商务技术文件部分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_Toc14447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4919E31">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"_Toc11806"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报价文件部分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_Toc11806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1686B70">
      <w:pPr>
        <w:pStyle w:val="16"/>
        <w:tabs>
          <w:tab w:val="right" w:leader="hyphen" w:pos="9746"/>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_Toc19211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0690194">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end"/>
      </w:r>
    </w:p>
    <w:p w14:paraId="10595F4E">
      <w:pPr>
        <w:rPr>
          <w:rFonts w:hint="eastAsia" w:ascii="宋体" w:hAnsi="宋体" w:eastAsia="宋体" w:cs="宋体"/>
          <w:color w:val="auto"/>
          <w:highlight w:val="none"/>
        </w:rPr>
      </w:pPr>
    </w:p>
    <w:p w14:paraId="34E80C79">
      <w:pPr>
        <w:spacing w:line="360" w:lineRule="auto"/>
        <w:rPr>
          <w:rFonts w:hint="eastAsia" w:ascii="宋体" w:hAnsi="宋体" w:eastAsia="宋体" w:cs="宋体"/>
          <w:color w:val="auto"/>
          <w:szCs w:val="22"/>
          <w:highlight w:val="none"/>
        </w:rPr>
      </w:pPr>
      <w:bookmarkStart w:id="1" w:name="_Toc91899869"/>
      <w:bookmarkStart w:id="2" w:name="第一部分"/>
      <w:r>
        <w:rPr>
          <w:rFonts w:hint="eastAsia" w:ascii="宋体" w:hAnsi="宋体" w:eastAsia="宋体" w:cs="宋体"/>
          <w:color w:val="auto"/>
          <w:szCs w:val="22"/>
          <w:highlight w:val="none"/>
        </w:rPr>
        <w:t xml:space="preserve">  </w:t>
      </w:r>
    </w:p>
    <w:p w14:paraId="5BC60AC3">
      <w:pPr>
        <w:spacing w:line="40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u w:val="single"/>
        </w:rPr>
        <w:t>注：▲招标文件中标“▲”且加下划线部分，为招标的实质性要求，着重提醒各投标人必须响应</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各投标人必须认真阅读和理解招标文件中的每一个条款及要求，因误读招标文件而造成的后果，采购人及采购代理机构概不负责。</w:t>
      </w:r>
    </w:p>
    <w:p w14:paraId="28F011DE">
      <w:pPr>
        <w:adjustRightInd/>
        <w:spacing w:line="360" w:lineRule="auto"/>
        <w:jc w:val="center"/>
        <w:outlineLvl w:val="0"/>
        <w:rPr>
          <w:rFonts w:hint="eastAsia" w:ascii="宋体" w:hAnsi="宋体" w:eastAsia="宋体" w:cs="宋体"/>
          <w:color w:val="auto"/>
          <w:sz w:val="22"/>
          <w:szCs w:val="22"/>
          <w:highlight w:val="none"/>
          <w:u w:val="single"/>
        </w:rPr>
      </w:pPr>
      <w:r>
        <w:rPr>
          <w:rFonts w:hint="eastAsia" w:ascii="宋体" w:hAnsi="宋体" w:eastAsia="宋体" w:cs="宋体"/>
          <w:b/>
          <w:color w:val="auto"/>
          <w:sz w:val="36"/>
          <w:szCs w:val="36"/>
          <w:highlight w:val="none"/>
        </w:rPr>
        <w:br w:type="page"/>
      </w:r>
      <w:bookmarkEnd w:id="1"/>
      <w:bookmarkEnd w:id="2"/>
      <w:bookmarkStart w:id="3" w:name="_Hlt74707423"/>
      <w:bookmarkEnd w:id="3"/>
      <w:bookmarkStart w:id="4" w:name="_Hlt74728647"/>
      <w:bookmarkEnd w:id="4"/>
      <w:bookmarkStart w:id="5" w:name="_Hlt74729822"/>
      <w:bookmarkEnd w:id="5"/>
      <w:bookmarkStart w:id="6" w:name="_Hlt74649545"/>
      <w:bookmarkEnd w:id="6"/>
      <w:bookmarkStart w:id="7" w:name="_Toc12448"/>
      <w:bookmarkStart w:id="8" w:name="_Toc18807"/>
      <w:bookmarkStart w:id="9" w:name="第二部分"/>
      <w:bookmarkStart w:id="10" w:name="_Toc91899870"/>
      <w:bookmarkStart w:id="11" w:name="_Toc91899871"/>
      <w:r>
        <w:rPr>
          <w:rStyle w:val="23"/>
          <w:rFonts w:hint="eastAsia" w:ascii="宋体" w:hAnsi="宋体" w:eastAsia="宋体" w:cs="宋体"/>
          <w:color w:val="auto"/>
          <w:highlight w:val="none"/>
        </w:rPr>
        <w:t>第一部分 招标公告</w:t>
      </w:r>
      <w:bookmarkEnd w:id="7"/>
      <w:bookmarkEnd w:id="8"/>
    </w:p>
    <w:p w14:paraId="4CBA61BC">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项目概况</w:t>
      </w:r>
      <w:r>
        <w:rPr>
          <w:rFonts w:hint="eastAsia" w:ascii="宋体" w:hAnsi="宋体" w:eastAsia="宋体" w:cs="宋体"/>
          <w:color w:val="auto"/>
          <w:sz w:val="22"/>
          <w:szCs w:val="22"/>
          <w:highlight w:val="none"/>
        </w:rPr>
        <w:t>        </w:t>
      </w:r>
    </w:p>
    <w:p w14:paraId="39CB7843">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浙江农林大学</w:t>
      </w:r>
      <w:r>
        <w:rPr>
          <w:rFonts w:hint="eastAsia" w:ascii="宋体" w:hAnsi="宋体" w:eastAsia="宋体" w:cs="宋体"/>
          <w:color w:val="auto"/>
          <w:sz w:val="22"/>
          <w:szCs w:val="22"/>
          <w:highlight w:val="none"/>
          <w:lang w:eastAsia="zh-CN"/>
        </w:rPr>
        <w:t>细胞房</w:t>
      </w:r>
      <w:r>
        <w:rPr>
          <w:rFonts w:hint="eastAsia" w:ascii="宋体" w:hAnsi="宋体" w:eastAsia="宋体" w:cs="宋体"/>
          <w:color w:val="auto"/>
          <w:sz w:val="22"/>
          <w:szCs w:val="22"/>
          <w:highlight w:val="none"/>
        </w:rPr>
        <w:t>招标项目的潜在投标人应在政采云平台线上获取（下载）招标文件，并于</w:t>
      </w:r>
      <w:r>
        <w:rPr>
          <w:rFonts w:hint="eastAsia" w:cs="宋体"/>
          <w:color w:val="auto"/>
          <w:sz w:val="22"/>
          <w:szCs w:val="22"/>
          <w:highlight w:val="none"/>
          <w:lang w:eastAsia="zh-CN"/>
        </w:rPr>
        <w:t>2026年04月17日13:30</w:t>
      </w:r>
      <w:r>
        <w:rPr>
          <w:rFonts w:hint="eastAsia" w:ascii="宋体" w:hAnsi="宋体" w:eastAsia="宋体" w:cs="宋体"/>
          <w:color w:val="auto"/>
          <w:sz w:val="22"/>
          <w:szCs w:val="22"/>
          <w:highlight w:val="none"/>
        </w:rPr>
        <w:t>（北京时间）前递交（上传）投标文件。          </w:t>
      </w:r>
    </w:p>
    <w:p w14:paraId="4607821E">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一、项目基本情况</w:t>
      </w:r>
    </w:p>
    <w:p w14:paraId="5349972F">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t>
      </w:r>
      <w:r>
        <w:rPr>
          <w:rFonts w:hint="eastAsia" w:cs="宋体"/>
          <w:color w:val="auto"/>
          <w:sz w:val="22"/>
          <w:szCs w:val="22"/>
          <w:highlight w:val="none"/>
          <w:lang w:eastAsia="zh-CN"/>
        </w:rPr>
        <w:t>330000263030040000163-ZJYC2026060(GK)</w:t>
      </w:r>
    </w:p>
    <w:p w14:paraId="7B3DD32C">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细胞房</w:t>
      </w:r>
    </w:p>
    <w:p w14:paraId="56608B1E">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预算金额（元）：</w:t>
      </w:r>
      <w:r>
        <w:rPr>
          <w:rFonts w:hint="eastAsia" w:ascii="宋体" w:hAnsi="宋体" w:eastAsia="宋体" w:cs="宋体"/>
          <w:color w:val="auto"/>
          <w:sz w:val="22"/>
          <w:szCs w:val="22"/>
          <w:highlight w:val="none"/>
          <w:lang w:eastAsia="zh-CN"/>
        </w:rPr>
        <w:t>640000</w:t>
      </w:r>
    </w:p>
    <w:p w14:paraId="0C91E035">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最高限价（元）：</w:t>
      </w:r>
      <w:r>
        <w:rPr>
          <w:rFonts w:hint="eastAsia" w:ascii="宋体" w:hAnsi="宋体" w:eastAsia="宋体" w:cs="宋体"/>
          <w:color w:val="auto"/>
          <w:sz w:val="22"/>
          <w:szCs w:val="22"/>
          <w:highlight w:val="none"/>
          <w:lang w:eastAsia="zh-CN"/>
        </w:rPr>
        <w:t>640000</w:t>
      </w:r>
    </w:p>
    <w:p w14:paraId="04E0058C">
      <w:pPr>
        <w:widowControl/>
        <w:adjustRightInd/>
        <w:spacing w:line="360" w:lineRule="exact"/>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采购需求：  </w:t>
      </w:r>
    </w:p>
    <w:p w14:paraId="2D79726E">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r>
        <w:rPr>
          <w:rFonts w:hint="eastAsia" w:ascii="宋体" w:hAnsi="宋体" w:eastAsia="宋体" w:cs="宋体"/>
          <w:color w:val="auto"/>
          <w:sz w:val="22"/>
          <w:szCs w:val="22"/>
          <w:highlight w:val="none"/>
          <w:lang w:eastAsia="zh-CN"/>
        </w:rPr>
        <w:t>细胞房</w:t>
      </w:r>
      <w:r>
        <w:rPr>
          <w:rFonts w:hint="eastAsia" w:ascii="宋体" w:hAnsi="宋体" w:eastAsia="宋体" w:cs="宋体"/>
          <w:color w:val="auto"/>
          <w:sz w:val="22"/>
          <w:szCs w:val="22"/>
          <w:highlight w:val="none"/>
        </w:rPr>
        <w:t>    </w:t>
      </w:r>
    </w:p>
    <w:p w14:paraId="7E88312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数量：1    </w:t>
      </w:r>
    </w:p>
    <w:p w14:paraId="436A7929">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预算金额（元）：</w:t>
      </w:r>
      <w:r>
        <w:rPr>
          <w:rFonts w:hint="eastAsia" w:ascii="宋体" w:hAnsi="宋体" w:eastAsia="宋体" w:cs="宋体"/>
          <w:color w:val="auto"/>
          <w:sz w:val="22"/>
          <w:szCs w:val="22"/>
          <w:highlight w:val="none"/>
          <w:lang w:eastAsia="zh-CN"/>
        </w:rPr>
        <w:t>640000</w:t>
      </w:r>
      <w:r>
        <w:rPr>
          <w:rFonts w:hint="eastAsia" w:ascii="宋体" w:hAnsi="宋体" w:eastAsia="宋体" w:cs="宋体"/>
          <w:color w:val="auto"/>
          <w:sz w:val="22"/>
          <w:szCs w:val="22"/>
          <w:highlight w:val="none"/>
        </w:rPr>
        <w:t>    </w:t>
      </w:r>
    </w:p>
    <w:p w14:paraId="17A39966">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简要规格描述或项目基本概况介绍、用途：具体见招标文件第三部分采购需求    </w:t>
      </w:r>
    </w:p>
    <w:p w14:paraId="2762C614">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    </w:t>
      </w:r>
    </w:p>
    <w:p w14:paraId="3B8AA442">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合同履约期限：标项 1，具体见招标文件第三部分采购需求</w:t>
      </w:r>
    </w:p>
    <w:p w14:paraId="7F6ACCDF">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本项目（是）接受联合体投标。</w:t>
      </w:r>
    </w:p>
    <w:p w14:paraId="3467E3EC">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二、申请人的资格要求：</w:t>
      </w:r>
    </w:p>
    <w:p w14:paraId="34D8B2CB">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、中国政府采购网（www.ccgp.gov.cn）列入失信被执行人、重大税收违法失信主体、政府采购严重违法失信行为记录名单。</w:t>
      </w:r>
    </w:p>
    <w:p w14:paraId="131801A6">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2.落实政府采购政策需满足的资格要求：本项目专门面向中小企业采购，货物全部由符合政策要求的中小企业制造，提供中小企业声明函。</w:t>
      </w:r>
    </w:p>
    <w:p w14:paraId="3E2F942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3.本项目的特定资格要求：无</w:t>
      </w:r>
    </w:p>
    <w:p w14:paraId="1820E982">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三、获取招标文件</w:t>
      </w:r>
    </w:p>
    <w:p w14:paraId="542CA139">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时间：/至</w:t>
      </w:r>
      <w:r>
        <w:rPr>
          <w:rFonts w:hint="eastAsia" w:ascii="宋体" w:hAnsi="宋体" w:eastAsia="宋体" w:cs="宋体"/>
          <w:color w:val="auto"/>
          <w:sz w:val="22"/>
          <w:szCs w:val="22"/>
          <w:highlight w:val="none"/>
          <w:lang w:eastAsia="zh-CN"/>
        </w:rPr>
        <w:t>2026年04月17日</w:t>
      </w:r>
      <w:r>
        <w:rPr>
          <w:rFonts w:hint="eastAsia" w:ascii="宋体" w:hAnsi="宋体" w:eastAsia="宋体" w:cs="宋体"/>
          <w:color w:val="auto"/>
          <w:sz w:val="22"/>
          <w:szCs w:val="22"/>
          <w:highlight w:val="none"/>
        </w:rPr>
        <w:t> ，每天上午00:00:00至12:00:00 ，下午12:00:00至23:59:59</w:t>
      </w:r>
      <w:r>
        <w:rPr>
          <w:rFonts w:hint="eastAsia" w:ascii="宋体" w:hAnsi="宋体" w:eastAsia="宋体" w:cs="宋体"/>
          <w:color w:val="auto"/>
          <w:sz w:val="22"/>
          <w:szCs w:val="22"/>
          <w:highlight w:val="none"/>
        </w:rPr>
        <w:t>（北京时间，线上获取法定节假日均可，线下获取文件法定节假日除外）</w:t>
      </w:r>
    </w:p>
    <w:p w14:paraId="17B75DCA">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地点（网址）：政采云平台线上获取</w:t>
      </w:r>
    </w:p>
    <w:p w14:paraId="7C557F4A">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供应商登录政采云平台https://www.zcygov.cn/在线申请获取采购文件（进入“项目采购”应用，在获取采购文件菜单中选择项目，申请获取采购文件）（公告规定的采购文件获取方式为依法获取采购文件的方式，未按照公告规定的方式获取采购文件的，不得对采购文件提起质疑、投诉。）</w:t>
      </w:r>
    </w:p>
    <w:p w14:paraId="1453BCC8">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售价（元）：0</w:t>
      </w:r>
    </w:p>
    <w:p w14:paraId="57287490">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四、提交投标文件截止时间、开标时间和地点</w:t>
      </w:r>
    </w:p>
    <w:p w14:paraId="4D55BE0B">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提交投标文件截止时间：</w:t>
      </w:r>
      <w:r>
        <w:rPr>
          <w:rFonts w:hint="eastAsia" w:cs="宋体"/>
          <w:color w:val="auto"/>
          <w:sz w:val="22"/>
          <w:szCs w:val="22"/>
          <w:highlight w:val="none"/>
          <w:lang w:eastAsia="zh-CN"/>
        </w:rPr>
        <w:t>2026年04月17日13:30</w:t>
      </w:r>
      <w:r>
        <w:rPr>
          <w:rFonts w:hint="eastAsia" w:ascii="宋体" w:hAnsi="宋体" w:eastAsia="宋体" w:cs="宋体"/>
          <w:color w:val="auto"/>
          <w:sz w:val="22"/>
          <w:szCs w:val="22"/>
          <w:highlight w:val="none"/>
        </w:rPr>
        <w:t>（北京时间）</w:t>
      </w:r>
    </w:p>
    <w:p w14:paraId="0C211E25">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投标地点（网址）：请登录政采云投标客户端投标</w:t>
      </w:r>
    </w:p>
    <w:p w14:paraId="3025FBEB">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cs="宋体"/>
          <w:color w:val="auto"/>
          <w:sz w:val="22"/>
          <w:szCs w:val="22"/>
          <w:highlight w:val="none"/>
          <w:lang w:eastAsia="zh-CN"/>
        </w:rPr>
        <w:t>2026年04月17日13:30</w:t>
      </w:r>
    </w:p>
    <w:p w14:paraId="299F870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开标地点（网址）：政府采购云平台（https://www.zcygov.cn）</w:t>
      </w:r>
    </w:p>
    <w:p w14:paraId="5DD1A490">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五、公告期限</w:t>
      </w:r>
    </w:p>
    <w:p w14:paraId="0109C838">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347C22D9">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六、其他补充事宜</w:t>
      </w:r>
    </w:p>
    <w:p w14:paraId="767CB1D0">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79A214D">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4BAC3B50">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4EC2D8">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事项：（1）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以直接提交、邮寄形式（建议顺丰快递）或者电子邮件形式递交备份投标文件1份；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2）招标文件公告期限与招标公告的公告期限一致。</w:t>
      </w:r>
    </w:p>
    <w:p w14:paraId="64F18F8D">
      <w:pPr>
        <w:pStyle w:val="17"/>
        <w:adjustRightInd/>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七、对本次采购提出询问、质疑、投诉，请按以下方式联系</w:t>
      </w:r>
    </w:p>
    <w:p w14:paraId="21152CCA">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5EB5B86">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称：浙江农林大学</w:t>
      </w:r>
    </w:p>
    <w:p w14:paraId="58CD43EB">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址：杭州临安区武肃街666号</w:t>
      </w:r>
    </w:p>
    <w:p w14:paraId="3C310BED">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14:paraId="044D436C">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w:t>
      </w:r>
      <w:r>
        <w:rPr>
          <w:rFonts w:hint="eastAsia" w:ascii="宋体" w:hAnsi="宋体" w:eastAsia="宋体" w:cs="宋体"/>
          <w:color w:val="auto"/>
          <w:sz w:val="22"/>
          <w:szCs w:val="22"/>
          <w:highlight w:val="none"/>
          <w:lang w:val="en-US" w:eastAsia="zh-CN"/>
        </w:rPr>
        <w:t>杨</w:t>
      </w:r>
      <w:r>
        <w:rPr>
          <w:rFonts w:hint="eastAsia" w:ascii="宋体" w:hAnsi="宋体" w:eastAsia="宋体" w:cs="宋体"/>
          <w:color w:val="auto"/>
          <w:sz w:val="22"/>
          <w:szCs w:val="22"/>
          <w:highlight w:val="none"/>
        </w:rPr>
        <w:t>老师</w:t>
      </w:r>
    </w:p>
    <w:p w14:paraId="29C405D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项目联系方式（询问）：</w:t>
      </w:r>
      <w:r>
        <w:rPr>
          <w:rFonts w:hint="eastAsia" w:ascii="宋体" w:hAnsi="宋体" w:eastAsia="宋体" w:cs="宋体"/>
          <w:color w:val="auto"/>
          <w:sz w:val="22"/>
          <w:szCs w:val="22"/>
          <w:highlight w:val="none"/>
          <w:lang w:val="en-US" w:eastAsia="zh-CN"/>
        </w:rPr>
        <w:t>0571-63741276</w:t>
      </w:r>
    </w:p>
    <w:p w14:paraId="0A95F828">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质疑联系人：朱老师</w:t>
      </w:r>
    </w:p>
    <w:p w14:paraId="01B6861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质疑联系方式：13891823227</w:t>
      </w:r>
    </w:p>
    <w:p w14:paraId="5ACBD33B">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p>
    <w:p w14:paraId="5E11544A">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2.采购代理机构信息</w:t>
      </w:r>
    </w:p>
    <w:p w14:paraId="43246AE8">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称：浙江乐诚工程咨询有限公司</w:t>
      </w:r>
    </w:p>
    <w:p w14:paraId="4B854364">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址：浙江省杭州市西湖区紫荆花路386号紫荆大厦107号商务楼303室</w:t>
      </w:r>
    </w:p>
    <w:p w14:paraId="3B4A1249">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14:paraId="0B7DF78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项目联系人（询问）：王纪凤/陈素芳</w:t>
      </w:r>
    </w:p>
    <w:p w14:paraId="4BB1C8D2">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项目联系方式（询问）：18357703076</w:t>
      </w:r>
    </w:p>
    <w:p w14:paraId="062AAAA0">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质疑联系人：钱学丰</w:t>
      </w:r>
    </w:p>
    <w:p w14:paraId="07DFA431">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质疑联系方式：15805779720</w:t>
      </w:r>
    </w:p>
    <w:p w14:paraId="56750082">
      <w:pPr>
        <w:widowControl/>
        <w:adjustRightInd/>
        <w:spacing w:line="360" w:lineRule="exact"/>
        <w:ind w:firstLine="440" w:firstLineChars="200"/>
        <w:jc w:val="left"/>
        <w:rPr>
          <w:rFonts w:hint="eastAsia" w:ascii="宋体" w:hAnsi="宋体" w:eastAsia="宋体" w:cs="宋体"/>
          <w:color w:val="auto"/>
          <w:kern w:val="0"/>
          <w:sz w:val="22"/>
          <w:szCs w:val="22"/>
          <w:highlight w:val="none"/>
        </w:rPr>
      </w:pPr>
    </w:p>
    <w:p w14:paraId="49CC673F">
      <w:pPr>
        <w:pStyle w:val="17"/>
        <w:adjustRightInd/>
        <w:spacing w:before="0" w:beforeAutospacing="0" w:after="0" w:afterAutospacing="0" w:line="3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3.该项目由采购人处理采购争议。质疑环节，采购人委托采购代理机构处理的，可由采购代理机构答复。对质疑答复不满意的，向采购人内部设置的采购监督机构反映。</w:t>
      </w:r>
    </w:p>
    <w:p w14:paraId="38BAE3A8">
      <w:pPr>
        <w:widowControl/>
        <w:adjustRightInd/>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w:t>
      </w:r>
    </w:p>
    <w:p w14:paraId="55899FEC">
      <w:pPr>
        <w:pStyle w:val="17"/>
        <w:adjustRightInd/>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政策咨询：何一平、冯华，0571-87058424、87055741    </w:t>
      </w:r>
    </w:p>
    <w:p w14:paraId="59A3E8F3">
      <w:pPr>
        <w:pStyle w:val="17"/>
        <w:adjustRightInd/>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预算金额未达100万元的采购项目，由采购人处理采购争议。    </w:t>
      </w:r>
    </w:p>
    <w:p w14:paraId="21C7B8CC">
      <w:pPr>
        <w:pStyle w:val="17"/>
        <w:adjustRightInd/>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若对项目采购电子交易系统操作有疑问，可登录政采云（https://www.zcygov.cn/），点击右侧咨询小采，获取采小蜜智能服务管家帮助，或拨打政采云服务热线95763获取热线服务帮助。</w:t>
      </w:r>
    </w:p>
    <w:p w14:paraId="179C724C">
      <w:pPr>
        <w:pStyle w:val="17"/>
        <w:adjustRightInd/>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CA问题联系电话（人工）：汇信CA 400-888-4636；天谷CA 400-087-8198。</w:t>
      </w:r>
    </w:p>
    <w:p w14:paraId="6BE0A9C4">
      <w:pPr>
        <w:pStyle w:val="17"/>
        <w:spacing w:before="0" w:beforeAutospacing="0" w:after="0" w:afterAutospacing="0" w:line="400" w:lineRule="exact"/>
        <w:rPr>
          <w:rFonts w:hint="eastAsia" w:ascii="宋体" w:hAnsi="宋体" w:eastAsia="宋体" w:cs="宋体"/>
          <w:color w:val="auto"/>
          <w:sz w:val="22"/>
          <w:szCs w:val="22"/>
          <w:highlight w:val="none"/>
        </w:rPr>
      </w:pPr>
    </w:p>
    <w:p w14:paraId="65C269ED">
      <w:pPr>
        <w:pStyle w:val="14"/>
        <w:spacing w:line="400" w:lineRule="exact"/>
        <w:ind w:firstLine="44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浙江农林大学</w:t>
      </w:r>
    </w:p>
    <w:p w14:paraId="44A2F3D6">
      <w:pPr>
        <w:pStyle w:val="14"/>
        <w:spacing w:line="400" w:lineRule="exact"/>
        <w:ind w:firstLine="44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浙江乐诚工程咨询有限公司</w:t>
      </w:r>
    </w:p>
    <w:p w14:paraId="2E89C752">
      <w:pPr>
        <w:pStyle w:val="14"/>
        <w:spacing w:line="400" w:lineRule="exact"/>
        <w:ind w:firstLine="44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2026年</w:t>
      </w:r>
      <w:r>
        <w:rPr>
          <w:rFonts w:hint="eastAsia" w:ascii="宋体" w:hAnsi="宋体" w:cs="宋体"/>
          <w:color w:val="auto"/>
          <w:sz w:val="22"/>
          <w:szCs w:val="22"/>
          <w:highlight w:val="none"/>
          <w:lang w:val="en-US" w:eastAsia="zh-CN"/>
        </w:rPr>
        <w:t>03</w:t>
      </w:r>
      <w:r>
        <w:rPr>
          <w:rFonts w:hint="eastAsia" w:ascii="宋体" w:hAnsi="宋体" w:eastAsia="宋体" w:cs="宋体"/>
          <w:color w:val="auto"/>
          <w:sz w:val="22"/>
          <w:szCs w:val="22"/>
          <w:highlight w:val="none"/>
          <w:lang w:eastAsia="zh-CN"/>
        </w:rPr>
        <w:t>月</w:t>
      </w:r>
      <w:r>
        <w:rPr>
          <w:rFonts w:hint="eastAsia" w:ascii="宋体" w:hAnsi="宋体" w:cs="宋体"/>
          <w:color w:val="auto"/>
          <w:sz w:val="22"/>
          <w:szCs w:val="22"/>
          <w:highlight w:val="none"/>
          <w:lang w:val="en-US" w:eastAsia="zh-CN"/>
        </w:rPr>
        <w:t>27</w:t>
      </w:r>
      <w:r>
        <w:rPr>
          <w:rFonts w:hint="eastAsia" w:ascii="宋体" w:hAnsi="宋体" w:eastAsia="宋体" w:cs="宋体"/>
          <w:color w:val="auto"/>
          <w:sz w:val="22"/>
          <w:szCs w:val="22"/>
          <w:highlight w:val="none"/>
        </w:rPr>
        <w:t>日</w:t>
      </w:r>
    </w:p>
    <w:p w14:paraId="283216BC">
      <w:pPr>
        <w:pStyle w:val="11"/>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E41E09F">
      <w:pPr>
        <w:adjustRightInd/>
        <w:spacing w:line="360" w:lineRule="auto"/>
        <w:jc w:val="center"/>
        <w:outlineLvl w:val="0"/>
        <w:rPr>
          <w:rStyle w:val="23"/>
          <w:rFonts w:hint="eastAsia" w:ascii="宋体" w:hAnsi="宋体" w:eastAsia="宋体" w:cs="宋体"/>
          <w:color w:val="auto"/>
          <w:highlight w:val="none"/>
        </w:rPr>
      </w:pPr>
      <w:r>
        <w:rPr>
          <w:rFonts w:hint="eastAsia" w:ascii="宋体" w:hAnsi="宋体" w:eastAsia="宋体" w:cs="宋体"/>
          <w:b/>
          <w:color w:val="auto"/>
          <w:sz w:val="36"/>
          <w:szCs w:val="20"/>
          <w:highlight w:val="none"/>
        </w:rPr>
        <w:br w:type="page"/>
      </w:r>
      <w:bookmarkEnd w:id="9"/>
      <w:bookmarkStart w:id="12" w:name="_Toc23800"/>
      <w:bookmarkStart w:id="13" w:name="_Toc11818"/>
      <w:r>
        <w:rPr>
          <w:rFonts w:hint="eastAsia" w:ascii="宋体" w:hAnsi="宋体" w:eastAsia="宋体" w:cs="宋体"/>
          <w:b/>
          <w:color w:val="auto"/>
          <w:sz w:val="32"/>
          <w:szCs w:val="32"/>
          <w:highlight w:val="none"/>
        </w:rPr>
        <w:t>第二部分 投标人须知</w:t>
      </w:r>
      <w:bookmarkEnd w:id="10"/>
      <w:bookmarkEnd w:id="12"/>
      <w:bookmarkEnd w:id="13"/>
    </w:p>
    <w:p w14:paraId="473B051E">
      <w:pPr>
        <w:adjustRightInd/>
        <w:spacing w:line="400" w:lineRule="exact"/>
        <w:jc w:val="center"/>
        <w:outlineLvl w:val="1"/>
        <w:rPr>
          <w:rStyle w:val="23"/>
          <w:rFonts w:hint="eastAsia" w:ascii="宋体" w:hAnsi="宋体" w:eastAsia="宋体" w:cs="宋体"/>
          <w:color w:val="auto"/>
          <w:highlight w:val="none"/>
        </w:rPr>
      </w:pPr>
      <w:bookmarkStart w:id="14" w:name="_Toc6008"/>
      <w:bookmarkStart w:id="15" w:name="_Toc32412"/>
      <w:r>
        <w:rPr>
          <w:rStyle w:val="23"/>
          <w:rFonts w:hint="eastAsia" w:ascii="宋体" w:hAnsi="宋体" w:eastAsia="宋体" w:cs="宋体"/>
          <w:color w:val="auto"/>
          <w:highlight w:val="none"/>
        </w:rPr>
        <w:t>前附表</w:t>
      </w:r>
      <w:bookmarkEnd w:id="14"/>
      <w:bookmarkEnd w:id="15"/>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9"/>
        <w:gridCol w:w="1589"/>
        <w:gridCol w:w="7273"/>
      </w:tblGrid>
      <w:tr w14:paraId="202EF6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79" w:type="dxa"/>
            <w:vAlign w:val="center"/>
          </w:tcPr>
          <w:p w14:paraId="405A95D1">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89" w:type="dxa"/>
            <w:vAlign w:val="center"/>
          </w:tcPr>
          <w:p w14:paraId="49D03787">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   目</w:t>
            </w:r>
          </w:p>
        </w:tc>
        <w:tc>
          <w:tcPr>
            <w:tcW w:w="7273" w:type="dxa"/>
            <w:vAlign w:val="center"/>
          </w:tcPr>
          <w:p w14:paraId="6EC2A886">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       容</w:t>
            </w:r>
          </w:p>
        </w:tc>
      </w:tr>
      <w:tr w14:paraId="65535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79" w:type="dxa"/>
            <w:vAlign w:val="center"/>
          </w:tcPr>
          <w:p w14:paraId="18C11BFE">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89" w:type="dxa"/>
            <w:vAlign w:val="center"/>
          </w:tcPr>
          <w:p w14:paraId="10A56771">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273" w:type="dxa"/>
            <w:vAlign w:val="center"/>
          </w:tcPr>
          <w:p w14:paraId="1A3E833F">
            <w:pPr>
              <w:spacing w:line="400" w:lineRule="exact"/>
              <w:jc w:val="lef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详见第一部分“招标公告”</w:t>
            </w:r>
          </w:p>
        </w:tc>
      </w:tr>
      <w:tr w14:paraId="63DBEB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6187B72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589" w:type="dxa"/>
            <w:vAlign w:val="center"/>
          </w:tcPr>
          <w:p w14:paraId="6EA4080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合同履行地点</w:t>
            </w:r>
          </w:p>
        </w:tc>
        <w:tc>
          <w:tcPr>
            <w:tcW w:w="7273" w:type="dxa"/>
            <w:vAlign w:val="center"/>
          </w:tcPr>
          <w:p w14:paraId="6FB997BB">
            <w:pPr>
              <w:spacing w:line="400" w:lineRule="exac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详见第一部分“招标公告”</w:t>
            </w:r>
          </w:p>
        </w:tc>
      </w:tr>
      <w:tr w14:paraId="5298A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006E5EC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589" w:type="dxa"/>
            <w:vAlign w:val="center"/>
          </w:tcPr>
          <w:p w14:paraId="09D7C13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273" w:type="dxa"/>
            <w:vAlign w:val="center"/>
          </w:tcPr>
          <w:p w14:paraId="69507796">
            <w:pPr>
              <w:spacing w:line="400" w:lineRule="exac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详见第一部分“招标公告”</w:t>
            </w:r>
          </w:p>
        </w:tc>
      </w:tr>
      <w:tr w14:paraId="309AD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3E7C2EE1">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589" w:type="dxa"/>
            <w:vAlign w:val="center"/>
          </w:tcPr>
          <w:p w14:paraId="364B989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273" w:type="dxa"/>
            <w:vAlign w:val="center"/>
          </w:tcPr>
          <w:p w14:paraId="65B60CB3">
            <w:pPr>
              <w:spacing w:line="40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公开招标</w:t>
            </w:r>
          </w:p>
        </w:tc>
      </w:tr>
      <w:tr w14:paraId="35385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DE442F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589" w:type="dxa"/>
            <w:vAlign w:val="center"/>
          </w:tcPr>
          <w:p w14:paraId="724F71AB">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tc>
        <w:tc>
          <w:tcPr>
            <w:tcW w:w="7273" w:type="dxa"/>
            <w:vAlign w:val="center"/>
          </w:tcPr>
          <w:p w14:paraId="142CB803">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详见第一部分“招标公告”</w:t>
            </w:r>
          </w:p>
        </w:tc>
      </w:tr>
      <w:tr w14:paraId="030ED0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E303F7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589" w:type="dxa"/>
            <w:vAlign w:val="center"/>
          </w:tcPr>
          <w:p w14:paraId="7BD138F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p>
        </w:tc>
        <w:tc>
          <w:tcPr>
            <w:tcW w:w="7273" w:type="dxa"/>
            <w:vAlign w:val="center"/>
          </w:tcPr>
          <w:p w14:paraId="29B384D5">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详见第一部分“招标公告”</w:t>
            </w:r>
          </w:p>
        </w:tc>
      </w:tr>
      <w:tr w14:paraId="7B5986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AF6168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589" w:type="dxa"/>
            <w:vAlign w:val="center"/>
          </w:tcPr>
          <w:p w14:paraId="3B76DE0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273" w:type="dxa"/>
            <w:vAlign w:val="center"/>
          </w:tcPr>
          <w:p w14:paraId="3887A69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财政资金</w:t>
            </w:r>
          </w:p>
        </w:tc>
      </w:tr>
      <w:tr w14:paraId="08FB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779" w:type="dxa"/>
            <w:vAlign w:val="center"/>
          </w:tcPr>
          <w:p w14:paraId="40A6227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589" w:type="dxa"/>
            <w:shd w:val="clear" w:color="auto" w:fill="auto"/>
            <w:vAlign w:val="center"/>
          </w:tcPr>
          <w:p w14:paraId="7782231D">
            <w:pPr>
              <w:keepNext w:val="0"/>
              <w:keepLines w:val="0"/>
              <w:pageBreakBefore w:val="0"/>
              <w:suppressLineNumbers w:val="0"/>
              <w:kinsoku/>
              <w:topLinePunct w:val="0"/>
              <w:bidi w:val="0"/>
              <w:spacing w:before="0" w:beforeAutospacing="0" w:after="0" w:afterAutospacing="0" w:line="400" w:lineRule="exact"/>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投标保证金</w:t>
            </w:r>
          </w:p>
        </w:tc>
        <w:tc>
          <w:tcPr>
            <w:tcW w:w="7273" w:type="dxa"/>
            <w:shd w:val="clear" w:color="auto" w:fill="auto"/>
            <w:vAlign w:val="center"/>
          </w:tcPr>
          <w:p w14:paraId="09515C37">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1.被财政部门列入不良行为记录名单的供应商，参加本项目政府采购活动的，缴纳投标保证金。</w:t>
            </w:r>
          </w:p>
          <w:p w14:paraId="7CB610D0">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1.1投标保证金金额：所投标项预算金额的2%；</w:t>
            </w:r>
          </w:p>
          <w:p w14:paraId="6C7D870C">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1.2投标保证金缴纳方式：以支票、汇票、本票或者金融机构、担保机构出具的保函等非现金形式提交；（备注栏里注明项目名称、项目编号和用途）</w:t>
            </w:r>
          </w:p>
          <w:p w14:paraId="724053D0">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zh-CN" w:eastAsia="zh-CN"/>
              </w:rPr>
            </w:pPr>
            <w:r>
              <w:rPr>
                <w:rFonts w:hint="eastAsia" w:ascii="宋体" w:hAnsi="宋体" w:eastAsia="宋体" w:cs="宋体"/>
                <w:snapToGrid w:val="0"/>
                <w:color w:val="auto"/>
                <w:kern w:val="0"/>
                <w:sz w:val="22"/>
                <w:szCs w:val="22"/>
                <w:highlight w:val="none"/>
                <w:lang w:val="en-US" w:eastAsia="zh-CN"/>
              </w:rPr>
              <w:t>1.3</w:t>
            </w:r>
            <w:r>
              <w:rPr>
                <w:rFonts w:hint="eastAsia" w:ascii="宋体" w:hAnsi="宋体" w:eastAsia="宋体" w:cs="宋体"/>
                <w:snapToGrid w:val="0"/>
                <w:color w:val="auto"/>
                <w:kern w:val="0"/>
                <w:sz w:val="22"/>
                <w:szCs w:val="22"/>
                <w:highlight w:val="none"/>
                <w:lang w:val="zh-CN" w:eastAsia="zh-CN"/>
              </w:rPr>
              <w:t>投标保证金的形式：</w:t>
            </w:r>
            <w:r>
              <w:rPr>
                <w:rFonts w:hint="eastAsia" w:ascii="宋体" w:hAnsi="宋体" w:eastAsia="宋体" w:cs="宋体"/>
                <w:snapToGrid w:val="0"/>
                <w:color w:val="auto"/>
                <w:kern w:val="0"/>
                <w:sz w:val="22"/>
                <w:szCs w:val="22"/>
                <w:highlight w:val="none"/>
                <w:lang w:val="en-US" w:eastAsia="zh-CN"/>
              </w:rPr>
              <w:t>投标保证金</w:t>
            </w:r>
            <w:r>
              <w:rPr>
                <w:rFonts w:hint="eastAsia" w:ascii="宋体" w:hAnsi="宋体" w:eastAsia="宋体" w:cs="宋体"/>
                <w:snapToGrid w:val="0"/>
                <w:color w:val="auto"/>
                <w:kern w:val="0"/>
                <w:sz w:val="22"/>
                <w:szCs w:val="22"/>
                <w:highlight w:val="none"/>
                <w:lang w:val="zh-CN" w:eastAsia="zh-CN"/>
              </w:rPr>
              <w:t>由</w:t>
            </w:r>
            <w:r>
              <w:rPr>
                <w:rFonts w:hint="eastAsia" w:ascii="宋体" w:hAnsi="宋体" w:eastAsia="宋体" w:cs="宋体"/>
                <w:snapToGrid w:val="0"/>
                <w:color w:val="auto"/>
                <w:kern w:val="0"/>
                <w:sz w:val="22"/>
                <w:szCs w:val="22"/>
                <w:highlight w:val="none"/>
                <w:lang w:val="en-US" w:eastAsia="zh-CN"/>
              </w:rPr>
              <w:t>供应商</w:t>
            </w:r>
            <w:r>
              <w:rPr>
                <w:rFonts w:hint="eastAsia" w:ascii="宋体" w:hAnsi="宋体" w:eastAsia="宋体" w:cs="宋体"/>
                <w:snapToGrid w:val="0"/>
                <w:color w:val="auto"/>
                <w:kern w:val="0"/>
                <w:sz w:val="22"/>
                <w:szCs w:val="22"/>
                <w:highlight w:val="none"/>
                <w:lang w:val="zh-CN" w:eastAsia="zh-CN"/>
              </w:rPr>
              <w:t>注册所在地的银行基本账户汇出</w:t>
            </w:r>
            <w:r>
              <w:rPr>
                <w:rFonts w:hint="eastAsia" w:ascii="宋体" w:hAnsi="宋体" w:eastAsia="宋体" w:cs="宋体"/>
                <w:snapToGrid w:val="0"/>
                <w:color w:val="auto"/>
                <w:kern w:val="0"/>
                <w:sz w:val="22"/>
                <w:szCs w:val="22"/>
                <w:highlight w:val="none"/>
                <w:lang w:val="en-US" w:eastAsia="zh-CN"/>
              </w:rPr>
              <w:t>转入以下账号</w:t>
            </w:r>
            <w:r>
              <w:rPr>
                <w:rFonts w:hint="eastAsia" w:ascii="宋体" w:hAnsi="宋体" w:eastAsia="宋体" w:cs="宋体"/>
                <w:snapToGrid w:val="0"/>
                <w:color w:val="auto"/>
                <w:kern w:val="0"/>
                <w:sz w:val="22"/>
                <w:szCs w:val="22"/>
                <w:highlight w:val="none"/>
                <w:lang w:val="zh-CN" w:eastAsia="zh-CN"/>
              </w:rPr>
              <w:t>，不得通过</w:t>
            </w:r>
            <w:r>
              <w:rPr>
                <w:rFonts w:hint="eastAsia" w:ascii="宋体" w:hAnsi="宋体" w:eastAsia="宋体" w:cs="宋体"/>
                <w:snapToGrid w:val="0"/>
                <w:color w:val="auto"/>
                <w:kern w:val="0"/>
                <w:sz w:val="22"/>
                <w:szCs w:val="22"/>
                <w:highlight w:val="none"/>
                <w:lang w:val="en-US" w:eastAsia="zh-CN"/>
              </w:rPr>
              <w:t>供应商</w:t>
            </w:r>
            <w:r>
              <w:rPr>
                <w:rFonts w:hint="eastAsia" w:ascii="宋体" w:hAnsi="宋体" w:eastAsia="宋体" w:cs="宋体"/>
                <w:snapToGrid w:val="0"/>
                <w:color w:val="auto"/>
                <w:kern w:val="0"/>
                <w:sz w:val="22"/>
                <w:szCs w:val="22"/>
                <w:highlight w:val="none"/>
                <w:lang w:val="zh-CN" w:eastAsia="zh-CN"/>
              </w:rPr>
              <w:t>的分支机构或第三者账户转入；</w:t>
            </w:r>
          </w:p>
          <w:p w14:paraId="0DEBBF85">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1.4</w:t>
            </w:r>
            <w:r>
              <w:rPr>
                <w:rFonts w:hint="eastAsia" w:ascii="宋体" w:hAnsi="宋体" w:eastAsia="宋体" w:cs="宋体"/>
                <w:snapToGrid w:val="0"/>
                <w:color w:val="auto"/>
                <w:kern w:val="0"/>
                <w:sz w:val="22"/>
                <w:szCs w:val="22"/>
                <w:highlight w:val="none"/>
                <w:lang w:val="zh-CN" w:eastAsia="zh-CN"/>
              </w:rPr>
              <w:t>保证金</w:t>
            </w:r>
            <w:r>
              <w:rPr>
                <w:rFonts w:hint="eastAsia" w:ascii="宋体" w:hAnsi="宋体" w:eastAsia="宋体" w:cs="宋体"/>
                <w:snapToGrid w:val="0"/>
                <w:color w:val="auto"/>
                <w:kern w:val="0"/>
                <w:sz w:val="22"/>
                <w:szCs w:val="22"/>
                <w:highlight w:val="none"/>
                <w:lang w:val="en-US" w:eastAsia="zh-CN"/>
              </w:rPr>
              <w:t>账号：</w:t>
            </w:r>
          </w:p>
          <w:p w14:paraId="7B2575DE">
            <w:pPr>
              <w:keepNext w:val="0"/>
              <w:keepLines w:val="0"/>
              <w:pageBreakBefore w:val="0"/>
              <w:suppressLineNumbers w:val="0"/>
              <w:kinsoku/>
              <w:topLinePunct w:val="0"/>
              <w:bidi w:val="0"/>
              <w:spacing w:before="0" w:beforeAutospacing="0" w:after="0" w:afterAutospacing="0" w:line="400" w:lineRule="exact"/>
              <w:ind w:left="0" w:right="0" w:rightChars="0"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zh-CN" w:eastAsia="zh-CN"/>
              </w:rPr>
              <w:t>户名：</w:t>
            </w:r>
            <w:r>
              <w:rPr>
                <w:rFonts w:hint="eastAsia" w:ascii="宋体" w:hAnsi="宋体" w:eastAsia="宋体" w:cs="宋体"/>
                <w:snapToGrid w:val="0"/>
                <w:color w:val="auto"/>
                <w:kern w:val="0"/>
                <w:sz w:val="22"/>
                <w:szCs w:val="22"/>
                <w:highlight w:val="none"/>
                <w:lang w:val="en-US" w:eastAsia="zh-CN"/>
              </w:rPr>
              <w:t>浙江乐诚工程咨询有限公司</w:t>
            </w:r>
          </w:p>
          <w:p w14:paraId="55F1C5E8">
            <w:pPr>
              <w:keepNext w:val="0"/>
              <w:keepLines w:val="0"/>
              <w:pageBreakBefore w:val="0"/>
              <w:suppressLineNumbers w:val="0"/>
              <w:kinsoku/>
              <w:topLinePunct w:val="0"/>
              <w:bidi w:val="0"/>
              <w:spacing w:before="0" w:beforeAutospacing="0" w:after="0" w:afterAutospacing="0" w:line="400" w:lineRule="exact"/>
              <w:ind w:left="0" w:right="0" w:rightChars="0" w:firstLine="220" w:firstLineChars="100"/>
              <w:jc w:val="left"/>
              <w:rPr>
                <w:rFonts w:hint="eastAsia" w:ascii="宋体" w:hAnsi="宋体" w:eastAsia="宋体" w:cs="宋体"/>
                <w:snapToGrid w:val="0"/>
                <w:color w:val="auto"/>
                <w:kern w:val="0"/>
                <w:sz w:val="22"/>
                <w:szCs w:val="22"/>
                <w:highlight w:val="none"/>
                <w:lang w:val="zh-CN" w:eastAsia="zh-CN"/>
              </w:rPr>
            </w:pPr>
            <w:r>
              <w:rPr>
                <w:rFonts w:hint="eastAsia" w:ascii="宋体" w:hAnsi="宋体" w:eastAsia="宋体" w:cs="宋体"/>
                <w:snapToGrid w:val="0"/>
                <w:color w:val="auto"/>
                <w:kern w:val="0"/>
                <w:sz w:val="22"/>
                <w:szCs w:val="22"/>
                <w:highlight w:val="none"/>
                <w:lang w:val="zh-CN" w:eastAsia="zh-CN"/>
              </w:rPr>
              <w:t>账号：76060122000323292</w:t>
            </w:r>
          </w:p>
          <w:p w14:paraId="3F4390E1">
            <w:pPr>
              <w:keepNext w:val="0"/>
              <w:keepLines w:val="0"/>
              <w:pageBreakBefore w:val="0"/>
              <w:suppressLineNumbers w:val="0"/>
              <w:kinsoku/>
              <w:topLinePunct w:val="0"/>
              <w:bidi w:val="0"/>
              <w:spacing w:before="0" w:beforeAutospacing="0" w:after="0" w:afterAutospacing="0" w:line="400" w:lineRule="exact"/>
              <w:ind w:left="0" w:right="0" w:rightChars="0"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zh-CN" w:eastAsia="zh-CN"/>
              </w:rPr>
              <w:t>开户银行：宁波银行温州瓯海支行</w:t>
            </w:r>
          </w:p>
          <w:p w14:paraId="1F9EB88B">
            <w:pPr>
              <w:keepNext w:val="0"/>
              <w:keepLines w:val="0"/>
              <w:pageBreakBefore w:val="0"/>
              <w:suppressLineNumbers w:val="0"/>
              <w:kinsoku/>
              <w:topLinePunct w:val="0"/>
              <w:bidi w:val="0"/>
              <w:spacing w:before="0" w:beforeAutospacing="0" w:after="0" w:afterAutospacing="0" w:line="400" w:lineRule="exact"/>
              <w:ind w:left="0" w:right="0" w:right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1.5投标保证金缴纳截止时间：于投标文件递交截止时间前到账。</w:t>
            </w:r>
          </w:p>
          <w:p w14:paraId="092A2190">
            <w:pPr>
              <w:keepNext w:val="0"/>
              <w:keepLines w:val="0"/>
              <w:pageBreakBefore w:val="0"/>
              <w:suppressLineNumbers w:val="0"/>
              <w:kinsoku/>
              <w:topLinePunct w:val="0"/>
              <w:bidi w:val="0"/>
              <w:spacing w:before="0" w:beforeAutospacing="0" w:after="0" w:afterAutospacing="0" w:line="400" w:lineRule="exact"/>
              <w:ind w:left="0" w:leftChars="0" w:right="0" w:right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rPr>
              <w:t>2.未被财政部门列入不良行为记录名单的供应商不需缴纳投标保证金。</w:t>
            </w:r>
          </w:p>
        </w:tc>
      </w:tr>
      <w:tr w14:paraId="02B8FC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779" w:type="dxa"/>
            <w:vAlign w:val="center"/>
          </w:tcPr>
          <w:p w14:paraId="306F582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589" w:type="dxa"/>
            <w:vAlign w:val="center"/>
          </w:tcPr>
          <w:p w14:paraId="15CE804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273" w:type="dxa"/>
            <w:vAlign w:val="center"/>
          </w:tcPr>
          <w:p w14:paraId="1DE6524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详见第三部分“采购需求”</w:t>
            </w:r>
          </w:p>
        </w:tc>
      </w:tr>
      <w:tr w14:paraId="526FE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0F48BED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589" w:type="dxa"/>
            <w:vAlign w:val="center"/>
          </w:tcPr>
          <w:p w14:paraId="16E488CB">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single"/>
              </w:rPr>
              <w:t>▲最高限价</w:t>
            </w:r>
          </w:p>
        </w:tc>
        <w:tc>
          <w:tcPr>
            <w:tcW w:w="7273" w:type="dxa"/>
            <w:vAlign w:val="center"/>
          </w:tcPr>
          <w:p w14:paraId="2BE9694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u w:val="single"/>
              </w:rPr>
              <w:t>详见招标公告；报价超过最高限价金额的投标无效。</w:t>
            </w:r>
          </w:p>
        </w:tc>
      </w:tr>
      <w:tr w14:paraId="51065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CDB4CA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589" w:type="dxa"/>
            <w:vAlign w:val="center"/>
          </w:tcPr>
          <w:p w14:paraId="576EA18E">
            <w:pPr>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现场踏勘</w:t>
            </w:r>
          </w:p>
        </w:tc>
        <w:tc>
          <w:tcPr>
            <w:tcW w:w="7273" w:type="dxa"/>
            <w:vAlign w:val="center"/>
          </w:tcPr>
          <w:p w14:paraId="113F7053">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w:char="00FE"/>
            </w:r>
            <w:r>
              <w:rPr>
                <w:rFonts w:hint="eastAsia" w:ascii="宋体" w:hAnsi="宋体" w:eastAsia="宋体" w:cs="宋体"/>
                <w:color w:val="auto"/>
                <w:kern w:val="0"/>
                <w:sz w:val="22"/>
                <w:szCs w:val="22"/>
                <w:highlight w:val="none"/>
              </w:rPr>
              <w:t xml:space="preserve"> 不组织。如有需要投标人</w:t>
            </w:r>
            <w:r>
              <w:rPr>
                <w:rFonts w:hint="eastAsia" w:ascii="宋体" w:hAnsi="宋体" w:eastAsia="宋体" w:cs="宋体"/>
                <w:color w:val="auto"/>
                <w:kern w:val="0"/>
                <w:sz w:val="22"/>
                <w:szCs w:val="22"/>
                <w:highlight w:val="none"/>
                <w:lang w:val="zh-CN"/>
              </w:rPr>
              <w:t>自行前往项目现场进行踏勘，</w:t>
            </w: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zh-CN"/>
              </w:rPr>
              <w:t>因现场踏勘影响投标报价、方案编制的，由</w:t>
            </w: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zh-CN"/>
              </w:rPr>
              <w:t>自行承担，因</w:t>
            </w: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zh-CN"/>
              </w:rPr>
              <w:t>自身不能参加现场勘察或现场踏勘不全面的，</w:t>
            </w: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zh-CN"/>
              </w:rPr>
              <w:t>不得因此提出修改投标报价或提出索赔等要求。</w:t>
            </w:r>
          </w:p>
          <w:p w14:paraId="5D7A191E">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sym w:font="Wingdings" w:char="00A8"/>
            </w:r>
            <w:r>
              <w:rPr>
                <w:rFonts w:hint="eastAsia" w:ascii="宋体" w:hAnsi="宋体" w:eastAsia="宋体" w:cs="宋体"/>
                <w:color w:val="auto"/>
                <w:kern w:val="0"/>
                <w:sz w:val="22"/>
                <w:szCs w:val="22"/>
                <w:highlight w:val="none"/>
              </w:rPr>
              <w:t xml:space="preserve"> 组织，时间：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，地点：</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，联系方式</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tc>
      </w:tr>
      <w:tr w14:paraId="3CCEC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603747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589" w:type="dxa"/>
            <w:vAlign w:val="center"/>
          </w:tcPr>
          <w:p w14:paraId="5C3B125B">
            <w:pPr>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联合体投标</w:t>
            </w:r>
          </w:p>
        </w:tc>
        <w:tc>
          <w:tcPr>
            <w:tcW w:w="7273" w:type="dxa"/>
            <w:vAlign w:val="center"/>
          </w:tcPr>
          <w:p w14:paraId="330F7DFF">
            <w:pPr>
              <w:spacing w:line="40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1.本项目接受联合体投标；</w:t>
            </w:r>
          </w:p>
          <w:p w14:paraId="52F17D91">
            <w:pPr>
              <w:spacing w:line="40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2.联合体投标要求</w:t>
            </w:r>
          </w:p>
          <w:p w14:paraId="0AB7BAB6">
            <w:pPr>
              <w:spacing w:line="40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以联合体形式参加政府采购的，联合体各方不得再单独参加或者与其他供应商另外组成联合体参加同一合同项下的政府采购活动，且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326422B">
            <w:pPr>
              <w:spacing w:line="40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（2）两个以上的自然人、法人或者其他组织可以组成一个联合体，以一个投标人的身份共同参加政府采购。</w:t>
            </w:r>
          </w:p>
          <w:p w14:paraId="4B7D8471">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（3）除非另有规定和说明，若联合体参与投标的，涉及签字或盖章的可由联合体牵头人执行，本招标文件中涉及“供应商或投标人”一词亦指联合体各方。</w:t>
            </w:r>
          </w:p>
        </w:tc>
      </w:tr>
      <w:tr w14:paraId="546AF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28601A5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589" w:type="dxa"/>
            <w:vAlign w:val="center"/>
          </w:tcPr>
          <w:p w14:paraId="531C3468">
            <w:pPr>
              <w:spacing w:line="40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分包与转包</w:t>
            </w:r>
          </w:p>
        </w:tc>
        <w:tc>
          <w:tcPr>
            <w:tcW w:w="7273" w:type="dxa"/>
            <w:vAlign w:val="center"/>
          </w:tcPr>
          <w:p w14:paraId="6CD59287">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（1）分包：</w:t>
            </w:r>
          </w:p>
          <w:p w14:paraId="0825925A">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sym w:font="Wingdings" w:char="00FE"/>
            </w:r>
            <w:r>
              <w:rPr>
                <w:rFonts w:hint="eastAsia" w:ascii="宋体" w:hAnsi="宋体" w:eastAsia="宋体" w:cs="宋体"/>
                <w:bCs/>
                <w:color w:val="auto"/>
                <w:kern w:val="0"/>
                <w:sz w:val="22"/>
                <w:szCs w:val="22"/>
                <w:highlight w:val="none"/>
              </w:rPr>
              <w:t xml:space="preserve"> </w:t>
            </w:r>
            <w:r>
              <w:rPr>
                <w:rFonts w:hint="eastAsia" w:ascii="宋体" w:hAnsi="宋体" w:eastAsia="宋体" w:cs="宋体"/>
                <w:color w:val="auto"/>
                <w:sz w:val="22"/>
                <w:szCs w:val="22"/>
                <w:highlight w:val="none"/>
              </w:rPr>
              <w:t>同意将非主体、非关键性的货物运输工作分包</w:t>
            </w:r>
            <w:r>
              <w:rPr>
                <w:rFonts w:hint="eastAsia" w:ascii="宋体" w:hAnsi="宋体" w:eastAsia="宋体" w:cs="宋体"/>
                <w:bCs/>
                <w:color w:val="auto"/>
                <w:kern w:val="0"/>
                <w:sz w:val="22"/>
                <w:szCs w:val="22"/>
                <w:highlight w:val="none"/>
              </w:rPr>
              <w:t>。</w:t>
            </w:r>
          </w:p>
          <w:p w14:paraId="1A6984AC">
            <w:pPr>
              <w:spacing w:line="40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供应商根据招标文件的规定和采购项目的实际情况，拟在中标后将中标项目的非主体、非关键性工作分包的，应当在投标文件中载明分包承担主体，分包承担主体应当具备相应资质条件且不得再次分包。</w:t>
            </w:r>
          </w:p>
          <w:p w14:paraId="01E1A5A3">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14:paraId="4D942B29">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sym w:font="Wingdings" w:char="00A8"/>
            </w:r>
            <w:r>
              <w:rPr>
                <w:rFonts w:hint="eastAsia" w:ascii="宋体" w:hAnsi="宋体" w:eastAsia="宋体" w:cs="宋体"/>
                <w:bCs/>
                <w:color w:val="auto"/>
                <w:kern w:val="0"/>
                <w:sz w:val="22"/>
                <w:szCs w:val="22"/>
                <w:highlight w:val="none"/>
              </w:rPr>
              <w:t xml:space="preserve"> 不同意分包。</w:t>
            </w:r>
          </w:p>
          <w:p w14:paraId="575BF673">
            <w:pPr>
              <w:numPr>
                <w:ilvl w:val="0"/>
                <w:numId w:val="1"/>
              </w:numPr>
              <w:spacing w:line="400" w:lineRule="exac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转包：本项目不允许转包。</w:t>
            </w:r>
          </w:p>
        </w:tc>
      </w:tr>
      <w:tr w14:paraId="4F7EC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6EC546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589" w:type="dxa"/>
            <w:vAlign w:val="center"/>
          </w:tcPr>
          <w:p w14:paraId="20DC2F01">
            <w:pPr>
              <w:spacing w:line="40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是否允许采购进口产品</w:t>
            </w:r>
          </w:p>
        </w:tc>
        <w:tc>
          <w:tcPr>
            <w:tcW w:w="7273" w:type="dxa"/>
            <w:vAlign w:val="center"/>
          </w:tcPr>
          <w:p w14:paraId="250CE2AA">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sym w:font="Wingdings" w:char="00FE"/>
            </w:r>
            <w:r>
              <w:rPr>
                <w:rFonts w:hint="eastAsia" w:ascii="宋体" w:hAnsi="宋体" w:eastAsia="宋体" w:cs="宋体"/>
                <w:bCs/>
                <w:color w:val="auto"/>
                <w:kern w:val="0"/>
                <w:sz w:val="22"/>
                <w:szCs w:val="22"/>
                <w:highlight w:val="none"/>
              </w:rPr>
              <w:t>本项目不允许采购进口产品。</w:t>
            </w:r>
          </w:p>
          <w:p w14:paraId="023BB862">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sym w:font="Wingdings" w:char="00A8"/>
            </w:r>
            <w:r>
              <w:rPr>
                <w:rFonts w:hint="eastAsia" w:ascii="宋体" w:hAnsi="宋体" w:eastAsia="宋体" w:cs="宋体"/>
                <w:bCs/>
                <w:color w:val="auto"/>
                <w:kern w:val="0"/>
                <w:sz w:val="22"/>
                <w:szCs w:val="22"/>
                <w:highlight w:val="none"/>
              </w:rPr>
              <w:t>允许采购进口产品。</w:t>
            </w:r>
          </w:p>
        </w:tc>
      </w:tr>
      <w:tr w14:paraId="09D15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6AFF020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589" w:type="dxa"/>
            <w:vAlign w:val="center"/>
          </w:tcPr>
          <w:p w14:paraId="0FC73A4F">
            <w:pPr>
              <w:spacing w:line="40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样品提供</w:t>
            </w:r>
          </w:p>
        </w:tc>
        <w:tc>
          <w:tcPr>
            <w:tcW w:w="7273" w:type="dxa"/>
            <w:vAlign w:val="center"/>
          </w:tcPr>
          <w:p w14:paraId="1ACF7007">
            <w:pPr>
              <w:spacing w:line="400" w:lineRule="exact"/>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sym w:font="Wingdings" w:char="00A8"/>
            </w:r>
            <w:r>
              <w:rPr>
                <w:rFonts w:hint="eastAsia" w:ascii="宋体" w:hAnsi="宋体" w:eastAsia="宋体" w:cs="宋体"/>
                <w:bCs/>
                <w:color w:val="auto"/>
                <w:kern w:val="0"/>
                <w:sz w:val="22"/>
                <w:szCs w:val="22"/>
                <w:highlight w:val="none"/>
              </w:rPr>
              <w:t xml:space="preserve"> 不要求提供</w:t>
            </w:r>
          </w:p>
          <w:p w14:paraId="4F52ECE2">
            <w:pPr>
              <w:spacing w:line="400" w:lineRule="exac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sym w:font="Wingdings" w:char="00FE"/>
            </w:r>
            <w:r>
              <w:rPr>
                <w:rFonts w:hint="eastAsia" w:ascii="宋体" w:hAnsi="宋体" w:eastAsia="宋体" w:cs="宋体"/>
                <w:bCs/>
                <w:color w:val="auto"/>
                <w:kern w:val="0"/>
                <w:sz w:val="22"/>
                <w:szCs w:val="22"/>
                <w:highlight w:val="none"/>
              </w:rPr>
              <w:t xml:space="preserve">  要求提供，详见第三部分采购需求</w:t>
            </w:r>
          </w:p>
        </w:tc>
      </w:tr>
      <w:tr w14:paraId="1C197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0E0D462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589" w:type="dxa"/>
            <w:vAlign w:val="center"/>
          </w:tcPr>
          <w:p w14:paraId="6032BC5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273" w:type="dxa"/>
            <w:vAlign w:val="center"/>
          </w:tcPr>
          <w:p w14:paraId="5DEA571B">
            <w:pPr>
              <w:spacing w:line="400" w:lineRule="exac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详见第二部分“</w:t>
            </w:r>
            <w:r>
              <w:rPr>
                <w:rFonts w:hint="eastAsia" w:ascii="宋体" w:hAnsi="宋体" w:eastAsia="宋体" w:cs="宋体"/>
                <w:color w:val="auto"/>
                <w:sz w:val="22"/>
                <w:szCs w:val="22"/>
                <w:highlight w:val="none"/>
                <w:lang w:val="zh-CN"/>
              </w:rPr>
              <w:t>投标人须知</w:t>
            </w: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lang w:val="zh-CN"/>
              </w:rPr>
              <w:t>第</w:t>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lang w:val="zh-CN"/>
              </w:rPr>
              <w:t>款</w:t>
            </w:r>
          </w:p>
        </w:tc>
      </w:tr>
      <w:tr w14:paraId="14A0A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77DC67B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589" w:type="dxa"/>
            <w:vAlign w:val="center"/>
          </w:tcPr>
          <w:p w14:paraId="7CA281B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273" w:type="dxa"/>
            <w:vAlign w:val="center"/>
          </w:tcPr>
          <w:p w14:paraId="538BEA1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9194ED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r>
              <w:rPr>
                <w:rFonts w:hint="eastAsia" w:ascii="宋体" w:hAnsi="宋体" w:eastAsia="宋体" w:cs="宋体"/>
                <w:b/>
                <w:bCs/>
                <w:color w:val="auto"/>
                <w:sz w:val="22"/>
                <w:szCs w:val="22"/>
                <w:highlight w:val="none"/>
              </w:rPr>
              <w:t>（文件扩展名为.jmbs）</w:t>
            </w:r>
            <w:r>
              <w:rPr>
                <w:rFonts w:hint="eastAsia" w:ascii="宋体" w:hAnsi="宋体" w:eastAsia="宋体" w:cs="宋体"/>
                <w:color w:val="auto"/>
                <w:sz w:val="22"/>
                <w:szCs w:val="22"/>
                <w:highlight w:val="none"/>
              </w:rPr>
              <w:t>。</w:t>
            </w:r>
          </w:p>
          <w:p w14:paraId="150F070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w:t>
            </w:r>
            <w:r>
              <w:rPr>
                <w:rStyle w:val="21"/>
                <w:rFonts w:hint="eastAsia" w:ascii="宋体" w:hAnsi="宋体" w:eastAsia="宋体" w:cs="宋体"/>
                <w:color w:val="auto"/>
                <w:sz w:val="22"/>
                <w:szCs w:val="22"/>
                <w:highlight w:val="none"/>
              </w:rPr>
              <w:t>(文件扩展名为.bfbs)</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（备份标书，用于供应商标书解密异常时应急使用），其他方式编制的备份投标文件视为无效备份投标文件。</w:t>
            </w:r>
          </w:p>
          <w:p w14:paraId="5D4864E0">
            <w:pPr>
              <w:spacing w:line="400" w:lineRule="exact"/>
              <w:rPr>
                <w:rFonts w:hint="eastAsia" w:ascii="宋体" w:hAnsi="宋体" w:eastAsia="宋体" w:cs="宋体"/>
                <w:color w:val="auto"/>
                <w:sz w:val="22"/>
                <w:szCs w:val="22"/>
                <w:highlight w:val="none"/>
              </w:rPr>
            </w:pPr>
            <w:r>
              <w:rPr>
                <w:rFonts w:hint="eastAsia" w:ascii="宋体" w:hAnsi="宋体" w:eastAsia="宋体" w:cs="宋体"/>
                <w:b/>
                <w:bCs/>
                <w:snapToGrid w:val="0"/>
                <w:color w:val="auto"/>
                <w:sz w:val="22"/>
                <w:szCs w:val="22"/>
                <w:highlight w:val="none"/>
              </w:rPr>
              <w:t>注：</w:t>
            </w:r>
            <w:r>
              <w:rPr>
                <w:rFonts w:hint="eastAsia" w:ascii="宋体" w:hAnsi="宋体" w:eastAsia="宋体" w:cs="宋体"/>
                <w:b/>
                <w:bCs/>
                <w:color w:val="auto"/>
                <w:sz w:val="22"/>
                <w:szCs w:val="22"/>
                <w:highlight w:val="none"/>
              </w:rPr>
              <w:t>中标人在领取中标通知书时，将投标文件打印纸质版</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份（邮寄或者送达</w:t>
            </w:r>
            <w:r>
              <w:rPr>
                <w:rFonts w:hint="eastAsia" w:ascii="宋体" w:hAnsi="宋体" w:eastAsia="宋体" w:cs="宋体"/>
                <w:b/>
                <w:bCs/>
                <w:color w:val="auto"/>
                <w:kern w:val="0"/>
                <w:sz w:val="22"/>
                <w:szCs w:val="22"/>
                <w:highlight w:val="none"/>
              </w:rPr>
              <w:t>地址：</w:t>
            </w:r>
            <w:r>
              <w:rPr>
                <w:rFonts w:hint="eastAsia" w:ascii="宋体" w:hAnsi="宋体" w:eastAsia="宋体" w:cs="宋体"/>
                <w:b/>
                <w:bCs/>
                <w:color w:val="auto"/>
                <w:sz w:val="22"/>
                <w:szCs w:val="22"/>
                <w:highlight w:val="none"/>
              </w:rPr>
              <w:t>浙江省杭州市西湖区紫荆花路386号紫荆大厦107号商务楼303室（浙江乐诚工程咨询有限公司），</w:t>
            </w:r>
            <w:r>
              <w:rPr>
                <w:rFonts w:hint="eastAsia" w:ascii="宋体" w:hAnsi="宋体" w:eastAsia="宋体" w:cs="宋体"/>
                <w:b/>
                <w:bCs/>
                <w:color w:val="auto"/>
                <w:kern w:val="0"/>
                <w:sz w:val="22"/>
                <w:szCs w:val="22"/>
                <w:highlight w:val="none"/>
              </w:rPr>
              <w:t>联系人：王纪凤，电话：</w:t>
            </w:r>
            <w:r>
              <w:rPr>
                <w:rFonts w:hint="eastAsia" w:ascii="宋体" w:hAnsi="宋体" w:eastAsia="宋体" w:cs="宋体"/>
                <w:b/>
                <w:bCs/>
                <w:snapToGrid w:val="0"/>
                <w:color w:val="auto"/>
                <w:sz w:val="22"/>
                <w:szCs w:val="22"/>
                <w:highlight w:val="none"/>
              </w:rPr>
              <w:t xml:space="preserve">18357703076 </w:t>
            </w:r>
            <w:r>
              <w:rPr>
                <w:rFonts w:hint="eastAsia" w:ascii="宋体" w:hAnsi="宋体" w:eastAsia="宋体" w:cs="宋体"/>
                <w:b/>
                <w:bCs/>
                <w:color w:val="auto"/>
                <w:sz w:val="22"/>
                <w:szCs w:val="22"/>
                <w:highlight w:val="none"/>
              </w:rPr>
              <w:t>）。</w:t>
            </w:r>
          </w:p>
        </w:tc>
      </w:tr>
      <w:tr w14:paraId="61404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BD8447A">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589" w:type="dxa"/>
            <w:vAlign w:val="center"/>
          </w:tcPr>
          <w:p w14:paraId="1109314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投标文件的传输递交</w:t>
            </w:r>
          </w:p>
        </w:tc>
        <w:tc>
          <w:tcPr>
            <w:tcW w:w="7273" w:type="dxa"/>
            <w:vAlign w:val="center"/>
          </w:tcPr>
          <w:p w14:paraId="288CA17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详见第二部分“投标人须知”第16款</w:t>
            </w:r>
          </w:p>
          <w:p w14:paraId="3FCFA05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注：上传、递交过程中如有疑问，可咨询“政采云”客服热线：95763</w:t>
            </w:r>
          </w:p>
        </w:tc>
      </w:tr>
      <w:tr w14:paraId="2B348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2682FB9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589" w:type="dxa"/>
            <w:vAlign w:val="center"/>
          </w:tcPr>
          <w:p w14:paraId="2FFE1C01">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提交投标文件截止时间、开标时间和地点</w:t>
            </w:r>
          </w:p>
        </w:tc>
        <w:tc>
          <w:tcPr>
            <w:tcW w:w="7273" w:type="dxa"/>
            <w:vAlign w:val="center"/>
          </w:tcPr>
          <w:p w14:paraId="083C21C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详见第一部分“招标公告”</w:t>
            </w:r>
          </w:p>
        </w:tc>
      </w:tr>
      <w:tr w14:paraId="547EF9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4CA1DE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589" w:type="dxa"/>
            <w:vAlign w:val="center"/>
          </w:tcPr>
          <w:p w14:paraId="030A349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7273" w:type="dxa"/>
            <w:vAlign w:val="center"/>
          </w:tcPr>
          <w:p w14:paraId="093D16D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评标委员会由采购人代表和评审专家组成，成员人数应当为 5 人及以上单数，其中评审专家不得少于成员总数的三分之二。</w:t>
            </w:r>
          </w:p>
        </w:tc>
      </w:tr>
      <w:tr w14:paraId="0A4A8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6155A13E">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1589" w:type="dxa"/>
            <w:vAlign w:val="center"/>
          </w:tcPr>
          <w:p w14:paraId="2E7185E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273" w:type="dxa"/>
            <w:vAlign w:val="center"/>
          </w:tcPr>
          <w:p w14:paraId="7690D10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详见第四部分“评标办法”</w:t>
            </w:r>
          </w:p>
        </w:tc>
      </w:tr>
      <w:tr w14:paraId="37377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7DA0D5A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589" w:type="dxa"/>
            <w:vAlign w:val="center"/>
          </w:tcPr>
          <w:p w14:paraId="3B59923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中标结果公告</w:t>
            </w:r>
          </w:p>
        </w:tc>
        <w:tc>
          <w:tcPr>
            <w:tcW w:w="7273" w:type="dxa"/>
            <w:vAlign w:val="center"/>
          </w:tcPr>
          <w:p w14:paraId="6905954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结果经采购人确认后2个工作日内，采购代理机构将对外发布中标成交公告和中标通知书。采购代理机构按相关政府采购规定将中标结果发布在政府采购网上进行公告，中标公告期限为1个工作日。采购人、采购代理机构及评标委员会对未中标的投标人不作落标原因解释。</w:t>
            </w:r>
          </w:p>
        </w:tc>
      </w:tr>
      <w:tr w14:paraId="3320B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2238E21">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1589" w:type="dxa"/>
            <w:vAlign w:val="center"/>
          </w:tcPr>
          <w:p w14:paraId="5C722D7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合同签订时间</w:t>
            </w:r>
          </w:p>
        </w:tc>
        <w:tc>
          <w:tcPr>
            <w:tcW w:w="7273" w:type="dxa"/>
            <w:vAlign w:val="center"/>
          </w:tcPr>
          <w:p w14:paraId="45A5BF8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中标通知书发出后30日内。</w:t>
            </w:r>
          </w:p>
        </w:tc>
      </w:tr>
      <w:tr w14:paraId="579802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035D6B0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1589" w:type="dxa"/>
            <w:vAlign w:val="center"/>
          </w:tcPr>
          <w:p w14:paraId="4793573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273" w:type="dxa"/>
            <w:vAlign w:val="center"/>
          </w:tcPr>
          <w:p w14:paraId="210E101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投标有效期为从提交投标文件的截止之日起</w:t>
            </w:r>
            <w:r>
              <w:rPr>
                <w:rFonts w:hint="eastAsia" w:ascii="宋体" w:hAnsi="宋体" w:eastAsia="宋体" w:cs="宋体"/>
                <w:color w:val="auto"/>
                <w:sz w:val="22"/>
                <w:szCs w:val="22"/>
                <w:highlight w:val="none"/>
                <w:u w:val="single"/>
              </w:rPr>
              <w:t xml:space="preserve"> 90日历</w:t>
            </w:r>
            <w:r>
              <w:rPr>
                <w:rFonts w:hint="eastAsia" w:ascii="宋体" w:hAnsi="宋体" w:eastAsia="宋体" w:cs="宋体"/>
                <w:color w:val="auto"/>
                <w:sz w:val="22"/>
                <w:szCs w:val="22"/>
                <w:highlight w:val="none"/>
              </w:rPr>
              <w:t>天</w:t>
            </w:r>
          </w:p>
        </w:tc>
      </w:tr>
      <w:tr w14:paraId="3C571E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44FAD08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1589" w:type="dxa"/>
            <w:vAlign w:val="center"/>
          </w:tcPr>
          <w:p w14:paraId="105619A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w:t>
            </w:r>
          </w:p>
        </w:tc>
        <w:tc>
          <w:tcPr>
            <w:tcW w:w="7273" w:type="dxa"/>
            <w:vAlign w:val="center"/>
          </w:tcPr>
          <w:p w14:paraId="31F94C1F">
            <w:pPr>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31539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6B02E72A">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1589" w:type="dxa"/>
            <w:vAlign w:val="center"/>
          </w:tcPr>
          <w:p w14:paraId="79084A01">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273" w:type="dxa"/>
            <w:vAlign w:val="center"/>
          </w:tcPr>
          <w:p w14:paraId="750565AA">
            <w:pPr>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根据《政府采购质疑和投诉办法》第十七条的规定，质疑供应商对采购人、采购代理机构的答复不满意，或者采购人、采购代理机构未在规定时间内作出答复的，可以在答复期满后 15 个工作日内向本级财政部门提起投诉。</w:t>
            </w:r>
          </w:p>
        </w:tc>
      </w:tr>
      <w:tr w14:paraId="6805FE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74ABE4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589" w:type="dxa"/>
            <w:vAlign w:val="center"/>
          </w:tcPr>
          <w:p w14:paraId="7EC094B4">
            <w:pPr>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color w:val="auto"/>
                <w:sz w:val="22"/>
                <w:szCs w:val="22"/>
                <w:highlight w:val="none"/>
              </w:rPr>
              <w:t>供应商信用信息查询</w:t>
            </w:r>
          </w:p>
        </w:tc>
        <w:tc>
          <w:tcPr>
            <w:tcW w:w="7273" w:type="dxa"/>
            <w:vAlign w:val="center"/>
          </w:tcPr>
          <w:p w14:paraId="07D2B3DF">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根据《关于在政府采购活动中查询及使用信用记录有关问题的通知》财库[2016]125号的规定：</w:t>
            </w:r>
          </w:p>
          <w:p w14:paraId="77BE9AE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1）采购人或采购代理机构将对本项目投标人的信用信息进行查询。</w:t>
            </w:r>
          </w:p>
          <w:p w14:paraId="31A40E0E">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2）查询渠道为信用中国网站（www.creditchina.gov.cn）、中国政府采购网（www.ccgp.gov.cn）。</w:t>
            </w:r>
          </w:p>
          <w:p w14:paraId="69BBA7C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3）信用信息截止时点为从本项目投标截止日往前追溯三年，期间被列入失信被执行人名单、</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、政府采购严重违法失信行为记录名单等投标人信用信息均将用于本项目。</w:t>
            </w:r>
          </w:p>
          <w:p w14:paraId="3BF4AB6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4）信用信息查询记录和证据以网页截图等方式留存。</w:t>
            </w:r>
          </w:p>
          <w:p w14:paraId="04466B5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5）信用信息将作为评审和确定中标人的依据。</w:t>
            </w:r>
          </w:p>
          <w:p w14:paraId="5857B567">
            <w:pPr>
              <w:pStyle w:val="24"/>
              <w:snapToGrid/>
              <w:spacing w:line="400" w:lineRule="exact"/>
              <w:ind w:firstLine="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6）联合体成员存在不良信用记录的，视同联合体存在不良信用记录。</w:t>
            </w:r>
          </w:p>
        </w:tc>
      </w:tr>
      <w:tr w14:paraId="26443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8D243D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589" w:type="dxa"/>
            <w:vAlign w:val="center"/>
          </w:tcPr>
          <w:p w14:paraId="663734E5">
            <w:pPr>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项目属性与核心产品</w:t>
            </w:r>
          </w:p>
        </w:tc>
        <w:tc>
          <w:tcPr>
            <w:tcW w:w="7273" w:type="dxa"/>
            <w:vAlign w:val="center"/>
          </w:tcPr>
          <w:p w14:paraId="1F92DFFB">
            <w:pPr>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货物类，</w:t>
            </w:r>
            <w:r>
              <w:rPr>
                <w:rFonts w:hint="eastAsia" w:ascii="宋体" w:hAnsi="宋体" w:eastAsia="宋体" w:cs="宋体"/>
                <w:color w:val="auto"/>
                <w:kern w:val="0"/>
                <w:sz w:val="22"/>
                <w:szCs w:val="22"/>
                <w:highlight w:val="none"/>
              </w:rPr>
              <w:t>核心产品</w:t>
            </w:r>
            <w:r>
              <w:rPr>
                <w:rFonts w:hint="eastAsia" w:ascii="宋体" w:hAnsi="宋体" w:eastAsia="宋体" w:cs="宋体"/>
                <w:color w:val="auto"/>
                <w:sz w:val="22"/>
                <w:szCs w:val="22"/>
                <w:highlight w:val="none"/>
              </w:rPr>
              <w:t>为：</w:t>
            </w:r>
            <w:r>
              <w:rPr>
                <w:rFonts w:hint="eastAsia" w:ascii="宋体" w:hAnsi="宋体" w:eastAsia="宋体" w:cs="宋体"/>
                <w:snapToGrid w:val="0"/>
                <w:color w:val="auto"/>
                <w:sz w:val="22"/>
                <w:szCs w:val="22"/>
                <w:highlight w:val="none"/>
                <w:u w:val="single"/>
              </w:rPr>
              <w:t xml:space="preserve">  </w:t>
            </w:r>
            <w:r>
              <w:rPr>
                <w:rFonts w:hint="eastAsia" w:ascii="宋体" w:hAnsi="宋体" w:eastAsia="宋体" w:cs="宋体"/>
                <w:snapToGrid w:val="0"/>
                <w:color w:val="auto"/>
                <w:sz w:val="22"/>
                <w:szCs w:val="22"/>
                <w:highlight w:val="none"/>
                <w:u w:val="single"/>
                <w:lang w:val="en-US" w:eastAsia="zh-CN"/>
              </w:rPr>
              <w:t xml:space="preserve"> 细胞房</w:t>
            </w:r>
            <w:r>
              <w:rPr>
                <w:rFonts w:hint="eastAsia" w:ascii="宋体" w:hAnsi="宋体" w:eastAsia="宋体" w:cs="宋体"/>
                <w:snapToGrid w:val="0"/>
                <w:color w:val="auto"/>
                <w:sz w:val="22"/>
                <w:szCs w:val="22"/>
                <w:highlight w:val="none"/>
                <w:u w:val="single"/>
              </w:rPr>
              <w:t xml:space="preserve"> </w:t>
            </w:r>
            <w:r>
              <w:rPr>
                <w:rFonts w:hint="eastAsia" w:ascii="宋体" w:hAnsi="宋体" w:eastAsia="宋体" w:cs="宋体"/>
                <w:color w:val="auto"/>
                <w:sz w:val="22"/>
                <w:szCs w:val="22"/>
                <w:highlight w:val="none"/>
              </w:rPr>
              <w:t>。</w:t>
            </w:r>
          </w:p>
        </w:tc>
      </w:tr>
      <w:tr w14:paraId="0BC9C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A214FA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589" w:type="dxa"/>
            <w:vAlign w:val="center"/>
          </w:tcPr>
          <w:p w14:paraId="7723A3D2">
            <w:pPr>
              <w:spacing w:line="400" w:lineRule="exact"/>
              <w:jc w:val="center"/>
              <w:rPr>
                <w:rFonts w:hint="eastAsia" w:ascii="宋体" w:hAnsi="宋体" w:eastAsia="宋体" w:cs="宋体"/>
                <w:b/>
                <w:bCs/>
                <w:snapToGrid w:val="0"/>
                <w:color w:val="auto"/>
                <w:sz w:val="22"/>
                <w:szCs w:val="22"/>
                <w:highlight w:val="none"/>
              </w:rPr>
            </w:pPr>
            <w:r>
              <w:rPr>
                <w:rFonts w:hint="eastAsia" w:ascii="宋体" w:hAnsi="宋体" w:eastAsia="宋体" w:cs="宋体"/>
                <w:snapToGrid w:val="0"/>
                <w:color w:val="auto"/>
                <w:sz w:val="22"/>
                <w:szCs w:val="22"/>
                <w:highlight w:val="none"/>
              </w:rPr>
              <w:t>中小企业预留份额情况</w:t>
            </w:r>
          </w:p>
        </w:tc>
        <w:tc>
          <w:tcPr>
            <w:tcW w:w="7273" w:type="dxa"/>
            <w:vAlign w:val="center"/>
          </w:tcPr>
          <w:p w14:paraId="45A046EC">
            <w:pPr>
              <w:autoSpaceDE w:val="0"/>
              <w:autoSpaceDN w:val="0"/>
              <w:snapToGrid w:val="0"/>
              <w:spacing w:line="400" w:lineRule="exact"/>
              <w:jc w:val="left"/>
              <w:textAlignment w:val="bottom"/>
              <w:rPr>
                <w:rFonts w:hint="eastAsia" w:ascii="宋体" w:hAnsi="宋体" w:eastAsia="宋体" w:cs="宋体"/>
                <w:b/>
                <w:bCs/>
                <w:snapToGrid w:val="0"/>
                <w:color w:val="auto"/>
                <w:sz w:val="22"/>
                <w:szCs w:val="22"/>
                <w:highlight w:val="none"/>
              </w:rPr>
            </w:pPr>
            <w:r>
              <w:rPr>
                <w:rFonts w:hint="eastAsia" w:ascii="宋体" w:hAnsi="宋体" w:eastAsia="宋体" w:cs="宋体"/>
                <w:b/>
                <w:color w:val="auto"/>
                <w:sz w:val="22"/>
                <w:szCs w:val="22"/>
                <w:highlight w:val="none"/>
              </w:rPr>
              <w:t>根据《政府采购促进中小企业发展管理办法》财库〔2020〕46号文件的规定，本项目将采购项目整体专门面向中小企业采购。组成联合体或者接受分包合同的中小企业与联合体内其他企业、分包企业之间不得存在直接控股、管理关系。</w:t>
            </w:r>
          </w:p>
        </w:tc>
      </w:tr>
      <w:tr w14:paraId="5E3D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193161F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589" w:type="dxa"/>
            <w:vAlign w:val="center"/>
          </w:tcPr>
          <w:p w14:paraId="298CBBDA">
            <w:pPr>
              <w:spacing w:line="40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标的名称及其对应的中小企业划分标准所属行业</w:t>
            </w:r>
          </w:p>
        </w:tc>
        <w:tc>
          <w:tcPr>
            <w:tcW w:w="7273" w:type="dxa"/>
            <w:vAlign w:val="center"/>
          </w:tcPr>
          <w:p w14:paraId="2BDB40D0">
            <w:pPr>
              <w:outlineLvl w:val="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1.标的名称：</w:t>
            </w:r>
            <w:r>
              <w:rPr>
                <w:rFonts w:hint="eastAsia" w:ascii="宋体" w:hAnsi="宋体" w:eastAsia="宋体" w:cs="宋体"/>
                <w:b/>
                <w:bCs/>
                <w:color w:val="auto"/>
                <w:sz w:val="22"/>
                <w:szCs w:val="22"/>
                <w:highlight w:val="none"/>
                <w:u w:val="single"/>
                <w:lang w:val="en-US" w:eastAsia="zh-CN"/>
              </w:rPr>
              <w:t xml:space="preserve">  浙江农林大学教8地下室7个细胞房  </w:t>
            </w:r>
            <w:r>
              <w:rPr>
                <w:rFonts w:hint="eastAsia" w:ascii="宋体" w:hAnsi="宋体" w:eastAsia="宋体" w:cs="宋体"/>
                <w:b/>
                <w:bCs/>
                <w:color w:val="auto"/>
                <w:sz w:val="22"/>
                <w:szCs w:val="22"/>
                <w:highlight w:val="none"/>
                <w:u w:val="single"/>
              </w:rPr>
              <w:t>；</w:t>
            </w:r>
          </w:p>
          <w:p w14:paraId="014112CB">
            <w:pPr>
              <w:snapToGrid w:val="0"/>
              <w:spacing w:line="40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b/>
                <w:bCs/>
                <w:color w:val="auto"/>
                <w:sz w:val="22"/>
                <w:szCs w:val="22"/>
                <w:highlight w:val="none"/>
              </w:rPr>
              <w:t>2.本项目属于</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snapToGrid w:val="0"/>
                <w:color w:val="auto"/>
                <w:sz w:val="22"/>
                <w:szCs w:val="22"/>
                <w:highlight w:val="none"/>
                <w:u w:val="single"/>
              </w:rPr>
              <w:t xml:space="preserve">工业  </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行业</w:t>
            </w:r>
            <w:r>
              <w:rPr>
                <w:rFonts w:hint="eastAsia" w:ascii="宋体" w:hAnsi="宋体" w:eastAsia="宋体" w:cs="宋体"/>
                <w:color w:val="auto"/>
                <w:sz w:val="22"/>
                <w:szCs w:val="22"/>
                <w:highlight w:val="none"/>
              </w:rPr>
              <w:t>。</w:t>
            </w:r>
          </w:p>
          <w:p w14:paraId="213B611E">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snapToGrid w:val="0"/>
                <w:color w:val="auto"/>
                <w:sz w:val="22"/>
                <w:szCs w:val="22"/>
                <w:highlight w:val="none"/>
              </w:rPr>
              <w:t>所属行业划分标准：</w:t>
            </w:r>
            <w:r>
              <w:rPr>
                <w:rFonts w:hint="eastAsia" w:ascii="宋体" w:hAnsi="宋体" w:eastAsia="宋体" w:cs="宋体"/>
                <w:color w:val="auto"/>
                <w:sz w:val="22"/>
                <w:szCs w:val="22"/>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3F871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中小企业的划分标准依据《关于印发中小企业划型标准规定的通知》（工信部联企业〔2011〕300号）文件执行。</w:t>
            </w:r>
          </w:p>
        </w:tc>
      </w:tr>
      <w:tr w14:paraId="151D3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4A3694AB">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1589" w:type="dxa"/>
            <w:vAlign w:val="center"/>
          </w:tcPr>
          <w:p w14:paraId="1138B12D">
            <w:pPr>
              <w:pStyle w:val="7"/>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节能产品、环境标志产品</w:t>
            </w:r>
          </w:p>
        </w:tc>
        <w:tc>
          <w:tcPr>
            <w:tcW w:w="7273" w:type="dxa"/>
            <w:vAlign w:val="center"/>
          </w:tcPr>
          <w:p w14:paraId="367EE7B1">
            <w:pPr>
              <w:pStyle w:val="7"/>
              <w:spacing w:line="400" w:lineRule="exac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（1）严格执行《财政部 发展改革委 生态环境部 市场监管总局关于调整优化节能产品、环境标志产品政府采购执行机制的通知》（财库〔2019〕9号）、《节能产品政府采购品目清单》详见《关于印发节能产品政府采购品目清单的通知(财库[2019]19号)》、《</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"http://gks.mof.gov.cn/zhengfucaigouguanli/201903/P020190329702478575295.pdf"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环境标志产品政府采购品目清</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单》详见《关于印发环境标志产品政府采购品目清单的通知财库〔2019〕18号》《参与实施政府采购节能产品认证机构名录》《参与实施政府采购环境标志产品认证机构名录》</w:t>
            </w:r>
            <w:r>
              <w:rPr>
                <w:rFonts w:hint="eastAsia" w:ascii="宋体" w:hAnsi="宋体" w:eastAsia="宋体" w:cs="宋体"/>
                <w:color w:val="auto"/>
                <w:sz w:val="22"/>
                <w:szCs w:val="22"/>
                <w:highlight w:val="none"/>
                <w:lang w:val="en-US"/>
              </w:rPr>
              <w:t>详见</w:t>
            </w:r>
            <w:r>
              <w:rPr>
                <w:rFonts w:hint="eastAsia" w:ascii="宋体" w:hAnsi="宋体" w:eastAsia="宋体" w:cs="宋体"/>
                <w:color w:val="auto"/>
                <w:sz w:val="22"/>
                <w:szCs w:val="22"/>
                <w:highlight w:val="none"/>
              </w:rPr>
              <w:t>《市场监管总局关于发布参与实施政府采购节能产品、环境标志产品认证机构名录的公告（2019年第16号）》。</w:t>
            </w:r>
          </w:p>
          <w:p w14:paraId="7F00714C">
            <w:pPr>
              <w:pStyle w:val="7"/>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(如遇调整，按最新</w:t>
            </w:r>
            <w:r>
              <w:rPr>
                <w:rFonts w:hint="eastAsia" w:ascii="宋体" w:hAnsi="宋体" w:eastAsia="宋体" w:cs="宋体"/>
                <w:color w:val="auto"/>
                <w:sz w:val="22"/>
                <w:szCs w:val="22"/>
                <w:highlight w:val="none"/>
                <w:lang w:val="en-US"/>
              </w:rPr>
              <w:t>文件</w:t>
            </w:r>
            <w:r>
              <w:rPr>
                <w:rFonts w:hint="eastAsia" w:ascii="宋体" w:hAnsi="宋体" w:eastAsia="宋体" w:cs="宋体"/>
                <w:color w:val="auto"/>
                <w:sz w:val="22"/>
                <w:szCs w:val="22"/>
                <w:highlight w:val="none"/>
              </w:rPr>
              <w:t>执行)</w:t>
            </w:r>
          </w:p>
          <w:p w14:paraId="4A812FF2">
            <w:pPr>
              <w:pStyle w:val="7"/>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7868230F">
            <w:pPr>
              <w:pStyle w:val="7"/>
              <w:spacing w:line="400" w:lineRule="exact"/>
              <w:rPr>
                <w:rFonts w:hint="eastAsia" w:ascii="宋体" w:hAnsi="宋体" w:eastAsia="宋体" w:cs="宋体"/>
                <w:color w:val="auto"/>
                <w:sz w:val="22"/>
                <w:szCs w:val="22"/>
                <w:highlight w:val="none"/>
                <w:u w:val="single"/>
                <w:lang w:val="en-US"/>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14:paraId="38A30661">
            <w:pPr>
              <w:pStyle w:val="7"/>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rPr>
              <w:t>4</w:t>
            </w:r>
            <w:r>
              <w:rPr>
                <w:rFonts w:hint="eastAsia" w:ascii="宋体" w:hAnsi="宋体" w:eastAsia="宋体" w:cs="宋体"/>
                <w:color w:val="auto"/>
                <w:sz w:val="22"/>
                <w:szCs w:val="22"/>
                <w:highlight w:val="none"/>
              </w:rPr>
              <w:t>）属于政府优先采购产品类别的，须按照要求提供依据国家确定的认证机构出具的、处于有效期之内的节能产品或环境标志产品认证证书，否则不予认定。</w:t>
            </w:r>
          </w:p>
        </w:tc>
      </w:tr>
      <w:tr w14:paraId="75DB7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3B76006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1589" w:type="dxa"/>
            <w:vAlign w:val="center"/>
          </w:tcPr>
          <w:p w14:paraId="17406E66">
            <w:pPr>
              <w:spacing w:line="400" w:lineRule="exact"/>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投标报价要求</w:t>
            </w:r>
          </w:p>
        </w:tc>
        <w:tc>
          <w:tcPr>
            <w:tcW w:w="7273" w:type="dxa"/>
            <w:vAlign w:val="center"/>
          </w:tcPr>
          <w:p w14:paraId="6D3B2F36">
            <w:pPr>
              <w:snapToGrid w:val="0"/>
              <w:spacing w:line="40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投标报价包含的内容：</w:t>
            </w:r>
          </w:p>
          <w:p w14:paraId="141F3A8D">
            <w:pPr>
              <w:spacing w:line="400" w:lineRule="exact"/>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sym w:font="Wingdings" w:char="F0FE"/>
            </w:r>
            <w:r>
              <w:rPr>
                <w:rFonts w:hint="eastAsia" w:ascii="宋体" w:hAnsi="宋体" w:eastAsia="宋体" w:cs="宋体"/>
                <w:snapToGrid w:val="0"/>
                <w:color w:val="auto"/>
                <w:sz w:val="22"/>
                <w:szCs w:val="22"/>
                <w:highlight w:val="none"/>
                <w:lang w:val="zh-CN"/>
              </w:rPr>
              <w:t>采购代理服务费</w:t>
            </w:r>
          </w:p>
          <w:p w14:paraId="28C00068">
            <w:pPr>
              <w:spacing w:line="400" w:lineRule="exact"/>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rPr>
              <w:t>1.</w:t>
            </w:r>
            <w:r>
              <w:rPr>
                <w:rFonts w:hint="eastAsia" w:ascii="宋体" w:hAnsi="宋体" w:eastAsia="宋体" w:cs="宋体"/>
                <w:snapToGrid w:val="0"/>
                <w:color w:val="auto"/>
                <w:sz w:val="22"/>
                <w:szCs w:val="22"/>
                <w:highlight w:val="none"/>
                <w:lang w:val="zh-CN"/>
              </w:rPr>
              <w:t>收费标准：本次</w:t>
            </w:r>
            <w:r>
              <w:rPr>
                <w:rFonts w:hint="eastAsia" w:ascii="宋体" w:hAnsi="宋体" w:eastAsia="宋体" w:cs="宋体"/>
                <w:snapToGrid w:val="0"/>
                <w:color w:val="auto"/>
                <w:sz w:val="22"/>
                <w:szCs w:val="22"/>
                <w:highlight w:val="none"/>
              </w:rPr>
              <w:t>采购</w:t>
            </w:r>
            <w:r>
              <w:rPr>
                <w:rFonts w:hint="eastAsia" w:ascii="宋体" w:hAnsi="宋体" w:eastAsia="宋体" w:cs="宋体"/>
                <w:snapToGrid w:val="0"/>
                <w:color w:val="auto"/>
                <w:sz w:val="22"/>
                <w:szCs w:val="22"/>
                <w:highlight w:val="none"/>
                <w:lang w:val="zh-CN"/>
              </w:rPr>
              <w:t>，</w:t>
            </w:r>
            <w:r>
              <w:rPr>
                <w:rFonts w:hint="eastAsia" w:ascii="宋体" w:hAnsi="宋体" w:eastAsia="宋体" w:cs="宋体"/>
                <w:snapToGrid w:val="0"/>
                <w:color w:val="auto"/>
                <w:sz w:val="22"/>
                <w:szCs w:val="22"/>
                <w:highlight w:val="none"/>
              </w:rPr>
              <w:t>采购</w:t>
            </w:r>
            <w:r>
              <w:rPr>
                <w:rFonts w:hint="eastAsia" w:ascii="宋体" w:hAnsi="宋体" w:eastAsia="宋体" w:cs="宋体"/>
                <w:snapToGrid w:val="0"/>
                <w:color w:val="auto"/>
                <w:sz w:val="22"/>
                <w:szCs w:val="22"/>
                <w:highlight w:val="none"/>
                <w:lang w:val="zh-CN"/>
              </w:rPr>
              <w:t>代理费按照招标代理服务</w:t>
            </w:r>
            <w:r>
              <w:rPr>
                <w:rFonts w:hint="eastAsia" w:ascii="宋体" w:hAnsi="宋体" w:eastAsia="宋体" w:cs="宋体"/>
                <w:snapToGrid w:val="0"/>
                <w:color w:val="auto"/>
                <w:sz w:val="22"/>
                <w:szCs w:val="22"/>
                <w:highlight w:val="none"/>
                <w:lang w:val="en-US" w:eastAsia="zh-CN"/>
              </w:rPr>
              <w:t>收费</w:t>
            </w:r>
            <w:r>
              <w:rPr>
                <w:rFonts w:hint="eastAsia" w:ascii="宋体" w:hAnsi="宋体" w:eastAsia="宋体" w:cs="宋体"/>
                <w:snapToGrid w:val="0"/>
                <w:color w:val="auto"/>
                <w:sz w:val="22"/>
                <w:szCs w:val="22"/>
                <w:highlight w:val="none"/>
                <w:lang w:val="zh-CN"/>
              </w:rPr>
              <w:t>标准</w:t>
            </w:r>
            <w:r>
              <w:rPr>
                <w:rFonts w:hint="eastAsia" w:ascii="宋体" w:hAnsi="宋体" w:eastAsia="宋体" w:cs="宋体"/>
                <w:snapToGrid w:val="0"/>
                <w:color w:val="auto"/>
                <w:sz w:val="22"/>
                <w:szCs w:val="22"/>
                <w:highlight w:val="none"/>
              </w:rPr>
              <w:t>货物</w:t>
            </w:r>
            <w:r>
              <w:rPr>
                <w:rFonts w:hint="eastAsia" w:ascii="宋体" w:hAnsi="宋体" w:eastAsia="宋体" w:cs="宋体"/>
                <w:snapToGrid w:val="0"/>
                <w:color w:val="auto"/>
                <w:sz w:val="22"/>
                <w:szCs w:val="22"/>
                <w:highlight w:val="none"/>
                <w:lang w:val="zh-CN"/>
              </w:rPr>
              <w:t>类的</w:t>
            </w:r>
            <w:r>
              <w:rPr>
                <w:rFonts w:hint="eastAsia" w:ascii="宋体" w:hAnsi="宋体" w:eastAsia="宋体" w:cs="宋体"/>
                <w:snapToGrid w:val="0"/>
                <w:color w:val="auto"/>
                <w:sz w:val="22"/>
                <w:szCs w:val="22"/>
                <w:highlight w:val="none"/>
              </w:rPr>
              <w:t>70</w:t>
            </w:r>
            <w:r>
              <w:rPr>
                <w:rFonts w:hint="eastAsia" w:ascii="宋体" w:hAnsi="宋体" w:eastAsia="宋体" w:cs="宋体"/>
                <w:snapToGrid w:val="0"/>
                <w:color w:val="auto"/>
                <w:sz w:val="22"/>
                <w:szCs w:val="22"/>
                <w:highlight w:val="none"/>
                <w:lang w:val="zh-CN"/>
              </w:rPr>
              <w:t>%计算，服务费不足3000均按3000收取，由中标人在收到中标通知书时向采购代理机构交纳采购代理服务费，如未按上述规定办理，采购代理机构有权对代理服务费不足部分进行追索。</w:t>
            </w:r>
          </w:p>
          <w:p w14:paraId="1C3AF621">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招标代理服务收费</w:t>
            </w:r>
            <w:r>
              <w:rPr>
                <w:rFonts w:hint="eastAsia" w:ascii="宋体" w:hAnsi="宋体" w:eastAsia="宋体" w:cs="宋体"/>
                <w:snapToGrid w:val="0"/>
                <w:color w:val="auto"/>
                <w:sz w:val="22"/>
                <w:szCs w:val="22"/>
                <w:highlight w:val="none"/>
                <w:lang w:val="en-US" w:eastAsia="zh-CN"/>
              </w:rPr>
              <w:t>标准</w:t>
            </w:r>
            <w:r>
              <w:rPr>
                <w:rFonts w:hint="eastAsia" w:ascii="宋体" w:hAnsi="宋体" w:eastAsia="宋体" w:cs="宋体"/>
                <w:snapToGrid w:val="0"/>
                <w:color w:val="auto"/>
                <w:sz w:val="22"/>
                <w:szCs w:val="22"/>
                <w:highlight w:val="none"/>
                <w:lang w:val="zh-CN"/>
              </w:rPr>
              <w:t>如下：</w:t>
            </w:r>
          </w:p>
          <w:tbl>
            <w:tblPr>
              <w:tblStyle w:val="1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1333"/>
              <w:gridCol w:w="1169"/>
              <w:gridCol w:w="1303"/>
            </w:tblGrid>
            <w:tr w14:paraId="5AE1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center"/>
                </w:tcPr>
                <w:p w14:paraId="24C8DC9D">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en-US" w:eastAsia="zh-CN"/>
                    </w:rPr>
                    <w:t>中标</w:t>
                  </w:r>
                  <w:r>
                    <w:rPr>
                      <w:rFonts w:hint="eastAsia" w:ascii="宋体" w:hAnsi="宋体" w:eastAsia="宋体" w:cs="宋体"/>
                      <w:snapToGrid w:val="0"/>
                      <w:color w:val="auto"/>
                      <w:sz w:val="22"/>
                      <w:szCs w:val="22"/>
                      <w:highlight w:val="none"/>
                      <w:lang w:val="zh-CN"/>
                    </w:rPr>
                    <w:t>金额（万元）</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5F5E9BF">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货物类</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E5D9FC8">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服务类</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A3572EA">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工程类</w:t>
                  </w:r>
                </w:p>
              </w:tc>
            </w:tr>
            <w:tr w14:paraId="4A1C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center"/>
                </w:tcPr>
                <w:p w14:paraId="3088F1B4">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100以下</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5677CDB2">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1.5%</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7B6B92E">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1.5%</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0FA4273">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en-US" w:eastAsia="zh-CN"/>
                    </w:rPr>
                    <w:t>1.0</w:t>
                  </w:r>
                  <w:r>
                    <w:rPr>
                      <w:rFonts w:hint="eastAsia" w:ascii="宋体" w:hAnsi="宋体" w:eastAsia="宋体" w:cs="宋体"/>
                      <w:snapToGrid w:val="0"/>
                      <w:color w:val="auto"/>
                      <w:sz w:val="22"/>
                      <w:szCs w:val="22"/>
                      <w:highlight w:val="none"/>
                      <w:lang w:val="zh-CN"/>
                    </w:rPr>
                    <w:t>%</w:t>
                  </w:r>
                </w:p>
              </w:tc>
            </w:tr>
            <w:tr w14:paraId="185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center"/>
                </w:tcPr>
                <w:p w14:paraId="017F9B72">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100-500</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2E1E47D">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en-US" w:eastAsia="zh-CN"/>
                    </w:rPr>
                    <w:t>1.1</w:t>
                  </w:r>
                  <w:r>
                    <w:rPr>
                      <w:rFonts w:hint="eastAsia" w:ascii="宋体" w:hAnsi="宋体" w:eastAsia="宋体" w:cs="宋体"/>
                      <w:snapToGrid w:val="0"/>
                      <w:color w:val="auto"/>
                      <w:sz w:val="22"/>
                      <w:szCs w:val="22"/>
                      <w:highlight w:val="none"/>
                      <w:lang w:val="zh-CN"/>
                    </w:rPr>
                    <w:t>%</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50CA10FF">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8</w:t>
                  </w:r>
                  <w:r>
                    <w:rPr>
                      <w:rFonts w:hint="eastAsia" w:ascii="宋体" w:hAnsi="宋体" w:eastAsia="宋体" w:cs="宋体"/>
                      <w:snapToGrid w:val="0"/>
                      <w:color w:val="auto"/>
                      <w:sz w:val="22"/>
                      <w:szCs w:val="22"/>
                      <w:highlight w:val="none"/>
                      <w:lang w:val="zh-CN"/>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6AD4BD8">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7</w:t>
                  </w:r>
                  <w:r>
                    <w:rPr>
                      <w:rFonts w:hint="eastAsia" w:ascii="宋体" w:hAnsi="宋体" w:eastAsia="宋体" w:cs="宋体"/>
                      <w:snapToGrid w:val="0"/>
                      <w:color w:val="auto"/>
                      <w:sz w:val="22"/>
                      <w:szCs w:val="22"/>
                      <w:highlight w:val="none"/>
                      <w:lang w:val="zh-CN"/>
                    </w:rPr>
                    <w:t>%</w:t>
                  </w:r>
                </w:p>
              </w:tc>
            </w:tr>
            <w:tr w14:paraId="0467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center"/>
                </w:tcPr>
                <w:p w14:paraId="62DD74B4">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500-1000</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6CB9E97">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en-US" w:eastAsia="zh-CN"/>
                    </w:rPr>
                    <w:t>0.8</w:t>
                  </w:r>
                  <w:r>
                    <w:rPr>
                      <w:rFonts w:hint="eastAsia" w:ascii="宋体" w:hAnsi="宋体" w:eastAsia="宋体" w:cs="宋体"/>
                      <w:snapToGrid w:val="0"/>
                      <w:color w:val="auto"/>
                      <w:sz w:val="22"/>
                      <w:szCs w:val="22"/>
                      <w:highlight w:val="none"/>
                      <w:lang w:val="zh-CN"/>
                    </w:rPr>
                    <w:t>%</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5E7BDE5D">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rPr>
                    <w:t>5%</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459ACFF">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5</w:t>
                  </w:r>
                  <w:r>
                    <w:rPr>
                      <w:rFonts w:hint="eastAsia" w:ascii="宋体" w:hAnsi="宋体" w:eastAsia="宋体" w:cs="宋体"/>
                      <w:snapToGrid w:val="0"/>
                      <w:color w:val="auto"/>
                      <w:sz w:val="22"/>
                      <w:szCs w:val="22"/>
                      <w:highlight w:val="none"/>
                      <w:lang w:val="zh-CN"/>
                    </w:rPr>
                    <w:t>5%</w:t>
                  </w:r>
                </w:p>
              </w:tc>
            </w:tr>
            <w:tr w14:paraId="1BC9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top"/>
                </w:tcPr>
                <w:p w14:paraId="30CA1AB8">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1000-5000</w:t>
                  </w:r>
                </w:p>
              </w:tc>
              <w:tc>
                <w:tcPr>
                  <w:tcW w:w="1333" w:type="dxa"/>
                  <w:tcBorders>
                    <w:top w:val="single" w:color="auto" w:sz="4" w:space="0"/>
                    <w:left w:val="single" w:color="auto" w:sz="4" w:space="0"/>
                    <w:bottom w:val="single" w:color="auto" w:sz="4" w:space="0"/>
                    <w:right w:val="single" w:color="auto" w:sz="4" w:space="0"/>
                  </w:tcBorders>
                  <w:noWrap w:val="0"/>
                  <w:vAlign w:val="top"/>
                </w:tcPr>
                <w:p w14:paraId="7A114C6A">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0.5%</w:t>
                  </w:r>
                </w:p>
              </w:tc>
              <w:tc>
                <w:tcPr>
                  <w:tcW w:w="1169" w:type="dxa"/>
                  <w:tcBorders>
                    <w:top w:val="single" w:color="auto" w:sz="4" w:space="0"/>
                    <w:left w:val="single" w:color="auto" w:sz="4" w:space="0"/>
                    <w:bottom w:val="single" w:color="auto" w:sz="4" w:space="0"/>
                    <w:right w:val="single" w:color="auto" w:sz="4" w:space="0"/>
                  </w:tcBorders>
                  <w:noWrap w:val="0"/>
                  <w:vAlign w:val="top"/>
                </w:tcPr>
                <w:p w14:paraId="6E6D7278">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val="zh-CN"/>
                    </w:rPr>
                    <w:t>5%</w:t>
                  </w:r>
                </w:p>
              </w:tc>
              <w:tc>
                <w:tcPr>
                  <w:tcW w:w="1303" w:type="dxa"/>
                  <w:tcBorders>
                    <w:top w:val="single" w:color="auto" w:sz="4" w:space="0"/>
                    <w:left w:val="single" w:color="auto" w:sz="4" w:space="0"/>
                    <w:bottom w:val="single" w:color="auto" w:sz="4" w:space="0"/>
                    <w:right w:val="single" w:color="auto" w:sz="4" w:space="0"/>
                  </w:tcBorders>
                  <w:noWrap w:val="0"/>
                  <w:vAlign w:val="top"/>
                </w:tcPr>
                <w:p w14:paraId="7E5E73E2">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rPr>
                    <w:t>5%</w:t>
                  </w:r>
                </w:p>
              </w:tc>
            </w:tr>
            <w:tr w14:paraId="2DC0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top"/>
                </w:tcPr>
                <w:p w14:paraId="43A48C89">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5000 -10000</w:t>
                  </w:r>
                </w:p>
              </w:tc>
              <w:tc>
                <w:tcPr>
                  <w:tcW w:w="1333" w:type="dxa"/>
                  <w:tcBorders>
                    <w:top w:val="single" w:color="auto" w:sz="4" w:space="0"/>
                    <w:left w:val="single" w:color="auto" w:sz="4" w:space="0"/>
                    <w:bottom w:val="single" w:color="auto" w:sz="4" w:space="0"/>
                    <w:right w:val="single" w:color="auto" w:sz="4" w:space="0"/>
                  </w:tcBorders>
                  <w:noWrap w:val="0"/>
                  <w:vAlign w:val="top"/>
                </w:tcPr>
                <w:p w14:paraId="065F6414">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val="zh-CN"/>
                    </w:rPr>
                    <w:t>5%</w:t>
                  </w:r>
                </w:p>
              </w:tc>
              <w:tc>
                <w:tcPr>
                  <w:tcW w:w="1169" w:type="dxa"/>
                  <w:tcBorders>
                    <w:top w:val="single" w:color="auto" w:sz="4" w:space="0"/>
                    <w:left w:val="single" w:color="auto" w:sz="4" w:space="0"/>
                    <w:bottom w:val="single" w:color="auto" w:sz="4" w:space="0"/>
                    <w:right w:val="single" w:color="auto" w:sz="4" w:space="0"/>
                  </w:tcBorders>
                  <w:noWrap w:val="0"/>
                  <w:vAlign w:val="top"/>
                </w:tcPr>
                <w:p w14:paraId="3B6CC2CE">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1</w:t>
                  </w:r>
                  <w:r>
                    <w:rPr>
                      <w:rFonts w:hint="eastAsia" w:ascii="宋体" w:hAnsi="宋体" w:eastAsia="宋体" w:cs="宋体"/>
                      <w:snapToGrid w:val="0"/>
                      <w:color w:val="auto"/>
                      <w:sz w:val="22"/>
                      <w:szCs w:val="22"/>
                      <w:highlight w:val="none"/>
                      <w:lang w:val="zh-CN"/>
                    </w:rPr>
                    <w:t>%</w:t>
                  </w:r>
                </w:p>
              </w:tc>
              <w:tc>
                <w:tcPr>
                  <w:tcW w:w="1303" w:type="dxa"/>
                  <w:tcBorders>
                    <w:top w:val="single" w:color="auto" w:sz="4" w:space="0"/>
                    <w:left w:val="single" w:color="auto" w:sz="4" w:space="0"/>
                    <w:bottom w:val="single" w:color="auto" w:sz="4" w:space="0"/>
                    <w:right w:val="single" w:color="auto" w:sz="4" w:space="0"/>
                  </w:tcBorders>
                  <w:noWrap w:val="0"/>
                  <w:vAlign w:val="top"/>
                </w:tcPr>
                <w:p w14:paraId="21EFB17C">
                  <w:pPr>
                    <w:snapToGrid w:val="0"/>
                    <w:spacing w:line="36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0.</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val="zh-CN"/>
                    </w:rPr>
                    <w:t>%</w:t>
                  </w:r>
                </w:p>
              </w:tc>
            </w:tr>
            <w:tr w14:paraId="0A03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top"/>
                </w:tcPr>
                <w:p w14:paraId="66E5401D">
                  <w:pPr>
                    <w:snapToGrid w:val="0"/>
                    <w:spacing w:line="360" w:lineRule="exact"/>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10000-100000</w:t>
                  </w:r>
                </w:p>
              </w:tc>
              <w:tc>
                <w:tcPr>
                  <w:tcW w:w="1333" w:type="dxa"/>
                  <w:tcBorders>
                    <w:top w:val="single" w:color="auto" w:sz="4" w:space="0"/>
                    <w:left w:val="single" w:color="auto" w:sz="4" w:space="0"/>
                    <w:bottom w:val="single" w:color="auto" w:sz="4" w:space="0"/>
                    <w:right w:val="single" w:color="auto" w:sz="4" w:space="0"/>
                  </w:tcBorders>
                  <w:noWrap w:val="0"/>
                  <w:vAlign w:val="top"/>
                </w:tcPr>
                <w:p w14:paraId="6812BD31">
                  <w:pPr>
                    <w:snapToGrid w:val="0"/>
                    <w:spacing w:line="360" w:lineRule="exact"/>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0.05%</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9EA7C2">
                  <w:pPr>
                    <w:snapToGrid w:val="0"/>
                    <w:spacing w:line="360" w:lineRule="exact"/>
                    <w:rPr>
                      <w:rFonts w:hint="eastAsia" w:ascii="宋体" w:hAnsi="宋体" w:eastAsia="宋体" w:cs="宋体"/>
                      <w:snapToGrid w:val="0"/>
                      <w:color w:val="auto"/>
                      <w:kern w:val="2"/>
                      <w:sz w:val="22"/>
                      <w:szCs w:val="22"/>
                      <w:highlight w:val="none"/>
                      <w:lang w:val="zh-CN" w:eastAsia="zh-CN" w:bidi="ar-SA"/>
                    </w:rPr>
                  </w:pPr>
                  <w:r>
                    <w:rPr>
                      <w:rFonts w:hint="eastAsia" w:ascii="宋体" w:hAnsi="宋体" w:eastAsia="宋体" w:cs="宋体"/>
                      <w:snapToGrid w:val="0"/>
                      <w:color w:val="auto"/>
                      <w:sz w:val="22"/>
                      <w:szCs w:val="22"/>
                      <w:highlight w:val="none"/>
                      <w:lang w:val="en-US" w:eastAsia="zh-CN"/>
                    </w:rPr>
                    <w:t>0.05%</w:t>
                  </w: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BD5F22">
                  <w:pPr>
                    <w:snapToGrid w:val="0"/>
                    <w:spacing w:line="360" w:lineRule="exact"/>
                    <w:rPr>
                      <w:rFonts w:hint="eastAsia" w:ascii="宋体" w:hAnsi="宋体" w:eastAsia="宋体" w:cs="宋体"/>
                      <w:snapToGrid w:val="0"/>
                      <w:color w:val="auto"/>
                      <w:kern w:val="2"/>
                      <w:sz w:val="22"/>
                      <w:szCs w:val="22"/>
                      <w:highlight w:val="none"/>
                      <w:lang w:val="zh-CN" w:eastAsia="zh-CN" w:bidi="ar-SA"/>
                    </w:rPr>
                  </w:pPr>
                  <w:r>
                    <w:rPr>
                      <w:rFonts w:hint="eastAsia" w:ascii="宋体" w:hAnsi="宋体" w:eastAsia="宋体" w:cs="宋体"/>
                      <w:snapToGrid w:val="0"/>
                      <w:color w:val="auto"/>
                      <w:sz w:val="22"/>
                      <w:szCs w:val="22"/>
                      <w:highlight w:val="none"/>
                      <w:lang w:val="en-US" w:eastAsia="zh-CN"/>
                    </w:rPr>
                    <w:t>0.05%</w:t>
                  </w:r>
                </w:p>
              </w:tc>
            </w:tr>
            <w:tr w14:paraId="4BFF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Borders>
                    <w:top w:val="single" w:color="auto" w:sz="4" w:space="0"/>
                    <w:left w:val="single" w:color="auto" w:sz="4" w:space="0"/>
                    <w:bottom w:val="single" w:color="auto" w:sz="4" w:space="0"/>
                    <w:right w:val="single" w:color="auto" w:sz="4" w:space="0"/>
                  </w:tcBorders>
                  <w:noWrap w:val="0"/>
                  <w:vAlign w:val="top"/>
                </w:tcPr>
                <w:p w14:paraId="464BFE19">
                  <w:pPr>
                    <w:snapToGrid w:val="0"/>
                    <w:spacing w:line="360" w:lineRule="exact"/>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100000以上</w:t>
                  </w:r>
                </w:p>
              </w:tc>
              <w:tc>
                <w:tcPr>
                  <w:tcW w:w="1333" w:type="dxa"/>
                  <w:tcBorders>
                    <w:top w:val="single" w:color="auto" w:sz="4" w:space="0"/>
                    <w:left w:val="single" w:color="auto" w:sz="4" w:space="0"/>
                    <w:bottom w:val="single" w:color="auto" w:sz="4" w:space="0"/>
                    <w:right w:val="single" w:color="auto" w:sz="4" w:space="0"/>
                  </w:tcBorders>
                  <w:noWrap w:val="0"/>
                  <w:vAlign w:val="top"/>
                </w:tcPr>
                <w:p w14:paraId="02A6E214">
                  <w:pPr>
                    <w:snapToGrid w:val="0"/>
                    <w:spacing w:line="360" w:lineRule="exact"/>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0.01%</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AD5CDA">
                  <w:pPr>
                    <w:snapToGrid w:val="0"/>
                    <w:spacing w:line="360" w:lineRule="exact"/>
                    <w:rPr>
                      <w:rFonts w:hint="eastAsia" w:ascii="宋体" w:hAnsi="宋体" w:eastAsia="宋体" w:cs="宋体"/>
                      <w:snapToGrid w:val="0"/>
                      <w:color w:val="auto"/>
                      <w:kern w:val="2"/>
                      <w:sz w:val="22"/>
                      <w:szCs w:val="22"/>
                      <w:highlight w:val="none"/>
                      <w:lang w:val="zh-CN" w:eastAsia="zh-CN" w:bidi="ar-SA"/>
                    </w:rPr>
                  </w:pPr>
                  <w:r>
                    <w:rPr>
                      <w:rFonts w:hint="eastAsia" w:ascii="宋体" w:hAnsi="宋体" w:eastAsia="宋体" w:cs="宋体"/>
                      <w:snapToGrid w:val="0"/>
                      <w:color w:val="auto"/>
                      <w:sz w:val="22"/>
                      <w:szCs w:val="22"/>
                      <w:highlight w:val="none"/>
                      <w:lang w:val="en-US" w:eastAsia="zh-CN"/>
                    </w:rPr>
                    <w:t>0.01%</w:t>
                  </w: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CAF1C2">
                  <w:pPr>
                    <w:snapToGrid w:val="0"/>
                    <w:spacing w:line="360" w:lineRule="exact"/>
                    <w:rPr>
                      <w:rFonts w:hint="eastAsia" w:ascii="宋体" w:hAnsi="宋体" w:eastAsia="宋体" w:cs="宋体"/>
                      <w:snapToGrid w:val="0"/>
                      <w:color w:val="auto"/>
                      <w:kern w:val="2"/>
                      <w:sz w:val="22"/>
                      <w:szCs w:val="22"/>
                      <w:highlight w:val="none"/>
                      <w:lang w:val="zh-CN" w:eastAsia="zh-CN" w:bidi="ar-SA"/>
                    </w:rPr>
                  </w:pPr>
                  <w:r>
                    <w:rPr>
                      <w:rFonts w:hint="eastAsia" w:ascii="宋体" w:hAnsi="宋体" w:eastAsia="宋体" w:cs="宋体"/>
                      <w:snapToGrid w:val="0"/>
                      <w:color w:val="auto"/>
                      <w:sz w:val="22"/>
                      <w:szCs w:val="22"/>
                      <w:highlight w:val="none"/>
                      <w:lang w:val="en-US" w:eastAsia="zh-CN"/>
                    </w:rPr>
                    <w:t>0.01%</w:t>
                  </w:r>
                </w:p>
              </w:tc>
            </w:tr>
          </w:tbl>
          <w:p w14:paraId="65FF222F">
            <w:pPr>
              <w:spacing w:line="400" w:lineRule="exact"/>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rPr>
              <w:t>2.</w:t>
            </w:r>
            <w:r>
              <w:rPr>
                <w:rFonts w:hint="eastAsia" w:ascii="宋体" w:hAnsi="宋体" w:eastAsia="宋体" w:cs="宋体"/>
                <w:snapToGrid w:val="0"/>
                <w:color w:val="auto"/>
                <w:sz w:val="22"/>
                <w:szCs w:val="22"/>
                <w:highlight w:val="none"/>
                <w:lang w:val="zh-CN"/>
              </w:rPr>
              <w:t>服务费缴纳账号：</w:t>
            </w:r>
          </w:p>
          <w:p w14:paraId="5E2B7D10">
            <w:pPr>
              <w:spacing w:line="400" w:lineRule="exact"/>
              <w:ind w:firstLine="220" w:firstLineChars="100"/>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lang w:val="zh-CN"/>
              </w:rPr>
              <w:t>户名：</w:t>
            </w:r>
            <w:r>
              <w:rPr>
                <w:rFonts w:hint="eastAsia" w:ascii="宋体" w:hAnsi="宋体" w:eastAsia="宋体" w:cs="宋体"/>
                <w:snapToGrid w:val="0"/>
                <w:color w:val="auto"/>
                <w:sz w:val="22"/>
                <w:szCs w:val="22"/>
                <w:highlight w:val="none"/>
              </w:rPr>
              <w:t>浙江乐诚工程咨询有限公司</w:t>
            </w:r>
          </w:p>
          <w:p w14:paraId="224EC2F8">
            <w:pPr>
              <w:spacing w:line="400" w:lineRule="exact"/>
              <w:ind w:firstLine="220" w:firstLineChars="100"/>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账号：76060122000323292</w:t>
            </w:r>
          </w:p>
          <w:p w14:paraId="1DE1D150">
            <w:pPr>
              <w:spacing w:line="400" w:lineRule="exact"/>
              <w:ind w:firstLine="220" w:firstLineChars="100"/>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开户银行：宁波银行温州瓯海支行</w:t>
            </w:r>
          </w:p>
          <w:p w14:paraId="390AD2EC">
            <w:pPr>
              <w:spacing w:line="400" w:lineRule="exact"/>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rPr>
              <w:t>3</w:t>
            </w:r>
            <w:r>
              <w:rPr>
                <w:rFonts w:hint="eastAsia" w:ascii="宋体" w:hAnsi="宋体" w:eastAsia="宋体" w:cs="宋体"/>
                <w:snapToGrid w:val="0"/>
                <w:color w:val="auto"/>
                <w:sz w:val="22"/>
                <w:szCs w:val="22"/>
                <w:highlight w:val="none"/>
                <w:lang w:val="zh-CN"/>
              </w:rPr>
              <w:t>.后期合同的签订及履行不影响招标代理服务费的收取。</w:t>
            </w:r>
          </w:p>
          <w:p w14:paraId="026BB5E9">
            <w:pPr>
              <w:spacing w:line="400" w:lineRule="exact"/>
              <w:jc w:val="lef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rPr>
              <w:t>4</w:t>
            </w:r>
            <w:r>
              <w:rPr>
                <w:rFonts w:hint="eastAsia" w:ascii="宋体" w:hAnsi="宋体" w:eastAsia="宋体" w:cs="宋体"/>
                <w:snapToGrid w:val="0"/>
                <w:color w:val="auto"/>
                <w:sz w:val="22"/>
                <w:szCs w:val="22"/>
                <w:highlight w:val="none"/>
                <w:lang w:val="zh-CN"/>
              </w:rPr>
              <w:t>.若投标人未在约定时间内支付招标代理服务费，从逾期之日起按日利率千分之一承担违约金。</w:t>
            </w:r>
          </w:p>
          <w:p w14:paraId="21F43286">
            <w:pPr>
              <w:snapToGrid w:val="0"/>
              <w:spacing w:line="40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rPr>
              <w:t>5</w:t>
            </w:r>
            <w:r>
              <w:rPr>
                <w:rFonts w:hint="eastAsia" w:ascii="宋体" w:hAnsi="宋体" w:eastAsia="宋体" w:cs="宋体"/>
                <w:snapToGrid w:val="0"/>
                <w:color w:val="auto"/>
                <w:sz w:val="22"/>
                <w:szCs w:val="22"/>
                <w:highlight w:val="none"/>
                <w:lang w:val="zh-CN"/>
              </w:rPr>
              <w:t>.若投标人未按上述规定办理，需承担采购代理机构为实现债权的所有费用（包括但不限于律师费、催讨车旅费、保全担保费等）</w:t>
            </w:r>
          </w:p>
          <w:p w14:paraId="2F06E396">
            <w:pPr>
              <w:snapToGrid w:val="0"/>
              <w:spacing w:line="400" w:lineRule="exact"/>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sym w:font="Wingdings" w:char="F0FE"/>
            </w:r>
            <w:r>
              <w:rPr>
                <w:rFonts w:hint="eastAsia" w:ascii="宋体" w:hAnsi="宋体" w:eastAsia="宋体" w:cs="宋体"/>
                <w:snapToGrid w:val="0"/>
                <w:color w:val="auto"/>
                <w:sz w:val="22"/>
                <w:szCs w:val="22"/>
                <w:highlight w:val="none"/>
                <w:lang w:val="zh-CN"/>
              </w:rPr>
              <w:t>政府采购履约验收费用（包含第三方检测）；</w:t>
            </w:r>
          </w:p>
          <w:p w14:paraId="7ABD62F9">
            <w:pPr>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lang w:val="zh-CN"/>
              </w:rPr>
              <w:sym w:font="Wingdings" w:char="00FE"/>
            </w:r>
            <w:r>
              <w:rPr>
                <w:rFonts w:hint="eastAsia" w:ascii="宋体" w:hAnsi="宋体" w:eastAsia="宋体" w:cs="宋体"/>
                <w:snapToGrid w:val="0"/>
                <w:color w:val="auto"/>
                <w:sz w:val="22"/>
                <w:szCs w:val="22"/>
                <w:highlight w:val="none"/>
                <w:lang w:val="zh-CN"/>
              </w:rPr>
              <w:t xml:space="preserve"> 其他：详见第二部分“投标人须知”第14款。</w:t>
            </w:r>
          </w:p>
        </w:tc>
      </w:tr>
      <w:tr w14:paraId="5DAC3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20BA5C4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1589" w:type="dxa"/>
            <w:vAlign w:val="center"/>
          </w:tcPr>
          <w:p w14:paraId="486A5E3F">
            <w:pPr>
              <w:spacing w:line="40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特别说明</w:t>
            </w:r>
          </w:p>
        </w:tc>
        <w:tc>
          <w:tcPr>
            <w:tcW w:w="7273" w:type="dxa"/>
            <w:vAlign w:val="center"/>
          </w:tcPr>
          <w:p w14:paraId="52F0168A">
            <w:pPr>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（1）如果发现本采购文件中存在含糊不清、相互矛盾、多种含义以及歧视性不公正条款或违法违规等内容时，请投标人在获取采购文件后</w:t>
            </w:r>
            <w:r>
              <w:rPr>
                <w:rFonts w:hint="eastAsia" w:ascii="宋体" w:hAnsi="宋体" w:eastAsia="宋体" w:cs="宋体"/>
                <w:snapToGrid w:val="0"/>
                <w:color w:val="auto"/>
                <w:kern w:val="0"/>
                <w:sz w:val="22"/>
                <w:szCs w:val="22"/>
                <w:highlight w:val="none"/>
                <w:lang w:eastAsia="zh-CN"/>
              </w:rPr>
              <w:t>，在</w:t>
            </w:r>
            <w:r>
              <w:rPr>
                <w:rFonts w:hint="eastAsia" w:ascii="宋体" w:hAnsi="宋体" w:eastAsia="宋体" w:cs="宋体"/>
                <w:snapToGrid w:val="0"/>
                <w:color w:val="auto"/>
                <w:kern w:val="0"/>
                <w:sz w:val="22"/>
                <w:szCs w:val="22"/>
                <w:highlight w:val="none"/>
              </w:rPr>
              <w:t>答疑截止时间前按要求书面提出，逾期视同自动放弃疑问提出的权利或采购人不作答复。</w:t>
            </w:r>
          </w:p>
          <w:p w14:paraId="1C3C0B96">
            <w:pPr>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（2）该项目中标公示期间，投标人不得通过非正当途径、更不得通过非正当手段获取法律法规规定评标委员会（包括其他相关人员）应当保密的相关内容。</w:t>
            </w:r>
          </w:p>
          <w:p w14:paraId="30C0DE20">
            <w:pPr>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（3）联合体投标的，联合体中有一方或者联合体成员根据分工按招标文件第四部分评标标准要求提供资信证明文件的，视为符合了相关要求。</w:t>
            </w:r>
          </w:p>
        </w:tc>
      </w:tr>
      <w:tr w14:paraId="1E605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0F22670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p>
        </w:tc>
        <w:tc>
          <w:tcPr>
            <w:tcW w:w="1589" w:type="dxa"/>
            <w:vAlign w:val="center"/>
          </w:tcPr>
          <w:p w14:paraId="126E10F2">
            <w:pPr>
              <w:spacing w:line="400" w:lineRule="exact"/>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其他注意事项</w:t>
            </w:r>
          </w:p>
        </w:tc>
        <w:tc>
          <w:tcPr>
            <w:tcW w:w="7273" w:type="dxa"/>
            <w:vAlign w:val="center"/>
          </w:tcPr>
          <w:p w14:paraId="582263F5">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在评审过程中，供应商无法通过政采云系统提交澄清等材料的，可在各环节规定时间内按要求将相关材料发送至以下邮箱：58000634@qq.com</w:t>
            </w:r>
          </w:p>
        </w:tc>
      </w:tr>
      <w:tr w14:paraId="0DE0C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9" w:type="dxa"/>
            <w:vAlign w:val="center"/>
          </w:tcPr>
          <w:p w14:paraId="564A88A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c>
          <w:tcPr>
            <w:tcW w:w="1589" w:type="dxa"/>
            <w:vAlign w:val="center"/>
          </w:tcPr>
          <w:p w14:paraId="69E69DDD">
            <w:pPr>
              <w:wordWrap w:val="0"/>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复核</w:t>
            </w:r>
          </w:p>
        </w:tc>
        <w:tc>
          <w:tcPr>
            <w:tcW w:w="7273" w:type="dxa"/>
            <w:vAlign w:val="center"/>
          </w:tcPr>
          <w:p w14:paraId="78315B10">
            <w:pPr>
              <w:wordWrap w:val="0"/>
              <w:snapToGrid w:val="0"/>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为防止投标人提供虚假材料，采购人、采购代理机构在评审结束后、确认采购结果前，将采取官方网站查询、原件核对等方式对中标人在投标文件中涉及客观分评审内容的检测报告、认证证书等资料的真实性进行复核，复核情况详细记录，并纳入采购档案。</w:t>
            </w:r>
          </w:p>
          <w:p w14:paraId="4C03363A">
            <w:pPr>
              <w:wordWrap w:val="0"/>
              <w:snapToGrid w:val="0"/>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应在投标前自行通过官方公开渠道查询、核对相关证书及报告内容，确保投标文件信息准确无误。如发现投标人存在提供虚假材料的情形，将按规定以书面形式上报本级财政部门，相应风险及责任均由该投标人自行承担。</w:t>
            </w:r>
          </w:p>
          <w:p w14:paraId="567CA437">
            <w:pPr>
              <w:wordWrap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因投标人自身原因未能在约定时间内配合完成核查工作的，所引发的一切风险亦由投标人自行承担。</w:t>
            </w:r>
          </w:p>
        </w:tc>
      </w:tr>
    </w:tbl>
    <w:p w14:paraId="387CFB7E">
      <w:pPr>
        <w:adjustRightInd/>
        <w:spacing w:line="400" w:lineRule="exact"/>
        <w:jc w:val="center"/>
        <w:outlineLvl w:val="1"/>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br w:type="page"/>
      </w:r>
      <w:bookmarkEnd w:id="11"/>
      <w:bookmarkStart w:id="16" w:name="_Toc13185"/>
      <w:bookmarkStart w:id="17" w:name="_Toc17755"/>
      <w:bookmarkStart w:id="18" w:name="_Toc164416483"/>
      <w:bookmarkStart w:id="19" w:name="第三部分"/>
      <w:r>
        <w:rPr>
          <w:rStyle w:val="23"/>
          <w:rFonts w:hint="eastAsia" w:ascii="宋体" w:hAnsi="宋体" w:eastAsia="宋体" w:cs="宋体"/>
          <w:color w:val="auto"/>
          <w:highlight w:val="none"/>
        </w:rPr>
        <w:t>一、总则</w:t>
      </w:r>
      <w:bookmarkEnd w:id="16"/>
      <w:bookmarkEnd w:id="17"/>
    </w:p>
    <w:p w14:paraId="6067EDF6">
      <w:pPr>
        <w:tabs>
          <w:tab w:val="left" w:pos="540"/>
          <w:tab w:val="left" w:pos="900"/>
        </w:tabs>
        <w:snapToGrid w:val="0"/>
        <w:spacing w:line="400" w:lineRule="exact"/>
        <w:ind w:firstLine="440" w:firstLineChars="200"/>
        <w:jc w:val="left"/>
        <w:rPr>
          <w:rFonts w:hint="eastAsia" w:ascii="宋体" w:hAnsi="宋体" w:eastAsia="宋体" w:cs="宋体"/>
          <w:color w:val="auto"/>
          <w:sz w:val="22"/>
          <w:szCs w:val="22"/>
          <w:highlight w:val="none"/>
        </w:rPr>
      </w:pPr>
      <w:bookmarkStart w:id="20" w:name="_Toc29857"/>
      <w:bookmarkStart w:id="21" w:name="_Toc5882"/>
      <w:r>
        <w:rPr>
          <w:rFonts w:hint="eastAsia" w:ascii="宋体" w:hAnsi="宋体" w:eastAsia="宋体" w:cs="宋体"/>
          <w:color w:val="auto"/>
          <w:sz w:val="22"/>
          <w:szCs w:val="22"/>
          <w:highlight w:val="none"/>
        </w:rPr>
        <w:t>本项目采购是按照《中华人民共和国政府采购法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政府采购货物和服务招标投标管理办法》（财政部第87号令）、《浙江省政府采购项目电子交易管理暂行办法》（浙财采监〔2019〕10号）等法律及有关法规组织和实施的。</w:t>
      </w:r>
    </w:p>
    <w:p w14:paraId="6686943C">
      <w:pPr>
        <w:snapToGrid w:val="0"/>
        <w:spacing w:line="400" w:lineRule="exact"/>
        <w:ind w:firstLine="331" w:firstLineChars="150"/>
        <w:jc w:val="left"/>
        <w:rPr>
          <w:rFonts w:hint="eastAsia" w:ascii="宋体" w:hAnsi="宋体" w:eastAsia="宋体" w:cs="宋体"/>
          <w:b/>
          <w:color w:val="auto"/>
          <w:sz w:val="22"/>
          <w:szCs w:val="22"/>
          <w:highlight w:val="none"/>
        </w:rPr>
      </w:pPr>
      <w:bookmarkStart w:id="22" w:name="_Toc27055"/>
      <w:r>
        <w:rPr>
          <w:rFonts w:hint="eastAsia" w:ascii="宋体" w:hAnsi="宋体" w:eastAsia="宋体" w:cs="宋体"/>
          <w:b/>
          <w:color w:val="auto"/>
          <w:sz w:val="22"/>
          <w:szCs w:val="22"/>
          <w:highlight w:val="none"/>
        </w:rPr>
        <w:t>1.适用范围</w:t>
      </w:r>
      <w:bookmarkEnd w:id="20"/>
      <w:bookmarkEnd w:id="21"/>
      <w:bookmarkEnd w:id="22"/>
    </w:p>
    <w:p w14:paraId="6A177C3A">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本招标文件适用于该项目的招标、投标、开标、资格审查及信用信息查询、评标、定标、合同、验收等行为（</w:t>
      </w:r>
      <w:r>
        <w:rPr>
          <w:rFonts w:hint="eastAsia" w:ascii="宋体" w:hAnsi="宋体" w:eastAsia="宋体" w:cs="宋体"/>
          <w:color w:val="auto"/>
          <w:sz w:val="22"/>
          <w:szCs w:val="22"/>
          <w:highlight w:val="none"/>
          <w:lang w:eastAsia="zh-CN"/>
        </w:rPr>
        <w:t>法律法规</w:t>
      </w:r>
      <w:r>
        <w:rPr>
          <w:rFonts w:hint="eastAsia" w:ascii="宋体" w:hAnsi="宋体" w:eastAsia="宋体" w:cs="宋体"/>
          <w:color w:val="auto"/>
          <w:sz w:val="22"/>
          <w:szCs w:val="22"/>
          <w:highlight w:val="none"/>
        </w:rPr>
        <w:t>另有规定的，从其规定）。</w:t>
      </w:r>
    </w:p>
    <w:p w14:paraId="0B2E5AEA">
      <w:pPr>
        <w:adjustRightInd/>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bookmarkStart w:id="23" w:name="_Toc3235"/>
      <w:bookmarkStart w:id="24" w:name="_Toc31546"/>
      <w:bookmarkStart w:id="25" w:name="_Toc19066"/>
      <w:r>
        <w:rPr>
          <w:rFonts w:hint="eastAsia" w:ascii="宋体" w:hAnsi="宋体" w:eastAsia="宋体" w:cs="宋体"/>
          <w:b/>
          <w:color w:val="auto"/>
          <w:sz w:val="22"/>
          <w:szCs w:val="22"/>
          <w:highlight w:val="none"/>
        </w:rPr>
        <w:t>2.定义</w:t>
      </w:r>
      <w:bookmarkEnd w:id="23"/>
      <w:bookmarkEnd w:id="24"/>
      <w:bookmarkEnd w:id="25"/>
    </w:p>
    <w:p w14:paraId="4216C5F0">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2.1“采购人”系指招标公告中载明的本项目的采购人。</w:t>
      </w:r>
    </w:p>
    <w:p w14:paraId="44E6DE2E">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2.2“采购代理机构”系指招标公告中载明的本项目的采购代理机构。</w:t>
      </w:r>
    </w:p>
    <w:p w14:paraId="58DDE052">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2.3“投标人、供应商”均系指响应招标、参加投标竞争的法人、其他组织或者自然人。</w:t>
      </w:r>
    </w:p>
    <w:p w14:paraId="3B07195B">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2.4“负责人”系指法人企业的法定负责人，或其他组织为法律、行政法规规定代表单位行使职权的主要负责人，或自然人本人。</w:t>
      </w:r>
    </w:p>
    <w:p w14:paraId="16E2ED97">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r>
        <w:rPr>
          <w:rFonts w:hint="eastAsia" w:ascii="宋体" w:hAnsi="宋体" w:eastAsia="宋体" w:cs="宋体"/>
          <w:color w:val="auto"/>
          <w:sz w:val="22"/>
          <w:szCs w:val="22"/>
          <w:highlight w:val="none"/>
          <w:lang w:eastAsia="zh-CN"/>
        </w:rPr>
        <w:t>附件2</w:t>
      </w:r>
      <w:r>
        <w:rPr>
          <w:rFonts w:hint="eastAsia" w:ascii="宋体" w:hAnsi="宋体" w:eastAsia="宋体" w:cs="宋体"/>
          <w:color w:val="auto"/>
          <w:sz w:val="22"/>
          <w:szCs w:val="22"/>
          <w:highlight w:val="none"/>
        </w:rPr>
        <w:t>）。</w:t>
      </w:r>
    </w:p>
    <w:p w14:paraId="631A2B3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2.6“电子交易平台”是指本项目政府采购活动所依托的政府采购云平台（https://www.zcygov.cn/）。</w:t>
      </w:r>
    </w:p>
    <w:p w14:paraId="6E6CEA78">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 “▲</w:t>
      </w:r>
      <w:r>
        <w:rPr>
          <w:rFonts w:hint="eastAsia" w:ascii="宋体" w:hAnsi="宋体" w:eastAsia="宋体" w:cs="宋体"/>
          <w:snapToGrid w:val="0"/>
          <w:color w:val="auto"/>
          <w:kern w:val="28"/>
          <w:sz w:val="22"/>
          <w:szCs w:val="22"/>
          <w:highlight w:val="none"/>
        </w:rPr>
        <w:t>且加下划线</w:t>
      </w:r>
      <w:r>
        <w:rPr>
          <w:rFonts w:hint="eastAsia" w:ascii="宋体" w:hAnsi="宋体" w:eastAsia="宋体" w:cs="宋体"/>
          <w:color w:val="auto"/>
          <w:sz w:val="22"/>
          <w:szCs w:val="22"/>
          <w:highlight w:val="none"/>
        </w:rPr>
        <w:t>”</w:t>
      </w:r>
      <w:r>
        <w:rPr>
          <w:rFonts w:hint="eastAsia" w:ascii="宋体" w:hAnsi="宋体" w:eastAsia="宋体" w:cs="宋体"/>
          <w:snapToGrid w:val="0"/>
          <w:color w:val="auto"/>
          <w:kern w:val="28"/>
          <w:sz w:val="22"/>
          <w:szCs w:val="22"/>
          <w:highlight w:val="none"/>
        </w:rPr>
        <w:t>的条款</w:t>
      </w:r>
      <w:r>
        <w:rPr>
          <w:rFonts w:hint="eastAsia" w:ascii="宋体" w:hAnsi="宋体" w:eastAsia="宋体" w:cs="宋体"/>
          <w:color w:val="auto"/>
          <w:sz w:val="22"/>
          <w:szCs w:val="22"/>
          <w:highlight w:val="none"/>
        </w:rPr>
        <w:t>系指实质性要求条款，“</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 系指适用本项目的要求，“</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系指不适用本项目的要求。</w:t>
      </w:r>
    </w:p>
    <w:p w14:paraId="734DDDBA">
      <w:pPr>
        <w:spacing w:line="400" w:lineRule="exact"/>
        <w:ind w:firstLine="221" w:firstLineChars="1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3.特别说明</w:t>
      </w:r>
    </w:p>
    <w:p w14:paraId="65AA5E2F">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3.1投标人应仔细阅读招标文件的所有内容，按照招标文件的要求提交投标文件，并对所提供的全部资料的真实性承担法律责任。</w:t>
      </w:r>
    </w:p>
    <w:p w14:paraId="21721A67">
      <w:pPr>
        <w:spacing w:line="360" w:lineRule="exact"/>
        <w:ind w:firstLine="466" w:firstLineChars="200"/>
        <w:rPr>
          <w:rFonts w:hint="eastAsia" w:ascii="宋体" w:hAnsi="宋体" w:eastAsia="宋体" w:cs="宋体"/>
          <w:bCs/>
          <w:color w:val="auto"/>
          <w:spacing w:val="6"/>
          <w:sz w:val="22"/>
          <w:szCs w:val="22"/>
          <w:highlight w:val="none"/>
        </w:rPr>
      </w:pPr>
      <w:r>
        <w:rPr>
          <w:rFonts w:hint="eastAsia" w:ascii="宋体" w:hAnsi="宋体" w:eastAsia="宋体" w:cs="宋体"/>
          <w:b/>
          <w:bCs/>
          <w:color w:val="auto"/>
          <w:spacing w:val="6"/>
          <w:sz w:val="22"/>
          <w:highlight w:val="none"/>
        </w:rPr>
        <w:t>3.2</w:t>
      </w:r>
      <w:r>
        <w:rPr>
          <w:rFonts w:hint="eastAsia" w:ascii="宋体" w:hAnsi="宋体" w:eastAsia="宋体" w:cs="宋体"/>
          <w:b/>
          <w:color w:val="auto"/>
          <w:kern w:val="0"/>
          <w:sz w:val="22"/>
          <w:szCs w:val="22"/>
          <w:highlight w:val="none"/>
          <w:u w:val="single"/>
        </w:rPr>
        <w:t>▲</w:t>
      </w:r>
      <w:r>
        <w:rPr>
          <w:rFonts w:hint="eastAsia" w:ascii="宋体" w:hAnsi="宋体" w:eastAsia="宋体" w:cs="宋体"/>
          <w:b/>
          <w:bCs/>
          <w:color w:val="auto"/>
          <w:spacing w:val="6"/>
          <w:sz w:val="22"/>
          <w:szCs w:val="22"/>
          <w:highlight w:val="none"/>
          <w:u w:val="singl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r>
        <w:rPr>
          <w:rFonts w:hint="eastAsia" w:ascii="宋体" w:hAnsi="宋体" w:eastAsia="宋体" w:cs="宋体"/>
          <w:bCs/>
          <w:color w:val="auto"/>
          <w:spacing w:val="6"/>
          <w:sz w:val="22"/>
          <w:szCs w:val="22"/>
          <w:highlight w:val="none"/>
        </w:rPr>
        <w:t>。</w:t>
      </w:r>
    </w:p>
    <w:p w14:paraId="5FB287C2">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14:paraId="27C6B1D7">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14:paraId="262233D5">
      <w:pPr>
        <w:spacing w:line="360" w:lineRule="exact"/>
        <w:ind w:firstLine="466" w:firstLineChars="200"/>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3.4</w:t>
      </w:r>
      <w:r>
        <w:rPr>
          <w:rFonts w:hint="eastAsia" w:ascii="宋体" w:hAnsi="宋体" w:eastAsia="宋体" w:cs="宋体"/>
          <w:b/>
          <w:bCs/>
          <w:color w:val="auto"/>
          <w:spacing w:val="6"/>
          <w:sz w:val="22"/>
          <w:highlight w:val="none"/>
        </w:rPr>
        <w:t>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r>
        <w:rPr>
          <w:rFonts w:hint="eastAsia" w:ascii="宋体" w:hAnsi="宋体" w:eastAsia="宋体" w:cs="宋体"/>
          <w:b/>
          <w:color w:val="auto"/>
          <w:spacing w:val="6"/>
          <w:sz w:val="22"/>
          <w:highlight w:val="none"/>
        </w:rPr>
        <w:t>。</w:t>
      </w:r>
    </w:p>
    <w:p w14:paraId="4B01F362">
      <w:pPr>
        <w:tabs>
          <w:tab w:val="left" w:pos="540"/>
          <w:tab w:val="left" w:pos="900"/>
        </w:tabs>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3.5</w:t>
      </w:r>
      <w:r>
        <w:rPr>
          <w:rFonts w:hint="eastAsia" w:ascii="宋体" w:hAnsi="宋体" w:eastAsia="宋体" w:cs="宋体"/>
          <w:color w:val="auto"/>
          <w:sz w:val="22"/>
          <w:szCs w:val="22"/>
          <w:highlight w:val="none"/>
        </w:rPr>
        <w:t>投标人可授权投标人代表以投标人名义参加本次采购的投标活动（包括投标文件的签署、澄清、说明、补正、递交、撤回、修改等以及签订合同和处理有关事宜）。如果投标人代表不是法定代表人（单位负责人、自然人本人），须持有《授权委托书》。</w:t>
      </w:r>
    </w:p>
    <w:p w14:paraId="37A02F5C">
      <w:pPr>
        <w:tabs>
          <w:tab w:val="left" w:pos="540"/>
          <w:tab w:val="left" w:pos="900"/>
        </w:tabs>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3.6其他说明</w:t>
      </w:r>
    </w:p>
    <w:p w14:paraId="53644C1B">
      <w:pPr>
        <w:tabs>
          <w:tab w:val="left" w:pos="540"/>
          <w:tab w:val="left" w:pos="900"/>
        </w:tabs>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3.6.1招标文件中所涉及的产品品牌或型号均为建议性要求或代替部分技术指标描述，投标人可以选择其他品牌型号的产品参加投标但投标产品须具有相当于或优于采购文件要求的指标、性能。否则，评审小组将对其作出不利的评审。</w:t>
      </w:r>
    </w:p>
    <w:p w14:paraId="0B1205B5">
      <w:pPr>
        <w:tabs>
          <w:tab w:val="left" w:pos="540"/>
          <w:tab w:val="left" w:pos="900"/>
        </w:tabs>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3.6.2 招标文件中如有描述歧义或前后不一致的地方，评审小组有权按公平、合理的原则进行评判，但对同一条款的评判适用于每个投标人。</w:t>
      </w:r>
    </w:p>
    <w:p w14:paraId="58065D1C">
      <w:pPr>
        <w:spacing w:line="40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4.采购项目需要落实的政府采购政策</w:t>
      </w:r>
    </w:p>
    <w:p w14:paraId="0C63801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根据《政府采购进口产品管理办法》的通知（财库〔2007〕119 号）文件相关规定，本项目原则上采购本国生产的货物、工程和服务，不允许采购进口产品。除非采购人采购进口产品，已经在采购活动开始前向财政部门提出申请并获得财政部门审核同意，且在采购文件中明确规定允许采购进口产品（但如果因信息不对称等原因，仍有满足需求的国内产品要求参与采购竞争的，采购人、采购代理机构不会对其加以限制，仍将按照公平竞争原则实施采购）。</w:t>
      </w:r>
    </w:p>
    <w:p w14:paraId="73749F38">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支持绿色发展</w:t>
      </w:r>
    </w:p>
    <w:p w14:paraId="5E46C471">
      <w:pPr>
        <w:spacing w:line="40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304FCCA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4.2.2为助力打好污染防治攻坚战，推广使用绿色包装，政府采购货物、工程和服务项目中涉及商品包装和快递包装的，供应商提供产品及相关快递服务的具体包装要求要参考《商品包装政府采购需求标准（试行）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快递包装政府采购需求标准（试行）》。鼓励采购单位优先采购秸秆环保板材等资源综合利用产品。鼓励采购单位优先采购绿色物流配送服务、提供新能源交通工具的租赁服务。</w:t>
      </w:r>
    </w:p>
    <w:p w14:paraId="029E9FB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4.2.3 鼓励供应商在参加政府采购过程中开展绿色设计、选择绿色材料、打造绿色制造工艺、开展绿色运输、做好废弃产品回收处理，实现产品全周期的绿色环保。</w:t>
      </w:r>
    </w:p>
    <w:p w14:paraId="68970C02">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4.3支持中小企业发展</w:t>
      </w:r>
    </w:p>
    <w:p w14:paraId="125B6FE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760B7E99">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符合中小企业划分标准的个体工商户，在政府采购活动中视同中小企业。</w:t>
      </w:r>
    </w:p>
    <w:p w14:paraId="0348276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4.3.2在政府采购活动中，投标人提供的货物、工程或者服务符合下列情形的，享受中小企业扶持政策：</w:t>
      </w:r>
    </w:p>
    <w:p w14:paraId="6AF6DF8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（一）在货物采购项目中，货物由中小企业制造，即货物由中小企业生产且使用该中小企业商号或者注册商标；</w:t>
      </w:r>
    </w:p>
    <w:p w14:paraId="04B75DE5">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（二）在工程采购项目中，工程由中小企业承建，即工程施工单位为中小企业；</w:t>
      </w:r>
    </w:p>
    <w:p w14:paraId="0BD8914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（三）在服务采购项目中，服务由中小企业承接，即提供服务的人员为中小企业依照《中华人民共和国劳动合同法》订立劳动合同的从业人员。</w:t>
      </w:r>
    </w:p>
    <w:p w14:paraId="0DC8454B">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在货物采购项目中，供应商提供的货物既有中小企业制造货物，也有大型企业制造货物的，不享受本办法规定的中小企业扶持政策。</w:t>
      </w:r>
    </w:p>
    <w:p w14:paraId="21094B22">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以联合体形式参加政府采购活动，联合体各方均为中小企业的，联合体视同中小企业。其中，联合体各方均为小微企业的，联合体视同小微企业。</w:t>
      </w:r>
    </w:p>
    <w:p w14:paraId="15CA301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40E16A">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4.3.4符合《关于促进残疾人就业政府采购政策的通知》（财库〔2017〕141号）规定的条件并提供《残疾人福利性单位声明函》（附件1）的残疾人福利性单位视同小型、微型企业；</w:t>
      </w:r>
    </w:p>
    <w:p w14:paraId="4D7349D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0E0A7691">
      <w:pPr>
        <w:spacing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4.3.6可享受中小企业扶持政策的投标人应按照招标文件格式要求提供《中小企业声明函》。声明内容不实的，属于提供虚假材料谋取中标、成交的，依法承担法律责任。中标人享受《政府采购促进中小企业发展管理办法》的通知（财库〔2020〕46号）规定的中小企业扶持政策的，采购人、采购代理机构应当随中标、成交结果公开中标人的《中小企业声明函》。</w:t>
      </w:r>
    </w:p>
    <w:p w14:paraId="42B284D5">
      <w:pPr>
        <w:spacing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对于专门面向中小企业的项目，《中小企业声明函》属于资格审查内容，如投标人提交的《中小企业声明函》存在以下情形，采购人或代理机构可以根据项目评审阶段和错误性质，区分处理：</w:t>
      </w:r>
    </w:p>
    <w:p w14:paraId="63025E78">
      <w:pPr>
        <w:spacing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属于“含义不明确、同类问题表述不一致或明显文字/计算错误”的情形（如单位填写错误、行业名称笔误、数据小数点错位等），采购人或代理机构可以以书面形式要求投标人作出澄清、说明或补正。澄清内容不得超出原投标文件范围或改变实质性内容，且须加盖公章或由法定代表人（或授权代表）签字。</w:t>
      </w:r>
    </w:p>
    <w:p w14:paraId="50146321">
      <w:pPr>
        <w:spacing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属于“未按格式填写、关键信息缺失、内容与实际情况明显不符且无法通过澄清补正”的情形（如漏填采购标的、漏填所属行业、未填写制造商信息、漏填企业类型、使用已废止格式等），该《中小企业声明函》应认定为无效。</w:t>
      </w:r>
    </w:p>
    <w:p w14:paraId="7775C53C">
      <w:pPr>
        <w:spacing w:line="40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（3）如澄清后内容符合《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"https://law.ycait.com/detail?id=1677" \t "https://chat.ycait.com/_blank"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2"/>
          <w:szCs w:val="22"/>
          <w:highlight w:val="none"/>
        </w:rPr>
        <w:t>政府采购促进中小企业发展管理办法</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t>》（财库〔2020〕46号）</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"https://law.ycait.com/detail?id=1677&amp;searchTitle=%E7%AC%AC%E5%8D%81%E4%B8%80%E6%9D%A1" \t "https://chat.ycait.com/_blank"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2"/>
          <w:szCs w:val="22"/>
          <w:highlight w:val="none"/>
        </w:rPr>
        <w:t>第十一条</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t>及相关划型标准规定，则声明函有效；如澄清后仍不符合规定，则声明函无效。如果投标人代表拒绝澄清、说明或补正，或者拒绝加盖公章或由法定代表人（或授权代表）签字的声明函无效。</w:t>
      </w:r>
    </w:p>
    <w:p w14:paraId="772A313E">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4.3.7中小企业享受扶持政策获得政府采购合同的，小微企业不得将合同分包给大中型企业，中型企业不得将合同分包给大型企业。</w:t>
      </w:r>
    </w:p>
    <w:p w14:paraId="5D18FDDA">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4.4中小企业信用融资：为支持和促进中小企业发展，进一步发挥政府采购政策功能，</w:t>
      </w:r>
      <w:r>
        <w:rPr>
          <w:rFonts w:hint="eastAsia" w:ascii="宋体" w:hAnsi="宋体" w:eastAsia="宋体" w:cs="宋体"/>
          <w:snapToGrid w:val="0"/>
          <w:color w:val="auto"/>
          <w:kern w:val="28"/>
          <w:sz w:val="22"/>
          <w:szCs w:val="22"/>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167F4D08">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4.5支持创新发展</w:t>
      </w:r>
    </w:p>
    <w:p w14:paraId="5925161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4.5.1采购人优先采购被认定为首台套产品和“制造精品”的自主创新产品。</w:t>
      </w:r>
    </w:p>
    <w:p w14:paraId="55CD7959">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14:paraId="5729994A">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4.6平等对待内外资企业和符合条件的破产重整企业</w:t>
      </w:r>
    </w:p>
    <w:p w14:paraId="13EAA845">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平等对待内外资企业和符合条件的破产重整企业，切实保障企业公平竞争，平等维护企业的合法利益。</w:t>
      </w:r>
    </w:p>
    <w:p w14:paraId="6E41168B">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本国产品政策</w:t>
      </w:r>
    </w:p>
    <w:p w14:paraId="7638022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府采购原则上采购本国产品，不允许采购进口产品。除非采购人已经在采购活动开始前向财政部门提出申请并获得财政部门审核同意采购进口产品，且在采购文件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投标人的进口产品。</w:t>
      </w:r>
    </w:p>
    <w:p w14:paraId="1D97C228">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（2）本国产品标准。本国产品应当符合以下条件：</w:t>
      </w:r>
    </w:p>
    <w:p w14:paraId="004546B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1）在中国境内生产</w:t>
      </w:r>
    </w:p>
    <w:p w14:paraId="5D1704EB">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产品应当在中国境内生产，即在中华人民共和国关境内实现从原材料、组件到产品的属性改变。</w:t>
      </w:r>
    </w:p>
    <w:p w14:paraId="2744B59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属性改变是指经过制造、加工或者组装等工序，产生完全不同于原材料、组件的新产品，并具有新的名称和特征（用途）。属性改变不包括以下细微操作：</w:t>
      </w:r>
    </w:p>
    <w:p w14:paraId="7841287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a.为确保产品在运输或者储存期间保持某种状态而进行的操作；</w:t>
      </w:r>
    </w:p>
    <w:p w14:paraId="757DC59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b.为产品运输或者销售进行的包装或者展示；</w:t>
      </w:r>
    </w:p>
    <w:p w14:paraId="4F80E559">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c.在产品或者其包装上粘贴或者印刷品牌、标志、标识以及其他用于区别的标记；</w:t>
      </w:r>
    </w:p>
    <w:p w14:paraId="3229E484">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d.简单的上漆、磨光和分装；</w:t>
      </w:r>
    </w:p>
    <w:p w14:paraId="40156FE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e.其他不属于属性改变的情形。</w:t>
      </w:r>
    </w:p>
    <w:p w14:paraId="7CDC2FF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2）在中国境内生产的组件成本占比达到规定比例（尚未实施）</w:t>
      </w:r>
    </w:p>
    <w:p w14:paraId="6AD3CB4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产品在中国境内生产的组件成本占比应当达到规定比例，计算公式为：</w:t>
      </w:r>
    </w:p>
    <w:p w14:paraId="4D3DE5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INCLUDEPICTURE \d "http://www.kdocs.cn/api/v3/office/copy/YTBseXVtSWg5WU5HcXdIekpqeTV2ZW8rWTJEZ2Q3SWtOZDVRakNMVWhxaW1NTVQ2M1J1djZXNGhCZkJDbjFUMFREb2hBck1ITDZQcHd1anZZSU5FVnhjQWtzYlVMeUZVTWlhblpSbnJnQVorYkdXVlhFNVNhVDdiL2VzMkdnc0g1emZtYWFmeER0VDRQUFh2T1VCTmNKNmlKTVNjL3Z1QjY2S05pZTdTVTYveGxzdWd2WklCN3lOT1NRRGxpL0pvN2F3K3FYeDBwZ1JOZUlRS1owZTJWL0NkNTFEdzlOcm96d2k0RWJ3NVdxcGRrQk9ONHJCUjZsa2hRSDRHTEhpdjU4TWhiNkd0TXkwPQ==/attach/object/afcdfcf301eaee3310cb6355929df75a92a3f291?" \* MERGEFORMATINET </w:instrText>
      </w:r>
      <w:r>
        <w:rPr>
          <w:rFonts w:hint="eastAsia" w:ascii="宋体" w:hAnsi="宋体" w:eastAsia="宋体" w:cs="宋体"/>
          <w:color w:val="auto"/>
          <w:szCs w:val="21"/>
          <w:highlight w:val="none"/>
          <w:lang w:bidi="ar"/>
        </w:rPr>
        <w:fldChar w:fldCharType="separate"/>
      </w:r>
      <w:r>
        <w:rPr>
          <w:rFonts w:hint="eastAsia" w:ascii="宋体" w:hAnsi="宋体" w:eastAsia="宋体" w:cs="宋体"/>
          <w:color w:val="auto"/>
          <w:szCs w:val="21"/>
          <w:highlight w:val="none"/>
          <w:lang w:bidi="ar"/>
        </w:rPr>
        <w:drawing>
          <wp:inline distT="0" distB="0" distL="114300" distR="114300">
            <wp:extent cx="4238625" cy="619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2"/>
                    <a:stretch>
                      <a:fillRect/>
                    </a:stretch>
                  </pic:blipFill>
                  <pic:spPr>
                    <a:xfrm>
                      <a:off x="0" y="0"/>
                      <a:ext cx="4238625" cy="619125"/>
                    </a:xfrm>
                    <a:prstGeom prst="rect">
                      <a:avLst/>
                    </a:prstGeom>
                    <a:noFill/>
                    <a:ln>
                      <a:noFill/>
                    </a:ln>
                  </pic:spPr>
                </pic:pic>
              </a:graphicData>
            </a:graphic>
          </wp:inline>
        </w:drawing>
      </w:r>
      <w:r>
        <w:rPr>
          <w:rFonts w:hint="eastAsia" w:ascii="宋体" w:hAnsi="宋体" w:eastAsia="宋体" w:cs="宋体"/>
          <w:color w:val="auto"/>
          <w:szCs w:val="21"/>
          <w:highlight w:val="none"/>
          <w:lang w:bidi="ar"/>
        </w:rPr>
        <w:fldChar w:fldCharType="end"/>
      </w:r>
    </w:p>
    <w:p w14:paraId="54945A34">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56DBEAB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3）特定产品的关键组件、关键工序符合相关要求（尚未实施）</w:t>
      </w:r>
    </w:p>
    <w:p w14:paraId="4C81C5B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对特定产品，在符合第1）项和第2）项条件的基础上，应当符合财政部会同有关行业主管部门确定的其关键组件、关键工序在中国境内生产、完成等要求。</w:t>
      </w:r>
    </w:p>
    <w:p w14:paraId="32826312">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（3）本国产品标准的适用范围</w:t>
      </w:r>
    </w:p>
    <w:p w14:paraId="1471D89D">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FB000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（4）对本国产品的支持政策</w:t>
      </w:r>
    </w:p>
    <w:p w14:paraId="3F6D7DE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政府采购活动中既有本国产品又有非本国产品参与竞争的，依法对本国产品给予价格评审优惠，对本国产品的报价给予20%的价格扣除，用扣除后的价格参与评审。</w:t>
      </w:r>
    </w:p>
    <w:p w14:paraId="727B96EA">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CA39B9E">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）本国产品证明文件</w:t>
      </w:r>
    </w:p>
    <w:p w14:paraId="1336FBCE">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1）在商务技术文件中出具符合要求的《关于符合本国产品标准的声明函》（格式见附件</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或财政部会同有关部门规定的有关证明文件的，该产品视为本国产品。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AABFFB1">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2）《关于符合本国产品标准的声明函》填写注意事项：</w:t>
      </w:r>
    </w:p>
    <w:p w14:paraId="4B7791EF">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a.产品如有型号，请在“产品名称”栏一并填写。</w:t>
      </w:r>
    </w:p>
    <w:p w14:paraId="0BD46A73">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b.生产厂名与厂址应与生产厂营业执照载明的相关信息保持一致。</w:t>
      </w:r>
    </w:p>
    <w:p w14:paraId="0B528898">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c.该产品的中国境内生产的组件成本占比相关要求实施前，“规定比例”栏可不填写。</w:t>
      </w:r>
    </w:p>
    <w:p w14:paraId="5B59A0DB">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d.该产品的关键组件要求实施前，“关键组件”栏可不填写。</w:t>
      </w:r>
    </w:p>
    <w:p w14:paraId="4C3046E5">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e.该产品的关键工序要求实施前，“关键工序”栏可不填写。</w:t>
      </w:r>
    </w:p>
    <w:p w14:paraId="3BC5DFC8">
      <w:pPr>
        <w:spacing w:line="400" w:lineRule="exac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 询问、质疑、投诉</w:t>
      </w:r>
    </w:p>
    <w:p w14:paraId="61CB36AB">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.1供应商询问</w:t>
      </w:r>
    </w:p>
    <w:p w14:paraId="02BB81DE">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A1CFD6">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.2供应商质疑</w:t>
      </w:r>
    </w:p>
    <w:p w14:paraId="463A3874">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.1提出质疑的供应商应当是参与所质疑项目采购活动的供应商。潜在供应商已依法获取其可质疑的招标文件的，可以对该招标文件提出质疑。</w:t>
      </w:r>
    </w:p>
    <w:p w14:paraId="2F97D300">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项目设立、项目预算、采购方式、组织形式、进口产品核准、采购需求调查过程、专门面向中小企业采购、合同履约等不属于可质疑事项。</w:t>
      </w:r>
    </w:p>
    <w:p w14:paraId="6EE715B5">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EC64AA2">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5.2.2.1质疑提交形式：以书面形式向招标公告中载明的质疑联系人提交或登录政采云平台（https://www.zcygov.cn/）通过“询问质疑投诉”栏向采购机构内设的质疑联系人提交并上传书面质疑材料。</w:t>
      </w:r>
    </w:p>
    <w:p w14:paraId="1DF523E7">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5.2.2.2供应商知道或者应知其权益受到损害之日，是指：</w:t>
      </w:r>
    </w:p>
    <w:p w14:paraId="32456D24">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（1）对可以质疑的采购文件提出质疑的，为获取采购文件之日；获取采购文件时采购公告期限已届满的，为采购公告期限届满之日；</w:t>
      </w:r>
    </w:p>
    <w:p w14:paraId="18246797">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（2）对采购过程中开标、资格审查、符合性审查和评审等环节提出质疑的，为各采购程序环节结束之日；</w:t>
      </w:r>
    </w:p>
    <w:p w14:paraId="14F3E077">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（3）对中标或者成交结果提出质疑的，为中标或者成交结果公告期限届满之日；</w:t>
      </w:r>
    </w:p>
    <w:p w14:paraId="4ADE9DD7">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（4）采购文件、采购过程、中标或者成交结果发生澄清、修改、更正的，对经澄清、修改、更正的部分内容提出质疑的，为通知送达供应商之日或者澄清公告、更正公告发布之日。</w:t>
      </w:r>
    </w:p>
    <w:p w14:paraId="19E2A3EF">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w:t>
      </w:r>
      <w:r>
        <w:rPr>
          <w:rFonts w:hint="eastAsia" w:ascii="宋体" w:hAnsi="宋体" w:eastAsia="宋体" w:cs="宋体"/>
          <w:color w:val="auto"/>
          <w:sz w:val="22"/>
          <w:szCs w:val="22"/>
          <w:highlight w:val="none"/>
        </w:rPr>
        <w:t>供应商提出质疑应当提交质疑函和必要的证明材料。质疑函应当包括下列内容：</w:t>
      </w:r>
    </w:p>
    <w:p w14:paraId="0CC6B34D">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.2.3.1供应商的姓名或者名称、地址、邮编、联系人及联系电话；</w:t>
      </w:r>
    </w:p>
    <w:p w14:paraId="1F3047F1">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.2.3.2质疑项目的名称、编号；</w:t>
      </w:r>
    </w:p>
    <w:p w14:paraId="0FAF4341">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.2.3.3具体、明确的质疑事项和与质疑事项相关的请求</w:t>
      </w:r>
      <w:r>
        <w:rPr>
          <w:rFonts w:hint="eastAsia" w:ascii="宋体" w:hAnsi="宋体" w:eastAsia="宋体" w:cs="宋体"/>
          <w:color w:val="auto"/>
          <w:sz w:val="22"/>
          <w:szCs w:val="22"/>
          <w:highlight w:val="none"/>
        </w:rPr>
        <w:t>和必要的证明材料</w:t>
      </w:r>
      <w:r>
        <w:rPr>
          <w:rFonts w:hint="eastAsia" w:ascii="宋体" w:hAnsi="宋体" w:eastAsia="宋体" w:cs="宋体"/>
          <w:color w:val="auto"/>
          <w:sz w:val="22"/>
          <w:szCs w:val="22"/>
          <w:highlight w:val="none"/>
          <w:lang w:val="zh-CN"/>
        </w:rPr>
        <w:t>；</w:t>
      </w:r>
    </w:p>
    <w:p w14:paraId="58787CF5">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.2.3.4事实依据；</w:t>
      </w:r>
    </w:p>
    <w:p w14:paraId="382DBF0F">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.2.3.5必要的法律依据；</w:t>
      </w:r>
    </w:p>
    <w:p w14:paraId="42D4BEE2">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.2.3.6提出质疑的日期。</w:t>
      </w:r>
    </w:p>
    <w:p w14:paraId="13DAC0AA">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供应商为自然人的，应当由本人签字；供应商为法人或者其他组织的，应当由法定代表人、主要负责人，或者其授权代表签字或者盖章（授权代表签字或者盖章的提供合法有效的授权委托书），并加盖公章。</w:t>
      </w:r>
    </w:p>
    <w:p w14:paraId="38F7F836">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质疑函范本请到浙江政府采购网下载专区下载。</w:t>
      </w:r>
    </w:p>
    <w:p w14:paraId="63946F0E">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对同一采购程序环节的质疑，供应商在法定质疑期内一次性提出。</w:t>
      </w:r>
    </w:p>
    <w:p w14:paraId="4E79675C">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.2.4</w:t>
      </w:r>
      <w:r>
        <w:rPr>
          <w:rFonts w:hint="eastAsia" w:ascii="宋体" w:hAnsi="宋体" w:eastAsia="宋体" w:cs="宋体"/>
          <w:color w:val="auto"/>
          <w:sz w:val="22"/>
          <w:szCs w:val="22"/>
          <w:highlight w:val="none"/>
        </w:rPr>
        <w:t>供应商有下列情形之一的，质疑事项不予处理，由采购人、采购代理机构收到质疑函后七个工作日内书面通知质疑供应商：</w:t>
      </w:r>
    </w:p>
    <w:p w14:paraId="2479F71F">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潜在供应商未提供依法获取采购文件证据材料，对采购文件提出质疑的；</w:t>
      </w:r>
    </w:p>
    <w:p w14:paraId="13D5A018">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供应商未按采购人、采购代理机构要求提供项目设置的特定资格条件证明材料，对特定资格条件以外的采购文件内容提出质疑的；</w:t>
      </w:r>
    </w:p>
    <w:p w14:paraId="0D53C77F">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未提交投标</w:t>
      </w:r>
      <w:r>
        <w:rPr>
          <w:rFonts w:hint="eastAsia" w:ascii="宋体" w:hAnsi="宋体" w:eastAsia="宋体" w:cs="宋体"/>
          <w:color w:val="auto"/>
          <w:sz w:val="22"/>
          <w:szCs w:val="22"/>
          <w:highlight w:val="none"/>
          <w:lang w:eastAsia="zh"/>
        </w:rPr>
        <w:t>（</w:t>
      </w:r>
      <w:r>
        <w:rPr>
          <w:rFonts w:hint="eastAsia" w:ascii="宋体" w:hAnsi="宋体" w:eastAsia="宋体" w:cs="宋体"/>
          <w:color w:val="auto"/>
          <w:sz w:val="22"/>
          <w:szCs w:val="22"/>
          <w:highlight w:val="none"/>
        </w:rPr>
        <w:t>响应</w:t>
      </w:r>
      <w:r>
        <w:rPr>
          <w:rFonts w:hint="eastAsia" w:ascii="宋体" w:hAnsi="宋体" w:eastAsia="宋体" w:cs="宋体"/>
          <w:color w:val="auto"/>
          <w:sz w:val="22"/>
          <w:szCs w:val="22"/>
          <w:highlight w:val="none"/>
          <w:lang w:eastAsia="zh"/>
        </w:rPr>
        <w:t>）</w:t>
      </w:r>
      <w:r>
        <w:rPr>
          <w:rFonts w:hint="eastAsia" w:ascii="宋体" w:hAnsi="宋体" w:eastAsia="宋体" w:cs="宋体"/>
          <w:color w:val="auto"/>
          <w:sz w:val="22"/>
          <w:szCs w:val="22"/>
          <w:highlight w:val="none"/>
        </w:rPr>
        <w:t>文件，对采购过程、采购结果提出质疑的；</w:t>
      </w:r>
    </w:p>
    <w:p w14:paraId="5C12657F">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未通过资格审查，对评审过程、采购结果提出质疑的；</w:t>
      </w:r>
    </w:p>
    <w:p w14:paraId="1F1899F6">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未通过符合性审查，对符合性审查后的评审活动、采购结果提出质疑的；</w:t>
      </w:r>
    </w:p>
    <w:p w14:paraId="32D8E549">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未通过采购文件规定的方式提出质疑的；</w:t>
      </w:r>
    </w:p>
    <w:p w14:paraId="01600B72">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提出质疑时间已超出法定质疑期的；</w:t>
      </w:r>
    </w:p>
    <w:p w14:paraId="6E8EA176">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采购文件要求供应商在法定质疑期内一次性提出针对同一采购程序环节质疑，再次提出质疑的；</w:t>
      </w:r>
    </w:p>
    <w:p w14:paraId="4C127F62">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质疑函未按采购人、采购代理机构要求补充完善签署、盖章、联系方式、提交合法有效的授权委托书的；</w:t>
      </w:r>
    </w:p>
    <w:p w14:paraId="5A330A15">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质疑供应商未按照采购人、采购代理机构要求提供属于潜在供应商或其合法权益受到损害的事实依据的；</w:t>
      </w:r>
    </w:p>
    <w:p w14:paraId="5764A689">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以联合体形式参加政府采购活动，联合体成员未共同提出质疑的；</w:t>
      </w:r>
    </w:p>
    <w:p w14:paraId="52EC8D99">
      <w:pPr>
        <w:numPr>
          <w:ilvl w:val="0"/>
          <w:numId w:val="2"/>
        </w:numPr>
        <w:spacing w:line="400" w:lineRule="exact"/>
        <w:ind w:left="0" w:leftChars="0" w:firstLine="40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法律法规或省级以上财政部门规定的其他情形。</w:t>
      </w:r>
    </w:p>
    <w:p w14:paraId="0E1DAB3C">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采购人或者采购代理机构应当在收到供应商的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浙江政府采购网的“其他公告”栏目公开质疑答复，答复内容应当完整。质疑函作为附件上传。</w:t>
      </w:r>
    </w:p>
    <w:p w14:paraId="69F30D1E">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询问或者质疑事项可能影响采购结果的，采购人应当暂停签订合同，已经签订合同的，应当中止履行合同。</w:t>
      </w:r>
    </w:p>
    <w:p w14:paraId="491121AC">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.3供应商投诉</w:t>
      </w:r>
    </w:p>
    <w:p w14:paraId="050DC93C">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5.3.1质疑供应商对采购人、采购代理机构的答复不满意或者采购人、采购代理机构未在规定的时间内作出答复的，可以在答复期满后十五个工作日内向同级政府采购监督管理部门提出投诉。</w:t>
      </w:r>
    </w:p>
    <w:p w14:paraId="610F1D1E">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5.3.2供应商投诉的事项不得超出已质疑事项的范围，基于质疑答复内容提出的投诉事项除外。</w:t>
      </w:r>
    </w:p>
    <w:p w14:paraId="7B5435B0">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5.3.3供应商投诉应当有明确的请求和必要的证明材料。</w:t>
      </w:r>
    </w:p>
    <w:p w14:paraId="54E8B31E">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5.3.</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以联合体形式参加政府采购活动的，其投诉应当由组成联合体的所有供应商共同提出。</w:t>
      </w:r>
    </w:p>
    <w:p w14:paraId="54A6E131">
      <w:pPr>
        <w:spacing w:line="400" w:lineRule="exact"/>
        <w:ind w:firstLine="440" w:firstLineChars="200"/>
        <w:jc w:val="left"/>
        <w:rPr>
          <w:rFonts w:hint="eastAsia" w:ascii="宋体" w:hAnsi="宋体" w:eastAsia="宋体" w:cs="宋体"/>
          <w:color w:val="auto"/>
          <w:sz w:val="22"/>
          <w:szCs w:val="22"/>
          <w:highlight w:val="none"/>
          <w:lang w:eastAsia="zh"/>
        </w:rPr>
      </w:pPr>
      <w:r>
        <w:rPr>
          <w:rFonts w:hint="eastAsia" w:ascii="宋体" w:hAnsi="宋体" w:eastAsia="宋体" w:cs="宋体"/>
          <w:color w:val="auto"/>
          <w:sz w:val="22"/>
          <w:szCs w:val="22"/>
          <w:highlight w:val="none"/>
        </w:rPr>
        <w:t>5.3.5</w:t>
      </w:r>
      <w:r>
        <w:rPr>
          <w:rFonts w:hint="eastAsia" w:ascii="宋体" w:hAnsi="宋体" w:eastAsia="宋体" w:cs="宋体"/>
          <w:color w:val="auto"/>
          <w:sz w:val="22"/>
          <w:szCs w:val="22"/>
          <w:highlight w:val="none"/>
          <w:lang w:eastAsia="zh"/>
        </w:rPr>
        <w:t>供应商在全国范围12个月内三次以上质疑不成立提起投诉查无实据的，由财政部门列入不良行为记录名单。</w:t>
      </w:r>
    </w:p>
    <w:p w14:paraId="4C9462C2">
      <w:pPr>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投诉书范本请到浙江政府采购网下载专区下载</w:t>
      </w:r>
      <w:r>
        <w:rPr>
          <w:rFonts w:hint="eastAsia" w:ascii="宋体" w:hAnsi="宋体" w:eastAsia="宋体" w:cs="宋体"/>
          <w:color w:val="auto"/>
          <w:sz w:val="22"/>
          <w:szCs w:val="22"/>
          <w:highlight w:val="none"/>
          <w:lang w:val="zh-CN"/>
        </w:rPr>
        <w:t>。</w:t>
      </w:r>
    </w:p>
    <w:p w14:paraId="3A7B72FC">
      <w:pPr>
        <w:pStyle w:val="10"/>
        <w:rPr>
          <w:rFonts w:hint="eastAsia" w:ascii="宋体" w:hAnsi="宋体" w:eastAsia="宋体" w:cs="宋体"/>
          <w:color w:val="auto"/>
          <w:highlight w:val="none"/>
        </w:rPr>
      </w:pPr>
    </w:p>
    <w:p w14:paraId="7948DAD1">
      <w:pPr>
        <w:adjustRightInd/>
        <w:spacing w:line="400" w:lineRule="exact"/>
        <w:jc w:val="center"/>
        <w:outlineLvl w:val="1"/>
        <w:rPr>
          <w:rFonts w:hint="eastAsia" w:ascii="宋体" w:hAnsi="宋体" w:eastAsia="宋体" w:cs="宋体"/>
          <w:b/>
          <w:color w:val="auto"/>
          <w:sz w:val="32"/>
          <w:szCs w:val="20"/>
          <w:highlight w:val="none"/>
        </w:rPr>
      </w:pPr>
      <w:bookmarkStart w:id="26" w:name="_Toc24017"/>
      <w:bookmarkStart w:id="27" w:name="_Toc11835"/>
      <w:r>
        <w:rPr>
          <w:rStyle w:val="23"/>
          <w:rFonts w:hint="eastAsia" w:ascii="宋体" w:hAnsi="宋体" w:eastAsia="宋体" w:cs="宋体"/>
          <w:color w:val="auto"/>
          <w:highlight w:val="none"/>
        </w:rPr>
        <w:t>二、招标文件的构成、澄清、修改</w:t>
      </w:r>
      <w:bookmarkEnd w:id="26"/>
      <w:bookmarkEnd w:id="27"/>
    </w:p>
    <w:p w14:paraId="2502529F">
      <w:pPr>
        <w:pStyle w:val="11"/>
        <w:spacing w:line="400" w:lineRule="exact"/>
        <w:jc w:val="left"/>
        <w:rPr>
          <w:rFonts w:hint="eastAsia" w:ascii="宋体" w:hAnsi="宋体" w:eastAsia="宋体" w:cs="宋体"/>
          <w:b/>
          <w:color w:val="auto"/>
          <w:sz w:val="22"/>
          <w:szCs w:val="22"/>
          <w:highlight w:val="none"/>
        </w:rPr>
      </w:pPr>
      <w:r>
        <w:rPr>
          <w:rFonts w:hint="eastAsia" w:hAnsi="宋体" w:cs="宋体"/>
          <w:b/>
          <w:color w:val="auto"/>
          <w:sz w:val="22"/>
          <w:szCs w:val="22"/>
          <w:highlight w:val="none"/>
          <w:lang w:eastAsia="zh-CN"/>
        </w:rPr>
        <w:t>6.</w:t>
      </w:r>
      <w:r>
        <w:rPr>
          <w:rFonts w:hint="eastAsia" w:ascii="宋体" w:hAnsi="宋体" w:eastAsia="宋体" w:cs="宋体"/>
          <w:b/>
          <w:color w:val="auto"/>
          <w:sz w:val="22"/>
          <w:szCs w:val="22"/>
          <w:highlight w:val="none"/>
        </w:rPr>
        <w:t>招标文件的构成</w:t>
      </w:r>
    </w:p>
    <w:p w14:paraId="5071983A">
      <w:pPr>
        <w:pStyle w:val="11"/>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招标文件包括下列文件及附件：</w:t>
      </w:r>
    </w:p>
    <w:p w14:paraId="2C67D008">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6.1.1招标公告；</w:t>
      </w:r>
    </w:p>
    <w:p w14:paraId="4DFFA030">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6.1.2投标人须知；</w:t>
      </w:r>
    </w:p>
    <w:p w14:paraId="795117AD">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6.1.3采购需求；</w:t>
      </w:r>
    </w:p>
    <w:p w14:paraId="34823E6B">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6.1.4评标办法；</w:t>
      </w:r>
    </w:p>
    <w:p w14:paraId="596D2367">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6.1.5拟签订的合同文本；</w:t>
      </w:r>
    </w:p>
    <w:p w14:paraId="4C01D632">
      <w:pPr>
        <w:pStyle w:val="11"/>
        <w:tabs>
          <w:tab w:val="left" w:pos="840"/>
        </w:tabs>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6.1.6应提交的有关格式范例。</w:t>
      </w:r>
    </w:p>
    <w:p w14:paraId="08994D00">
      <w:pPr>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6.2与本项目有关的</w:t>
      </w:r>
      <w:r>
        <w:rPr>
          <w:rFonts w:hint="eastAsia" w:ascii="宋体" w:hAnsi="宋体" w:eastAsia="宋体" w:cs="宋体"/>
          <w:bCs/>
          <w:color w:val="auto"/>
          <w:sz w:val="22"/>
          <w:szCs w:val="22"/>
          <w:highlight w:val="none"/>
        </w:rPr>
        <w:t>澄清或者修改的内容为招标文件的组成部分</w:t>
      </w:r>
      <w:r>
        <w:rPr>
          <w:rFonts w:hint="eastAsia" w:ascii="宋体" w:hAnsi="宋体" w:eastAsia="宋体" w:cs="宋体"/>
          <w:color w:val="auto"/>
          <w:sz w:val="22"/>
          <w:szCs w:val="22"/>
          <w:highlight w:val="none"/>
        </w:rPr>
        <w:t>。</w:t>
      </w:r>
    </w:p>
    <w:p w14:paraId="045C564F">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 招标文件的澄清、修改</w:t>
      </w:r>
    </w:p>
    <w:p w14:paraId="4E6E1DC9">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7.1已获取招标文件的潜在投标人，若有问题需要澄清，应于投标截止时间前，以书面形式向采购代理机构提出。</w:t>
      </w:r>
    </w:p>
    <w:p w14:paraId="2188B798">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31898A7">
      <w:pPr>
        <w:pStyle w:val="25"/>
        <w:snapToGrid w:val="0"/>
        <w:spacing w:before="0" w:line="400" w:lineRule="exact"/>
        <w:ind w:firstLine="440"/>
        <w:jc w:val="left"/>
        <w:rPr>
          <w:rFonts w:hint="eastAsia" w:ascii="宋体" w:hAnsi="宋体" w:eastAsia="宋体" w:cs="宋体"/>
          <w:color w:val="auto"/>
          <w:sz w:val="22"/>
          <w:szCs w:val="22"/>
          <w:highlight w:val="none"/>
          <w:lang w:val="en-US"/>
        </w:rPr>
      </w:pPr>
    </w:p>
    <w:p w14:paraId="1EE69266">
      <w:pPr>
        <w:pStyle w:val="3"/>
        <w:spacing w:line="400" w:lineRule="exact"/>
        <w:ind w:left="0"/>
        <w:jc w:val="center"/>
        <w:rPr>
          <w:rFonts w:hint="eastAsia" w:ascii="宋体" w:hAnsi="宋体" w:eastAsia="宋体" w:cs="宋体"/>
          <w:color w:val="auto"/>
          <w:highlight w:val="none"/>
        </w:rPr>
      </w:pPr>
      <w:bookmarkStart w:id="28" w:name="_Toc4310"/>
      <w:bookmarkStart w:id="29" w:name="_Toc15347"/>
      <w:r>
        <w:rPr>
          <w:rFonts w:hint="eastAsia" w:ascii="宋体" w:hAnsi="宋体" w:eastAsia="宋体" w:cs="宋体"/>
          <w:color w:val="auto"/>
          <w:highlight w:val="none"/>
        </w:rPr>
        <w:t>三、投标</w:t>
      </w:r>
      <w:bookmarkEnd w:id="28"/>
      <w:bookmarkEnd w:id="29"/>
    </w:p>
    <w:p w14:paraId="3E0B77EB">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 招标文件的获取</w:t>
      </w:r>
    </w:p>
    <w:p w14:paraId="1C988F37">
      <w:pPr>
        <w:spacing w:line="400" w:lineRule="exact"/>
        <w:ind w:firstLine="440" w:firstLineChars="200"/>
        <w:jc w:val="left"/>
        <w:rPr>
          <w:rFonts w:hint="eastAsia" w:ascii="宋体" w:hAnsi="宋体" w:eastAsia="宋体" w:cs="宋体"/>
          <w:snapToGrid w:val="0"/>
          <w:color w:val="auto"/>
          <w:kern w:val="28"/>
          <w:sz w:val="22"/>
          <w:szCs w:val="22"/>
          <w:highlight w:val="none"/>
        </w:rPr>
      </w:pPr>
      <w:r>
        <w:rPr>
          <w:rFonts w:hint="eastAsia" w:ascii="宋体" w:hAnsi="宋体" w:eastAsia="宋体" w:cs="宋体"/>
          <w:snapToGrid w:val="0"/>
          <w:color w:val="auto"/>
          <w:kern w:val="28"/>
          <w:sz w:val="22"/>
          <w:szCs w:val="22"/>
          <w:highlight w:val="none"/>
        </w:rPr>
        <w:t>详见招标公告中获取招标文件的时间期限、地点、方式及招标文件售价。</w:t>
      </w:r>
    </w:p>
    <w:p w14:paraId="3A39ED02">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9.开标前答疑会或现场考察</w:t>
      </w:r>
    </w:p>
    <w:p w14:paraId="446CE853">
      <w:pPr>
        <w:pStyle w:val="11"/>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采购人组织潜在投标人现场考察或者召开开标前答疑会的，潜在投标人按第二部分投标人须知前附表的规定参加现场考察或者开标前答疑会。</w:t>
      </w:r>
    </w:p>
    <w:p w14:paraId="767C8175">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kern w:val="28"/>
          <w:sz w:val="22"/>
          <w:szCs w:val="22"/>
          <w:highlight w:val="none"/>
        </w:rPr>
        <w:t>10.投标保证金</w:t>
      </w:r>
    </w:p>
    <w:p w14:paraId="130BB92F">
      <w:pPr>
        <w:pStyle w:val="11"/>
        <w:spacing w:line="40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保证金退付：供应商在投标截止时间前撤回已提交的投标文件的，自收到供应商书面撤回通知之日起5个工作日内退还已收取的投标保证金；自中标通知书发出之日起5个工作日内退还未中标人的投标保证金，自政府采购合同签订之日起5个工作日内退还中标人的投标保证金，但因供应商自身原因导致无法及时退还的除外。</w:t>
      </w:r>
    </w:p>
    <w:p w14:paraId="1C036044">
      <w:pPr>
        <w:pStyle w:val="11"/>
        <w:spacing w:line="400" w:lineRule="exact"/>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▲发生下列情况之一，投标保证金将不予退还：</w:t>
      </w:r>
    </w:p>
    <w:p w14:paraId="4861130B">
      <w:pPr>
        <w:pStyle w:val="11"/>
        <w:spacing w:line="400" w:lineRule="exact"/>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（1）供应商在投标有效期内撤回投标文件的；</w:t>
      </w:r>
    </w:p>
    <w:p w14:paraId="424AB0C6">
      <w:pPr>
        <w:pStyle w:val="11"/>
        <w:spacing w:line="400" w:lineRule="exact"/>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（2）供应商在投标期间存在提供虚假材料、相互串通投标等违法违规行为的；</w:t>
      </w:r>
    </w:p>
    <w:p w14:paraId="5511BEC2">
      <w:pPr>
        <w:pStyle w:val="11"/>
        <w:spacing w:line="400" w:lineRule="exact"/>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w:t>
      </w:r>
      <w:r>
        <w:rPr>
          <w:rFonts w:hint="eastAsia" w:hAnsi="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lang w:val="en-US" w:eastAsia="zh-CN"/>
        </w:rPr>
        <w:t>）中标人未按规定与采购人签订合同或转让中标的；</w:t>
      </w:r>
    </w:p>
    <w:p w14:paraId="7963F55D">
      <w:pPr>
        <w:pStyle w:val="11"/>
        <w:spacing w:line="400" w:lineRule="exact"/>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w:t>
      </w:r>
      <w:r>
        <w:rPr>
          <w:rFonts w:hint="eastAsia" w:hAnsi="宋体" w:cs="宋体"/>
          <w:color w:val="auto"/>
          <w:sz w:val="22"/>
          <w:szCs w:val="22"/>
          <w:highlight w:val="none"/>
          <w:u w:val="single"/>
          <w:lang w:val="en-US" w:eastAsia="zh-CN"/>
        </w:rPr>
        <w:t>4</w:t>
      </w:r>
      <w:r>
        <w:rPr>
          <w:rFonts w:hint="eastAsia" w:ascii="宋体" w:hAnsi="宋体" w:eastAsia="宋体" w:cs="宋体"/>
          <w:color w:val="auto"/>
          <w:sz w:val="22"/>
          <w:szCs w:val="22"/>
          <w:highlight w:val="none"/>
          <w:u w:val="single"/>
          <w:lang w:val="en-US" w:eastAsia="zh-CN"/>
        </w:rPr>
        <w:t>）经政府采购监督管理部门审查认定供应商有违反《中华人民共和国政府采购法》等有关法律法规的行为。</w:t>
      </w:r>
    </w:p>
    <w:p w14:paraId="1AADC19B">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 投标文件的语言</w:t>
      </w:r>
    </w:p>
    <w:p w14:paraId="0C80FB6A">
      <w:pPr>
        <w:autoSpaceDE w:val="0"/>
        <w:autoSpaceDN w:val="0"/>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投标文件及投标人与采购有关的来往通知、函件和文件均应使用中文。</w:t>
      </w:r>
    </w:p>
    <w:p w14:paraId="07AAB9E9">
      <w:pPr>
        <w:pStyle w:val="11"/>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 投标文件的组成</w:t>
      </w:r>
    </w:p>
    <w:p w14:paraId="45F9DF00">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r>
        <w:rPr>
          <w:rFonts w:hint="eastAsia" w:ascii="宋体" w:hAnsi="宋体" w:eastAsia="宋体" w:cs="宋体"/>
          <w:b/>
          <w:color w:val="auto"/>
          <w:sz w:val="22"/>
          <w:szCs w:val="22"/>
          <w:highlight w:val="none"/>
        </w:rPr>
        <w:t>资格文件</w:t>
      </w:r>
      <w:r>
        <w:rPr>
          <w:rFonts w:hint="eastAsia" w:ascii="宋体" w:hAnsi="宋体" w:eastAsia="宋体" w:cs="宋体"/>
          <w:color w:val="auto"/>
          <w:sz w:val="22"/>
          <w:szCs w:val="22"/>
          <w:highlight w:val="none"/>
        </w:rPr>
        <w:t>：</w:t>
      </w:r>
    </w:p>
    <w:p w14:paraId="5AFF1369">
      <w:pPr>
        <w:pStyle w:val="24"/>
        <w:spacing w:line="40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12.1.1提供符合参加政府采购活动应当具备的一般条件的承诺函</w:t>
      </w:r>
      <w:r>
        <w:rPr>
          <w:rFonts w:hint="eastAsia" w:ascii="宋体" w:hAnsi="宋体" w:eastAsia="宋体" w:cs="宋体"/>
          <w:b/>
          <w:bCs/>
          <w:color w:val="auto"/>
          <w:sz w:val="22"/>
          <w:szCs w:val="22"/>
          <w:highlight w:val="none"/>
        </w:rPr>
        <w:t>（若联合体参加投标的，联合体各方分别提供、</w:t>
      </w:r>
      <w:r>
        <w:rPr>
          <w:rFonts w:hint="eastAsia" w:ascii="宋体" w:hAnsi="宋体" w:eastAsia="宋体" w:cs="宋体"/>
          <w:b/>
          <w:bCs/>
          <w:color w:val="auto"/>
          <w:sz w:val="22"/>
          <w:szCs w:val="22"/>
          <w:highlight w:val="none"/>
          <w:lang w:eastAsia="zh-CN"/>
        </w:rPr>
        <w:t>分别加盖电子签名或公章</w:t>
      </w:r>
      <w:r>
        <w:rPr>
          <w:rFonts w:hint="eastAsia" w:ascii="宋体" w:hAnsi="宋体" w:eastAsia="宋体" w:cs="宋体"/>
          <w:b/>
          <w:bCs/>
          <w:color w:val="auto"/>
          <w:sz w:val="22"/>
          <w:szCs w:val="22"/>
          <w:highlight w:val="none"/>
        </w:rPr>
        <w:t>）</w:t>
      </w:r>
    </w:p>
    <w:p w14:paraId="24C44C88">
      <w:pPr>
        <w:pStyle w:val="24"/>
        <w:spacing w:line="40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12.1.2有效的企业营业执照（或事业法人登记证书或其它工商等登记证明材料，自然人提供身份证)复制件</w:t>
      </w:r>
      <w:r>
        <w:rPr>
          <w:rFonts w:hint="eastAsia" w:ascii="宋体" w:hAnsi="宋体" w:eastAsia="宋体" w:cs="宋体"/>
          <w:b/>
          <w:bCs/>
          <w:color w:val="auto"/>
          <w:sz w:val="22"/>
          <w:szCs w:val="22"/>
          <w:highlight w:val="none"/>
        </w:rPr>
        <w:t>（若联合体参加投标的，联合体各方分别提供）</w:t>
      </w:r>
      <w:r>
        <w:rPr>
          <w:rFonts w:hint="eastAsia" w:ascii="宋体" w:hAnsi="宋体" w:eastAsia="宋体" w:cs="宋体"/>
          <w:color w:val="auto"/>
          <w:sz w:val="22"/>
          <w:szCs w:val="22"/>
          <w:highlight w:val="none"/>
        </w:rPr>
        <w:t>（五选一）：</w:t>
      </w:r>
    </w:p>
    <w:p w14:paraId="0F0B67F5">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12.1.3落实政府采购政策需满足的资格要求</w:t>
      </w:r>
      <w:r>
        <w:rPr>
          <w:rFonts w:hint="eastAsia" w:ascii="宋体" w:hAnsi="宋体" w:eastAsia="宋体" w:cs="宋体"/>
          <w:color w:val="auto"/>
          <w:sz w:val="22"/>
          <w:szCs w:val="22"/>
          <w:highlight w:val="none"/>
          <w:lang w:val="zh-CN"/>
        </w:rPr>
        <w:t>证明材料</w:t>
      </w:r>
      <w:r>
        <w:rPr>
          <w:rFonts w:hint="eastAsia" w:ascii="宋体" w:hAnsi="宋体" w:eastAsia="宋体" w:cs="宋体"/>
          <w:color w:val="auto"/>
          <w:sz w:val="22"/>
          <w:szCs w:val="22"/>
          <w:highlight w:val="none"/>
        </w:rPr>
        <w:t>；</w:t>
      </w:r>
    </w:p>
    <w:p w14:paraId="6C11DDCF">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12.1.4联合协议</w:t>
      </w:r>
      <w:r>
        <w:rPr>
          <w:rFonts w:hint="eastAsia" w:ascii="宋体" w:hAnsi="宋体" w:eastAsia="宋体" w:cs="宋体"/>
          <w:snapToGrid w:val="0"/>
          <w:color w:val="auto"/>
          <w:kern w:val="28"/>
          <w:sz w:val="22"/>
          <w:szCs w:val="22"/>
          <w:highlight w:val="none"/>
        </w:rPr>
        <w:t>（如果有)；</w:t>
      </w:r>
    </w:p>
    <w:p w14:paraId="0C84DA64">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12.1.5分包意向协议</w:t>
      </w:r>
      <w:r>
        <w:rPr>
          <w:rFonts w:hint="eastAsia" w:ascii="宋体" w:hAnsi="宋体" w:eastAsia="宋体" w:cs="宋体"/>
          <w:snapToGrid w:val="0"/>
          <w:color w:val="auto"/>
          <w:kern w:val="28"/>
          <w:sz w:val="22"/>
          <w:szCs w:val="22"/>
          <w:highlight w:val="none"/>
        </w:rPr>
        <w:t>（如果有)；</w:t>
      </w:r>
    </w:p>
    <w:p w14:paraId="46902DA4">
      <w:pPr>
        <w:snapToGrid w:val="0"/>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12.1.6本项目的特定资格要求</w:t>
      </w:r>
      <w:r>
        <w:rPr>
          <w:rFonts w:hint="eastAsia" w:ascii="宋体" w:hAnsi="宋体" w:eastAsia="宋体" w:cs="宋体"/>
          <w:snapToGrid w:val="0"/>
          <w:color w:val="auto"/>
          <w:kern w:val="28"/>
          <w:sz w:val="22"/>
          <w:szCs w:val="22"/>
          <w:highlight w:val="none"/>
        </w:rPr>
        <w:t>（如果有)</w:t>
      </w:r>
      <w:r>
        <w:rPr>
          <w:rFonts w:hint="eastAsia" w:ascii="宋体" w:hAnsi="宋体" w:eastAsia="宋体" w:cs="宋体"/>
          <w:color w:val="auto"/>
          <w:sz w:val="22"/>
          <w:szCs w:val="22"/>
          <w:highlight w:val="none"/>
          <w:lang w:val="zh-CN"/>
        </w:rPr>
        <w:t>。</w:t>
      </w:r>
    </w:p>
    <w:p w14:paraId="041A3503">
      <w:pPr>
        <w:snapToGrid w:val="0"/>
        <w:spacing w:line="400" w:lineRule="exact"/>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zh-CN"/>
        </w:rPr>
        <w:t>1</w:t>
      </w: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val="zh-CN"/>
        </w:rPr>
        <w:t>.</w:t>
      </w: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val="zh-CN"/>
        </w:rPr>
        <w:t xml:space="preserve">  </w:t>
      </w:r>
      <w:r>
        <w:rPr>
          <w:rFonts w:hint="eastAsia" w:ascii="宋体" w:hAnsi="宋体" w:eastAsia="宋体" w:cs="宋体"/>
          <w:b/>
          <w:bCs/>
          <w:color w:val="auto"/>
          <w:sz w:val="22"/>
          <w:szCs w:val="22"/>
          <w:highlight w:val="none"/>
        </w:rPr>
        <w:t>商务技术</w:t>
      </w:r>
      <w:r>
        <w:rPr>
          <w:rFonts w:hint="eastAsia" w:ascii="宋体" w:hAnsi="宋体" w:eastAsia="宋体" w:cs="宋体"/>
          <w:b/>
          <w:bCs/>
          <w:color w:val="auto"/>
          <w:sz w:val="22"/>
          <w:szCs w:val="22"/>
          <w:highlight w:val="none"/>
          <w:lang w:val="zh-CN"/>
        </w:rPr>
        <w:t>文件：</w:t>
      </w:r>
    </w:p>
    <w:p w14:paraId="64073467">
      <w:pPr>
        <w:tabs>
          <w:tab w:val="left" w:pos="942"/>
        </w:tabs>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12.2.1投标函；</w:t>
      </w:r>
      <w:r>
        <w:rPr>
          <w:rFonts w:hint="eastAsia" w:ascii="宋体" w:hAnsi="宋体" w:eastAsia="宋体" w:cs="宋体"/>
          <w:color w:val="auto"/>
          <w:sz w:val="22"/>
          <w:szCs w:val="22"/>
          <w:highlight w:val="none"/>
          <w:lang w:val="zh-CN"/>
        </w:rPr>
        <w:t xml:space="preserve"> </w:t>
      </w:r>
    </w:p>
    <w:p w14:paraId="15FDC126">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12.2.2法定代表人（单位负责人、自然人本人）身份证明或授权委托书；</w:t>
      </w:r>
    </w:p>
    <w:p w14:paraId="393F9186">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12.2.3评标标准相应的商务技术资料；</w:t>
      </w:r>
    </w:p>
    <w:p w14:paraId="0EDD4679">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12.2.4采购需求偏离表；</w:t>
      </w:r>
    </w:p>
    <w:p w14:paraId="1A4EED79">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12.2.5投标标的清单；</w:t>
      </w:r>
    </w:p>
    <w:p w14:paraId="6C819D7D">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12.2.6</w:t>
      </w:r>
      <w:r>
        <w:rPr>
          <w:rFonts w:hint="eastAsia" w:ascii="宋体" w:hAnsi="宋体" w:eastAsia="宋体" w:cs="宋体"/>
          <w:color w:val="auto"/>
          <w:sz w:val="22"/>
          <w:szCs w:val="22"/>
          <w:highlight w:val="none"/>
          <w:lang w:val="zh-CN"/>
        </w:rPr>
        <w:t>政府采购供应商廉洁自律承诺书；</w:t>
      </w:r>
    </w:p>
    <w:p w14:paraId="63484489">
      <w:pPr>
        <w:snapToGrid w:val="0"/>
        <w:spacing w:line="40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12.2.7</w:t>
      </w:r>
      <w:r>
        <w:rPr>
          <w:rFonts w:hint="eastAsia" w:ascii="宋体" w:hAnsi="宋体" w:eastAsia="宋体" w:cs="宋体"/>
          <w:color w:val="auto"/>
          <w:sz w:val="22"/>
          <w:highlight w:val="none"/>
        </w:rPr>
        <w:t>投标产品技术支持材料；</w:t>
      </w:r>
    </w:p>
    <w:p w14:paraId="56F53AC5">
      <w:pPr>
        <w:snapToGrid w:val="0"/>
        <w:spacing w:line="400" w:lineRule="exact"/>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12.2.8</w:t>
      </w:r>
      <w:r>
        <w:rPr>
          <w:rFonts w:hint="eastAsia" w:ascii="宋体" w:hAnsi="宋体" w:eastAsia="宋体" w:cs="宋体"/>
          <w:color w:val="auto"/>
          <w:sz w:val="22"/>
          <w:szCs w:val="22"/>
          <w:highlight w:val="none"/>
          <w:lang w:val="zh-CN"/>
        </w:rPr>
        <w:t>投标人认为需要提供的其他材料。</w:t>
      </w:r>
    </w:p>
    <w:p w14:paraId="758BA67B">
      <w:pPr>
        <w:snapToGrid w:val="0"/>
        <w:spacing w:line="400" w:lineRule="exact"/>
        <w:ind w:firstLine="440" w:firstLineChars="200"/>
        <w:jc w:val="left"/>
        <w:rPr>
          <w:rFonts w:hint="eastAsia" w:ascii="宋体" w:hAnsi="宋体" w:eastAsia="宋体" w:cs="宋体"/>
          <w:color w:val="auto"/>
          <w:sz w:val="22"/>
          <w:szCs w:val="22"/>
          <w:highlight w:val="none"/>
          <w:u w:val="single"/>
          <w:lang w:val="zh-CN"/>
        </w:rPr>
      </w:pPr>
      <w:r>
        <w:rPr>
          <w:rFonts w:hint="eastAsia" w:ascii="宋体" w:hAnsi="宋体" w:eastAsia="宋体" w:cs="宋体"/>
          <w:color w:val="auto"/>
          <w:kern w:val="0"/>
          <w:sz w:val="22"/>
          <w:szCs w:val="22"/>
          <w:highlight w:val="none"/>
          <w:lang w:val="zh-CN"/>
        </w:rPr>
        <w:t>12.3</w:t>
      </w:r>
      <w:r>
        <w:rPr>
          <w:rFonts w:hint="eastAsia" w:ascii="宋体" w:hAnsi="宋体" w:eastAsia="宋体" w:cs="宋体"/>
          <w:b/>
          <w:color w:val="auto"/>
          <w:sz w:val="22"/>
          <w:szCs w:val="22"/>
          <w:highlight w:val="none"/>
        </w:rPr>
        <w:t>报价文件：</w:t>
      </w:r>
      <w:r>
        <w:rPr>
          <w:rFonts w:hint="eastAsia" w:ascii="宋体" w:hAnsi="宋体" w:eastAsia="宋体" w:cs="宋体"/>
          <w:color w:val="auto"/>
          <w:sz w:val="22"/>
          <w:szCs w:val="22"/>
          <w:highlight w:val="none"/>
        </w:rPr>
        <w:t xml:space="preserve"> </w:t>
      </w:r>
    </w:p>
    <w:p w14:paraId="35151B17">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12.3.1开标一览表；</w:t>
      </w:r>
    </w:p>
    <w:p w14:paraId="3FC89EAC">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12.3.2投标报价明细表；</w:t>
      </w:r>
    </w:p>
    <w:p w14:paraId="5FDD66EE">
      <w:pPr>
        <w:spacing w:line="40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投标文件含有采购人不能接受的附加条件的，投标无效；</w:t>
      </w:r>
    </w:p>
    <w:p w14:paraId="0AFC7E19">
      <w:pPr>
        <w:spacing w:line="40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投标人提供虚假材料投标的，投标无效。 </w:t>
      </w:r>
    </w:p>
    <w:p w14:paraId="4F0D3838">
      <w:pPr>
        <w:pStyle w:val="25"/>
        <w:snapToGrid w:val="0"/>
        <w:spacing w:before="0" w:line="400" w:lineRule="exact"/>
        <w:ind w:firstLine="0" w:firstLineChars="0"/>
        <w:jc w:val="left"/>
        <w:rPr>
          <w:rFonts w:hint="eastAsia" w:ascii="宋体" w:hAnsi="宋体" w:eastAsia="宋体" w:cs="宋体"/>
          <w:b/>
          <w:color w:val="auto"/>
          <w:sz w:val="22"/>
          <w:szCs w:val="22"/>
          <w:highlight w:val="none"/>
        </w:rPr>
      </w:pPr>
      <w:bookmarkStart w:id="30" w:name="_Toc6297"/>
      <w:bookmarkStart w:id="31" w:name="_Toc19035"/>
      <w:bookmarkStart w:id="32" w:name="_Toc23416"/>
      <w:r>
        <w:rPr>
          <w:rFonts w:hint="eastAsia" w:ascii="宋体" w:hAnsi="宋体" w:eastAsia="宋体" w:cs="宋体"/>
          <w:b/>
          <w:color w:val="auto"/>
          <w:sz w:val="22"/>
          <w:szCs w:val="22"/>
          <w:highlight w:val="none"/>
        </w:rPr>
        <w:t>13</w:t>
      </w:r>
      <w:r>
        <w:rPr>
          <w:rFonts w:hint="eastAsia" w:ascii="宋体" w:hAnsi="宋体" w:eastAsia="宋体" w:cs="宋体"/>
          <w:b/>
          <w:color w:val="auto"/>
          <w:kern w:val="0"/>
          <w:sz w:val="22"/>
          <w:szCs w:val="22"/>
          <w:highlight w:val="none"/>
          <w:lang w:val="zh-CN"/>
        </w:rPr>
        <w:t xml:space="preserve">. </w:t>
      </w:r>
      <w:r>
        <w:rPr>
          <w:rFonts w:hint="eastAsia" w:ascii="宋体" w:hAnsi="宋体" w:eastAsia="宋体" w:cs="宋体"/>
          <w:b/>
          <w:color w:val="auto"/>
          <w:sz w:val="22"/>
          <w:szCs w:val="22"/>
          <w:highlight w:val="none"/>
        </w:rPr>
        <w:t>投标文件的编制</w:t>
      </w:r>
      <w:bookmarkEnd w:id="30"/>
      <w:bookmarkEnd w:id="31"/>
      <w:bookmarkEnd w:id="32"/>
    </w:p>
    <w:p w14:paraId="4CA9BE4D">
      <w:pPr>
        <w:spacing w:line="40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lang w:val="zh-CN"/>
        </w:rPr>
        <w:t>1</w:t>
      </w: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2499BAA">
      <w:pPr>
        <w:spacing w:line="400" w:lineRule="exact"/>
        <w:ind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3A360DE2">
      <w:pPr>
        <w:spacing w:line="400" w:lineRule="exact"/>
        <w:ind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zh-CN"/>
        </w:rPr>
        <w:t>.3使用“政采云电子交易客户端”需要提前申领CA数字证书，申领流程请自行前往“浙江政府采购网-下载专区-电子交易客户端-CA驱动和申领流程”进行查阅。</w:t>
      </w:r>
    </w:p>
    <w:p w14:paraId="5FD410CA">
      <w:pPr>
        <w:pStyle w:val="25"/>
        <w:snapToGrid w:val="0"/>
        <w:spacing w:before="0" w:line="400" w:lineRule="exact"/>
        <w:ind w:firstLine="0" w:firstLineChars="0"/>
        <w:jc w:val="left"/>
        <w:rPr>
          <w:rFonts w:hint="eastAsia" w:ascii="宋体" w:hAnsi="宋体" w:eastAsia="宋体" w:cs="宋体"/>
          <w:b/>
          <w:bCs/>
          <w:color w:val="auto"/>
          <w:sz w:val="22"/>
          <w:szCs w:val="22"/>
          <w:highlight w:val="none"/>
          <w:u w:val="single"/>
        </w:rPr>
      </w:pPr>
      <w:bookmarkStart w:id="33" w:name="_Toc1765"/>
      <w:r>
        <w:rPr>
          <w:rFonts w:hint="eastAsia" w:ascii="宋体" w:hAnsi="宋体" w:eastAsia="宋体" w:cs="宋体"/>
          <w:b/>
          <w:color w:val="auto"/>
          <w:sz w:val="22"/>
          <w:szCs w:val="22"/>
          <w:highlight w:val="none"/>
        </w:rPr>
        <w:t>14投标报价</w:t>
      </w:r>
      <w:bookmarkEnd w:id="33"/>
    </w:p>
    <w:p w14:paraId="5100B1BE">
      <w:pPr>
        <w:pStyle w:val="25"/>
        <w:snapToGrid w:val="0"/>
        <w:spacing w:before="0" w:line="400" w:lineRule="exact"/>
        <w:ind w:firstLine="442"/>
        <w:jc w:val="lef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14.</w:t>
      </w:r>
      <w:r>
        <w:rPr>
          <w:rFonts w:hint="eastAsia" w:ascii="宋体" w:hAnsi="宋体" w:eastAsia="宋体" w:cs="宋体"/>
          <w:b/>
          <w:bCs/>
          <w:color w:val="auto"/>
          <w:sz w:val="22"/>
          <w:szCs w:val="22"/>
          <w:highlight w:val="none"/>
          <w:u w:val="single"/>
          <w:lang w:val="zh-CN"/>
        </w:rPr>
        <w:t>1 ▲</w:t>
      </w:r>
      <w:r>
        <w:rPr>
          <w:rFonts w:hint="eastAsia" w:ascii="宋体" w:hAnsi="宋体" w:eastAsia="宋体" w:cs="宋体"/>
          <w:b/>
          <w:bCs/>
          <w:color w:val="auto"/>
          <w:sz w:val="22"/>
          <w:szCs w:val="22"/>
          <w:highlight w:val="none"/>
          <w:u w:val="single"/>
        </w:rPr>
        <w:t>投标报价形式：人民币报价。</w:t>
      </w:r>
    </w:p>
    <w:p w14:paraId="76A1049C">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投标人根据招标文件的要求，</w:t>
      </w:r>
      <w:r>
        <w:rPr>
          <w:rFonts w:hint="eastAsia" w:ascii="宋体" w:hAnsi="宋体" w:eastAsia="宋体" w:cs="宋体"/>
          <w:color w:val="auto"/>
          <w:sz w:val="22"/>
          <w:szCs w:val="22"/>
          <w:highlight w:val="none"/>
          <w:lang w:val="zh-CN"/>
        </w:rPr>
        <w:t>有关本项目实施所需的所有费用（含税费）均计入报价</w:t>
      </w:r>
      <w:r>
        <w:rPr>
          <w:rFonts w:hint="eastAsia" w:ascii="宋体" w:hAnsi="宋体" w:eastAsia="宋体" w:cs="宋体"/>
          <w:color w:val="auto"/>
          <w:sz w:val="22"/>
          <w:szCs w:val="22"/>
          <w:highlight w:val="none"/>
        </w:rPr>
        <w:t>。投标报价为交钥匙方式完成本项目的全部费用的价格体现，即供货至采购人指定的地点，总价包干。</w:t>
      </w:r>
    </w:p>
    <w:p w14:paraId="35D64CCC">
      <w:pPr>
        <w:pStyle w:val="25"/>
        <w:snapToGrid w:val="0"/>
        <w:spacing w:before="0" w:line="400" w:lineRule="exact"/>
        <w:ind w:firstLine="440"/>
        <w:jc w:val="left"/>
        <w:rPr>
          <w:rFonts w:hint="eastAsia" w:ascii="宋体" w:hAnsi="宋体" w:eastAsia="宋体" w:cs="宋体"/>
          <w:b/>
          <w:bCs/>
          <w:color w:val="auto"/>
          <w:sz w:val="22"/>
          <w:szCs w:val="22"/>
          <w:highlight w:val="none"/>
          <w:lang w:val="zh-CN"/>
        </w:rPr>
      </w:pPr>
      <w:r>
        <w:rPr>
          <w:rFonts w:hint="eastAsia" w:ascii="宋体" w:hAnsi="宋体" w:eastAsia="宋体" w:cs="宋体"/>
          <w:color w:val="auto"/>
          <w:sz w:val="22"/>
          <w:szCs w:val="22"/>
          <w:highlight w:val="none"/>
        </w:rPr>
        <w:t>14.3</w:t>
      </w:r>
      <w:r>
        <w:rPr>
          <w:rFonts w:hint="eastAsia" w:ascii="宋体" w:hAnsi="宋体" w:eastAsia="宋体" w:cs="宋体"/>
          <w:b/>
          <w:bCs/>
          <w:color w:val="auto"/>
          <w:sz w:val="22"/>
          <w:szCs w:val="22"/>
          <w:highlight w:val="none"/>
          <w:u w:val="single"/>
        </w:rPr>
        <w:t>▲所投标项只允许有一个报价，不接受有选择报价的投标文件。</w:t>
      </w:r>
    </w:p>
    <w:p w14:paraId="33BC93F3">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14.4不论投标结果如何，投标人均应自行承担所有与投标有关的全部费用。</w:t>
      </w:r>
    </w:p>
    <w:p w14:paraId="4DED1B42">
      <w:pPr>
        <w:snapToGrid w:val="0"/>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15.投标文件的签署、盖章</w:t>
      </w:r>
    </w:p>
    <w:p w14:paraId="4D1DF45C">
      <w:pPr>
        <w:pStyle w:val="25"/>
        <w:snapToGrid w:val="0"/>
        <w:spacing w:before="0" w:line="400" w:lineRule="exact"/>
        <w:ind w:firstLine="44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15.1投标文件按照招标文件第六部分格式要求进行签署、盖章。</w:t>
      </w:r>
      <w:r>
        <w:rPr>
          <w:rFonts w:hint="eastAsia" w:ascii="宋体" w:hAnsi="宋体" w:eastAsia="宋体" w:cs="宋体"/>
          <w:b/>
          <w:color w:val="auto"/>
          <w:sz w:val="22"/>
          <w:szCs w:val="22"/>
          <w:highlight w:val="none"/>
          <w:u w:val="single"/>
        </w:rPr>
        <w:t>▲投标人的投标文件未按照招标文件要求签署、盖章的，其投标无效</w:t>
      </w:r>
      <w:r>
        <w:rPr>
          <w:rFonts w:hint="eastAsia" w:ascii="宋体" w:hAnsi="宋体" w:eastAsia="宋体" w:cs="宋体"/>
          <w:color w:val="auto"/>
          <w:sz w:val="22"/>
          <w:szCs w:val="22"/>
          <w:highlight w:val="none"/>
          <w:u w:val="single"/>
        </w:rPr>
        <w:t>。</w:t>
      </w:r>
    </w:p>
    <w:p w14:paraId="68DE6D0D">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15.2为确保网上操作合法、有效和安全，投标人应当在投标截止时间前完成在“政府采购云平台”的身份认证，确保在电子投标过程中能够对相关数据电文进行加密和使用电子签名。</w:t>
      </w:r>
    </w:p>
    <w:p w14:paraId="626D7BCB">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15.3招标文件对投标文件签署、盖章的要求适用于电子签名。</w:t>
      </w:r>
    </w:p>
    <w:p w14:paraId="23446703">
      <w:pPr>
        <w:pStyle w:val="25"/>
        <w:spacing w:before="0"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 投标文件的提交、补充、修改、撤回</w:t>
      </w:r>
    </w:p>
    <w:p w14:paraId="1EE6D58A">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 供应商应当在投标截止时间前将加密的投标文件上传至政府采购云平台，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4EB76B4">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16.2电子交易平台收到投标文件，将妥善保存并即时向供应商发出确认回执通知。在投标截止时</w:t>
      </w:r>
      <w:r>
        <w:rPr>
          <w:rFonts w:hint="eastAsia" w:ascii="宋体" w:hAnsi="宋体" w:eastAsia="宋体" w:cs="宋体"/>
          <w:color w:val="auto"/>
          <w:sz w:val="22"/>
          <w:szCs w:val="22"/>
          <w:highlight w:val="none"/>
          <w:lang w:eastAsia="zh-CN"/>
        </w:rPr>
        <w:t>间之</w:t>
      </w:r>
      <w:r>
        <w:rPr>
          <w:rFonts w:hint="eastAsia" w:ascii="宋体" w:hAnsi="宋体" w:eastAsia="宋体" w:cs="宋体"/>
          <w:color w:val="auto"/>
          <w:sz w:val="22"/>
          <w:szCs w:val="22"/>
          <w:highlight w:val="none"/>
        </w:rPr>
        <w:t>前，除供应商补充、修改或者撤回投标文件外，任何单位和个人不得解密或提取投标文件。</w:t>
      </w:r>
    </w:p>
    <w:p w14:paraId="16A4BF54">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16.3采购人、采购代理机构可以视情况延长投标文件提交的截止时间。在上述情况下，采购代理机构与投标人以前在投标截止期方面的全部权利、责任和义务，将适用于延长至新的投标截止期。</w:t>
      </w:r>
    </w:p>
    <w:p w14:paraId="069A83C6">
      <w:pPr>
        <w:pStyle w:val="25"/>
        <w:spacing w:before="0" w:line="400" w:lineRule="exact"/>
        <w:ind w:firstLine="442"/>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16.4备份投标文件</w:t>
      </w:r>
    </w:p>
    <w:p w14:paraId="4336DBEF">
      <w:pPr>
        <w:pStyle w:val="11"/>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16.4.1</w:t>
      </w:r>
      <w:r>
        <w:rPr>
          <w:rFonts w:hint="eastAsia" w:ascii="宋体" w:hAnsi="宋体" w:eastAsia="宋体" w:cs="宋体"/>
          <w:bCs/>
          <w:color w:val="auto"/>
          <w:kern w:val="0"/>
          <w:sz w:val="22"/>
          <w:szCs w:val="22"/>
          <w:highlight w:val="none"/>
        </w:rPr>
        <w:t>为确保采购项目顺利实施，避免因政采云上电子投标文件解密失败导致投标人投标无效，</w:t>
      </w:r>
      <w:r>
        <w:rPr>
          <w:rFonts w:hint="eastAsia" w:ascii="宋体" w:hAnsi="宋体" w:eastAsia="宋体" w:cs="宋体"/>
          <w:color w:val="auto"/>
          <w:sz w:val="22"/>
          <w:szCs w:val="22"/>
          <w:highlight w:val="none"/>
        </w:rPr>
        <w:t>投标人在电子交易平台传输递交投标文件后，还可以在投标截止时间前提交电文文档形式的备份投标文件1份，</w:t>
      </w:r>
      <w:r>
        <w:rPr>
          <w:rFonts w:hint="eastAsia" w:ascii="宋体" w:hAnsi="宋体" w:eastAsia="宋体" w:cs="宋体"/>
          <w:b/>
          <w:color w:val="auto"/>
          <w:sz w:val="22"/>
          <w:szCs w:val="22"/>
          <w:highlight w:val="none"/>
        </w:rPr>
        <w:t>但采购人、采购代理机构不强制或变相强制投标人提交备份投标文件。</w:t>
      </w:r>
      <w:r>
        <w:rPr>
          <w:rFonts w:hint="eastAsia" w:ascii="宋体" w:hAnsi="宋体" w:eastAsia="宋体" w:cs="宋体"/>
          <w:color w:val="auto"/>
          <w:sz w:val="22"/>
          <w:szCs w:val="22"/>
          <w:highlight w:val="none"/>
        </w:rPr>
        <w:t>备份投标文件提交形式（三选一）：</w:t>
      </w:r>
    </w:p>
    <w:p w14:paraId="549716FA">
      <w:pPr>
        <w:pStyle w:val="11"/>
        <w:spacing w:line="400" w:lineRule="exact"/>
        <w:ind w:firstLine="330" w:firstLineChars="1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直接提交备份投标文件的，投标人应于投标截止时间前在招标公告中载明的开标地点将备份投标文件提交给采购代理机构，采购代理机构将拒绝接受逾期送达的备份投标文件。</w:t>
      </w:r>
    </w:p>
    <w:p w14:paraId="400EFFC9">
      <w:pPr>
        <w:pStyle w:val="11"/>
        <w:spacing w:line="400" w:lineRule="exact"/>
        <w:ind w:firstLine="330" w:firstLineChars="1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bCs/>
          <w:color w:val="auto"/>
          <w:kern w:val="0"/>
          <w:sz w:val="22"/>
          <w:szCs w:val="22"/>
          <w:highlight w:val="none"/>
        </w:rPr>
        <w:t>以邮寄形式（建议顺丰快递）</w:t>
      </w:r>
      <w:r>
        <w:rPr>
          <w:rFonts w:hint="eastAsia" w:ascii="宋体" w:hAnsi="宋体" w:eastAsia="宋体" w:cs="宋体"/>
          <w:color w:val="auto"/>
          <w:sz w:val="22"/>
          <w:szCs w:val="22"/>
          <w:highlight w:val="none"/>
        </w:rPr>
        <w:t>递交备份投标文件的，</w:t>
      </w:r>
      <w:r>
        <w:rPr>
          <w:rFonts w:hint="eastAsia" w:ascii="宋体" w:hAnsi="宋体" w:eastAsia="宋体" w:cs="宋体"/>
          <w:bCs/>
          <w:color w:val="auto"/>
          <w:kern w:val="0"/>
          <w:sz w:val="22"/>
          <w:szCs w:val="22"/>
          <w:highlight w:val="none"/>
        </w:rPr>
        <w:t>将备份投标文件存入并储存在U盘中，备份在投标截止时间前递交，并需采购代理机构确认是否收到，邮寄地址及收件人：</w:t>
      </w:r>
      <w:r>
        <w:rPr>
          <w:rFonts w:hint="eastAsia" w:ascii="宋体" w:hAnsi="宋体" w:eastAsia="宋体" w:cs="宋体"/>
          <w:color w:val="auto"/>
          <w:sz w:val="22"/>
          <w:szCs w:val="22"/>
          <w:highlight w:val="none"/>
          <w:u w:val="single"/>
        </w:rPr>
        <w:t>浙江省杭州市西湖区紫荆花路386号紫荆大厦107号商务楼303室（浙江乐诚工程咨询有限公司），收件人王纪凤/18357703076</w:t>
      </w: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rPr>
        <w:t>备份投标文件应当密封包装并在包装上加盖公章并注明投标项目名称，投标人名称(联合体投标的，包装物封面需注明联合体投标，并注明联合体成员各方的名称和联合体协议中约定的牵头人的名称)。</w:t>
      </w:r>
      <w:r>
        <w:rPr>
          <w:rFonts w:hint="eastAsia" w:ascii="宋体" w:hAnsi="宋体" w:eastAsia="宋体" w:cs="宋体"/>
          <w:b/>
          <w:color w:val="auto"/>
          <w:sz w:val="22"/>
          <w:szCs w:val="22"/>
          <w:highlight w:val="none"/>
        </w:rPr>
        <w:t>不符合上述制作、存储、密封规定的备份投标文件将被视为无效或者被拒绝接收。</w:t>
      </w:r>
      <w:r>
        <w:rPr>
          <w:rFonts w:hint="eastAsia" w:ascii="宋体" w:hAnsi="宋体" w:eastAsia="宋体" w:cs="宋体"/>
          <w:color w:val="auto"/>
          <w:sz w:val="22"/>
          <w:szCs w:val="22"/>
          <w:highlight w:val="none"/>
        </w:rPr>
        <w:t>送达时间以签收人签收时间为准。采购代理机构将拒绝接受逾期送达的备份投标文件。邮寄过程中，电子备份投标文件发生泄露、遗失、损坏或延期送达等情况的，由投标人自行负责。</w:t>
      </w:r>
    </w:p>
    <w:p w14:paraId="0EA3C553">
      <w:pPr>
        <w:pStyle w:val="11"/>
        <w:spacing w:line="400" w:lineRule="exact"/>
        <w:ind w:firstLine="330" w:firstLineChars="1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以电子邮件形式将生成的备份投标文件（</w:t>
      </w:r>
      <w:r>
        <w:rPr>
          <w:rFonts w:hint="eastAsia" w:ascii="宋体" w:hAnsi="宋体" w:eastAsia="宋体" w:cs="宋体"/>
          <w:color w:val="auto"/>
          <w:sz w:val="22"/>
          <w:szCs w:val="22"/>
          <w:highlight w:val="none"/>
          <w:lang w:val="zh-CN"/>
        </w:rPr>
        <w:t>打包压缩并加密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加密密码由投标人自行保管</w:t>
      </w:r>
      <w:r>
        <w:rPr>
          <w:rFonts w:hint="eastAsia" w:ascii="宋体" w:hAnsi="宋体" w:eastAsia="宋体" w:cs="宋体"/>
          <w:color w:val="auto"/>
          <w:sz w:val="22"/>
          <w:szCs w:val="22"/>
          <w:highlight w:val="none"/>
        </w:rPr>
        <w:t>，未加密导致投标信息泄露的风险由投标人自行承担。）发送到采购代理机构邮箱号：</w:t>
      </w:r>
      <w:r>
        <w:rPr>
          <w:rFonts w:hint="eastAsia" w:ascii="宋体" w:hAnsi="宋体" w:eastAsia="宋体" w:cs="宋体"/>
          <w:color w:val="auto"/>
          <w:sz w:val="22"/>
          <w:szCs w:val="22"/>
          <w:highlight w:val="none"/>
          <w:u w:val="single"/>
        </w:rPr>
        <w:t>58000634@qq.com，</w:t>
      </w:r>
      <w:r>
        <w:rPr>
          <w:rFonts w:hint="eastAsia" w:ascii="宋体" w:hAnsi="宋体" w:eastAsia="宋体" w:cs="宋体"/>
          <w:color w:val="auto"/>
          <w:sz w:val="22"/>
          <w:szCs w:val="22"/>
          <w:highlight w:val="none"/>
        </w:rPr>
        <w:t>备份投标文件签收人员联系方式：</w:t>
      </w:r>
      <w:r>
        <w:rPr>
          <w:rFonts w:hint="eastAsia" w:ascii="宋体" w:hAnsi="宋体" w:eastAsia="宋体" w:cs="宋体"/>
          <w:color w:val="auto"/>
          <w:sz w:val="22"/>
          <w:szCs w:val="22"/>
          <w:highlight w:val="none"/>
          <w:u w:val="single"/>
        </w:rPr>
        <w:t>王纪凤/18357703076</w:t>
      </w:r>
      <w:r>
        <w:rPr>
          <w:rFonts w:hint="eastAsia" w:ascii="宋体" w:hAnsi="宋体" w:eastAsia="宋体" w:cs="宋体"/>
          <w:color w:val="auto"/>
          <w:sz w:val="22"/>
          <w:szCs w:val="22"/>
          <w:highlight w:val="none"/>
        </w:rPr>
        <w:t>，并注明</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投标人名称、项目编号、项目名称、备份投标文件</w:t>
      </w:r>
      <w:r>
        <w:rPr>
          <w:rFonts w:hint="eastAsia" w:ascii="宋体" w:hAnsi="宋体" w:eastAsia="宋体" w:cs="宋体"/>
          <w:color w:val="auto"/>
          <w:sz w:val="22"/>
          <w:szCs w:val="22"/>
          <w:highlight w:val="none"/>
          <w:lang w:val="zh-CN"/>
        </w:rPr>
        <w:t>等”信息，</w:t>
      </w:r>
      <w:r>
        <w:rPr>
          <w:rFonts w:hint="eastAsia" w:ascii="宋体" w:hAnsi="宋体" w:eastAsia="宋体" w:cs="宋体"/>
          <w:b/>
          <w:color w:val="auto"/>
          <w:sz w:val="22"/>
          <w:szCs w:val="22"/>
          <w:highlight w:val="none"/>
        </w:rPr>
        <w:t>不符合上述制作规定的备份投标文件将被视为无效或者被拒绝接收。</w:t>
      </w:r>
    </w:p>
    <w:p w14:paraId="1EE40EC7">
      <w:pPr>
        <w:pStyle w:val="11"/>
        <w:spacing w:line="400" w:lineRule="exact"/>
        <w:ind w:firstLine="437" w:firstLineChars="199"/>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16.4.2</w:t>
      </w:r>
      <w:r>
        <w:rPr>
          <w:rFonts w:hint="eastAsia" w:ascii="宋体" w:hAnsi="宋体" w:eastAsia="宋体" w:cs="宋体"/>
          <w:b/>
          <w:color w:val="auto"/>
          <w:sz w:val="22"/>
          <w:szCs w:val="22"/>
          <w:highlight w:val="none"/>
        </w:rPr>
        <w:t>投标人仅提交备份投标文件，没有在电子交易平台传输递交投标文件的，投标无效。</w:t>
      </w:r>
    </w:p>
    <w:p w14:paraId="65A7B933">
      <w:pPr>
        <w:pStyle w:val="25"/>
        <w:spacing w:before="0"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17.投标有效期</w:t>
      </w:r>
    </w:p>
    <w:p w14:paraId="00512243">
      <w:pPr>
        <w:spacing w:line="40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17.1投标有效期详见投标须知前附表。</w:t>
      </w:r>
      <w:r>
        <w:rPr>
          <w:rFonts w:hint="eastAsia" w:ascii="宋体" w:hAnsi="宋体" w:eastAsia="宋体" w:cs="宋体"/>
          <w:color w:val="auto"/>
          <w:sz w:val="22"/>
          <w:szCs w:val="22"/>
          <w:highlight w:val="none"/>
          <w:u w:val="single"/>
        </w:rPr>
        <w:t>▲</w:t>
      </w:r>
      <w:r>
        <w:rPr>
          <w:rFonts w:hint="eastAsia" w:ascii="宋体" w:hAnsi="宋体" w:eastAsia="宋体" w:cs="宋体"/>
          <w:b/>
          <w:color w:val="auto"/>
          <w:sz w:val="22"/>
          <w:szCs w:val="22"/>
          <w:highlight w:val="none"/>
          <w:u w:val="single"/>
        </w:rPr>
        <w:t>投标人的投标文件中承诺的投标有效期少于招标文件中载明的投标有效期的，投标无效。</w:t>
      </w:r>
    </w:p>
    <w:p w14:paraId="7D9DC810">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17.2投标文件合格投递后，自投标截止日期起，在投标有效期内有效。</w:t>
      </w:r>
    </w:p>
    <w:p w14:paraId="13EFEE80">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17.3在原定投标有效期满之前，如果出现特殊情况，采购代理机构</w:t>
      </w:r>
      <w:r>
        <w:rPr>
          <w:rFonts w:hint="eastAsia" w:ascii="宋体" w:hAnsi="宋体" w:eastAsia="宋体" w:cs="宋体"/>
          <w:color w:val="auto"/>
          <w:sz w:val="22"/>
          <w:szCs w:val="22"/>
          <w:highlight w:val="none"/>
          <w:lang w:val="en-US" w:eastAsia="zh-CN"/>
        </w:rPr>
        <w:t>或采购人</w:t>
      </w:r>
      <w:r>
        <w:rPr>
          <w:rFonts w:hint="eastAsia" w:ascii="宋体" w:hAnsi="宋体" w:eastAsia="宋体" w:cs="宋体"/>
          <w:color w:val="auto"/>
          <w:sz w:val="22"/>
          <w:szCs w:val="22"/>
          <w:highlight w:val="none"/>
        </w:rPr>
        <w:t>可以以书面形式通知投标人延长投标有效期。投标人同意延长的，不得要求或被允许修改其投标文件，投标人拒绝延长的，其投标无效。</w:t>
      </w:r>
      <w:r>
        <w:rPr>
          <w:rFonts w:hint="eastAsia" w:ascii="宋体" w:hAnsi="宋体" w:eastAsia="宋体" w:cs="宋体"/>
          <w:color w:val="auto"/>
          <w:sz w:val="22"/>
          <w:highlight w:val="none"/>
        </w:rPr>
        <w:t>有关退还和没收投标保证金的规定在投标有效期的延长期内继续有效</w:t>
      </w:r>
      <w:r>
        <w:rPr>
          <w:rFonts w:hint="eastAsia" w:ascii="宋体" w:hAnsi="宋体" w:eastAsia="宋体" w:cs="宋体"/>
          <w:color w:val="auto"/>
          <w:sz w:val="22"/>
          <w:szCs w:val="22"/>
          <w:highlight w:val="none"/>
        </w:rPr>
        <w:t>。</w:t>
      </w:r>
    </w:p>
    <w:p w14:paraId="2ADE02AE">
      <w:pPr>
        <w:pStyle w:val="25"/>
        <w:spacing w:before="0" w:line="400" w:lineRule="exact"/>
        <w:ind w:firstLine="440"/>
        <w:jc w:val="left"/>
        <w:rPr>
          <w:rFonts w:hint="eastAsia" w:ascii="宋体" w:hAnsi="宋体" w:eastAsia="宋体" w:cs="宋体"/>
          <w:color w:val="auto"/>
          <w:sz w:val="22"/>
          <w:szCs w:val="22"/>
          <w:highlight w:val="none"/>
        </w:rPr>
      </w:pPr>
    </w:p>
    <w:p w14:paraId="2CA0A6EF">
      <w:pPr>
        <w:pStyle w:val="3"/>
        <w:spacing w:line="400" w:lineRule="exact"/>
        <w:ind w:left="0"/>
        <w:jc w:val="center"/>
        <w:rPr>
          <w:rStyle w:val="23"/>
          <w:rFonts w:hint="eastAsia" w:ascii="宋体" w:hAnsi="宋体" w:eastAsia="宋体" w:cs="宋体"/>
          <w:b/>
          <w:color w:val="auto"/>
          <w:highlight w:val="none"/>
        </w:rPr>
      </w:pPr>
      <w:bookmarkStart w:id="34" w:name="_Toc6637"/>
      <w:bookmarkStart w:id="35" w:name="_Toc31514"/>
      <w:r>
        <w:rPr>
          <w:rStyle w:val="23"/>
          <w:rFonts w:hint="eastAsia" w:ascii="宋体" w:hAnsi="宋体" w:eastAsia="宋体" w:cs="宋体"/>
          <w:b/>
          <w:color w:val="auto"/>
          <w:highlight w:val="none"/>
        </w:rPr>
        <w:t>四、开标、资格审查与信用信息查询</w:t>
      </w:r>
      <w:bookmarkEnd w:id="34"/>
      <w:bookmarkEnd w:id="35"/>
    </w:p>
    <w:p w14:paraId="25F9BB11">
      <w:pPr>
        <w:pStyle w:val="26"/>
        <w:spacing w:before="0" w:line="400" w:lineRule="exact"/>
        <w:ind w:left="0" w:firstLine="0"/>
        <w:contextualSpacing/>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18.开标</w:t>
      </w:r>
      <w:r>
        <w:rPr>
          <w:rFonts w:hint="eastAsia" w:ascii="宋体" w:hAnsi="宋体" w:eastAsia="宋体" w:cs="宋体"/>
          <w:color w:val="auto"/>
          <w:sz w:val="22"/>
          <w:szCs w:val="22"/>
          <w:highlight w:val="none"/>
        </w:rPr>
        <w:t xml:space="preserve"> </w:t>
      </w:r>
    </w:p>
    <w:p w14:paraId="561C44DF">
      <w:pPr>
        <w:pStyle w:val="26"/>
        <w:spacing w:before="0" w:line="400" w:lineRule="exact"/>
        <w:ind w:left="0" w:firstLine="440" w:firstLineChars="2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18.1采购代理机构按照招标文件规定的时间通过电子交易平台组织开标，所有投标人均应当准时在线参加。投标人不足3家的，不得开标。</w:t>
      </w:r>
    </w:p>
    <w:p w14:paraId="3B2EF25F">
      <w:pPr>
        <w:pStyle w:val="26"/>
        <w:spacing w:before="0" w:line="400" w:lineRule="exact"/>
        <w:ind w:left="0" w:firstLine="220" w:firstLineChars="1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18.2开标时，电子交易平台按开标时间自动提取所有投标文件。采购代理机构依托电子交易平台发起开始解密指令，投标人按照平台提示和招标文件的规定在半小时内完成在线解密。</w:t>
      </w:r>
    </w:p>
    <w:p w14:paraId="4F6FFBA4">
      <w:pPr>
        <w:pStyle w:val="26"/>
        <w:spacing w:before="0" w:line="400" w:lineRule="exact"/>
        <w:ind w:left="0" w:firstLine="220" w:firstLineChars="100"/>
        <w:contextualSpacing/>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18.3</w:t>
      </w:r>
      <w:r>
        <w:rPr>
          <w:rFonts w:hint="eastAsia" w:ascii="宋体" w:hAnsi="宋体" w:eastAsia="宋体" w:cs="宋体"/>
          <w:b/>
          <w:color w:val="auto"/>
          <w:sz w:val="22"/>
          <w:szCs w:val="22"/>
          <w:highlight w:val="none"/>
        </w:rPr>
        <w:t>投标文件未按时解密，投标人提供了备份投标文件的，以备份投标文件作为依据，否则视为投标文件撤回。投标文件已按时解密的，备份投标文件自动失效。</w:t>
      </w:r>
    </w:p>
    <w:p w14:paraId="6D34398D">
      <w:pPr>
        <w:pStyle w:val="26"/>
        <w:spacing w:before="0" w:line="400" w:lineRule="exact"/>
        <w:ind w:left="0" w:firstLine="442" w:firstLineChars="200"/>
        <w:contextualSpacing/>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18.4 </w:t>
      </w:r>
      <w:r>
        <w:rPr>
          <w:rFonts w:hint="eastAsia" w:ascii="宋体" w:hAnsi="宋体" w:eastAsia="宋体" w:cs="宋体"/>
          <w:color w:val="auto"/>
          <w:sz w:val="22"/>
          <w:highlight w:val="none"/>
        </w:rPr>
        <w:t>投标文件解密结束，组织投标人签署《政府采购活动现场确认声明书》，格式详见</w:t>
      </w:r>
      <w:r>
        <w:rPr>
          <w:rFonts w:hint="eastAsia" w:ascii="宋体" w:hAnsi="宋体" w:eastAsia="宋体" w:cs="宋体"/>
          <w:color w:val="auto"/>
          <w:sz w:val="22"/>
          <w:highlight w:val="none"/>
          <w:lang w:eastAsia="zh-CN"/>
        </w:rPr>
        <w:t>附件7</w:t>
      </w:r>
      <w:r>
        <w:rPr>
          <w:rFonts w:hint="eastAsia" w:ascii="宋体" w:hAnsi="宋体" w:eastAsia="宋体" w:cs="宋体"/>
          <w:color w:val="auto"/>
          <w:sz w:val="22"/>
          <w:highlight w:val="none"/>
        </w:rPr>
        <w:t>。</w:t>
      </w:r>
    </w:p>
    <w:p w14:paraId="2B991E69">
      <w:pPr>
        <w:pStyle w:val="26"/>
        <w:spacing w:before="0" w:line="400" w:lineRule="exact"/>
        <w:ind w:left="0" w:firstLine="0"/>
        <w:contextualSpacing/>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19.</w:t>
      </w:r>
      <w:r>
        <w:rPr>
          <w:rFonts w:hint="eastAsia" w:ascii="宋体" w:hAnsi="宋体" w:eastAsia="宋体" w:cs="宋体"/>
          <w:b/>
          <w:color w:val="auto"/>
          <w:sz w:val="22"/>
          <w:szCs w:val="22"/>
          <w:highlight w:val="none"/>
        </w:rPr>
        <w:t>资格审查</w:t>
      </w:r>
    </w:p>
    <w:p w14:paraId="1CF8B6A4">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19.1</w:t>
      </w:r>
      <w:r>
        <w:rPr>
          <w:rFonts w:hint="eastAsia" w:ascii="宋体" w:hAnsi="宋体" w:eastAsia="宋体" w:cs="宋体"/>
          <w:color w:val="auto"/>
          <w:sz w:val="22"/>
          <w:szCs w:val="22"/>
          <w:highlight w:val="none"/>
        </w:rPr>
        <w:t>采购人或采购代理机构依据法律法规和招标文件的规定，对投标人的资格进行审查。</w:t>
      </w:r>
    </w:p>
    <w:p w14:paraId="0EAB38B2">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19.2投标人未按照招标文件要求提供与</w:t>
      </w:r>
      <w:r>
        <w:rPr>
          <w:rFonts w:hint="eastAsia" w:ascii="宋体" w:hAnsi="宋体" w:eastAsia="宋体" w:cs="宋体"/>
          <w:color w:val="auto"/>
          <w:sz w:val="22"/>
          <w:szCs w:val="22"/>
          <w:highlight w:val="none"/>
        </w:rPr>
        <w:t>资格条件相应的</w:t>
      </w:r>
      <w:r>
        <w:rPr>
          <w:rFonts w:hint="eastAsia" w:ascii="宋体" w:hAnsi="宋体" w:eastAsia="宋体" w:cs="宋体"/>
          <w:color w:val="auto"/>
          <w:kern w:val="0"/>
          <w:sz w:val="22"/>
          <w:szCs w:val="22"/>
          <w:highlight w:val="none"/>
        </w:rPr>
        <w:t>有效资格证明材料的，视为</w:t>
      </w:r>
      <w:r>
        <w:rPr>
          <w:rFonts w:hint="eastAsia" w:ascii="宋体" w:hAnsi="宋体" w:eastAsia="宋体" w:cs="宋体"/>
          <w:color w:val="auto"/>
          <w:sz w:val="22"/>
          <w:szCs w:val="22"/>
          <w:highlight w:val="none"/>
        </w:rPr>
        <w:t>投标人不具备招标文件中规定的资格要求，其投标无效。</w:t>
      </w:r>
    </w:p>
    <w:p w14:paraId="258F6325">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r>
        <w:rPr>
          <w:rFonts w:hint="eastAsia" w:ascii="宋体" w:hAnsi="宋体" w:eastAsia="宋体" w:cs="宋体"/>
          <w:color w:val="auto"/>
          <w:sz w:val="22"/>
          <w:szCs w:val="22"/>
          <w:highlight w:val="none"/>
        </w:rPr>
        <w:t>3对未通过资格审查的投标人，采购人或采购代理机构告知其未通过的原因。</w:t>
      </w:r>
    </w:p>
    <w:p w14:paraId="2890F1DC">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r>
        <w:rPr>
          <w:rFonts w:hint="eastAsia" w:ascii="宋体" w:hAnsi="宋体" w:eastAsia="宋体" w:cs="宋体"/>
          <w:color w:val="auto"/>
          <w:sz w:val="22"/>
          <w:szCs w:val="22"/>
          <w:highlight w:val="none"/>
        </w:rPr>
        <w:t>4合格投标人不足3家的，不再评标。</w:t>
      </w:r>
    </w:p>
    <w:p w14:paraId="4271B0B0">
      <w:pPr>
        <w:pStyle w:val="25"/>
        <w:spacing w:before="0"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20.</w:t>
      </w:r>
      <w:r>
        <w:rPr>
          <w:rFonts w:hint="eastAsia" w:ascii="宋体" w:hAnsi="宋体" w:eastAsia="宋体" w:cs="宋体"/>
          <w:b/>
          <w:color w:val="auto"/>
          <w:sz w:val="22"/>
          <w:szCs w:val="22"/>
          <w:highlight w:val="none"/>
        </w:rPr>
        <w:t>信用信息查询</w:t>
      </w:r>
    </w:p>
    <w:p w14:paraId="0FFF79A1">
      <w:pPr>
        <w:pStyle w:val="25"/>
        <w:spacing w:before="0" w:line="400" w:lineRule="exact"/>
        <w:ind w:firstLine="495"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20.1信用信息查询渠道及截止时间：采购代理机构将通过“信用中国”网站(www.creditchina.gov.cn)、中国政府采购网(www.ccgp.gov.cn)渠道查询投标人投标截止时间当天的信用记录。</w:t>
      </w:r>
    </w:p>
    <w:p w14:paraId="677D9580">
      <w:pPr>
        <w:pStyle w:val="25"/>
        <w:spacing w:before="0" w:line="400" w:lineRule="exact"/>
        <w:ind w:firstLine="495"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20.2信用信息查询记录和证据留存的具体方式：现场查询的投标人的信用记录、查询结果经确认后将与采购文件一起存档。</w:t>
      </w:r>
    </w:p>
    <w:p w14:paraId="51DE9FC8">
      <w:pPr>
        <w:pStyle w:val="25"/>
        <w:spacing w:before="0" w:line="400" w:lineRule="exact"/>
        <w:ind w:firstLine="495"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20.3信用信息的使用规则：经查询列入失信被执行人名单、</w:t>
      </w:r>
      <w:r>
        <w:rPr>
          <w:rFonts w:hint="eastAsia" w:ascii="宋体" w:hAnsi="宋体" w:eastAsia="宋体" w:cs="宋体"/>
          <w:color w:val="auto"/>
          <w:kern w:val="0"/>
          <w:sz w:val="22"/>
          <w:szCs w:val="22"/>
          <w:highlight w:val="none"/>
          <w:lang w:eastAsia="zh-CN"/>
        </w:rPr>
        <w:t>重大税收违法失信主体</w:t>
      </w:r>
      <w:r>
        <w:rPr>
          <w:rFonts w:hint="eastAsia" w:ascii="宋体" w:hAnsi="宋体" w:eastAsia="宋体" w:cs="宋体"/>
          <w:color w:val="auto"/>
          <w:kern w:val="0"/>
          <w:sz w:val="22"/>
          <w:szCs w:val="22"/>
          <w:highlight w:val="none"/>
        </w:rPr>
        <w:t>、政府采购严重违法失信行为记录名单的投标人将被拒绝参与政府采购活动。</w:t>
      </w:r>
    </w:p>
    <w:p w14:paraId="241CBEFD">
      <w:pPr>
        <w:pStyle w:val="25"/>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2"/>
          <w:szCs w:val="22"/>
          <w:highlight w:val="none"/>
        </w:rPr>
        <w:t>。</w:t>
      </w:r>
    </w:p>
    <w:p w14:paraId="52A62225">
      <w:pPr>
        <w:pStyle w:val="25"/>
        <w:spacing w:before="0" w:line="400" w:lineRule="exact"/>
        <w:ind w:firstLine="0" w:firstLineChars="0"/>
        <w:rPr>
          <w:rFonts w:hint="eastAsia" w:ascii="宋体" w:hAnsi="宋体" w:eastAsia="宋体" w:cs="宋体"/>
          <w:color w:val="auto"/>
          <w:kern w:val="0"/>
          <w:szCs w:val="24"/>
          <w:highlight w:val="none"/>
        </w:rPr>
      </w:pPr>
    </w:p>
    <w:p w14:paraId="7162B05B">
      <w:pPr>
        <w:pStyle w:val="3"/>
        <w:spacing w:line="400" w:lineRule="exact"/>
        <w:ind w:left="0"/>
        <w:jc w:val="center"/>
        <w:rPr>
          <w:rStyle w:val="23"/>
          <w:rFonts w:hint="eastAsia" w:ascii="宋体" w:hAnsi="宋体" w:eastAsia="宋体" w:cs="宋体"/>
          <w:b/>
          <w:color w:val="auto"/>
          <w:highlight w:val="none"/>
        </w:rPr>
      </w:pPr>
      <w:bookmarkStart w:id="36" w:name="_Toc9926"/>
      <w:bookmarkStart w:id="37" w:name="_Toc2572"/>
      <w:r>
        <w:rPr>
          <w:rStyle w:val="23"/>
          <w:rFonts w:hint="eastAsia" w:ascii="宋体" w:hAnsi="宋体" w:eastAsia="宋体" w:cs="宋体"/>
          <w:b/>
          <w:color w:val="auto"/>
          <w:highlight w:val="none"/>
        </w:rPr>
        <w:t>五、评标</w:t>
      </w:r>
      <w:bookmarkEnd w:id="36"/>
      <w:bookmarkEnd w:id="37"/>
    </w:p>
    <w:p w14:paraId="0F55BBD0">
      <w:pPr>
        <w:spacing w:line="400" w:lineRule="exact"/>
        <w:jc w:val="left"/>
        <w:rPr>
          <w:rFonts w:hint="eastAsia" w:ascii="宋体" w:hAnsi="宋体" w:eastAsia="宋体" w:cs="宋体"/>
          <w:bCs/>
          <w:color w:val="auto"/>
          <w:sz w:val="22"/>
          <w:szCs w:val="22"/>
          <w:highlight w:val="none"/>
        </w:rPr>
      </w:pPr>
      <w:bookmarkStart w:id="38" w:name="_Toc91899903"/>
      <w:r>
        <w:rPr>
          <w:rFonts w:hint="eastAsia" w:ascii="宋体" w:hAnsi="宋体" w:eastAsia="宋体" w:cs="宋体"/>
          <w:bCs/>
          <w:color w:val="auto"/>
          <w:sz w:val="22"/>
          <w:szCs w:val="22"/>
          <w:highlight w:val="none"/>
        </w:rPr>
        <w:t>21.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投标建议。</w:t>
      </w:r>
    </w:p>
    <w:p w14:paraId="689B353D">
      <w:pPr>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标过程的保密性。开标后直至向中标人授予合同时止，凡与招标有关的资料均不得向投标人及与投标无关人员透露。如果投标人在评标过程中试图向招标采购单位和评标委员会成员施加影响，或扰乱开标和评标秩序，其投标将被拒绝。</w:t>
      </w:r>
    </w:p>
    <w:p w14:paraId="3875137B">
      <w:pPr>
        <w:spacing w:line="40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详见招标文件第四部分评标办法。</w:t>
      </w:r>
    </w:p>
    <w:p w14:paraId="23489777">
      <w:pPr>
        <w:tabs>
          <w:tab w:val="left" w:pos="432"/>
        </w:tabs>
        <w:spacing w:line="400" w:lineRule="exact"/>
        <w:jc w:val="center"/>
        <w:rPr>
          <w:rStyle w:val="23"/>
          <w:rFonts w:hint="eastAsia" w:ascii="宋体" w:hAnsi="宋体" w:eastAsia="宋体" w:cs="宋体"/>
          <w:color w:val="auto"/>
          <w:highlight w:val="none"/>
        </w:rPr>
      </w:pPr>
    </w:p>
    <w:p w14:paraId="7EB42B9D">
      <w:pPr>
        <w:pStyle w:val="3"/>
        <w:spacing w:line="400" w:lineRule="exact"/>
        <w:ind w:left="0"/>
        <w:jc w:val="center"/>
        <w:rPr>
          <w:rStyle w:val="23"/>
          <w:rFonts w:hint="eastAsia" w:ascii="宋体" w:hAnsi="宋体" w:eastAsia="宋体" w:cs="宋体"/>
          <w:b/>
          <w:color w:val="auto"/>
          <w:highlight w:val="none"/>
        </w:rPr>
      </w:pPr>
      <w:bookmarkStart w:id="39" w:name="_Toc18185"/>
      <w:bookmarkStart w:id="40" w:name="_Toc32057"/>
      <w:r>
        <w:rPr>
          <w:rStyle w:val="23"/>
          <w:rFonts w:hint="eastAsia" w:ascii="宋体" w:hAnsi="宋体" w:eastAsia="宋体" w:cs="宋体"/>
          <w:b/>
          <w:color w:val="auto"/>
          <w:highlight w:val="none"/>
        </w:rPr>
        <w:t>六、定标</w:t>
      </w:r>
      <w:bookmarkEnd w:id="39"/>
      <w:bookmarkEnd w:id="40"/>
    </w:p>
    <w:p w14:paraId="197E5979">
      <w:pPr>
        <w:pStyle w:val="8"/>
        <w:spacing w:line="400" w:lineRule="exact"/>
        <w:ind w:left="440" w:hanging="440" w:hangingChars="199"/>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 确定中标人</w:t>
      </w:r>
    </w:p>
    <w:p w14:paraId="6FA3B193">
      <w:pPr>
        <w:pStyle w:val="8"/>
        <w:spacing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在评标结束后2个工作日内将评标报告送采购人。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25CEE4EA">
      <w:pPr>
        <w:pStyle w:val="25"/>
        <w:snapToGrid w:val="0"/>
        <w:spacing w:before="0"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 中标通知与中标结果公告</w:t>
      </w:r>
    </w:p>
    <w:p w14:paraId="1BC62A83">
      <w:pPr>
        <w:pStyle w:val="8"/>
        <w:spacing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23.1自中标人确定之日起2个工作日内，采购代理机构向中标人发出中标通知书，同时编制发布采购结果公告。</w:t>
      </w:r>
    </w:p>
    <w:p w14:paraId="31CE40B9">
      <w:pPr>
        <w:pStyle w:val="8"/>
        <w:spacing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中标结果公告内容包括采购人及其委托的采购代理机构的名称、地址、联系方式，项目名称和项目编号，中标人名称、地址和中标金额，主要中标标的的名称、规格型号、数量、单价，开标记录、未中标情况说明、中标公告期限以及评审专家名单、评分汇总及明细。</w:t>
      </w:r>
    </w:p>
    <w:p w14:paraId="62BFE9FD">
      <w:pPr>
        <w:pStyle w:val="8"/>
        <w:spacing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23.3公告期限为1个工作日。</w:t>
      </w:r>
    </w:p>
    <w:p w14:paraId="22C6655B">
      <w:pPr>
        <w:snapToGrid w:val="0"/>
        <w:spacing w:line="400" w:lineRule="exact"/>
        <w:ind w:firstLine="482" w:firstLineChars="150"/>
        <w:jc w:val="center"/>
        <w:rPr>
          <w:rFonts w:hint="eastAsia" w:ascii="宋体" w:hAnsi="宋体" w:eastAsia="宋体" w:cs="宋体"/>
          <w:b/>
          <w:color w:val="auto"/>
          <w:sz w:val="32"/>
          <w:highlight w:val="none"/>
        </w:rPr>
      </w:pPr>
    </w:p>
    <w:p w14:paraId="5152C272">
      <w:pPr>
        <w:pStyle w:val="3"/>
        <w:spacing w:line="400" w:lineRule="exact"/>
        <w:ind w:left="0"/>
        <w:jc w:val="center"/>
        <w:rPr>
          <w:rStyle w:val="23"/>
          <w:rFonts w:hint="eastAsia" w:ascii="宋体" w:hAnsi="宋体" w:eastAsia="宋体" w:cs="宋体"/>
          <w:b/>
          <w:color w:val="auto"/>
          <w:highlight w:val="none"/>
        </w:rPr>
      </w:pPr>
      <w:bookmarkStart w:id="41" w:name="_Toc5215"/>
      <w:bookmarkStart w:id="42" w:name="_Toc29700"/>
      <w:r>
        <w:rPr>
          <w:rStyle w:val="23"/>
          <w:rFonts w:hint="eastAsia" w:ascii="宋体" w:hAnsi="宋体" w:eastAsia="宋体" w:cs="宋体"/>
          <w:b/>
          <w:color w:val="auto"/>
          <w:highlight w:val="none"/>
        </w:rPr>
        <w:t>七、合同授予</w:t>
      </w:r>
      <w:bookmarkEnd w:id="41"/>
      <w:bookmarkEnd w:id="42"/>
    </w:p>
    <w:p w14:paraId="7BFF08C0">
      <w:pPr>
        <w:pStyle w:val="8"/>
        <w:spacing w:line="400" w:lineRule="exact"/>
        <w:ind w:left="440" w:hanging="440" w:hangingChars="199"/>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24. </w:t>
      </w:r>
      <w:r>
        <w:rPr>
          <w:rFonts w:hint="eastAsia" w:ascii="宋体" w:hAnsi="宋体" w:eastAsia="宋体" w:cs="宋体"/>
          <w:color w:val="auto"/>
          <w:sz w:val="22"/>
          <w:szCs w:val="22"/>
          <w:highlight w:val="none"/>
        </w:rPr>
        <w:t>合同主要条款详见第五部分拟签订的合同文本。</w:t>
      </w:r>
    </w:p>
    <w:p w14:paraId="2BE90322">
      <w:pPr>
        <w:pStyle w:val="8"/>
        <w:spacing w:line="400" w:lineRule="exact"/>
        <w:ind w:left="440" w:hanging="440" w:hangingChars="199"/>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25. 合同的签订</w:t>
      </w:r>
    </w:p>
    <w:p w14:paraId="6AB29C9B">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25.1 采购人与中标人应当在中标通知书发出之日起三十日内，按照招标文件确定的事项签订政府采购合同，并在合同签订之日起2个工作日内依法发布合同公告。</w:t>
      </w:r>
    </w:p>
    <w:p w14:paraId="1D0C70ED">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0563DBC">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25.3如签订合同并生效后，投标人无故拒绝或延期，除按照合同条款处理外，列入不良行为记录一次，并给予通报。</w:t>
      </w:r>
    </w:p>
    <w:p w14:paraId="4665E147">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25.4排名第一的中标候选人放弃中标；因不可抗力提出不能履行合同；或未能在规定时间内与采购单位签订合同的；或者经质疑，确因排名第一的候选人在本次采购活动中存在违法违规行为或其他原因使质疑成立的；或者存在违法违规行为被采购监管部门处理的；采购单位可以按照评标报告推荐的中标候选人名单排序，确定下一候选人为中标，也可以重新开展政府采购活动。</w:t>
      </w:r>
    </w:p>
    <w:p w14:paraId="31558679">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25.5采购合同由采购人与中标人根据招标文件、投标文件等内容签订。</w:t>
      </w:r>
    </w:p>
    <w:p w14:paraId="65F19B1C">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25.6供应商在政府采购活动中违反政府采购相关规定给采购组织机构造成损失的，供应商承担赔偿责任；中标、成交供应商放弃中标、成交资格导致重新采购的，应当承担支付采购代理服务费和专家评审费等费用在内的赔偿责任。</w:t>
      </w:r>
    </w:p>
    <w:p w14:paraId="41EEE32F">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25.7采购人不得向供应商索要或者接受其给予的赠品、回扣或者与采购无关的其他商品、服务。采购过程（采购文件）中应明确以下要求：</w:t>
      </w:r>
    </w:p>
    <w:p w14:paraId="51FD75C1">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不得明示或暗示供应商提供赠品、回扣、采购预算中本身不包含的其他商品或服务；</w:t>
      </w:r>
    </w:p>
    <w:p w14:paraId="5BBDB44A">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供应商承诺提供赠品、回扣、采购预算中本身不包含的其他商品或服务，视作无效承诺；不得因无效承诺对供应商实行差别待遇或者歧视待遇；</w:t>
      </w:r>
    </w:p>
    <w:p w14:paraId="76AD976B">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合同总价不为零，投标报价明细表中部分产品、服务单价为零的，视作已包含在总价中（采购文件中明确）；</w:t>
      </w:r>
    </w:p>
    <w:p w14:paraId="74BF4024">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不得将供应商提供的赠品、回扣、采购预算中本身不包含的其他商品或服务作为中标（成交）条件或者合同签订条件；</w:t>
      </w:r>
    </w:p>
    <w:p w14:paraId="052F4C60">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合同签订后，不得接受供应商无效承诺的赠品、回扣、采购预算中本身不包含的其他商品或服务；</w:t>
      </w:r>
    </w:p>
    <w:p w14:paraId="5A89E3A6">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合同签订后，不得向供应商索要赠品、回扣、采购预算中本身不包含的其他商品或服务；</w:t>
      </w:r>
    </w:p>
    <w:p w14:paraId="4F864E57">
      <w:pPr>
        <w:pStyle w:val="25"/>
        <w:numPr>
          <w:ilvl w:val="0"/>
          <w:numId w:val="3"/>
        </w:numPr>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履约验收环节，不得因供应商提供赠品、回扣、采购预算中本身不包含的其他商品或服务减免供应商违约责任。</w:t>
      </w:r>
    </w:p>
    <w:p w14:paraId="443A9D10">
      <w:pPr>
        <w:tabs>
          <w:tab w:val="left" w:pos="432"/>
        </w:tabs>
        <w:spacing w:line="400" w:lineRule="exact"/>
        <w:jc w:val="center"/>
        <w:rPr>
          <w:rStyle w:val="23"/>
          <w:rFonts w:hint="eastAsia" w:ascii="宋体" w:hAnsi="宋体" w:eastAsia="宋体" w:cs="宋体"/>
          <w:color w:val="auto"/>
          <w:highlight w:val="none"/>
        </w:rPr>
      </w:pPr>
    </w:p>
    <w:p w14:paraId="3EF293D8">
      <w:pPr>
        <w:pStyle w:val="3"/>
        <w:spacing w:line="400" w:lineRule="exact"/>
        <w:ind w:left="0"/>
        <w:jc w:val="center"/>
        <w:rPr>
          <w:rStyle w:val="23"/>
          <w:rFonts w:hint="eastAsia" w:ascii="宋体" w:hAnsi="宋体" w:eastAsia="宋体" w:cs="宋体"/>
          <w:b/>
          <w:color w:val="auto"/>
          <w:highlight w:val="none"/>
        </w:rPr>
      </w:pPr>
      <w:bookmarkStart w:id="43" w:name="_Toc3549"/>
      <w:bookmarkStart w:id="44" w:name="_Toc6701"/>
      <w:r>
        <w:rPr>
          <w:rStyle w:val="23"/>
          <w:rFonts w:hint="eastAsia" w:ascii="宋体" w:hAnsi="宋体" w:eastAsia="宋体" w:cs="宋体"/>
          <w:b/>
          <w:color w:val="auto"/>
          <w:highlight w:val="none"/>
        </w:rPr>
        <w:t>八、电子交易活动的中止</w:t>
      </w:r>
      <w:bookmarkEnd w:id="43"/>
      <w:bookmarkEnd w:id="44"/>
    </w:p>
    <w:p w14:paraId="1163B26C">
      <w:pPr>
        <w:pStyle w:val="25"/>
        <w:snapToGrid w:val="0"/>
        <w:spacing w:before="0"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26. 电子交易活动的中止。</w:t>
      </w:r>
    </w:p>
    <w:p w14:paraId="3B3D292F">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5ED32481">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26.1电子交易平台发生故障而无法登录访问的； </w:t>
      </w:r>
    </w:p>
    <w:p w14:paraId="1A116CFF">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26.2电子交易平台应用或数据库出现错误，不能进行正常操作的；</w:t>
      </w:r>
    </w:p>
    <w:p w14:paraId="4A5538AC">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26.3电子交易平台发现严重安全漏洞，有潜在泄密危险的；</w:t>
      </w:r>
    </w:p>
    <w:p w14:paraId="2EAE2009">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26.4病毒发作导致不能进行正常操作的； </w:t>
      </w:r>
    </w:p>
    <w:p w14:paraId="129A51BA">
      <w:pPr>
        <w:pStyle w:val="25"/>
        <w:snapToGrid w:val="0"/>
        <w:spacing w:before="0" w:line="400" w:lineRule="exact"/>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26.5其他无法保证电子交易的公平、公正和安全的情况。</w:t>
      </w:r>
    </w:p>
    <w:p w14:paraId="52EB938A">
      <w:pPr>
        <w:pStyle w:val="25"/>
        <w:snapToGrid w:val="0"/>
        <w:spacing w:before="0" w:line="400" w:lineRule="exact"/>
        <w:ind w:firstLine="0" w:firstLineChars="0"/>
        <w:jc w:val="left"/>
        <w:rPr>
          <w:rStyle w:val="23"/>
          <w:rFonts w:hint="eastAsia" w:ascii="宋体" w:hAnsi="宋体" w:eastAsia="宋体" w:cs="宋体"/>
          <w:color w:val="auto"/>
          <w:highlight w:val="none"/>
        </w:rPr>
      </w:pPr>
      <w:r>
        <w:rPr>
          <w:rFonts w:hint="eastAsia" w:ascii="宋体" w:hAnsi="宋体" w:eastAsia="宋体" w:cs="宋体"/>
          <w:color w:val="auto"/>
          <w:sz w:val="22"/>
          <w:szCs w:val="22"/>
          <w:highlight w:val="none"/>
        </w:rPr>
        <w:t>27.出现以上情形，不影响采购公平、公正性的，采购组织机构可以待上述情形消除后继续组织电子交易活动，也可以决定某些环节以纸质形式进行；影响或可能影响采购公平、公正性的，应当重新采购。</w:t>
      </w:r>
    </w:p>
    <w:p w14:paraId="0F4CFCC0">
      <w:pPr>
        <w:tabs>
          <w:tab w:val="left" w:pos="432"/>
        </w:tabs>
        <w:spacing w:line="400" w:lineRule="exact"/>
        <w:jc w:val="center"/>
        <w:rPr>
          <w:rStyle w:val="23"/>
          <w:rFonts w:hint="eastAsia" w:ascii="宋体" w:hAnsi="宋体" w:eastAsia="宋体" w:cs="宋体"/>
          <w:color w:val="auto"/>
          <w:highlight w:val="none"/>
        </w:rPr>
      </w:pPr>
    </w:p>
    <w:p w14:paraId="15385314">
      <w:pPr>
        <w:pStyle w:val="3"/>
        <w:spacing w:line="400" w:lineRule="exact"/>
        <w:ind w:left="0"/>
        <w:jc w:val="center"/>
        <w:rPr>
          <w:rStyle w:val="23"/>
          <w:rFonts w:hint="eastAsia" w:ascii="宋体" w:hAnsi="宋体" w:eastAsia="宋体" w:cs="宋体"/>
          <w:b/>
          <w:color w:val="auto"/>
          <w:highlight w:val="none"/>
        </w:rPr>
      </w:pPr>
      <w:bookmarkStart w:id="45" w:name="_Toc5829"/>
      <w:bookmarkStart w:id="46" w:name="_Toc14358"/>
      <w:r>
        <w:rPr>
          <w:rStyle w:val="23"/>
          <w:rFonts w:hint="eastAsia" w:ascii="宋体" w:hAnsi="宋体" w:eastAsia="宋体" w:cs="宋体"/>
          <w:b/>
          <w:color w:val="auto"/>
          <w:highlight w:val="none"/>
        </w:rPr>
        <w:t>九、验收</w:t>
      </w:r>
      <w:bookmarkEnd w:id="45"/>
      <w:bookmarkEnd w:id="46"/>
    </w:p>
    <w:p w14:paraId="0BEFD5B3">
      <w:pPr>
        <w:pStyle w:val="8"/>
        <w:spacing w:line="400" w:lineRule="exact"/>
        <w:ind w:firstLine="0" w:firstLine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28.验收</w:t>
      </w:r>
    </w:p>
    <w:p w14:paraId="66FC5AAF">
      <w:pPr>
        <w:tabs>
          <w:tab w:val="left" w:pos="0"/>
        </w:tabs>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CC80BC">
      <w:pPr>
        <w:tabs>
          <w:tab w:val="left" w:pos="0"/>
        </w:tabs>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28.2采购人可以邀请参加本项目的其他投标人或者第三方机构参与验收。参与验收的投标人或者第三方机构的意见作为验收书的参考资料一并存档。</w:t>
      </w:r>
    </w:p>
    <w:p w14:paraId="10EEC0DA">
      <w:pPr>
        <w:tabs>
          <w:tab w:val="left" w:pos="0"/>
        </w:tabs>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5980E193">
      <w:pPr>
        <w:tabs>
          <w:tab w:val="left" w:pos="0"/>
        </w:tabs>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8"/>
    <w:p w14:paraId="07FE13DC">
      <w:pPr>
        <w:tabs>
          <w:tab w:val="left" w:pos="0"/>
        </w:tabs>
        <w:spacing w:line="400" w:lineRule="exact"/>
        <w:ind w:firstLine="480"/>
        <w:jc w:val="left"/>
        <w:rPr>
          <w:rFonts w:hint="eastAsia" w:ascii="宋体" w:hAnsi="宋体" w:eastAsia="宋体" w:cs="宋体"/>
          <w:color w:val="auto"/>
          <w:kern w:val="0"/>
          <w:sz w:val="22"/>
          <w:szCs w:val="22"/>
          <w:highlight w:val="none"/>
        </w:rPr>
      </w:pPr>
      <w:bookmarkStart w:id="47" w:name="_Hlt68073093"/>
      <w:bookmarkEnd w:id="47"/>
      <w:bookmarkStart w:id="48" w:name="_Hlt68072998"/>
      <w:bookmarkEnd w:id="48"/>
      <w:bookmarkStart w:id="49" w:name="_Hlt74730295"/>
      <w:bookmarkEnd w:id="49"/>
      <w:bookmarkStart w:id="50" w:name="_Hlt75236011"/>
      <w:bookmarkEnd w:id="50"/>
      <w:bookmarkStart w:id="51" w:name="_Hlt74707468"/>
      <w:bookmarkEnd w:id="51"/>
      <w:bookmarkStart w:id="52" w:name="_Hlt75236290"/>
      <w:bookmarkEnd w:id="52"/>
      <w:bookmarkStart w:id="53" w:name="_Hlt74729768"/>
      <w:bookmarkEnd w:id="53"/>
      <w:bookmarkStart w:id="54" w:name="_Hlt68057669"/>
      <w:bookmarkEnd w:id="54"/>
      <w:bookmarkStart w:id="55" w:name="_Hlt75236101"/>
      <w:bookmarkEnd w:id="55"/>
      <w:bookmarkStart w:id="56" w:name="_Hlt68403820"/>
      <w:bookmarkEnd w:id="56"/>
      <w:bookmarkStart w:id="57" w:name="_Hlt74714665"/>
      <w:bookmarkEnd w:id="57"/>
      <w:bookmarkStart w:id="58" w:name="_Hlt68072990"/>
      <w:bookmarkEnd w:id="58"/>
      <w:r>
        <w:rPr>
          <w:rFonts w:hint="eastAsia" w:ascii="宋体" w:hAnsi="宋体" w:eastAsia="宋体" w:cs="宋体"/>
          <w:color w:val="auto"/>
          <w:kern w:val="0"/>
          <w:sz w:val="22"/>
          <w:szCs w:val="22"/>
          <w:highlight w:val="none"/>
        </w:rPr>
        <w:t>28.5履约验收费用由供应商承担，因供应商原因造成验收不通过的，再次验收的费用仍由供应商承担。</w:t>
      </w:r>
    </w:p>
    <w:bookmarkEnd w:id="18"/>
    <w:bookmarkEnd w:id="19"/>
    <w:p w14:paraId="28F6554C">
      <w:pPr>
        <w:pStyle w:val="3"/>
        <w:ind w:left="852"/>
        <w:rPr>
          <w:rStyle w:val="23"/>
          <w:rFonts w:hint="eastAsia" w:ascii="宋体" w:hAnsi="宋体" w:eastAsia="宋体" w:cs="宋体"/>
          <w:b/>
          <w:color w:val="auto"/>
          <w:highlight w:val="none"/>
        </w:rPr>
        <w:sectPr>
          <w:headerReference r:id="rId4" w:type="first"/>
          <w:footerReference r:id="rId6" w:type="first"/>
          <w:headerReference r:id="rId3" w:type="default"/>
          <w:footerReference r:id="rId5" w:type="default"/>
          <w:pgSz w:w="11906" w:h="16838"/>
          <w:pgMar w:top="1440" w:right="1080" w:bottom="1440" w:left="1080" w:header="454" w:footer="567" w:gutter="0"/>
          <w:cols w:space="720" w:num="1"/>
          <w:titlePg/>
          <w:docGrid w:linePitch="312" w:charSpace="0"/>
        </w:sectPr>
      </w:pPr>
      <w:bookmarkStart w:id="59" w:name="第四部分"/>
    </w:p>
    <w:p w14:paraId="0DBAA236">
      <w:pPr>
        <w:pStyle w:val="2"/>
        <w:tabs>
          <w:tab w:val="left" w:pos="432"/>
        </w:tabs>
        <w:spacing w:before="0" w:after="0" w:line="360" w:lineRule="auto"/>
        <w:jc w:val="center"/>
        <w:rPr>
          <w:rStyle w:val="23"/>
          <w:rFonts w:hint="eastAsia" w:ascii="宋体" w:hAnsi="宋体" w:eastAsia="宋体" w:cs="宋体"/>
          <w:b/>
          <w:color w:val="auto"/>
          <w:highlight w:val="none"/>
        </w:rPr>
      </w:pPr>
      <w:bookmarkStart w:id="60" w:name="_Toc12454"/>
      <w:bookmarkStart w:id="61" w:name="_Toc15058"/>
      <w:r>
        <w:rPr>
          <w:rStyle w:val="23"/>
          <w:rFonts w:hint="eastAsia" w:ascii="宋体" w:hAnsi="宋体" w:eastAsia="宋体" w:cs="宋体"/>
          <w:b/>
          <w:color w:val="auto"/>
          <w:highlight w:val="none"/>
        </w:rPr>
        <w:t>第三部分</w:t>
      </w:r>
      <w:r>
        <w:rPr>
          <w:rStyle w:val="23"/>
          <w:rFonts w:hint="eastAsia" w:ascii="宋体" w:hAnsi="宋体" w:eastAsia="宋体" w:cs="宋体"/>
          <w:b/>
          <w:color w:val="auto"/>
          <w:highlight w:val="none"/>
          <w:lang w:val="en-US"/>
        </w:rPr>
        <w:t xml:space="preserve"> </w:t>
      </w:r>
      <w:r>
        <w:rPr>
          <w:rStyle w:val="23"/>
          <w:rFonts w:hint="eastAsia" w:ascii="宋体" w:hAnsi="宋体" w:eastAsia="宋体" w:cs="宋体"/>
          <w:b/>
          <w:color w:val="auto"/>
          <w:highlight w:val="none"/>
        </w:rPr>
        <w:t>采购需求</w:t>
      </w:r>
      <w:bookmarkEnd w:id="60"/>
      <w:bookmarkEnd w:id="61"/>
    </w:p>
    <w:p w14:paraId="74212251">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一、地下车库7间细胞房</w:t>
      </w:r>
      <w:r>
        <w:rPr>
          <w:rFonts w:hint="eastAsia" w:ascii="宋体" w:hAnsi="宋体" w:eastAsia="宋体" w:cs="宋体"/>
          <w:b/>
          <w:bCs/>
          <w:color w:val="auto"/>
          <w:sz w:val="22"/>
          <w:szCs w:val="22"/>
          <w:highlight w:val="none"/>
        </w:rPr>
        <w:t>采购清单</w:t>
      </w:r>
      <w:r>
        <w:rPr>
          <w:rFonts w:hint="eastAsia" w:ascii="宋体" w:hAnsi="宋体" w:eastAsia="宋体" w:cs="宋体"/>
          <w:b/>
          <w:bCs/>
          <w:color w:val="auto"/>
          <w:sz w:val="22"/>
          <w:szCs w:val="22"/>
          <w:highlight w:val="none"/>
          <w:lang w:val="en-US" w:eastAsia="zh-CN"/>
        </w:rPr>
        <w:t>如下</w:t>
      </w:r>
    </w:p>
    <w:tbl>
      <w:tblPr>
        <w:tblStyle w:val="19"/>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2418"/>
        <w:gridCol w:w="3165"/>
        <w:gridCol w:w="749"/>
        <w:gridCol w:w="706"/>
        <w:gridCol w:w="2164"/>
      </w:tblGrid>
      <w:tr w14:paraId="6684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E80E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序号</w:t>
            </w:r>
          </w:p>
        </w:tc>
        <w:tc>
          <w:tcPr>
            <w:tcW w:w="1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B6AB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名称</w:t>
            </w: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F6C4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规格</w:t>
            </w:r>
          </w:p>
        </w:tc>
        <w:tc>
          <w:tcPr>
            <w:tcW w:w="3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F14B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数量</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1FD9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单位</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47D2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备注</w:t>
            </w:r>
          </w:p>
        </w:tc>
      </w:tr>
      <w:tr w14:paraId="272C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D194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一、净化装修工程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2B68">
            <w:pPr>
              <w:pStyle w:val="7"/>
              <w:bidi w:val="0"/>
              <w:rPr>
                <w:rFonts w:hint="eastAsia" w:ascii="宋体" w:hAnsi="宋体" w:eastAsia="宋体" w:cs="宋体"/>
                <w:color w:val="auto"/>
                <w:sz w:val="22"/>
                <w:szCs w:val="22"/>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9CB8">
            <w:pPr>
              <w:pStyle w:val="7"/>
              <w:bidi w:val="0"/>
              <w:rPr>
                <w:rFonts w:hint="eastAsia" w:ascii="宋体" w:hAnsi="宋体" w:eastAsia="宋体" w:cs="宋体"/>
                <w:color w:val="auto"/>
                <w:sz w:val="22"/>
                <w:szCs w:val="22"/>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0DE1">
            <w:pPr>
              <w:pStyle w:val="7"/>
              <w:bidi w:val="0"/>
              <w:rPr>
                <w:rFonts w:hint="eastAsia" w:ascii="宋体" w:hAnsi="宋体" w:eastAsia="宋体" w:cs="宋体"/>
                <w:color w:val="auto"/>
                <w:sz w:val="22"/>
                <w:szCs w:val="22"/>
                <w:highlight w:val="none"/>
              </w:rPr>
            </w:pPr>
          </w:p>
        </w:tc>
      </w:tr>
      <w:tr w14:paraId="70CD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C61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20F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墙面净化板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0C0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50mm厚岩棉夹芯板双层钢板δ=0.426mm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7EC9">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77C5">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E319">
            <w:pPr>
              <w:pStyle w:val="7"/>
              <w:bidi w:val="0"/>
              <w:rPr>
                <w:rFonts w:hint="eastAsia" w:ascii="宋体" w:hAnsi="宋体" w:eastAsia="宋体" w:cs="宋体"/>
                <w:color w:val="auto"/>
                <w:sz w:val="22"/>
                <w:szCs w:val="22"/>
                <w:highlight w:val="none"/>
              </w:rPr>
            </w:pPr>
          </w:p>
        </w:tc>
      </w:tr>
      <w:tr w14:paraId="3453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CC0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F7DC">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吊顶龙骨</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30A7">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DE1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22D7">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4C5BE">
            <w:pPr>
              <w:pStyle w:val="7"/>
              <w:bidi w:val="0"/>
              <w:rPr>
                <w:rFonts w:hint="eastAsia" w:ascii="宋体" w:hAnsi="宋体" w:eastAsia="宋体" w:cs="宋体"/>
                <w:color w:val="auto"/>
                <w:sz w:val="22"/>
                <w:szCs w:val="22"/>
                <w:highlight w:val="none"/>
              </w:rPr>
            </w:pPr>
          </w:p>
        </w:tc>
      </w:tr>
      <w:tr w14:paraId="707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E33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403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顶面净化板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7F8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50mm厚硫氧镁夹芯板双层钢板δ=0.426mm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FF5E">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AD1F">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12A34">
            <w:pPr>
              <w:pStyle w:val="7"/>
              <w:bidi w:val="0"/>
              <w:rPr>
                <w:rFonts w:hint="eastAsia" w:ascii="宋体" w:hAnsi="宋体" w:eastAsia="宋体" w:cs="宋体"/>
                <w:color w:val="auto"/>
                <w:sz w:val="22"/>
                <w:szCs w:val="22"/>
                <w:highlight w:val="none"/>
              </w:rPr>
            </w:pPr>
          </w:p>
        </w:tc>
      </w:tr>
      <w:tr w14:paraId="4FAA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000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2BC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自流平</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663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含损耗）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12BC">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8D0F">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68E7">
            <w:pPr>
              <w:pStyle w:val="7"/>
              <w:bidi w:val="0"/>
              <w:rPr>
                <w:rFonts w:hint="eastAsia" w:ascii="宋体" w:hAnsi="宋体" w:eastAsia="宋体" w:cs="宋体"/>
                <w:color w:val="auto"/>
                <w:sz w:val="22"/>
                <w:szCs w:val="22"/>
                <w:highlight w:val="none"/>
              </w:rPr>
            </w:pPr>
          </w:p>
        </w:tc>
      </w:tr>
      <w:tr w14:paraId="126B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1EF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667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PVC地板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F0E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2.0MM（含损耗）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835A">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E54F">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D5294">
            <w:pPr>
              <w:pStyle w:val="7"/>
              <w:bidi w:val="0"/>
              <w:rPr>
                <w:rFonts w:hint="eastAsia" w:ascii="宋体" w:hAnsi="宋体" w:eastAsia="宋体" w:cs="宋体"/>
                <w:color w:val="auto"/>
                <w:sz w:val="22"/>
                <w:szCs w:val="22"/>
                <w:highlight w:val="none"/>
              </w:rPr>
            </w:pPr>
          </w:p>
        </w:tc>
      </w:tr>
      <w:tr w14:paraId="60BD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EE0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8DF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净化门</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D23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900*2100mm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7E5C">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85D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BD34B">
            <w:pPr>
              <w:pStyle w:val="7"/>
              <w:bidi w:val="0"/>
              <w:rPr>
                <w:rFonts w:hint="eastAsia" w:ascii="宋体" w:hAnsi="宋体" w:eastAsia="宋体" w:cs="宋体"/>
                <w:color w:val="auto"/>
                <w:sz w:val="22"/>
                <w:szCs w:val="22"/>
                <w:highlight w:val="none"/>
              </w:rPr>
            </w:pPr>
          </w:p>
        </w:tc>
      </w:tr>
      <w:tr w14:paraId="1C84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39F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CF84">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电子互锁</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8E3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双门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369A">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7FD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47461">
            <w:pPr>
              <w:pStyle w:val="7"/>
              <w:bidi w:val="0"/>
              <w:rPr>
                <w:rFonts w:hint="eastAsia" w:ascii="宋体" w:hAnsi="宋体" w:eastAsia="宋体" w:cs="宋体"/>
                <w:color w:val="auto"/>
                <w:sz w:val="22"/>
                <w:szCs w:val="22"/>
                <w:highlight w:val="none"/>
              </w:rPr>
            </w:pPr>
          </w:p>
        </w:tc>
      </w:tr>
      <w:tr w14:paraId="6420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A971">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CE3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喷塑地槽</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ACF1">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铝(25*25mm实验室专用)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B554">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966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B4E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924CA">
            <w:pPr>
              <w:pStyle w:val="7"/>
              <w:bidi w:val="0"/>
              <w:rPr>
                <w:rFonts w:hint="eastAsia" w:ascii="宋体" w:hAnsi="宋体" w:eastAsia="宋体" w:cs="宋体"/>
                <w:color w:val="auto"/>
                <w:sz w:val="22"/>
                <w:szCs w:val="22"/>
                <w:highlight w:val="none"/>
              </w:rPr>
            </w:pPr>
          </w:p>
        </w:tc>
      </w:tr>
      <w:tr w14:paraId="72AD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F5C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71E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喷塑内圆弧</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F54">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实验室专用（含卡子）</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196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1070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2DAA">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88770">
            <w:pPr>
              <w:pStyle w:val="7"/>
              <w:bidi w:val="0"/>
              <w:rPr>
                <w:rFonts w:hint="eastAsia" w:ascii="宋体" w:hAnsi="宋体" w:eastAsia="宋体" w:cs="宋体"/>
                <w:color w:val="auto"/>
                <w:sz w:val="22"/>
                <w:szCs w:val="22"/>
                <w:highlight w:val="none"/>
              </w:rPr>
            </w:pPr>
          </w:p>
        </w:tc>
      </w:tr>
      <w:tr w14:paraId="70E2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689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A97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喷塑外圆弧</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358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实验室专用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142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9200">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B465">
            <w:pPr>
              <w:pStyle w:val="7"/>
              <w:bidi w:val="0"/>
              <w:rPr>
                <w:rFonts w:hint="eastAsia" w:ascii="宋体" w:hAnsi="宋体" w:eastAsia="宋体" w:cs="宋体"/>
                <w:color w:val="auto"/>
                <w:sz w:val="22"/>
                <w:szCs w:val="22"/>
                <w:highlight w:val="none"/>
              </w:rPr>
            </w:pPr>
          </w:p>
        </w:tc>
      </w:tr>
      <w:tr w14:paraId="5594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96B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4C1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喷塑铝型材连接三通</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E912">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FF7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DDED">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FA045">
            <w:pPr>
              <w:pStyle w:val="7"/>
              <w:bidi w:val="0"/>
              <w:rPr>
                <w:rFonts w:hint="eastAsia" w:ascii="宋体" w:hAnsi="宋体" w:eastAsia="宋体" w:cs="宋体"/>
                <w:color w:val="auto"/>
                <w:sz w:val="22"/>
                <w:szCs w:val="22"/>
                <w:highlight w:val="none"/>
              </w:rPr>
            </w:pPr>
          </w:p>
        </w:tc>
      </w:tr>
      <w:tr w14:paraId="6347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70E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311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喷塑铝型材联接二通</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A138">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FDBC">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2675">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ED989">
            <w:pPr>
              <w:pStyle w:val="7"/>
              <w:bidi w:val="0"/>
              <w:rPr>
                <w:rFonts w:hint="eastAsia" w:ascii="宋体" w:hAnsi="宋体" w:eastAsia="宋体" w:cs="宋体"/>
                <w:color w:val="auto"/>
                <w:sz w:val="22"/>
                <w:szCs w:val="22"/>
                <w:highlight w:val="none"/>
              </w:rPr>
            </w:pPr>
          </w:p>
        </w:tc>
      </w:tr>
      <w:tr w14:paraId="70F6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DAD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p>
        </w:tc>
        <w:tc>
          <w:tcPr>
            <w:tcW w:w="1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3CAAB">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双层钢玻视窗</w:t>
            </w: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4AAB7">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1200*1000mm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466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DCF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368CF">
            <w:pPr>
              <w:pStyle w:val="7"/>
              <w:bidi w:val="0"/>
              <w:rPr>
                <w:rFonts w:hint="eastAsia" w:ascii="宋体" w:hAnsi="宋体" w:eastAsia="宋体" w:cs="宋体"/>
                <w:color w:val="auto"/>
                <w:sz w:val="22"/>
                <w:szCs w:val="22"/>
                <w:highlight w:val="none"/>
              </w:rPr>
            </w:pPr>
          </w:p>
        </w:tc>
      </w:tr>
      <w:tr w14:paraId="6FBE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7B7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p>
        </w:tc>
        <w:tc>
          <w:tcPr>
            <w:tcW w:w="12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01B68">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传递窗</w:t>
            </w: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A64AC">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500*500*500mm(紫外线杀菌、电子联锁）</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72C0">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CB8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22531">
            <w:pPr>
              <w:pStyle w:val="7"/>
              <w:bidi w:val="0"/>
              <w:rPr>
                <w:rFonts w:hint="eastAsia" w:ascii="宋体" w:hAnsi="宋体" w:eastAsia="宋体" w:cs="宋体"/>
                <w:color w:val="auto"/>
                <w:sz w:val="22"/>
                <w:szCs w:val="22"/>
                <w:highlight w:val="none"/>
              </w:rPr>
            </w:pPr>
          </w:p>
        </w:tc>
      </w:tr>
      <w:tr w14:paraId="7562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DDB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DDC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玻璃胶</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1DA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防酸防碱  中性</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EC0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D53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88EC5">
            <w:pPr>
              <w:pStyle w:val="7"/>
              <w:bidi w:val="0"/>
              <w:rPr>
                <w:rFonts w:hint="eastAsia" w:ascii="宋体" w:hAnsi="宋体" w:eastAsia="宋体" w:cs="宋体"/>
                <w:color w:val="auto"/>
                <w:sz w:val="22"/>
                <w:szCs w:val="22"/>
                <w:highlight w:val="none"/>
              </w:rPr>
            </w:pPr>
          </w:p>
        </w:tc>
      </w:tr>
      <w:tr w14:paraId="4D18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6CB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50B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净化板安装五金配件</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C1B0">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E0FE">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35BD">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39C67">
            <w:pPr>
              <w:pStyle w:val="7"/>
              <w:bidi w:val="0"/>
              <w:rPr>
                <w:rFonts w:hint="eastAsia" w:ascii="宋体" w:hAnsi="宋体" w:eastAsia="宋体" w:cs="宋体"/>
                <w:color w:val="auto"/>
                <w:sz w:val="22"/>
                <w:szCs w:val="22"/>
                <w:highlight w:val="none"/>
              </w:rPr>
            </w:pPr>
          </w:p>
        </w:tc>
      </w:tr>
      <w:tr w14:paraId="47DC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902A">
            <w:pPr>
              <w:pStyle w:val="7"/>
              <w:bidi w:val="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5246">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给排水改造</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C60B">
            <w:pPr>
              <w:pStyle w:val="7"/>
              <w:bidi w:val="0"/>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排水地面开槽及复原，上水从走廊顶部引入</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8B11">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D2BF">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23B5">
            <w:pPr>
              <w:pStyle w:val="7"/>
              <w:bidi w:val="0"/>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包干。由于地下车库地面都是石头，开槽难度较大，请谨慎，材料及人工。</w:t>
            </w:r>
          </w:p>
        </w:tc>
      </w:tr>
      <w:tr w14:paraId="29F8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3116">
            <w:pPr>
              <w:pStyle w:val="7"/>
              <w:bidi w:val="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E974">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墙壁开洞</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20FD">
            <w:pPr>
              <w:pStyle w:val="7"/>
              <w:bidi w:val="0"/>
              <w:rPr>
                <w:rFonts w:hint="eastAsia" w:ascii="宋体" w:hAnsi="宋体" w:eastAsia="宋体" w:cs="宋体"/>
                <w:color w:val="auto"/>
                <w:sz w:val="22"/>
                <w:szCs w:val="22"/>
                <w:highlight w:val="none"/>
                <w:lang w:val="zh-CN" w:eastAsia="zh-CN"/>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EAB">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66B5">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3028">
            <w:pPr>
              <w:pStyle w:val="7"/>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包干。</w:t>
            </w:r>
          </w:p>
        </w:tc>
      </w:tr>
      <w:tr w14:paraId="2EAF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70B3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二、洁净空调系统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3C44">
            <w:pPr>
              <w:pStyle w:val="7"/>
              <w:bidi w:val="0"/>
              <w:jc w:val="center"/>
              <w:rPr>
                <w:rFonts w:hint="eastAsia" w:ascii="宋体" w:hAnsi="宋体" w:eastAsia="宋体" w:cs="宋体"/>
                <w:color w:val="auto"/>
                <w:sz w:val="22"/>
                <w:szCs w:val="22"/>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FCCB">
            <w:pPr>
              <w:pStyle w:val="7"/>
              <w:bidi w:val="0"/>
              <w:jc w:val="center"/>
              <w:rPr>
                <w:rFonts w:hint="eastAsia" w:ascii="宋体" w:hAnsi="宋体" w:eastAsia="宋体" w:cs="宋体"/>
                <w:color w:val="auto"/>
                <w:sz w:val="22"/>
                <w:szCs w:val="22"/>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CA04">
            <w:pPr>
              <w:pStyle w:val="7"/>
              <w:bidi w:val="0"/>
              <w:rPr>
                <w:rFonts w:hint="eastAsia" w:ascii="宋体" w:hAnsi="宋体" w:eastAsia="宋体" w:cs="宋体"/>
                <w:color w:val="auto"/>
                <w:sz w:val="22"/>
                <w:szCs w:val="22"/>
                <w:highlight w:val="none"/>
              </w:rPr>
            </w:pPr>
          </w:p>
        </w:tc>
      </w:tr>
      <w:tr w14:paraId="70CB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F4FC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送回风系统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1844">
            <w:pPr>
              <w:pStyle w:val="7"/>
              <w:bidi w:val="0"/>
              <w:jc w:val="center"/>
              <w:rPr>
                <w:rFonts w:hint="eastAsia" w:ascii="宋体" w:hAnsi="宋体" w:eastAsia="宋体" w:cs="宋体"/>
                <w:color w:val="auto"/>
                <w:sz w:val="22"/>
                <w:szCs w:val="22"/>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0919">
            <w:pPr>
              <w:pStyle w:val="7"/>
              <w:bidi w:val="0"/>
              <w:jc w:val="center"/>
              <w:rPr>
                <w:rFonts w:hint="eastAsia" w:ascii="宋体" w:hAnsi="宋体" w:eastAsia="宋体" w:cs="宋体"/>
                <w:color w:val="auto"/>
                <w:sz w:val="22"/>
                <w:szCs w:val="22"/>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35F5A">
            <w:pPr>
              <w:pStyle w:val="7"/>
              <w:bidi w:val="0"/>
              <w:rPr>
                <w:rFonts w:hint="eastAsia" w:ascii="宋体" w:hAnsi="宋体" w:eastAsia="宋体" w:cs="宋体"/>
                <w:color w:val="auto"/>
                <w:sz w:val="22"/>
                <w:szCs w:val="22"/>
                <w:highlight w:val="none"/>
              </w:rPr>
            </w:pPr>
          </w:p>
        </w:tc>
      </w:tr>
      <w:tr w14:paraId="0A2B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054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73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定制净化送风机组</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59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定制净化送风机组（初中效）</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 风量：2400</w:t>
            </w:r>
            <w:r>
              <w:rPr>
                <w:rFonts w:hint="eastAsia" w:hAnsi="宋体" w:cs="宋体"/>
                <w:color w:val="auto"/>
                <w:sz w:val="22"/>
                <w:szCs w:val="22"/>
                <w:highlight w:val="none"/>
                <w:lang w:val="en-US" w:eastAsia="zh-CN"/>
              </w:rPr>
              <w:t>m³</w:t>
            </w:r>
            <w:r>
              <w:rPr>
                <w:rFonts w:hint="eastAsia" w:ascii="宋体" w:hAnsi="宋体" w:eastAsia="宋体" w:cs="宋体"/>
                <w:color w:val="auto"/>
                <w:sz w:val="22"/>
                <w:szCs w:val="22"/>
                <w:highlight w:val="none"/>
                <w:lang w:val="en-US" w:eastAsia="zh-CN"/>
              </w:rPr>
              <w:t xml:space="preserve">/h循环风  </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9FB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F8F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9DAEF">
            <w:pPr>
              <w:pStyle w:val="7"/>
              <w:bidi w:val="0"/>
              <w:rPr>
                <w:rFonts w:hint="eastAsia" w:ascii="宋体" w:hAnsi="宋体" w:eastAsia="宋体" w:cs="宋体"/>
                <w:color w:val="auto"/>
                <w:sz w:val="22"/>
                <w:szCs w:val="22"/>
                <w:highlight w:val="none"/>
              </w:rPr>
            </w:pPr>
          </w:p>
        </w:tc>
      </w:tr>
      <w:tr w14:paraId="2A4D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E15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60D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控制系统</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8C0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包含PLC编程，紫外灯控制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5CBE">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432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9C399">
            <w:pPr>
              <w:pStyle w:val="7"/>
              <w:bidi w:val="0"/>
              <w:rPr>
                <w:rFonts w:hint="eastAsia" w:ascii="宋体" w:hAnsi="宋体" w:eastAsia="宋体" w:cs="宋体"/>
                <w:color w:val="auto"/>
                <w:sz w:val="22"/>
                <w:szCs w:val="22"/>
                <w:highlight w:val="none"/>
              </w:rPr>
            </w:pPr>
          </w:p>
        </w:tc>
      </w:tr>
      <w:tr w14:paraId="40C0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60B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3A04">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臭氧发生器</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C44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10g/h</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E26D">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2F1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37A55">
            <w:pPr>
              <w:pStyle w:val="7"/>
              <w:bidi w:val="0"/>
              <w:rPr>
                <w:rFonts w:hint="eastAsia" w:ascii="宋体" w:hAnsi="宋体" w:eastAsia="宋体" w:cs="宋体"/>
                <w:color w:val="auto"/>
                <w:sz w:val="22"/>
                <w:szCs w:val="22"/>
                <w:highlight w:val="none"/>
              </w:rPr>
            </w:pPr>
          </w:p>
        </w:tc>
      </w:tr>
      <w:tr w14:paraId="46F5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B2E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5F2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门禁系统</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E40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人脸、刷卡、密码</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BAB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6874">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C669E">
            <w:pPr>
              <w:pStyle w:val="7"/>
              <w:bidi w:val="0"/>
              <w:rPr>
                <w:rFonts w:hint="eastAsia" w:ascii="宋体" w:hAnsi="宋体" w:eastAsia="宋体" w:cs="宋体"/>
                <w:color w:val="auto"/>
                <w:sz w:val="22"/>
                <w:szCs w:val="22"/>
                <w:highlight w:val="none"/>
              </w:rPr>
            </w:pPr>
          </w:p>
        </w:tc>
      </w:tr>
      <w:tr w14:paraId="6D9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641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FEC1">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防火阀</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118D">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400*400mm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C75C">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782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B511B">
            <w:pPr>
              <w:pStyle w:val="7"/>
              <w:bidi w:val="0"/>
              <w:rPr>
                <w:rFonts w:hint="eastAsia" w:ascii="宋体" w:hAnsi="宋体" w:eastAsia="宋体" w:cs="宋体"/>
                <w:color w:val="auto"/>
                <w:sz w:val="22"/>
                <w:szCs w:val="22"/>
                <w:highlight w:val="none"/>
              </w:rPr>
            </w:pPr>
          </w:p>
        </w:tc>
      </w:tr>
      <w:tr w14:paraId="1503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F0F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EF7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消音器</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9C64">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400*400mm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EE6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4705">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47534">
            <w:pPr>
              <w:pStyle w:val="7"/>
              <w:bidi w:val="0"/>
              <w:rPr>
                <w:rFonts w:hint="eastAsia" w:ascii="宋体" w:hAnsi="宋体" w:eastAsia="宋体" w:cs="宋体"/>
                <w:color w:val="auto"/>
                <w:sz w:val="22"/>
                <w:szCs w:val="22"/>
                <w:highlight w:val="none"/>
              </w:rPr>
            </w:pPr>
          </w:p>
        </w:tc>
      </w:tr>
      <w:tr w14:paraId="1977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7A7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170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风量调节阀</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9876">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320*250mm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480A">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2F9C">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92B7D">
            <w:pPr>
              <w:pStyle w:val="7"/>
              <w:bidi w:val="0"/>
              <w:rPr>
                <w:rFonts w:hint="eastAsia" w:ascii="宋体" w:hAnsi="宋体" w:eastAsia="宋体" w:cs="宋体"/>
                <w:color w:val="auto"/>
                <w:sz w:val="22"/>
                <w:szCs w:val="22"/>
                <w:highlight w:val="none"/>
              </w:rPr>
            </w:pPr>
          </w:p>
        </w:tc>
      </w:tr>
      <w:tr w14:paraId="5EC1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D5B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189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风量调节阀</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2BE0">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250*250mm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444E">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28F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CDA3">
            <w:pPr>
              <w:pStyle w:val="7"/>
              <w:bidi w:val="0"/>
              <w:rPr>
                <w:rFonts w:hint="eastAsia" w:ascii="宋体" w:hAnsi="宋体" w:eastAsia="宋体" w:cs="宋体"/>
                <w:color w:val="auto"/>
                <w:sz w:val="22"/>
                <w:szCs w:val="22"/>
                <w:highlight w:val="none"/>
              </w:rPr>
            </w:pPr>
          </w:p>
        </w:tc>
      </w:tr>
      <w:tr w14:paraId="7FFF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9C9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C8D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风量调节阀</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C8AE">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200*200mm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1ED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3C30">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B8815">
            <w:pPr>
              <w:pStyle w:val="7"/>
              <w:bidi w:val="0"/>
              <w:rPr>
                <w:rFonts w:hint="eastAsia" w:ascii="宋体" w:hAnsi="宋体" w:eastAsia="宋体" w:cs="宋体"/>
                <w:color w:val="auto"/>
                <w:sz w:val="22"/>
                <w:szCs w:val="22"/>
                <w:highlight w:val="none"/>
              </w:rPr>
            </w:pPr>
          </w:p>
        </w:tc>
      </w:tr>
      <w:tr w14:paraId="7753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69E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4BA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净化镀锌板风管</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8DC4">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100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230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C79F">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2FCC">
            <w:pPr>
              <w:pStyle w:val="7"/>
              <w:bidi w:val="0"/>
              <w:rPr>
                <w:rFonts w:hint="eastAsia" w:ascii="宋体" w:hAnsi="宋体" w:eastAsia="宋体" w:cs="宋体"/>
                <w:color w:val="auto"/>
                <w:sz w:val="22"/>
                <w:szCs w:val="22"/>
                <w:highlight w:val="none"/>
              </w:rPr>
            </w:pPr>
          </w:p>
        </w:tc>
      </w:tr>
      <w:tr w14:paraId="74D6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E35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F68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橡胶保温棉</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1B74">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FB99">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230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0BEA">
            <w:pPr>
              <w:pStyle w:val="7"/>
              <w:bidi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B5F72">
            <w:pPr>
              <w:pStyle w:val="7"/>
              <w:bidi w:val="0"/>
              <w:rPr>
                <w:rFonts w:hint="eastAsia" w:ascii="宋体" w:hAnsi="宋体" w:eastAsia="宋体" w:cs="宋体"/>
                <w:color w:val="auto"/>
                <w:sz w:val="22"/>
                <w:szCs w:val="22"/>
                <w:highlight w:val="none"/>
              </w:rPr>
            </w:pPr>
          </w:p>
        </w:tc>
      </w:tr>
      <w:tr w14:paraId="5AA0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57C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75C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胶水</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DA6F">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1F34">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2BC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桶</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58AEA">
            <w:pPr>
              <w:pStyle w:val="7"/>
              <w:bidi w:val="0"/>
              <w:rPr>
                <w:rFonts w:hint="eastAsia" w:ascii="宋体" w:hAnsi="宋体" w:eastAsia="宋体" w:cs="宋体"/>
                <w:color w:val="auto"/>
                <w:sz w:val="22"/>
                <w:szCs w:val="22"/>
                <w:highlight w:val="none"/>
              </w:rPr>
            </w:pPr>
          </w:p>
        </w:tc>
      </w:tr>
      <w:tr w14:paraId="7BA3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46E1">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E9F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防水百叶进风口</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DAA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铝合金喷塑（250*250mm）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EC1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025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54358">
            <w:pPr>
              <w:pStyle w:val="7"/>
              <w:bidi w:val="0"/>
              <w:rPr>
                <w:rFonts w:hint="eastAsia" w:ascii="宋体" w:hAnsi="宋体" w:eastAsia="宋体" w:cs="宋体"/>
                <w:color w:val="auto"/>
                <w:sz w:val="22"/>
                <w:szCs w:val="22"/>
                <w:highlight w:val="none"/>
              </w:rPr>
            </w:pPr>
          </w:p>
        </w:tc>
      </w:tr>
      <w:tr w14:paraId="7FA4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95D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5CE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门铰式回风口</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136B">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铝合金喷塑400*200mm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03C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3E5E">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A083">
            <w:pPr>
              <w:pStyle w:val="7"/>
              <w:bidi w:val="0"/>
              <w:rPr>
                <w:rFonts w:hint="eastAsia" w:ascii="宋体" w:hAnsi="宋体" w:eastAsia="宋体" w:cs="宋体"/>
                <w:color w:val="auto"/>
                <w:sz w:val="22"/>
                <w:szCs w:val="22"/>
                <w:highlight w:val="none"/>
              </w:rPr>
            </w:pPr>
          </w:p>
        </w:tc>
      </w:tr>
      <w:tr w14:paraId="077F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6D7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2C9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高效送风口</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0BF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（GKF）风量1500</w:t>
            </w:r>
            <w:r>
              <w:rPr>
                <w:rFonts w:hint="eastAsia" w:hAnsi="宋体" w:cs="宋体"/>
                <w:color w:val="auto"/>
                <w:sz w:val="22"/>
                <w:szCs w:val="22"/>
                <w:highlight w:val="none"/>
                <w:lang w:val="en-US" w:eastAsia="zh-CN"/>
              </w:rPr>
              <w:t>m³</w:t>
            </w:r>
            <w:r>
              <w:rPr>
                <w:rFonts w:hint="eastAsia" w:ascii="宋体" w:hAnsi="宋体" w:eastAsia="宋体" w:cs="宋体"/>
                <w:color w:val="auto"/>
                <w:sz w:val="22"/>
                <w:szCs w:val="22"/>
                <w:highlight w:val="none"/>
                <w:lang w:val="en-US" w:eastAsia="zh-CN"/>
              </w:rPr>
              <w:t>/h</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8D60">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80A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15AC4">
            <w:pPr>
              <w:pStyle w:val="7"/>
              <w:bidi w:val="0"/>
              <w:rPr>
                <w:rFonts w:hint="eastAsia" w:ascii="宋体" w:hAnsi="宋体" w:eastAsia="宋体" w:cs="宋体"/>
                <w:color w:val="auto"/>
                <w:sz w:val="22"/>
                <w:szCs w:val="22"/>
                <w:highlight w:val="none"/>
              </w:rPr>
            </w:pPr>
          </w:p>
        </w:tc>
      </w:tr>
      <w:tr w14:paraId="40B7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917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9DA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高效送风口</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8601">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（GKF）风量500</w:t>
            </w:r>
            <w:r>
              <w:rPr>
                <w:rFonts w:hint="eastAsia" w:hAnsi="宋体" w:cs="宋体"/>
                <w:color w:val="auto"/>
                <w:sz w:val="22"/>
                <w:szCs w:val="22"/>
                <w:highlight w:val="none"/>
                <w:lang w:val="en-US" w:eastAsia="zh-CN"/>
              </w:rPr>
              <w:t>m³</w:t>
            </w:r>
            <w:r>
              <w:rPr>
                <w:rFonts w:hint="eastAsia" w:ascii="宋体" w:hAnsi="宋体" w:eastAsia="宋体" w:cs="宋体"/>
                <w:color w:val="auto"/>
                <w:sz w:val="22"/>
                <w:szCs w:val="22"/>
                <w:highlight w:val="none"/>
                <w:lang w:val="en-US" w:eastAsia="zh-CN"/>
              </w:rPr>
              <w:t>/h</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A47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CF4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08488">
            <w:pPr>
              <w:pStyle w:val="7"/>
              <w:bidi w:val="0"/>
              <w:rPr>
                <w:rFonts w:hint="eastAsia" w:ascii="宋体" w:hAnsi="宋体" w:eastAsia="宋体" w:cs="宋体"/>
                <w:color w:val="auto"/>
                <w:sz w:val="22"/>
                <w:szCs w:val="22"/>
                <w:highlight w:val="none"/>
              </w:rPr>
            </w:pPr>
          </w:p>
        </w:tc>
      </w:tr>
      <w:tr w14:paraId="0636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C6D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D67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净化五金吊件</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626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专用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B047">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16F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34E67">
            <w:pPr>
              <w:pStyle w:val="7"/>
              <w:bidi w:val="0"/>
              <w:rPr>
                <w:rFonts w:hint="eastAsia" w:ascii="宋体" w:hAnsi="宋体" w:eastAsia="宋体" w:cs="宋体"/>
                <w:color w:val="auto"/>
                <w:sz w:val="22"/>
                <w:szCs w:val="22"/>
                <w:highlight w:val="none"/>
              </w:rPr>
            </w:pPr>
          </w:p>
        </w:tc>
      </w:tr>
      <w:tr w14:paraId="04A4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767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D74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软接口</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FDC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帆布接口</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4EF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1EB0">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6FD7B">
            <w:pPr>
              <w:pStyle w:val="7"/>
              <w:bidi w:val="0"/>
              <w:rPr>
                <w:rFonts w:hint="eastAsia" w:ascii="宋体" w:hAnsi="宋体" w:eastAsia="宋体" w:cs="宋体"/>
                <w:color w:val="auto"/>
                <w:sz w:val="22"/>
                <w:szCs w:val="22"/>
                <w:highlight w:val="none"/>
              </w:rPr>
            </w:pPr>
          </w:p>
        </w:tc>
      </w:tr>
      <w:tr w14:paraId="65A0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B23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550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角铁</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AAC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40*40</w:t>
            </w:r>
            <w:r>
              <w:rPr>
                <w:rFonts w:hint="eastAsia" w:hAnsi="宋体" w:cs="宋体"/>
                <w:color w:val="auto"/>
                <w:sz w:val="22"/>
                <w:szCs w:val="22"/>
                <w:highlight w:val="none"/>
                <w:lang w:val="en-US" w:eastAsia="zh-CN"/>
              </w:rPr>
              <w:t>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AEB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FD3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支</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5E313">
            <w:pPr>
              <w:pStyle w:val="7"/>
              <w:bidi w:val="0"/>
              <w:rPr>
                <w:rFonts w:hint="eastAsia" w:ascii="宋体" w:hAnsi="宋体" w:eastAsia="宋体" w:cs="宋体"/>
                <w:color w:val="auto"/>
                <w:sz w:val="22"/>
                <w:szCs w:val="22"/>
                <w:highlight w:val="none"/>
              </w:rPr>
            </w:pPr>
          </w:p>
        </w:tc>
      </w:tr>
      <w:tr w14:paraId="0DEC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E181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三、电气照明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08E1">
            <w:pPr>
              <w:pStyle w:val="7"/>
              <w:bidi w:val="0"/>
              <w:jc w:val="center"/>
              <w:rPr>
                <w:rFonts w:hint="eastAsia" w:ascii="宋体" w:hAnsi="宋体" w:eastAsia="宋体" w:cs="宋体"/>
                <w:color w:val="auto"/>
                <w:sz w:val="22"/>
                <w:szCs w:val="22"/>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D1DE">
            <w:pPr>
              <w:pStyle w:val="7"/>
              <w:bidi w:val="0"/>
              <w:jc w:val="center"/>
              <w:rPr>
                <w:rFonts w:hint="eastAsia" w:ascii="宋体" w:hAnsi="宋体" w:eastAsia="宋体" w:cs="宋体"/>
                <w:color w:val="auto"/>
                <w:sz w:val="22"/>
                <w:szCs w:val="22"/>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9B3CD">
            <w:pPr>
              <w:pStyle w:val="7"/>
              <w:bidi w:val="0"/>
              <w:rPr>
                <w:rFonts w:hint="eastAsia" w:ascii="宋体" w:hAnsi="宋体" w:eastAsia="宋体" w:cs="宋体"/>
                <w:color w:val="auto"/>
                <w:sz w:val="22"/>
                <w:szCs w:val="22"/>
                <w:highlight w:val="none"/>
              </w:rPr>
            </w:pPr>
          </w:p>
        </w:tc>
      </w:tr>
      <w:tr w14:paraId="2294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09C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9F1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LED平面灯</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12B7">
            <w:pPr>
              <w:pStyle w:val="7"/>
              <w:bidi w:val="0"/>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1200*300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9367">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CDF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DF323">
            <w:pPr>
              <w:pStyle w:val="7"/>
              <w:bidi w:val="0"/>
              <w:rPr>
                <w:rFonts w:hint="eastAsia" w:ascii="宋体" w:hAnsi="宋体" w:eastAsia="宋体" w:cs="宋体"/>
                <w:color w:val="auto"/>
                <w:sz w:val="22"/>
                <w:szCs w:val="22"/>
                <w:highlight w:val="none"/>
              </w:rPr>
            </w:pPr>
          </w:p>
        </w:tc>
      </w:tr>
      <w:tr w14:paraId="7665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308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7AC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LED平面灯</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66A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900*300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3DB7">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7A9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E270">
            <w:pPr>
              <w:pStyle w:val="7"/>
              <w:bidi w:val="0"/>
              <w:rPr>
                <w:rFonts w:hint="eastAsia" w:ascii="宋体" w:hAnsi="宋体" w:eastAsia="宋体" w:cs="宋体"/>
                <w:color w:val="auto"/>
                <w:sz w:val="22"/>
                <w:szCs w:val="22"/>
                <w:highlight w:val="none"/>
              </w:rPr>
            </w:pPr>
          </w:p>
        </w:tc>
      </w:tr>
      <w:tr w14:paraId="4F3C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876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B8C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紫外线灯</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E88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医用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14BD">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3E09">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F4BD8">
            <w:pPr>
              <w:pStyle w:val="7"/>
              <w:bidi w:val="0"/>
              <w:rPr>
                <w:rFonts w:hint="eastAsia" w:ascii="宋体" w:hAnsi="宋体" w:eastAsia="宋体" w:cs="宋体"/>
                <w:color w:val="auto"/>
                <w:sz w:val="22"/>
                <w:szCs w:val="22"/>
                <w:highlight w:val="none"/>
              </w:rPr>
            </w:pPr>
          </w:p>
        </w:tc>
      </w:tr>
      <w:tr w14:paraId="00F9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B9BF">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4F4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插座</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83F0">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0E3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422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9DBF0">
            <w:pPr>
              <w:pStyle w:val="7"/>
              <w:bidi w:val="0"/>
              <w:rPr>
                <w:rFonts w:hint="eastAsia" w:ascii="宋体" w:hAnsi="宋体" w:eastAsia="宋体" w:cs="宋体"/>
                <w:color w:val="auto"/>
                <w:sz w:val="22"/>
                <w:szCs w:val="22"/>
                <w:highlight w:val="none"/>
              </w:rPr>
            </w:pPr>
          </w:p>
        </w:tc>
      </w:tr>
      <w:tr w14:paraId="45C8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CA0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DBD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开关</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DFD5">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17B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314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BED8F">
            <w:pPr>
              <w:pStyle w:val="7"/>
              <w:bidi w:val="0"/>
              <w:rPr>
                <w:rFonts w:hint="eastAsia" w:ascii="宋体" w:hAnsi="宋体" w:eastAsia="宋体" w:cs="宋体"/>
                <w:color w:val="auto"/>
                <w:sz w:val="22"/>
                <w:szCs w:val="22"/>
                <w:highlight w:val="none"/>
              </w:rPr>
            </w:pPr>
          </w:p>
        </w:tc>
      </w:tr>
      <w:tr w14:paraId="67DF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20A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920C">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净化机组配电箱</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F8A4">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含（漏保、单片）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277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D2D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96C9C">
            <w:pPr>
              <w:pStyle w:val="7"/>
              <w:bidi w:val="0"/>
              <w:rPr>
                <w:rFonts w:hint="eastAsia" w:ascii="宋体" w:hAnsi="宋体" w:eastAsia="宋体" w:cs="宋体"/>
                <w:color w:val="auto"/>
                <w:sz w:val="22"/>
                <w:szCs w:val="22"/>
                <w:highlight w:val="none"/>
              </w:rPr>
            </w:pPr>
          </w:p>
        </w:tc>
      </w:tr>
      <w:tr w14:paraId="3D5A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C91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5F7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1.5平方电线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2F2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铜芯单芯线</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134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5B9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609F5">
            <w:pPr>
              <w:pStyle w:val="7"/>
              <w:bidi w:val="0"/>
              <w:rPr>
                <w:rFonts w:hint="eastAsia" w:ascii="宋体" w:hAnsi="宋体" w:eastAsia="宋体" w:cs="宋体"/>
                <w:color w:val="auto"/>
                <w:sz w:val="22"/>
                <w:szCs w:val="22"/>
                <w:highlight w:val="none"/>
              </w:rPr>
            </w:pPr>
          </w:p>
        </w:tc>
      </w:tr>
      <w:tr w14:paraId="6297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9CB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A58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2.5平方电线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F463">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铜芯单芯线</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62EF">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B02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F69E6">
            <w:pPr>
              <w:pStyle w:val="7"/>
              <w:bidi w:val="0"/>
              <w:rPr>
                <w:rFonts w:hint="eastAsia" w:ascii="宋体" w:hAnsi="宋体" w:eastAsia="宋体" w:cs="宋体"/>
                <w:color w:val="auto"/>
                <w:sz w:val="22"/>
                <w:szCs w:val="22"/>
                <w:highlight w:val="none"/>
              </w:rPr>
            </w:pPr>
          </w:p>
        </w:tc>
      </w:tr>
      <w:tr w14:paraId="599A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E60E">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2812">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4平方电线</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92B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铜芯单芯线</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2C7D">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267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EB226">
            <w:pPr>
              <w:pStyle w:val="7"/>
              <w:bidi w:val="0"/>
              <w:rPr>
                <w:rFonts w:hint="eastAsia" w:ascii="宋体" w:hAnsi="宋体" w:eastAsia="宋体" w:cs="宋体"/>
                <w:color w:val="auto"/>
                <w:sz w:val="22"/>
                <w:szCs w:val="22"/>
                <w:highlight w:val="none"/>
              </w:rPr>
            </w:pPr>
          </w:p>
        </w:tc>
      </w:tr>
      <w:tr w14:paraId="4844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940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CBBA">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线管</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F7F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PVC</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70F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343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58B6">
            <w:pPr>
              <w:pStyle w:val="7"/>
              <w:bidi w:val="0"/>
              <w:rPr>
                <w:rFonts w:hint="eastAsia" w:ascii="宋体" w:hAnsi="宋体" w:eastAsia="宋体" w:cs="宋体"/>
                <w:color w:val="auto"/>
                <w:sz w:val="22"/>
                <w:szCs w:val="22"/>
                <w:highlight w:val="none"/>
              </w:rPr>
            </w:pPr>
          </w:p>
        </w:tc>
      </w:tr>
      <w:tr w14:paraId="5E93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6208">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2FD">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线管</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DC69">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JDG</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1964">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118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B01D">
            <w:pPr>
              <w:pStyle w:val="7"/>
              <w:bidi w:val="0"/>
              <w:rPr>
                <w:rFonts w:hint="eastAsia" w:ascii="宋体" w:hAnsi="宋体" w:eastAsia="宋体" w:cs="宋体"/>
                <w:color w:val="auto"/>
                <w:sz w:val="22"/>
                <w:szCs w:val="22"/>
                <w:highlight w:val="none"/>
              </w:rPr>
            </w:pPr>
          </w:p>
        </w:tc>
      </w:tr>
      <w:tr w14:paraId="662D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B57C">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08C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五金一批</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7243">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1611">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1F3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7B3B4">
            <w:pPr>
              <w:pStyle w:val="7"/>
              <w:bidi w:val="0"/>
              <w:rPr>
                <w:rFonts w:hint="eastAsia" w:ascii="宋体" w:hAnsi="宋体" w:eastAsia="宋体" w:cs="宋体"/>
                <w:color w:val="auto"/>
                <w:sz w:val="22"/>
                <w:szCs w:val="22"/>
                <w:highlight w:val="none"/>
              </w:rPr>
            </w:pPr>
          </w:p>
        </w:tc>
      </w:tr>
      <w:tr w14:paraId="6799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76E3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四、实验台柜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7AA1">
            <w:pPr>
              <w:pStyle w:val="7"/>
              <w:bidi w:val="0"/>
              <w:jc w:val="center"/>
              <w:rPr>
                <w:rFonts w:hint="eastAsia" w:ascii="宋体" w:hAnsi="宋体" w:eastAsia="宋体" w:cs="宋体"/>
                <w:color w:val="auto"/>
                <w:sz w:val="22"/>
                <w:szCs w:val="22"/>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797">
            <w:pPr>
              <w:pStyle w:val="7"/>
              <w:bidi w:val="0"/>
              <w:jc w:val="center"/>
              <w:rPr>
                <w:rFonts w:hint="eastAsia" w:ascii="宋体" w:hAnsi="宋体" w:eastAsia="宋体" w:cs="宋体"/>
                <w:color w:val="auto"/>
                <w:sz w:val="22"/>
                <w:szCs w:val="22"/>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46814">
            <w:pPr>
              <w:pStyle w:val="7"/>
              <w:bidi w:val="0"/>
              <w:rPr>
                <w:rFonts w:hint="eastAsia" w:ascii="宋体" w:hAnsi="宋体" w:eastAsia="宋体" w:cs="宋体"/>
                <w:color w:val="auto"/>
                <w:sz w:val="22"/>
                <w:szCs w:val="22"/>
                <w:highlight w:val="none"/>
              </w:rPr>
            </w:pPr>
          </w:p>
        </w:tc>
      </w:tr>
      <w:tr w14:paraId="0F2A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5DA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8FD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不锈钢工作台</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30DC">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L*600*800mm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FD64">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AA77">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EF968">
            <w:pPr>
              <w:pStyle w:val="7"/>
              <w:bidi w:val="0"/>
              <w:rPr>
                <w:rFonts w:hint="eastAsia" w:ascii="宋体" w:hAnsi="宋体" w:eastAsia="宋体" w:cs="宋体"/>
                <w:color w:val="auto"/>
                <w:sz w:val="22"/>
                <w:szCs w:val="22"/>
                <w:highlight w:val="none"/>
              </w:rPr>
            </w:pPr>
          </w:p>
        </w:tc>
      </w:tr>
      <w:tr w14:paraId="2094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3B34">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70E5">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全钢边台</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0E36">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L*750*800mm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55F8">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DE0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米</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ACC55">
            <w:pPr>
              <w:pStyle w:val="7"/>
              <w:bidi w:val="0"/>
              <w:rPr>
                <w:rFonts w:hint="eastAsia" w:ascii="宋体" w:hAnsi="宋体" w:eastAsia="宋体" w:cs="宋体"/>
                <w:color w:val="auto"/>
                <w:sz w:val="22"/>
                <w:szCs w:val="22"/>
                <w:highlight w:val="none"/>
              </w:rPr>
            </w:pPr>
          </w:p>
        </w:tc>
      </w:tr>
      <w:tr w14:paraId="0138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CFD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F1D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水槽水嘴</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3EF8">
            <w:pPr>
              <w:pStyle w:val="7"/>
              <w:bidi w:val="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550*450*310mm</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DCB6">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2F82">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6E54">
            <w:pPr>
              <w:pStyle w:val="7"/>
              <w:bidi w:val="0"/>
              <w:rPr>
                <w:rFonts w:hint="eastAsia" w:ascii="宋体" w:hAnsi="宋体" w:eastAsia="宋体" w:cs="宋体"/>
                <w:color w:val="auto"/>
                <w:sz w:val="22"/>
                <w:szCs w:val="22"/>
                <w:highlight w:val="none"/>
              </w:rPr>
            </w:pPr>
          </w:p>
        </w:tc>
      </w:tr>
      <w:tr w14:paraId="6685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816B">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AA60">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滴水架</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0BA0">
            <w:pPr>
              <w:pStyle w:val="7"/>
              <w:bidi w:val="0"/>
              <w:rPr>
                <w:rFonts w:hint="eastAsia" w:ascii="宋体" w:hAnsi="宋体" w:eastAsia="宋体" w:cs="宋体"/>
                <w:color w:val="auto"/>
                <w:sz w:val="22"/>
                <w:szCs w:val="22"/>
                <w:highlight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BCB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FF0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938B">
            <w:pPr>
              <w:pStyle w:val="7"/>
              <w:bidi w:val="0"/>
              <w:rPr>
                <w:rFonts w:hint="eastAsia" w:ascii="宋体" w:hAnsi="宋体" w:eastAsia="宋体" w:cs="宋体"/>
                <w:color w:val="auto"/>
                <w:sz w:val="22"/>
                <w:szCs w:val="22"/>
                <w:highlight w:val="none"/>
              </w:rPr>
            </w:pPr>
          </w:p>
        </w:tc>
      </w:tr>
      <w:tr w14:paraId="0A72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0197">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277C">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洗眼器</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0D66">
            <w:pPr>
              <w:pStyle w:val="7"/>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6753">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E5EB">
            <w:pPr>
              <w:pStyle w:val="7"/>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86A7B">
            <w:pPr>
              <w:pStyle w:val="7"/>
              <w:bidi w:val="0"/>
              <w:rPr>
                <w:rFonts w:hint="eastAsia" w:ascii="宋体" w:hAnsi="宋体" w:eastAsia="宋体" w:cs="宋体"/>
                <w:color w:val="auto"/>
                <w:sz w:val="22"/>
                <w:szCs w:val="22"/>
                <w:highlight w:val="none"/>
              </w:rPr>
            </w:pPr>
          </w:p>
        </w:tc>
      </w:tr>
    </w:tbl>
    <w:p w14:paraId="1218B38C">
      <w:pPr>
        <w:pStyle w:val="3"/>
        <w:pageBreakBefore w:val="0"/>
        <w:widowControl w:val="0"/>
        <w:numPr>
          <w:ilvl w:val="0"/>
          <w:numId w:val="0"/>
        </w:numPr>
        <w:kinsoku/>
        <w:wordWrap/>
        <w:overflowPunct/>
        <w:topLinePunct w:val="0"/>
        <w:bidi w:val="0"/>
        <w:snapToGrid/>
        <w:spacing w:line="360" w:lineRule="exact"/>
        <w:ind w:left="0" w:leftChars="0"/>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w:t>
      </w:r>
      <w:r>
        <w:rPr>
          <w:rFonts w:hint="default" w:ascii="宋体" w:hAnsi="宋体" w:eastAsia="宋体" w:cs="宋体"/>
          <w:color w:val="auto"/>
          <w:sz w:val="22"/>
          <w:szCs w:val="22"/>
          <w:highlight w:val="none"/>
          <w:u w:val="single"/>
          <w:lang w:val="en-US" w:eastAsia="zh-CN"/>
        </w:rPr>
        <w:t>本项目中</w:t>
      </w:r>
      <w:r>
        <w:rPr>
          <w:rFonts w:hint="eastAsia" w:ascii="宋体" w:hAnsi="宋体" w:eastAsia="宋体" w:cs="宋体"/>
          <w:color w:val="auto"/>
          <w:sz w:val="22"/>
          <w:szCs w:val="22"/>
          <w:highlight w:val="none"/>
          <w:u w:val="single"/>
          <w:lang w:val="en-US" w:eastAsia="zh-CN"/>
        </w:rPr>
        <w:t>“净化装修工程”</w:t>
      </w:r>
      <w:r>
        <w:rPr>
          <w:rFonts w:hint="default" w:ascii="宋体" w:hAnsi="宋体" w:eastAsia="宋体" w:cs="宋体"/>
          <w:color w:val="auto"/>
          <w:sz w:val="22"/>
          <w:szCs w:val="22"/>
          <w:highlight w:val="none"/>
          <w:u w:val="single"/>
          <w:lang w:val="en-US" w:eastAsia="zh-CN"/>
        </w:rPr>
        <w:t>的分项报价合计不得超过投标总价的</w:t>
      </w:r>
      <w:r>
        <w:rPr>
          <w:rFonts w:hint="eastAsia" w:ascii="宋体" w:hAnsi="宋体" w:eastAsia="宋体" w:cs="宋体"/>
          <w:color w:val="auto"/>
          <w:sz w:val="22"/>
          <w:szCs w:val="22"/>
          <w:highlight w:val="none"/>
          <w:u w:val="single"/>
          <w:lang w:val="en-US" w:eastAsia="zh-CN"/>
        </w:rPr>
        <w:t>3</w:t>
      </w:r>
      <w:r>
        <w:rPr>
          <w:rFonts w:hint="default" w:ascii="宋体" w:hAnsi="宋体" w:eastAsia="宋体" w:cs="宋体"/>
          <w:color w:val="auto"/>
          <w:sz w:val="22"/>
          <w:szCs w:val="22"/>
          <w:highlight w:val="none"/>
          <w:u w:val="single"/>
          <w:lang w:val="en-US" w:eastAsia="zh-CN"/>
        </w:rPr>
        <w:t>0%。</w:t>
      </w:r>
    </w:p>
    <w:p w14:paraId="073BF734">
      <w:pPr>
        <w:pStyle w:val="3"/>
        <w:pageBreakBefore w:val="0"/>
        <w:widowControl w:val="0"/>
        <w:numPr>
          <w:ilvl w:val="0"/>
          <w:numId w:val="0"/>
        </w:numPr>
        <w:kinsoku/>
        <w:wordWrap/>
        <w:overflowPunct/>
        <w:topLinePunct w:val="0"/>
        <w:bidi w:val="0"/>
        <w:snapToGrid/>
        <w:spacing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二、</w:t>
      </w:r>
      <w:r>
        <w:rPr>
          <w:rFonts w:hint="eastAsia" w:ascii="宋体" w:hAnsi="宋体" w:eastAsia="宋体" w:cs="宋体"/>
          <w:color w:val="auto"/>
          <w:sz w:val="22"/>
          <w:szCs w:val="22"/>
          <w:highlight w:val="none"/>
        </w:rPr>
        <w:t>项目概况</w:t>
      </w:r>
    </w:p>
    <w:p w14:paraId="4B148B81">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要求各投标人提供全新的、品质优异的、与浙江农林大学的文化相得益彰的产品，并以合理的价格和优质的服务体现其企业的风采和竞争实力。</w:t>
      </w:r>
    </w:p>
    <w:p w14:paraId="06FC014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提供的产品能够满足学校的特定需要，产品质量稳定，售后服务方便、快捷，满足用户要求</w:t>
      </w:r>
      <w:r>
        <w:rPr>
          <w:rFonts w:hint="eastAsia" w:ascii="宋体" w:hAnsi="宋体" w:cs="宋体"/>
          <w:color w:val="auto"/>
          <w:sz w:val="22"/>
          <w:szCs w:val="22"/>
          <w:highlight w:val="none"/>
          <w:lang w:eastAsia="zh-CN"/>
        </w:rPr>
        <w:t>。</w:t>
      </w:r>
    </w:p>
    <w:p w14:paraId="47BAD91E">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本次采购内容除需要提供的最终产品外，还包括全部产品的深化设计、平面布局设计、色彩设计等技术建议书，产品工艺设计和制作、供货、安装组装、检测、验收、售后服务等。</w:t>
      </w:r>
    </w:p>
    <w:p w14:paraId="605EE8AB">
      <w:pPr>
        <w:pStyle w:val="3"/>
        <w:pageBreakBefore w:val="0"/>
        <w:widowControl w:val="0"/>
        <w:numPr>
          <w:ilvl w:val="0"/>
          <w:numId w:val="0"/>
        </w:numPr>
        <w:kinsoku/>
        <w:wordWrap/>
        <w:overflowPunct/>
        <w:topLinePunct w:val="0"/>
        <w:bidi w:val="0"/>
        <w:snapToGrid/>
        <w:spacing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总体要求</w:t>
      </w:r>
    </w:p>
    <w:p w14:paraId="5D8AE031">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采购清单内技术规格要求仅为采购人的基本要求，并未对所有技术细节做出规定，投标人作为专业的生产制造企业须按国际、国家有关标准及规范完成本次采购各类产品的制造与检验、供货、运输、安装、调试与通过有关部门验收、质保期服务、终身维修等各项工作，并保证使用的寿命与可靠性。</w:t>
      </w:r>
    </w:p>
    <w:p w14:paraId="383053A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投标人应提供符合本技术要求和国家标准、行业标准的优质产品。</w:t>
      </w:r>
    </w:p>
    <w:p w14:paraId="60921CC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投标人必须按采购清单中需要的产品及技术要求参加投标。如投标人产品与采购清单内技术要求不一致时，投标人应在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中予以说明。如投标人没有在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中提出异议，则视为投标人提供的产品完全符合采购需求，否则</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将可能被拒绝。</w:t>
      </w:r>
    </w:p>
    <w:p w14:paraId="6CC2DCA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知识产权：投标人对一切可能的侵权指控负责。</w:t>
      </w:r>
    </w:p>
    <w:p w14:paraId="6ED025DF">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5.</w:t>
      </w:r>
      <w:r>
        <w:rPr>
          <w:rFonts w:hint="eastAsia" w:ascii="宋体" w:hAnsi="宋体" w:eastAsia="宋体" w:cs="宋体"/>
          <w:color w:val="auto"/>
          <w:sz w:val="22"/>
          <w:szCs w:val="22"/>
          <w:highlight w:val="none"/>
        </w:rPr>
        <w:t>产品的验收和抽检：厂家在生产过程中及产品送货后，采购人有权抽检原</w:t>
      </w:r>
      <w:r>
        <w:rPr>
          <w:rFonts w:hint="eastAsia" w:ascii="宋体" w:hAnsi="宋体" w:eastAsia="宋体" w:cs="宋体"/>
          <w:color w:val="auto"/>
          <w:sz w:val="22"/>
          <w:szCs w:val="22"/>
          <w:highlight w:val="none"/>
          <w:lang w:val="en-US" w:eastAsia="zh-CN"/>
        </w:rPr>
        <w:t>辅</w:t>
      </w:r>
      <w:r>
        <w:rPr>
          <w:rFonts w:hint="eastAsia" w:ascii="宋体" w:hAnsi="宋体" w:eastAsia="宋体" w:cs="宋体"/>
          <w:color w:val="auto"/>
          <w:sz w:val="22"/>
          <w:szCs w:val="22"/>
          <w:highlight w:val="none"/>
        </w:rPr>
        <w:t>材料和成品送有资质的专业检测机构对原材料的环保技术参数进行验证和成品的材质、质量、环保性能等进行检验，所有检验费用由投标人承担。如产品检验不通过，投标人必须接受无条件退货并赔偿由此造成对采购人的所有损失。</w:t>
      </w:r>
    </w:p>
    <w:p w14:paraId="1E66D32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6.</w:t>
      </w:r>
      <w:r>
        <w:rPr>
          <w:rFonts w:hint="eastAsia" w:ascii="宋体" w:hAnsi="宋体" w:eastAsia="宋体" w:cs="宋体"/>
          <w:color w:val="auto"/>
          <w:sz w:val="22"/>
          <w:szCs w:val="22"/>
          <w:highlight w:val="none"/>
        </w:rPr>
        <w:t>根据采购人规定，投标人若存在以下情况，采购人有权利立即中止与该投标人的合作、停止付款并要求赔偿：</w:t>
      </w:r>
    </w:p>
    <w:p w14:paraId="02AB7935">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（1）在规定的时间内不及时供货；</w:t>
      </w:r>
    </w:p>
    <w:p w14:paraId="7AE02317">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（2）未经学校同意，擅自更换投标人；</w:t>
      </w:r>
    </w:p>
    <w:p w14:paraId="76E7994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（3）未经学校同意，服务期内擅自改变供货产品价格；</w:t>
      </w:r>
    </w:p>
    <w:p w14:paraId="4B94627B">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（4）所供产品不符合投标承诺的性能要求；</w:t>
      </w:r>
    </w:p>
    <w:p w14:paraId="087D6D18">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7.</w:t>
      </w:r>
      <w:r>
        <w:rPr>
          <w:rFonts w:hint="eastAsia" w:ascii="宋体" w:hAnsi="宋体" w:eastAsia="宋体" w:cs="宋体"/>
          <w:color w:val="auto"/>
          <w:sz w:val="22"/>
          <w:szCs w:val="22"/>
          <w:highlight w:val="none"/>
        </w:rPr>
        <w:t>基本技术要求标准</w:t>
      </w:r>
    </w:p>
    <w:p w14:paraId="389470A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（1）拟供产品采用的主要材料及配件品牌，应符合采购文件要求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其技术要求应等同或优于采购文件所规定的技术要求，投标人应提供必要的证明文件以证明该产品的技术性能，可靠性及耐用性，使采购人完全满意。</w:t>
      </w:r>
    </w:p>
    <w:p w14:paraId="7B6370C0">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人提供的产品应标明所执行的质量标准，若同一标准已颁发新标准，则按最新标准执行。若同一产品同时适用多种标准（国际标准、国家标准、行业标准、企业标准等），则按最高层次的标准执行。部分参考执行标准如下（投标响应时，如有最新施行的标准或更新版本的标准，则按新的执行）： </w:t>
      </w:r>
    </w:p>
    <w:p w14:paraId="1BA94B8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如有未特别注明需执行的国家相关标准、行业标准、地方标准或者其他标准、规范，则统一执行最新标准、规范。</w:t>
      </w:r>
    </w:p>
    <w:p w14:paraId="23EB227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708-2019冷轧钢板和钢带的尺寸、外形、重量及允许偏差</w:t>
      </w:r>
    </w:p>
    <w:p w14:paraId="0B4BA50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GB/T 21747-2008教学实验室设备实验台(桌)的安全要求及试验方法</w:t>
      </w:r>
    </w:p>
    <w:p w14:paraId="32A9226D">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GB 24820</w:t>
      </w:r>
      <w:r>
        <w:rPr>
          <w:rFonts w:hint="eastAsia" w:ascii="宋体" w:hAnsi="宋体" w:eastAsia="宋体" w:cs="宋体"/>
          <w:color w:val="auto"/>
          <w:sz w:val="22"/>
          <w:szCs w:val="22"/>
          <w:highlight w:val="none"/>
          <w:lang w:val="en-US" w:eastAsia="zh-CN"/>
        </w:rPr>
        <w:t>-2024</w:t>
      </w:r>
      <w:r>
        <w:rPr>
          <w:rFonts w:hint="eastAsia" w:ascii="宋体" w:hAnsi="宋体" w:eastAsia="宋体" w:cs="宋体"/>
          <w:color w:val="auto"/>
          <w:sz w:val="22"/>
          <w:szCs w:val="22"/>
          <w:highlight w:val="none"/>
        </w:rPr>
        <w:t>实验室家具通用技术条件</w:t>
      </w:r>
    </w:p>
    <w:p w14:paraId="6BF78219">
      <w:pPr>
        <w:pStyle w:val="3"/>
        <w:pageBreakBefore w:val="0"/>
        <w:widowControl w:val="0"/>
        <w:numPr>
          <w:ilvl w:val="0"/>
          <w:numId w:val="0"/>
        </w:numPr>
        <w:kinsoku/>
        <w:wordWrap/>
        <w:overflowPunct/>
        <w:topLinePunct w:val="0"/>
        <w:bidi w:val="0"/>
        <w:snapToGrid/>
        <w:spacing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具体技术要求</w:t>
      </w:r>
    </w:p>
    <w:p w14:paraId="2E601631">
      <w:pPr>
        <w:pStyle w:val="4"/>
        <w:pageBreakBefore w:val="0"/>
        <w:widowControl w:val="0"/>
        <w:kinsoku/>
        <w:wordWrap/>
        <w:overflowPunct/>
        <w:topLinePunct w:val="0"/>
        <w:autoSpaceDE/>
        <w:autoSpaceDN/>
        <w:bidi w:val="0"/>
        <w:adjustRightInd w:val="0"/>
        <w:snapToGrid/>
        <w:spacing w:beforeLines="0" w:afterLines="0"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（一）全钢边台</w:t>
      </w:r>
    </w:p>
    <w:p w14:paraId="069DA53A">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实验台台面总体要求：</w:t>
      </w:r>
    </w:p>
    <w:p w14:paraId="05759557">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val="0"/>
          <w:i w:val="0"/>
          <w:caps w:val="0"/>
          <w:color w:val="auto"/>
          <w:spacing w:val="0"/>
          <w:sz w:val="22"/>
          <w:szCs w:val="22"/>
          <w:highlight w:val="none"/>
          <w:u w:val="none"/>
        </w:rPr>
        <w:t>台面采用</w:t>
      </w:r>
      <w:r>
        <w:rPr>
          <w:rFonts w:hint="eastAsia" w:ascii="宋体" w:hAnsi="宋体" w:eastAsia="宋体" w:cs="宋体"/>
          <w:b w:val="0"/>
          <w:i w:val="0"/>
          <w:caps w:val="0"/>
          <w:color w:val="auto"/>
          <w:spacing w:val="0"/>
          <w:sz w:val="22"/>
          <w:szCs w:val="22"/>
          <w:highlight w:val="none"/>
          <w:u w:val="none"/>
          <w:lang w:eastAsia="zh-CN"/>
        </w:rPr>
        <w:t>厚度</w:t>
      </w:r>
      <w:r>
        <w:rPr>
          <w:rFonts w:hint="eastAsia" w:ascii="宋体" w:hAnsi="宋体" w:eastAsia="宋体" w:cs="宋体"/>
          <w:b w:val="0"/>
          <w:i w:val="0"/>
          <w:caps w:val="0"/>
          <w:color w:val="auto"/>
          <w:spacing w:val="0"/>
          <w:sz w:val="22"/>
          <w:szCs w:val="22"/>
          <w:highlight w:val="none"/>
          <w:u w:val="none"/>
        </w:rPr>
        <w:t>≥13mm耐腐蚀实芯理化板</w:t>
      </w:r>
      <w:r>
        <w:rPr>
          <w:rFonts w:hint="eastAsia" w:ascii="宋体" w:hAnsi="宋体" w:eastAsia="宋体" w:cs="宋体"/>
          <w:b w:val="0"/>
          <w:i w:val="0"/>
          <w:caps w:val="0"/>
          <w:color w:val="auto"/>
          <w:spacing w:val="0"/>
          <w:sz w:val="22"/>
          <w:szCs w:val="22"/>
          <w:highlight w:val="none"/>
          <w:u w:val="none"/>
          <w:lang w:eastAsia="zh-CN"/>
        </w:rPr>
        <w:t>（</w:t>
      </w:r>
      <w:r>
        <w:rPr>
          <w:rFonts w:hint="eastAsia" w:ascii="宋体" w:hAnsi="宋体" w:eastAsia="宋体" w:cs="宋体"/>
          <w:b w:val="0"/>
          <w:i w:val="0"/>
          <w:caps w:val="0"/>
          <w:color w:val="auto"/>
          <w:spacing w:val="0"/>
          <w:sz w:val="22"/>
          <w:szCs w:val="22"/>
          <w:highlight w:val="none"/>
          <w:u w:val="none"/>
          <w:lang w:val="en-US" w:eastAsia="zh-CN"/>
        </w:rPr>
        <w:t>颜色，桦木灰）</w:t>
      </w:r>
      <w:r>
        <w:rPr>
          <w:rFonts w:hint="eastAsia" w:ascii="宋体" w:hAnsi="宋体" w:eastAsia="宋体" w:cs="宋体"/>
          <w:b w:val="0"/>
          <w:i w:val="0"/>
          <w:caps w:val="0"/>
          <w:color w:val="auto"/>
          <w:spacing w:val="0"/>
          <w:sz w:val="22"/>
          <w:szCs w:val="22"/>
          <w:highlight w:val="none"/>
          <w:u w:val="none"/>
        </w:rPr>
        <w:t>，耐酸碱耐冲击。边缘采用同质板材加厚度为≥26mm。</w:t>
      </w:r>
      <w:r>
        <w:rPr>
          <w:rFonts w:hint="eastAsia" w:ascii="宋体" w:hAnsi="宋体" w:eastAsia="宋体" w:cs="宋体"/>
          <w:b w:val="0"/>
          <w:i w:val="0"/>
          <w:caps w:val="0"/>
          <w:color w:val="auto"/>
          <w:spacing w:val="0"/>
          <w:sz w:val="22"/>
          <w:szCs w:val="22"/>
          <w:highlight w:val="none"/>
          <w:u w:val="none"/>
          <w:lang w:val="en-US" w:eastAsia="zh-CN"/>
        </w:rPr>
        <w:t>台面需满足</w:t>
      </w:r>
      <w:r>
        <w:rPr>
          <w:rFonts w:hint="eastAsia" w:ascii="宋体" w:hAnsi="宋体" w:cs="宋体"/>
          <w:b w:val="0"/>
          <w:i w:val="0"/>
          <w:caps w:val="0"/>
          <w:color w:val="auto"/>
          <w:spacing w:val="0"/>
          <w:sz w:val="22"/>
          <w:szCs w:val="22"/>
          <w:highlight w:val="none"/>
          <w:u w:val="none"/>
          <w:lang w:val="en-US" w:eastAsia="zh-CN"/>
        </w:rPr>
        <w:t>以下</w:t>
      </w:r>
      <w:r>
        <w:rPr>
          <w:rFonts w:hint="eastAsia" w:ascii="宋体" w:hAnsi="宋体" w:eastAsia="宋体" w:cs="宋体"/>
          <w:b w:val="0"/>
          <w:i w:val="0"/>
          <w:caps w:val="0"/>
          <w:color w:val="auto"/>
          <w:spacing w:val="0"/>
          <w:sz w:val="22"/>
          <w:szCs w:val="22"/>
          <w:highlight w:val="none"/>
          <w:u w:val="none"/>
          <w:lang w:val="en-US" w:eastAsia="zh-CN"/>
        </w:rPr>
        <w:t>要求：</w:t>
      </w:r>
    </w:p>
    <w:p w14:paraId="251A1F6E">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b w:val="0"/>
          <w:i w:val="0"/>
          <w:caps w:val="0"/>
          <w:color w:val="auto"/>
          <w:spacing w:val="0"/>
          <w:sz w:val="22"/>
          <w:szCs w:val="22"/>
          <w:highlight w:val="none"/>
          <w:u w:val="none"/>
          <w:lang w:val="en-US" w:eastAsia="zh-CN"/>
        </w:rPr>
        <w:t>台面表面聚氨酯丙烯酸涂层，在超过75kg/cm2的压力以及EN438中规定的高温条件下，至少进行20分钟的RE表面双重硬化</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提供具备同等或优于该性能的表面硬化技术，并提供有效专利或技术证明复印件并加盖台面制造商或</w:t>
      </w:r>
      <w:r>
        <w:rPr>
          <w:rFonts w:hint="eastAsia" w:ascii="宋体" w:hAnsi="宋体" w:cs="宋体"/>
          <w:b/>
          <w:bCs/>
          <w:color w:val="auto"/>
          <w:sz w:val="22"/>
          <w:szCs w:val="22"/>
          <w:highlight w:val="none"/>
          <w:lang w:val="en-US" w:eastAsia="zh-CN"/>
        </w:rPr>
        <w:t>投标人</w:t>
      </w:r>
      <w:r>
        <w:rPr>
          <w:rFonts w:hint="eastAsia" w:ascii="宋体" w:hAnsi="宋体" w:eastAsia="宋体" w:cs="宋体"/>
          <w:b/>
          <w:bCs/>
          <w:color w:val="auto"/>
          <w:sz w:val="22"/>
          <w:szCs w:val="22"/>
          <w:highlight w:val="none"/>
        </w:rPr>
        <w:t>公章</w:t>
      </w:r>
      <w:r>
        <w:rPr>
          <w:rFonts w:hint="eastAsia" w:ascii="宋体" w:hAnsi="宋体" w:eastAsia="宋体" w:cs="宋体"/>
          <w:color w:val="auto"/>
          <w:sz w:val="22"/>
          <w:szCs w:val="22"/>
          <w:highlight w:val="none"/>
        </w:rPr>
        <w:t>。</w:t>
      </w:r>
    </w:p>
    <w:p w14:paraId="4D38A8BE">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双面面板(两面有相同的表面、涂饰和装饰)，确保面板的完美平衡。</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val="en-US" w:eastAsia="zh-CN"/>
        </w:rPr>
        <w:t>检测</w:t>
      </w:r>
      <w:r>
        <w:rPr>
          <w:rFonts w:hint="eastAsia" w:ascii="宋体" w:hAnsi="宋体" w:eastAsia="宋体" w:cs="宋体"/>
          <w:b/>
          <w:bCs/>
          <w:color w:val="auto"/>
          <w:sz w:val="22"/>
          <w:szCs w:val="22"/>
          <w:highlight w:val="none"/>
        </w:rPr>
        <w:t>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color w:val="auto"/>
          <w:sz w:val="22"/>
          <w:szCs w:val="22"/>
          <w:highlight w:val="none"/>
        </w:rPr>
        <w:t>，可耐浓酸，包括48%的氢氟酸(1级)、70%的硝酸(0级)和96%的硫酸(1级)。</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具备国家认可的相应资质的检测机构出具的检测报告复印件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w:t>
      </w:r>
    </w:p>
    <w:p w14:paraId="5768894B">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fr-FR"/>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fr-FR" w:eastAsia="zh-CN"/>
        </w:rPr>
        <w:t>台面理化性能需符合“国家化学建筑材料测试中心”参照进行化学性能测试</w:t>
      </w:r>
      <w:r>
        <w:rPr>
          <w:rFonts w:hint="eastAsia" w:ascii="宋体" w:hAnsi="宋体" w:eastAsia="宋体" w:cs="宋体"/>
          <w:color w:val="auto"/>
          <w:sz w:val="22"/>
          <w:szCs w:val="22"/>
          <w:highlight w:val="none"/>
          <w:lang w:val="en-US" w:eastAsia="zh-CN"/>
        </w:rPr>
        <w:t>(根据 GB/T 17657-2022)</w:t>
      </w:r>
      <w:r>
        <w:rPr>
          <w:rFonts w:hint="eastAsia" w:ascii="宋体" w:hAnsi="宋体" w:eastAsia="宋体" w:cs="宋体"/>
          <w:color w:val="auto"/>
          <w:sz w:val="22"/>
          <w:szCs w:val="22"/>
          <w:highlight w:val="none"/>
          <w:lang w:val="fr-FR" w:eastAsia="zh-CN"/>
        </w:rPr>
        <w:t>，通过65%硝酸，85%磷酸，40%氢氧化钠，98%硫酸，99%醋酸，4</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lang w:val="fr-FR" w:eastAsia="zh-CN"/>
        </w:rPr>
        <w:t>%氢氟酸，</w:t>
      </w:r>
      <w:r>
        <w:rPr>
          <w:rFonts w:hint="eastAsia" w:ascii="宋体" w:hAnsi="宋体" w:eastAsia="宋体" w:cs="宋体"/>
          <w:color w:val="auto"/>
          <w:sz w:val="22"/>
          <w:szCs w:val="22"/>
          <w:highlight w:val="none"/>
          <w:lang w:val="en-US" w:eastAsia="zh-CN"/>
        </w:rPr>
        <w:t>77</w:t>
      </w:r>
      <w:r>
        <w:rPr>
          <w:rFonts w:hint="eastAsia" w:ascii="宋体" w:hAnsi="宋体" w:eastAsia="宋体" w:cs="宋体"/>
          <w:color w:val="auto"/>
          <w:sz w:val="22"/>
          <w:szCs w:val="22"/>
          <w:highlight w:val="none"/>
          <w:lang w:val="fr-FR" w:eastAsia="zh-CN"/>
        </w:rPr>
        <w:t>%硫酸</w:t>
      </w:r>
      <w:r>
        <w:rPr>
          <w:rFonts w:hint="eastAsia" w:ascii="宋体" w:hAnsi="宋体" w:eastAsia="宋体" w:cs="宋体"/>
          <w:color w:val="auto"/>
          <w:sz w:val="22"/>
          <w:szCs w:val="22"/>
          <w:highlight w:val="none"/>
          <w:lang w:val="en-US" w:eastAsia="zh-CN"/>
        </w:rPr>
        <w:t>+65%硝酸</w:t>
      </w:r>
      <w:r>
        <w:rPr>
          <w:rFonts w:hint="eastAsia" w:ascii="宋体" w:hAnsi="宋体" w:eastAsia="宋体" w:cs="宋体"/>
          <w:color w:val="auto"/>
          <w:sz w:val="22"/>
          <w:szCs w:val="22"/>
          <w:highlight w:val="none"/>
          <w:lang w:val="fr-FR" w:eastAsia="zh-CN"/>
        </w:rPr>
        <w:t>，37%甲醛，汽油，苯，亚甲基蓝等至少3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fr-FR" w:eastAsia="zh-CN"/>
        </w:rPr>
        <w:t>项实验室常用化学试剂浓度且在室温24h测试条件下覆盖及不覆盖玻板进行测试，检验结果均为“无明显变化”，分级结果为“5级”</w:t>
      </w:r>
      <w:r>
        <w:rPr>
          <w:rFonts w:hint="eastAsia" w:ascii="宋体" w:hAnsi="宋体" w:eastAsia="宋体" w:cs="宋体"/>
          <w:b/>
          <w:bCs/>
          <w:color w:val="auto"/>
          <w:sz w:val="22"/>
          <w:szCs w:val="22"/>
          <w:highlight w:val="none"/>
          <w:lang w:val="fr-FR"/>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lang w:val="zh-TW"/>
        </w:rPr>
        <w:t>提供</w:t>
      </w:r>
      <w:r>
        <w:rPr>
          <w:rFonts w:hint="eastAsia" w:ascii="宋体" w:hAnsi="宋体" w:cs="宋体"/>
          <w:b/>
          <w:bCs/>
          <w:color w:val="auto"/>
          <w:sz w:val="22"/>
          <w:szCs w:val="22"/>
          <w:highlight w:val="none"/>
          <w:lang w:val="zh-TW" w:eastAsia="zh-CN"/>
        </w:rPr>
        <w:t>具备国家认可的相应资质的检测机构</w:t>
      </w:r>
      <w:r>
        <w:rPr>
          <w:rFonts w:hint="eastAsia" w:ascii="宋体" w:hAnsi="宋体" w:eastAsia="宋体" w:cs="宋体"/>
          <w:b/>
          <w:bCs/>
          <w:color w:val="auto"/>
          <w:sz w:val="22"/>
          <w:szCs w:val="22"/>
          <w:highlight w:val="none"/>
          <w:lang w:val="zh-TW"/>
        </w:rPr>
        <w:t>出具的合格检测报告证明</w:t>
      </w:r>
      <w:r>
        <w:rPr>
          <w:rFonts w:hint="eastAsia" w:ascii="宋体" w:hAnsi="宋体" w:cs="宋体"/>
          <w:b/>
          <w:bCs/>
          <w:color w:val="auto"/>
          <w:sz w:val="22"/>
          <w:szCs w:val="22"/>
          <w:highlight w:val="none"/>
          <w:lang w:val="en-US" w:eastAsia="zh-CN"/>
        </w:rPr>
        <w:t>复印件加盖投标人公章</w:t>
      </w:r>
      <w:r>
        <w:rPr>
          <w:rFonts w:hint="eastAsia" w:ascii="宋体" w:hAnsi="宋体" w:eastAsia="宋体" w:cs="宋体"/>
          <w:b/>
          <w:bCs/>
          <w:color w:val="auto"/>
          <w:sz w:val="22"/>
          <w:szCs w:val="22"/>
          <w:highlight w:val="none"/>
          <w:lang w:val="fr-FR"/>
        </w:rPr>
        <w:t>）</w:t>
      </w:r>
      <w:r>
        <w:rPr>
          <w:rFonts w:hint="eastAsia" w:ascii="宋体" w:hAnsi="宋体" w:eastAsia="宋体" w:cs="宋体"/>
          <w:color w:val="auto"/>
          <w:sz w:val="22"/>
          <w:szCs w:val="22"/>
          <w:highlight w:val="none"/>
          <w:lang w:val="fr-FR"/>
        </w:rPr>
        <w:t>。</w:t>
      </w:r>
    </w:p>
    <w:p w14:paraId="6F85374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4</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台面物理特性如下：</w:t>
      </w:r>
    </w:p>
    <w:p w14:paraId="4904B0CB">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rPr>
        <w:t>面板的拉伸断裂强度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75</w:t>
      </w:r>
      <w:r>
        <w:rPr>
          <w:rFonts w:hint="eastAsia" w:ascii="宋体" w:hAnsi="宋体" w:eastAsia="宋体" w:cs="宋体"/>
          <w:color w:val="auto"/>
          <w:sz w:val="22"/>
          <w:szCs w:val="22"/>
          <w:highlight w:val="none"/>
        </w:rPr>
        <w:t>兆帕(根据</w:t>
      </w:r>
      <w:r>
        <w:rPr>
          <w:rFonts w:hint="eastAsia" w:ascii="宋体" w:hAnsi="宋体" w:eastAsia="宋体" w:cs="宋体"/>
          <w:b/>
          <w:bCs/>
          <w:color w:val="auto"/>
          <w:sz w:val="22"/>
          <w:szCs w:val="22"/>
          <w:highlight w:val="none"/>
          <w:lang w:val="en-US" w:eastAsia="zh-CN"/>
        </w:rPr>
        <w:t>ISO 527-2:2025</w:t>
      </w:r>
      <w:r>
        <w:rPr>
          <w:rFonts w:hint="eastAsia" w:ascii="宋体" w:hAnsi="宋体" w:eastAsia="宋体" w:cs="宋体"/>
          <w:color w:val="auto"/>
          <w:sz w:val="22"/>
          <w:szCs w:val="22"/>
          <w:highlight w:val="none"/>
        </w:rPr>
        <w:t>)抗弯强度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91.7</w:t>
      </w:r>
      <w:r>
        <w:rPr>
          <w:rFonts w:hint="eastAsia" w:ascii="宋体" w:hAnsi="宋体" w:eastAsia="宋体" w:cs="宋体"/>
          <w:color w:val="auto"/>
          <w:sz w:val="22"/>
          <w:szCs w:val="22"/>
          <w:highlight w:val="none"/>
        </w:rPr>
        <w:t>兆帕(根据ISO178:</w:t>
      </w:r>
      <w:r>
        <w:rPr>
          <w:rFonts w:hint="eastAsia" w:ascii="宋体" w:hAnsi="宋体" w:eastAsia="宋体" w:cs="宋体"/>
          <w:color w:val="auto"/>
          <w:sz w:val="22"/>
          <w:szCs w:val="22"/>
          <w:highlight w:val="none"/>
          <w:lang w:val="en-US" w:eastAsia="zh-CN"/>
        </w:rPr>
        <w:t>2019</w:t>
      </w:r>
      <w:r>
        <w:rPr>
          <w:rFonts w:hint="eastAsia" w:ascii="宋体" w:hAnsi="宋体" w:eastAsia="宋体" w:cs="宋体"/>
          <w:color w:val="auto"/>
          <w:sz w:val="22"/>
          <w:szCs w:val="22"/>
          <w:highlight w:val="none"/>
        </w:rPr>
        <w:t>) </w:t>
      </w:r>
    </w:p>
    <w:p w14:paraId="5929E281">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2）</w:t>
      </w:r>
      <w:r>
        <w:rPr>
          <w:rFonts w:hint="eastAsia" w:ascii="宋体" w:hAnsi="宋体" w:eastAsia="宋体" w:cs="宋体"/>
          <w:color w:val="auto"/>
          <w:sz w:val="22"/>
          <w:szCs w:val="22"/>
          <w:highlight w:val="none"/>
        </w:rPr>
        <w:t>弯曲弹性模量≥1.</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X10(4次方)</w:t>
      </w:r>
      <w:r>
        <w:rPr>
          <w:rFonts w:hint="eastAsia" w:ascii="宋体" w:hAnsi="宋体" w:eastAsia="宋体" w:cs="宋体"/>
          <w:color w:val="auto"/>
          <w:sz w:val="22"/>
          <w:szCs w:val="22"/>
          <w:highlight w:val="none"/>
          <w:lang w:eastAsia="zh-CN"/>
        </w:rPr>
        <w:t>兆</w:t>
      </w:r>
      <w:r>
        <w:rPr>
          <w:rFonts w:hint="eastAsia" w:ascii="宋体" w:hAnsi="宋体" w:eastAsia="宋体" w:cs="宋体"/>
          <w:color w:val="auto"/>
          <w:sz w:val="22"/>
          <w:szCs w:val="22"/>
          <w:highlight w:val="none"/>
        </w:rPr>
        <w:t>帕(根据ISO178:</w:t>
      </w:r>
      <w:r>
        <w:rPr>
          <w:rFonts w:hint="eastAsia" w:ascii="宋体" w:hAnsi="宋体" w:eastAsia="宋体" w:cs="宋体"/>
          <w:color w:val="auto"/>
          <w:sz w:val="22"/>
          <w:szCs w:val="22"/>
          <w:highlight w:val="none"/>
          <w:lang w:val="en-US" w:eastAsia="zh-CN"/>
        </w:rPr>
        <w:t>2019</w:t>
      </w:r>
      <w:r>
        <w:rPr>
          <w:rFonts w:hint="eastAsia" w:ascii="宋体" w:hAnsi="宋体" w:eastAsia="宋体" w:cs="宋体"/>
          <w:color w:val="auto"/>
          <w:sz w:val="22"/>
          <w:szCs w:val="22"/>
          <w:highlight w:val="none"/>
        </w:rPr>
        <w:t>) </w:t>
      </w:r>
    </w:p>
    <w:p w14:paraId="165D7332">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rPr>
        <w:t>抗冲击性能(</w:t>
      </w:r>
      <w:r>
        <w:rPr>
          <w:rFonts w:hint="eastAsia" w:ascii="宋体" w:hAnsi="宋体" w:eastAsia="宋体" w:cs="宋体"/>
          <w:color w:val="auto"/>
          <w:sz w:val="22"/>
          <w:szCs w:val="22"/>
          <w:highlight w:val="none"/>
          <w:lang w:val="en-US" w:eastAsia="zh-CN"/>
        </w:rPr>
        <w:t>0.324kg，</w:t>
      </w:r>
      <w:r>
        <w:rPr>
          <w:rFonts w:hint="eastAsia" w:ascii="宋体" w:hAnsi="宋体" w:eastAsia="宋体" w:cs="宋体"/>
          <w:color w:val="auto"/>
          <w:sz w:val="22"/>
          <w:szCs w:val="22"/>
          <w:highlight w:val="none"/>
        </w:rPr>
        <w:t>1m)压痕直径</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mm</w:t>
      </w:r>
      <w:r>
        <w:rPr>
          <w:rFonts w:hint="eastAsia" w:ascii="宋体" w:hAnsi="宋体" w:eastAsia="宋体" w:cs="宋体"/>
          <w:color w:val="auto"/>
          <w:sz w:val="22"/>
          <w:szCs w:val="22"/>
          <w:highlight w:val="none"/>
          <w:lang w:eastAsia="zh-CN"/>
        </w:rPr>
        <w:t>无破损</w:t>
      </w:r>
      <w:r>
        <w:rPr>
          <w:rFonts w:hint="eastAsia" w:ascii="宋体" w:hAnsi="宋体" w:eastAsia="宋体" w:cs="宋体"/>
          <w:color w:val="auto"/>
          <w:sz w:val="22"/>
          <w:szCs w:val="22"/>
          <w:highlight w:val="none"/>
        </w:rPr>
        <w:t xml:space="preserve"> (根据GB/T 17657-</w:t>
      </w:r>
      <w:r>
        <w:rPr>
          <w:rFonts w:hint="eastAsia" w:ascii="宋体" w:hAnsi="宋体" w:eastAsia="宋体" w:cs="宋体"/>
          <w:color w:val="auto"/>
          <w:sz w:val="22"/>
          <w:szCs w:val="22"/>
          <w:highlight w:val="none"/>
          <w:lang w:val="en-US" w:eastAsia="zh-CN"/>
        </w:rPr>
        <w:t>2022</w:t>
      </w:r>
      <w:r>
        <w:rPr>
          <w:rFonts w:hint="eastAsia" w:ascii="宋体" w:hAnsi="宋体" w:eastAsia="宋体" w:cs="宋体"/>
          <w:color w:val="auto"/>
          <w:sz w:val="22"/>
          <w:szCs w:val="22"/>
          <w:highlight w:val="none"/>
        </w:rPr>
        <w:t>)表观密度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克/立方厘米</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根据GB/T 17657-</w:t>
      </w:r>
      <w:r>
        <w:rPr>
          <w:rFonts w:hint="eastAsia" w:ascii="宋体" w:hAnsi="宋体" w:eastAsia="宋体" w:cs="宋体"/>
          <w:color w:val="auto"/>
          <w:sz w:val="22"/>
          <w:szCs w:val="22"/>
          <w:highlight w:val="none"/>
          <w:lang w:val="en-US" w:eastAsia="zh-CN"/>
        </w:rPr>
        <w:t>2022）</w:t>
      </w:r>
    </w:p>
    <w:p w14:paraId="6C0C305B">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r>
        <w:rPr>
          <w:rFonts w:hint="eastAsia" w:ascii="宋体" w:hAnsi="宋体" w:eastAsia="宋体" w:cs="宋体"/>
          <w:color w:val="auto"/>
          <w:sz w:val="22"/>
          <w:szCs w:val="22"/>
          <w:highlight w:val="none"/>
          <w:lang w:val="fr-FR" w:eastAsia="zh-CN"/>
        </w:rPr>
        <w:t>表面耐高温性能为：表面无裂纹</w:t>
      </w:r>
      <w:r>
        <w:rPr>
          <w:rFonts w:hint="eastAsia" w:ascii="宋体" w:hAnsi="宋体" w:eastAsia="宋体" w:cs="宋体"/>
          <w:color w:val="auto"/>
          <w:sz w:val="22"/>
          <w:szCs w:val="22"/>
          <w:highlight w:val="none"/>
          <w:lang w:eastAsia="zh-CN"/>
        </w:rPr>
        <w:t>(根据GB/T 17657-2022)</w:t>
      </w:r>
    </w:p>
    <w:p w14:paraId="02B0341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5）表面耐干热：5级无变化(根据GB/T 17657-2022)</w:t>
      </w:r>
    </w:p>
    <w:p w14:paraId="0F416AD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6）表面耐龟裂性：5级用6倍放大镜观察表面无裂纹(根据 GB/T 17657-2022)</w:t>
      </w:r>
    </w:p>
    <w:p w14:paraId="535E638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fr-FR" w:eastAsia="zh-CN"/>
        </w:rPr>
        <w:t>表面耐污染性能：</w:t>
      </w:r>
      <w:r>
        <w:rPr>
          <w:rFonts w:hint="eastAsia" w:ascii="宋体" w:hAnsi="宋体" w:eastAsia="宋体" w:cs="宋体"/>
          <w:color w:val="auto"/>
          <w:sz w:val="22"/>
          <w:szCs w:val="22"/>
          <w:highlight w:val="none"/>
          <w:lang w:eastAsia="zh-CN"/>
        </w:rPr>
        <w:t>5级无变化。(根据GB/T 17657-2022)</w:t>
      </w:r>
    </w:p>
    <w:p w14:paraId="12ECC7F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5</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表面易清洁，抑制霉菌生长，</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eastAsia="宋体" w:cs="宋体"/>
          <w:b/>
          <w:bCs/>
          <w:color w:val="auto"/>
          <w:sz w:val="22"/>
          <w:szCs w:val="22"/>
          <w:highlight w:val="none"/>
        </w:rPr>
        <w:t>的防霉菌性能测试报告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color w:val="auto"/>
          <w:sz w:val="22"/>
          <w:szCs w:val="22"/>
          <w:highlight w:val="none"/>
        </w:rPr>
        <w:t>，须通过以下6种霉菌的防霉菌性能效果测试，均到达0级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黑曲霉，土曲霉，宛氏拟青霉，绳状青霉，出芽短梗霉，球毛壳。</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提供食品级安全认证</w:t>
      </w:r>
      <w:r>
        <w:rPr>
          <w:rFonts w:hint="eastAsia" w:ascii="宋体" w:hAnsi="宋体" w:eastAsia="宋体" w:cs="宋体"/>
          <w:b/>
          <w:bCs/>
          <w:color w:val="auto"/>
          <w:sz w:val="22"/>
          <w:szCs w:val="22"/>
          <w:highlight w:val="none"/>
          <w:lang w:val="en-US" w:eastAsia="zh-CN"/>
        </w:rPr>
        <w:t>证书</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w:t>
      </w:r>
    </w:p>
    <w:p w14:paraId="2E215D3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6</w:t>
      </w:r>
      <w:r>
        <w:rPr>
          <w:rFonts w:hint="eastAsia" w:ascii="宋体" w:hAnsi="宋体" w:cs="宋体"/>
          <w:color w:val="auto"/>
          <w:sz w:val="22"/>
          <w:szCs w:val="22"/>
          <w:highlight w:val="none"/>
          <w:lang w:val="en-US" w:eastAsia="zh-CN"/>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eastAsia="宋体" w:cs="宋体"/>
          <w:b/>
          <w:bCs/>
          <w:color w:val="auto"/>
          <w:sz w:val="22"/>
          <w:szCs w:val="22"/>
          <w:highlight w:val="none"/>
        </w:rPr>
        <w:t>的表面耐湿热性能检测报告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color w:val="auto"/>
          <w:sz w:val="22"/>
          <w:szCs w:val="22"/>
          <w:highlight w:val="none"/>
        </w:rPr>
        <w:t>，检测结果为5级无明显变化</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eastAsia="宋体" w:cs="宋体"/>
          <w:b/>
          <w:bCs/>
          <w:color w:val="auto"/>
          <w:sz w:val="22"/>
          <w:szCs w:val="22"/>
          <w:highlight w:val="none"/>
        </w:rPr>
        <w:t>的表面漆膜硬度报告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，检测结果为6H</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cs="宋体"/>
          <w:b/>
          <w:bCs/>
          <w:color w:val="auto"/>
          <w:sz w:val="22"/>
          <w:szCs w:val="22"/>
          <w:highlight w:val="none"/>
          <w:lang w:val="en-US" w:eastAsia="zh-CN"/>
        </w:rPr>
        <w:t>的检测报告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，检测结果209种SVHC的检测结果含量均小于0.1%。</w:t>
      </w:r>
    </w:p>
    <w:p w14:paraId="69E95111">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7</w:t>
      </w:r>
      <w:r>
        <w:rPr>
          <w:rFonts w:hint="eastAsia" w:ascii="宋体" w:hAnsi="宋体" w:cs="宋体"/>
          <w:color w:val="auto"/>
          <w:sz w:val="22"/>
          <w:szCs w:val="22"/>
          <w:highlight w:val="none"/>
          <w:lang w:val="en-US" w:eastAsia="zh-CN"/>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cs="宋体"/>
          <w:b/>
          <w:bCs/>
          <w:color w:val="auto"/>
          <w:sz w:val="22"/>
          <w:szCs w:val="22"/>
          <w:highlight w:val="none"/>
          <w:lang w:val="en-US" w:eastAsia="zh-CN"/>
        </w:rPr>
        <w:t>的检测报告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，检测结果离子测试</w:t>
      </w:r>
      <w:r>
        <w:rPr>
          <w:rFonts w:hint="eastAsia" w:ascii="宋体" w:hAnsi="宋体" w:eastAsia="宋体" w:cs="宋体"/>
          <w:color w:val="auto"/>
          <w:sz w:val="22"/>
          <w:szCs w:val="22"/>
          <w:highlight w:val="none"/>
          <w:lang w:eastAsia="zh-CN"/>
        </w:rPr>
        <w:t>：</w:t>
      </w:r>
      <w:r>
        <w:rPr>
          <w:rFonts w:hint="eastAsia" w:ascii="宋体" w:hAnsi="宋体" w:eastAsia="宋体" w:cs="宋体"/>
          <w:b w:val="0"/>
          <w:bCs w:val="0"/>
          <w:color w:val="auto"/>
          <w:sz w:val="22"/>
          <w:szCs w:val="22"/>
          <w:highlight w:val="none"/>
        </w:rPr>
        <w:t>硅元素(si)测试结果为 N.D.(&lt;2)，银离子(Ag)测试结果为 N.D.(&lt;1)，单位(mg/kg)。</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eastAsia="宋体" w:cs="宋体"/>
          <w:b/>
          <w:bCs/>
          <w:color w:val="auto"/>
          <w:sz w:val="22"/>
          <w:szCs w:val="22"/>
          <w:highlight w:val="none"/>
        </w:rPr>
        <w:t>的检验报告</w:t>
      </w:r>
      <w:r>
        <w:rPr>
          <w:rFonts w:hint="eastAsia"/>
          <w:b/>
          <w:bCs/>
          <w:color w:val="auto"/>
          <w:highlight w:val="none"/>
          <w:lang w:val="en-US" w:eastAsia="zh-CN"/>
        </w:rPr>
        <w:t>复印件</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color w:val="auto"/>
          <w:sz w:val="22"/>
          <w:szCs w:val="22"/>
          <w:highlight w:val="none"/>
        </w:rPr>
        <w:t>，燃烧性能符合GB8624-2012标准中达到GB8624B1(B-s2，d0)级平板状建筑材料要求。</w:t>
      </w:r>
    </w:p>
    <w:p w14:paraId="3CAE242F">
      <w:pPr>
        <w:keepNext w:val="0"/>
        <w:keepLines w:val="0"/>
        <w:pageBreakBefore w:val="0"/>
        <w:widowControl w:val="0"/>
        <w:kinsoku/>
        <w:wordWrap w:val="0"/>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8</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台</w:t>
      </w:r>
      <w:r>
        <w:rPr>
          <w:rFonts w:hint="eastAsia" w:ascii="宋体" w:hAnsi="宋体" w:eastAsia="宋体" w:cs="宋体"/>
          <w:color w:val="auto"/>
          <w:sz w:val="22"/>
          <w:szCs w:val="22"/>
          <w:highlight w:val="none"/>
        </w:rPr>
        <w:t>面通过绿色环保产品的认证(Greenguard)且总挥发性有机化合物最大可允许浓度为0.</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毫克/立方米，甲醛最大允许浓度为</w:t>
      </w:r>
      <w:r>
        <w:rPr>
          <w:rFonts w:hint="eastAsia" w:ascii="宋体" w:hAnsi="宋体" w:eastAsia="宋体" w:cs="宋体"/>
          <w:color w:val="auto"/>
          <w:sz w:val="22"/>
          <w:szCs w:val="22"/>
          <w:highlight w:val="none"/>
          <w:lang w:val="en-US" w:eastAsia="zh-CN"/>
        </w:rPr>
        <w:t>61.3（50ppb）</w:t>
      </w:r>
      <w:r>
        <w:rPr>
          <w:rFonts w:hint="eastAsia" w:ascii="宋体" w:hAnsi="宋体" w:eastAsia="宋体" w:cs="宋体"/>
          <w:color w:val="auto"/>
          <w:sz w:val="22"/>
          <w:szCs w:val="22"/>
          <w:highlight w:val="none"/>
        </w:rPr>
        <w:t>微克/立方米。</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提供绿色环保产品</w:t>
      </w:r>
      <w:r>
        <w:rPr>
          <w:rFonts w:hint="eastAsia" w:ascii="宋体" w:hAnsi="宋体" w:eastAsia="宋体" w:cs="宋体"/>
          <w:b/>
          <w:bCs/>
          <w:color w:val="auto"/>
          <w:sz w:val="22"/>
          <w:szCs w:val="22"/>
          <w:highlight w:val="none"/>
          <w:lang w:val="en-US" w:eastAsia="zh-CN"/>
        </w:rPr>
        <w:t>认证证书及具备国家认可的检测机构出具的检测报告复印件并加盖投标人公章</w:t>
      </w:r>
      <w:r>
        <w:rPr>
          <w:rFonts w:hint="eastAsia" w:ascii="宋体" w:hAnsi="宋体" w:eastAsia="宋体" w:cs="宋体"/>
          <w:color w:val="auto"/>
          <w:sz w:val="22"/>
          <w:szCs w:val="22"/>
          <w:highlight w:val="none"/>
        </w:rPr>
        <w:t>，甲醛释放量小于0.01毫克/立方米，符合GB</w:t>
      </w:r>
      <w:r>
        <w:rPr>
          <w:rFonts w:hint="eastAsia" w:ascii="宋体" w:hAnsi="宋体" w:eastAsia="宋体" w:cs="宋体"/>
          <w:color w:val="auto"/>
          <w:sz w:val="22"/>
          <w:szCs w:val="22"/>
          <w:highlight w:val="none"/>
          <w:lang w:val="en-US" w:eastAsia="zh-CN"/>
        </w:rPr>
        <w:t>18580-2017</w:t>
      </w:r>
      <w:r>
        <w:rPr>
          <w:rFonts w:hint="eastAsia" w:ascii="宋体" w:hAnsi="宋体" w:eastAsia="宋体" w:cs="宋体"/>
          <w:color w:val="auto"/>
          <w:sz w:val="22"/>
          <w:szCs w:val="22"/>
          <w:highlight w:val="none"/>
        </w:rPr>
        <w:t>标准。耐磨性能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达到最初磨损点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1350</w:t>
      </w:r>
      <w:r>
        <w:rPr>
          <w:rFonts w:hint="eastAsia" w:ascii="宋体" w:hAnsi="宋体" w:eastAsia="宋体" w:cs="宋体"/>
          <w:color w:val="auto"/>
          <w:sz w:val="22"/>
          <w:szCs w:val="22"/>
          <w:highlight w:val="none"/>
        </w:rPr>
        <w:t>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符合GB/T</w:t>
      </w:r>
      <w:r>
        <w:rPr>
          <w:rFonts w:hint="eastAsia" w:ascii="宋体" w:hAnsi="宋体" w:eastAsia="宋体" w:cs="宋体"/>
          <w:color w:val="auto"/>
          <w:sz w:val="22"/>
          <w:szCs w:val="22"/>
          <w:highlight w:val="none"/>
          <w:lang w:val="en-US" w:eastAsia="zh-CN"/>
        </w:rPr>
        <w:t>17657-2022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4.45</w:t>
      </w:r>
      <w:r>
        <w:rPr>
          <w:rFonts w:hint="eastAsia" w:ascii="宋体" w:hAnsi="宋体" w:eastAsia="宋体" w:cs="宋体"/>
          <w:color w:val="auto"/>
          <w:sz w:val="22"/>
          <w:szCs w:val="22"/>
          <w:highlight w:val="none"/>
        </w:rPr>
        <w:t>标准。</w:t>
      </w:r>
    </w:p>
    <w:p w14:paraId="56EB9DB1">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9.</w:t>
      </w:r>
      <w:r>
        <w:rPr>
          <w:rFonts w:hint="eastAsia" w:ascii="宋体" w:hAnsi="宋体" w:eastAsia="宋体" w:cs="宋体"/>
          <w:b/>
          <w:bCs/>
          <w:color w:val="auto"/>
          <w:sz w:val="22"/>
          <w:szCs w:val="22"/>
          <w:highlight w:val="none"/>
        </w:rPr>
        <w:t>提供台面制造厂家10年质保书。</w:t>
      </w:r>
    </w:p>
    <w:p w14:paraId="15B2A16D">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b/>
          <w:bCs/>
          <w:color w:val="auto"/>
          <w:sz w:val="22"/>
          <w:szCs w:val="22"/>
          <w:highlight w:val="none"/>
        </w:rPr>
        <w:t>钢制柜柜体</w:t>
      </w:r>
      <w:r>
        <w:rPr>
          <w:rFonts w:hint="eastAsia" w:ascii="宋体" w:hAnsi="宋体" w:eastAsia="宋体" w:cs="宋体"/>
          <w:color w:val="auto"/>
          <w:sz w:val="22"/>
          <w:szCs w:val="22"/>
          <w:highlight w:val="none"/>
        </w:rPr>
        <w:t>：主体采用厚度≥</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mm厚冷轧钢板冲折焊接制作，表面酸洗磷化再经环氧树脂静电粉末喷涂，结构稳定，不变形，门面板内侧设防缓冲减震装置。结构为双层中空加筋加泡沫；</w:t>
      </w:r>
      <w:r>
        <w:rPr>
          <w:rFonts w:hint="eastAsia" w:ascii="宋体" w:hAnsi="宋体" w:eastAsia="宋体" w:cs="宋体"/>
          <w:color w:val="auto"/>
          <w:sz w:val="22"/>
          <w:szCs w:val="22"/>
          <w:highlight w:val="none"/>
          <w:lang w:val="zh-TW"/>
        </w:rPr>
        <w:t>在180摄氏度高温烘箱内固化成光滑表面。</w:t>
      </w:r>
      <w:r>
        <w:rPr>
          <w:rFonts w:hint="eastAsia" w:ascii="宋体" w:hAnsi="宋体" w:eastAsia="宋体" w:cs="宋体"/>
          <w:color w:val="auto"/>
          <w:sz w:val="22"/>
          <w:szCs w:val="22"/>
          <w:highlight w:val="none"/>
          <w:lang w:val="zh-TW" w:eastAsia="zh-TW"/>
        </w:rPr>
        <w:t>喷涂后的金属表面抗一定的化学物质，</w:t>
      </w:r>
      <w:r>
        <w:rPr>
          <w:rFonts w:hint="eastAsia" w:ascii="宋体" w:hAnsi="宋体" w:eastAsia="宋体" w:cs="宋体"/>
          <w:color w:val="auto"/>
          <w:sz w:val="22"/>
          <w:szCs w:val="22"/>
          <w:highlight w:val="none"/>
        </w:rPr>
        <w:t>耐酸碱耐腐蚀。</w:t>
      </w:r>
      <w:r>
        <w:rPr>
          <w:rFonts w:hint="eastAsia" w:ascii="宋体" w:hAnsi="宋体" w:eastAsia="宋体" w:cs="宋体"/>
          <w:color w:val="auto"/>
          <w:sz w:val="22"/>
          <w:szCs w:val="22"/>
          <w:highlight w:val="none"/>
          <w:lang w:val="zh-TW" w:eastAsia="zh-TW"/>
        </w:rPr>
        <w:t>喷涂后的金属表面有一定的防护性能，</w:t>
      </w:r>
      <w:r>
        <w:rPr>
          <w:rFonts w:hint="eastAsia" w:ascii="宋体" w:hAnsi="宋体" w:eastAsia="宋体" w:cs="宋体"/>
          <w:color w:val="auto"/>
          <w:sz w:val="22"/>
          <w:szCs w:val="22"/>
          <w:highlight w:val="none"/>
        </w:rPr>
        <w:t>防腐处理，强吸附、抗酸碱，提高整体承重性及抗冲击能力。门板为主体材质双层钢板，表层双面酸洗磷化环氧树脂粉末静电喷涂，防腐处理，内板夹层装置加强筋，增强抗压性。内侧设有防撞橡胶垫，对抽屉、门板闭合起减震作用。</w:t>
      </w:r>
    </w:p>
    <w:p w14:paraId="35DF32C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钢制柜抽屉：主体采用≥1.2mm优质冷轧钢板机加工而成，表面喷涂环氧树脂粉末处理，门板为主体材质双层钢板。</w:t>
      </w:r>
    </w:p>
    <w:p w14:paraId="215DC16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层板：主体采用≥1.2mm优质冷轧钢板机加工而成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其余材质同柜体。箱体内设有托架，位置任意可调。 </w:t>
      </w:r>
    </w:p>
    <w:p w14:paraId="28CD21D6">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调整脚：钢制调整脚底部注塑，防水防锈承重性能优异。</w:t>
      </w:r>
    </w:p>
    <w:p w14:paraId="4A3173FA">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全钢实验</w:t>
      </w:r>
      <w:r>
        <w:rPr>
          <w:rFonts w:hint="eastAsia" w:ascii="宋体" w:hAnsi="宋体" w:eastAsia="宋体" w:cs="宋体"/>
          <w:color w:val="auto"/>
          <w:sz w:val="22"/>
          <w:szCs w:val="22"/>
          <w:highlight w:val="none"/>
          <w:lang w:val="en-US" w:eastAsia="zh-CN"/>
        </w:rPr>
        <w:t>台</w:t>
      </w:r>
      <w:r>
        <w:rPr>
          <w:rFonts w:hint="eastAsia" w:ascii="宋体" w:hAnsi="宋体" w:eastAsia="宋体" w:cs="宋体"/>
          <w:color w:val="auto"/>
          <w:sz w:val="22"/>
          <w:szCs w:val="22"/>
          <w:highlight w:val="none"/>
        </w:rPr>
        <w:t>的力学性能应达到以下技术指标。</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检验标准依据：GB/T 24820-2024《实验室家具通用技术条件》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，并标出以下指标的测试项。</w:t>
      </w:r>
    </w:p>
    <w:p w14:paraId="312F909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6.1</w:t>
      </w:r>
      <w:r>
        <w:rPr>
          <w:rFonts w:hint="eastAsia" w:ascii="宋体" w:hAnsi="宋体" w:eastAsia="宋体" w:cs="宋体"/>
          <w:color w:val="auto"/>
          <w:sz w:val="22"/>
          <w:szCs w:val="22"/>
          <w:highlight w:val="none"/>
        </w:rPr>
        <w:t>柜加载试验水平加载承重≥900kg，柜没有永久损坏现象，移除载荷后检查平衡脚，任何变形不应影响调节系统功能</w:t>
      </w:r>
      <w:r>
        <w:rPr>
          <w:rFonts w:hint="eastAsia" w:ascii="宋体" w:hAnsi="宋体" w:eastAsia="宋体" w:cs="宋体"/>
          <w:color w:val="auto"/>
          <w:sz w:val="22"/>
          <w:szCs w:val="22"/>
          <w:highlight w:val="none"/>
          <w:lang w:eastAsia="zh-CN"/>
        </w:rPr>
        <w:t>；</w:t>
      </w:r>
    </w:p>
    <w:p w14:paraId="1B6A32F4">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6.2</w:t>
      </w:r>
      <w:r>
        <w:rPr>
          <w:rFonts w:hint="eastAsia" w:ascii="宋体" w:hAnsi="宋体" w:eastAsia="宋体" w:cs="宋体"/>
          <w:color w:val="auto"/>
          <w:sz w:val="22"/>
          <w:szCs w:val="22"/>
          <w:highlight w:val="none"/>
        </w:rPr>
        <w:t>柜集中加载试验≥90kg，加载时门和抽屉应能正常操作，前梁、柜连接工艺、门或抽屉应没有永久变形现象</w:t>
      </w:r>
      <w:r>
        <w:rPr>
          <w:rFonts w:hint="eastAsia" w:ascii="宋体" w:hAnsi="宋体" w:eastAsia="宋体" w:cs="宋体"/>
          <w:color w:val="auto"/>
          <w:sz w:val="22"/>
          <w:szCs w:val="22"/>
          <w:highlight w:val="none"/>
          <w:lang w:eastAsia="zh-CN"/>
        </w:rPr>
        <w:t>；</w:t>
      </w:r>
    </w:p>
    <w:p w14:paraId="3E86720C">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6.3</w:t>
      </w:r>
      <w:r>
        <w:rPr>
          <w:rFonts w:hint="eastAsia" w:ascii="宋体" w:hAnsi="宋体" w:eastAsia="宋体" w:cs="宋体"/>
          <w:color w:val="auto"/>
          <w:sz w:val="22"/>
          <w:szCs w:val="22"/>
          <w:highlight w:val="none"/>
        </w:rPr>
        <w:t>柜扭曲试验≥90kg 保持24小时，当返回正常位置时，应能正常操作柜，无永久损坏现象</w:t>
      </w:r>
      <w:r>
        <w:rPr>
          <w:rFonts w:hint="eastAsia" w:ascii="宋体" w:hAnsi="宋体" w:eastAsia="宋体" w:cs="宋体"/>
          <w:color w:val="auto"/>
          <w:sz w:val="22"/>
          <w:szCs w:val="22"/>
          <w:highlight w:val="none"/>
          <w:lang w:eastAsia="zh-CN"/>
        </w:rPr>
        <w:t>；</w:t>
      </w:r>
    </w:p>
    <w:p w14:paraId="604E8507">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6.4</w:t>
      </w:r>
      <w:r>
        <w:rPr>
          <w:rFonts w:hint="eastAsia" w:ascii="宋体" w:hAnsi="宋体" w:eastAsia="宋体" w:cs="宋体"/>
          <w:color w:val="auto"/>
          <w:sz w:val="22"/>
          <w:szCs w:val="22"/>
          <w:highlight w:val="none"/>
        </w:rPr>
        <w:t>门冲击试验≥9kg，试验后，开启的门无永久损坏</w:t>
      </w:r>
      <w:r>
        <w:rPr>
          <w:rFonts w:hint="eastAsia" w:ascii="宋体" w:hAnsi="宋体" w:eastAsia="宋体" w:cs="宋体"/>
          <w:color w:val="auto"/>
          <w:sz w:val="22"/>
          <w:szCs w:val="22"/>
          <w:highlight w:val="none"/>
          <w:lang w:eastAsia="zh-CN"/>
        </w:rPr>
        <w:t>；</w:t>
      </w:r>
    </w:p>
    <w:p w14:paraId="57D08B1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rPr>
        <w:t>门循环试验≥10万次，应没有明显影响门功能的损坏，门应操作顺畅无阻滞</w:t>
      </w:r>
      <w:r>
        <w:rPr>
          <w:rFonts w:hint="eastAsia" w:ascii="宋体" w:hAnsi="宋体" w:eastAsia="宋体" w:cs="宋体"/>
          <w:color w:val="auto"/>
          <w:sz w:val="22"/>
          <w:szCs w:val="22"/>
          <w:highlight w:val="none"/>
          <w:lang w:eastAsia="zh-CN"/>
        </w:rPr>
        <w:t>；</w:t>
      </w:r>
    </w:p>
    <w:p w14:paraId="076E7806">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6.6</w:t>
      </w:r>
      <w:r>
        <w:rPr>
          <w:rFonts w:hint="eastAsia" w:ascii="宋体" w:hAnsi="宋体" w:eastAsia="宋体" w:cs="宋体"/>
          <w:color w:val="auto"/>
          <w:sz w:val="22"/>
          <w:szCs w:val="22"/>
          <w:highlight w:val="none"/>
        </w:rPr>
        <w:t>抽屉静载试验≥68kg，应无干扰抽屉正常操作的永久性损伤，抽屉前端应同抽屉紧密固定</w:t>
      </w:r>
      <w:r>
        <w:rPr>
          <w:rFonts w:hint="eastAsia" w:ascii="宋体" w:hAnsi="宋体" w:eastAsia="宋体" w:cs="宋体"/>
          <w:color w:val="auto"/>
          <w:sz w:val="22"/>
          <w:szCs w:val="22"/>
          <w:highlight w:val="none"/>
          <w:lang w:eastAsia="zh-CN"/>
        </w:rPr>
        <w:t>；</w:t>
      </w:r>
    </w:p>
    <w:p w14:paraId="5F969C92">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6.7</w:t>
      </w:r>
      <w:r>
        <w:rPr>
          <w:rFonts w:hint="eastAsia" w:ascii="宋体" w:hAnsi="宋体" w:eastAsia="宋体" w:cs="宋体"/>
          <w:color w:val="auto"/>
          <w:sz w:val="22"/>
          <w:szCs w:val="22"/>
          <w:highlight w:val="none"/>
        </w:rPr>
        <w:t>抽屉和门拉手试验≥22.68kg，拉手应能承受加载无破坏，测试后移除荷载，应没有严重的永久变形</w:t>
      </w:r>
      <w:r>
        <w:rPr>
          <w:rFonts w:hint="eastAsia" w:ascii="宋体" w:hAnsi="宋体" w:eastAsia="宋体" w:cs="宋体"/>
          <w:color w:val="auto"/>
          <w:sz w:val="22"/>
          <w:szCs w:val="22"/>
          <w:highlight w:val="none"/>
          <w:lang w:eastAsia="zh-CN"/>
        </w:rPr>
        <w:t>；</w:t>
      </w:r>
    </w:p>
    <w:p w14:paraId="4E8A2F4A">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6.8</w:t>
      </w:r>
      <w:r>
        <w:rPr>
          <w:rFonts w:hint="eastAsia" w:ascii="宋体" w:hAnsi="宋体" w:eastAsia="宋体" w:cs="宋体"/>
          <w:color w:val="auto"/>
          <w:sz w:val="22"/>
          <w:szCs w:val="22"/>
          <w:highlight w:val="none"/>
        </w:rPr>
        <w:t>抽屉内部滚动冲击≥4kg冲击抽屉背部，抽屉应没有永久变形现象，所有工艺应完整，抽屉应能正常操作</w:t>
      </w:r>
      <w:r>
        <w:rPr>
          <w:rFonts w:hint="eastAsia" w:ascii="宋体" w:hAnsi="宋体" w:eastAsia="宋体" w:cs="宋体"/>
          <w:color w:val="auto"/>
          <w:sz w:val="22"/>
          <w:szCs w:val="22"/>
          <w:highlight w:val="none"/>
          <w:lang w:eastAsia="zh-CN"/>
        </w:rPr>
        <w:t>；</w:t>
      </w:r>
    </w:p>
    <w:p w14:paraId="3AD35092">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实验台五金配件</w:t>
      </w:r>
      <w:r>
        <w:rPr>
          <w:rFonts w:hint="eastAsia" w:ascii="宋体" w:hAnsi="宋体" w:eastAsia="宋体" w:cs="宋体"/>
          <w:color w:val="auto"/>
          <w:sz w:val="22"/>
          <w:szCs w:val="22"/>
          <w:highlight w:val="none"/>
          <w:lang w:eastAsia="zh-CN"/>
        </w:rPr>
        <w:t>：</w:t>
      </w:r>
    </w:p>
    <w:p w14:paraId="0887095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.1.滑轨：采用三节静音阻尼滑轨，开合平稳、承重力强、耐磨。使用寿命数值符合标准 QB/T 2454-2013。</w:t>
      </w:r>
    </w:p>
    <w:p w14:paraId="7D36540D">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.2.铰链：采用不锈钢合页，具有耐酸碱、抗腐蚀、承重力强，闭合循环寿命数值符合检测标准。通过盐雾测试（QB/T 3826-1999）。</w:t>
      </w:r>
    </w:p>
    <w:p w14:paraId="5C47BF84">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.3.电源插座：采用220V、10A五孔插座。</w:t>
      </w:r>
    </w:p>
    <w:p w14:paraId="2996F8A3">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.4.电线：采用国标常规配线2.5平方。</w:t>
      </w:r>
    </w:p>
    <w:p w14:paraId="254D5AEC">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.5.钢制调整脚：30mm高度钢制尼龙可调整脚，可自由调整高低。</w:t>
      </w:r>
    </w:p>
    <w:p w14:paraId="4934A4E7">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.6.把手：不锈钢工字型拉手。</w:t>
      </w:r>
    </w:p>
    <w:p w14:paraId="105BA079">
      <w:pPr>
        <w:pStyle w:val="4"/>
        <w:pageBreakBefore w:val="0"/>
        <w:widowControl w:val="0"/>
        <w:kinsoku/>
        <w:wordWrap/>
        <w:overflowPunct/>
        <w:topLinePunct w:val="0"/>
        <w:autoSpaceDE/>
        <w:autoSpaceDN/>
        <w:bidi w:val="0"/>
        <w:adjustRightInd w:val="0"/>
        <w:snapToGrid/>
        <w:spacing w:beforeLines="0" w:afterLines="0"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val="en-US" w:eastAsia="zh-CN"/>
        </w:rPr>
        <w:t>不锈钢边</w:t>
      </w:r>
      <w:r>
        <w:rPr>
          <w:rFonts w:hint="eastAsia" w:ascii="宋体" w:hAnsi="宋体" w:eastAsia="宋体" w:cs="宋体"/>
          <w:color w:val="auto"/>
          <w:sz w:val="22"/>
          <w:szCs w:val="22"/>
          <w:highlight w:val="none"/>
        </w:rPr>
        <w:t>台</w:t>
      </w:r>
    </w:p>
    <w:p w14:paraId="4954EF5A">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符合</w:t>
      </w:r>
      <w:r>
        <w:rPr>
          <w:rFonts w:hint="eastAsia" w:ascii="宋体" w:hAnsi="宋体" w:eastAsia="宋体" w:cs="宋体"/>
          <w:color w:val="auto"/>
          <w:sz w:val="22"/>
          <w:szCs w:val="22"/>
          <w:highlight w:val="none"/>
        </w:rPr>
        <w:t>GB/T 24820-2024《实验室家具通用技术条件》GB 18584-2024《家具中有害物质限量》</w:t>
      </w:r>
      <w:r>
        <w:rPr>
          <w:rFonts w:hint="eastAsia" w:ascii="宋体" w:hAnsi="宋体" w:eastAsia="宋体" w:cs="宋体"/>
          <w:color w:val="auto"/>
          <w:sz w:val="22"/>
          <w:szCs w:val="22"/>
          <w:highlight w:val="none"/>
          <w:lang w:val="en-US" w:eastAsia="zh-CN"/>
        </w:rPr>
        <w:t>检验标准，</w:t>
      </w:r>
      <w:r>
        <w:rPr>
          <w:rFonts w:hint="eastAsia" w:ascii="宋体" w:hAnsi="宋体" w:eastAsia="宋体" w:cs="宋体"/>
          <w:b/>
          <w:bCs/>
          <w:color w:val="auto"/>
          <w:sz w:val="22"/>
          <w:szCs w:val="22"/>
          <w:highlight w:val="none"/>
          <w:lang w:val="en-US" w:eastAsia="zh-CN"/>
        </w:rPr>
        <w:t>商务和技术文件中提供符合以下的检测报告：</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lang w:eastAsia="zh-CN"/>
        </w:rPr>
        <w:t>：</w:t>
      </w:r>
    </w:p>
    <w:p w14:paraId="57348236">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柜体采用标准柜和三抽柜自由搭配组合，实现标准三抽柜与标准单门柜快速调换使用位置功能。</w:t>
      </w:r>
    </w:p>
    <w:p w14:paraId="439CECA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整体为框架式结构，下方配活动性独立活动柜，能均匀承托柜体和台面，使台面更平整，承重能力更强，整体承重不小于400kg/m²。</w:t>
      </w:r>
    </w:p>
    <w:p w14:paraId="3EEA1336">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整体钢架厚度≥</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mm厚，配高强度工程</w:t>
      </w:r>
      <w:r>
        <w:rPr>
          <w:rFonts w:hint="eastAsia" w:ascii="宋体" w:hAnsi="宋体" w:eastAsia="宋体" w:cs="宋体"/>
          <w:color w:val="auto"/>
          <w:sz w:val="22"/>
          <w:szCs w:val="22"/>
          <w:highlight w:val="none"/>
          <w:lang w:val="en-US" w:eastAsia="zh-CN"/>
        </w:rPr>
        <w:t>不锈钢</w:t>
      </w:r>
      <w:r>
        <w:rPr>
          <w:rFonts w:hint="eastAsia" w:ascii="宋体" w:hAnsi="宋体" w:eastAsia="宋体" w:cs="宋体"/>
          <w:color w:val="auto"/>
          <w:sz w:val="22"/>
          <w:szCs w:val="22"/>
          <w:highlight w:val="none"/>
        </w:rPr>
        <w:t>插件连接，表面两次环氧树脂粉末喷涂处理。</w:t>
      </w:r>
    </w:p>
    <w:p w14:paraId="4117818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金属喷漆(塑)涂层无锈迹、剥落、起皱、变色和失光等现象</w:t>
      </w:r>
    </w:p>
    <w:p w14:paraId="1454C3CC">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物理性能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静曲强度≥145Mpa</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弹性模量≥10400Mpa</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抗拉强度≥68Mpa</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拉伸强度≥68Mpa</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含水率：≤1.3%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24h吸水率≤0.2%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密度≥1.43g/cm3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表面耐龟裂性性能、表面耐湿热性能、表面耐干热性能等 级均为5级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耐沸水性能：质量增加百分率≤0.01%、厚度增加百分率 ≤0.06%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表面质量等级：5级：无变化，边缘质量等级：5级：无明显变化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抗冲击性能(1m)表面压痕直径&lt;5.2mm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表面耐磨性能≥1120r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未出现磨损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耐臭氧(72h)外观无明显变化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尺寸稳定性纵向横向均不大于0.03%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漆膜附着力达六级：切割边缘完全平滑，网格内无脱落</w:t>
      </w:r>
      <w:r>
        <w:rPr>
          <w:rFonts w:hint="eastAsia" w:ascii="宋体" w:hAnsi="宋体" w:eastAsia="宋体" w:cs="宋体"/>
          <w:color w:val="auto"/>
          <w:sz w:val="22"/>
          <w:szCs w:val="22"/>
          <w:highlight w:val="none"/>
          <w:lang w:eastAsia="zh-CN"/>
        </w:rPr>
        <w:t>；</w:t>
      </w:r>
    </w:p>
    <w:p w14:paraId="60A2DB4D">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有害物质限量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铅Pb≤90mg/kg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镉Cd≤50mg/kg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铬Cr≤25mg/kg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汞Hg≤25mg/kg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锑Sb≤60mg/kg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钡Ba≤100mg/kg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硒Se≤500mg/kg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镍Ni≤0.50mg/kg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锰Mn≤0.5mg/kg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砷As≤25mg/kg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均为</w:t>
      </w:r>
      <w:r>
        <w:rPr>
          <w:rFonts w:hint="eastAsia" w:ascii="宋体" w:hAnsi="宋体" w:eastAsia="宋体" w:cs="宋体"/>
          <w:color w:val="auto"/>
          <w:sz w:val="22"/>
          <w:szCs w:val="22"/>
          <w:highlight w:val="none"/>
        </w:rPr>
        <w:t>未检出</w:t>
      </w:r>
      <w:r>
        <w:rPr>
          <w:rFonts w:hint="eastAsia" w:ascii="宋体" w:hAnsi="宋体" w:eastAsia="宋体" w:cs="宋体"/>
          <w:color w:val="auto"/>
          <w:sz w:val="22"/>
          <w:szCs w:val="22"/>
          <w:highlight w:val="none"/>
          <w:lang w:eastAsia="zh-CN"/>
        </w:rPr>
        <w:t>。</w:t>
      </w:r>
    </w:p>
    <w:p w14:paraId="4F36EDD8">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钢板：</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以下参数</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b/>
          <w:bCs/>
          <w:color w:val="auto"/>
          <w:sz w:val="22"/>
          <w:szCs w:val="22"/>
          <w:highlight w:val="none"/>
          <w:lang w:eastAsia="zh-CN"/>
        </w:rPr>
        <w:t>）</w:t>
      </w:r>
    </w:p>
    <w:p w14:paraId="0075FCB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8.1</w:t>
      </w:r>
      <w:r>
        <w:rPr>
          <w:rFonts w:hint="eastAsia" w:ascii="宋体" w:hAnsi="宋体" w:eastAsia="宋体" w:cs="宋体"/>
          <w:color w:val="auto"/>
          <w:sz w:val="22"/>
          <w:szCs w:val="22"/>
          <w:highlight w:val="none"/>
        </w:rPr>
        <w:t>耐腐蚀：经过240小时中性盐雾试验后，镀层的耐腐蚀等级≥9级；</w:t>
      </w:r>
    </w:p>
    <w:p w14:paraId="07C8CEE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8.2</w:t>
      </w:r>
      <w:r>
        <w:rPr>
          <w:rFonts w:hint="eastAsia" w:ascii="宋体" w:hAnsi="宋体" w:eastAsia="宋体" w:cs="宋体"/>
          <w:color w:val="auto"/>
          <w:sz w:val="22"/>
          <w:szCs w:val="22"/>
          <w:highlight w:val="none"/>
        </w:rPr>
        <w:t>外观性能要求：金属件：喷涂层：涂层应无漏喷、锈蚀和脱色、掉色现象；涂层应光滑均匀，色泽一致，应无流挂、疙瘩、皱皮、飞漆等缺陷；</w:t>
      </w:r>
    </w:p>
    <w:p w14:paraId="124A962E">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8.3</w:t>
      </w:r>
      <w:r>
        <w:rPr>
          <w:rFonts w:hint="eastAsia" w:ascii="宋体" w:hAnsi="宋体" w:eastAsia="宋体" w:cs="宋体"/>
          <w:color w:val="auto"/>
          <w:sz w:val="22"/>
          <w:szCs w:val="22"/>
          <w:highlight w:val="none"/>
        </w:rPr>
        <w:t>理化性能-金属喷漆(塑)涂层：硬度≥</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H</w:t>
      </w:r>
      <w:r>
        <w:rPr>
          <w:rFonts w:hint="eastAsia" w:ascii="宋体" w:hAnsi="宋体" w:eastAsia="宋体" w:cs="宋体"/>
          <w:color w:val="auto"/>
          <w:sz w:val="22"/>
          <w:szCs w:val="22"/>
          <w:highlight w:val="none"/>
          <w:lang w:eastAsia="zh-CN"/>
        </w:rPr>
        <w:t>；</w:t>
      </w:r>
    </w:p>
    <w:p w14:paraId="667C8AFD">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8.4</w:t>
      </w:r>
      <w:r>
        <w:rPr>
          <w:rFonts w:hint="eastAsia" w:ascii="宋体" w:hAnsi="宋体" w:eastAsia="宋体" w:cs="宋体"/>
          <w:color w:val="auto"/>
          <w:sz w:val="22"/>
          <w:szCs w:val="22"/>
          <w:highlight w:val="none"/>
        </w:rPr>
        <w:t>理化性能-金属电镀层：抗盐雾：18h</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直径1.5mm以下的锈点≤20/dm²</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其中直径1.0mm以上的锈点不超过5点(离 边缘2mm以内不计)</w:t>
      </w:r>
      <w:r>
        <w:rPr>
          <w:rFonts w:hint="eastAsia" w:ascii="宋体" w:hAnsi="宋体" w:eastAsia="宋体" w:cs="宋体"/>
          <w:color w:val="auto"/>
          <w:sz w:val="22"/>
          <w:szCs w:val="22"/>
          <w:highlight w:val="none"/>
          <w:lang w:eastAsia="zh-CN"/>
        </w:rPr>
        <w:t>。</w:t>
      </w:r>
    </w:p>
    <w:p w14:paraId="4E9DAEC3">
      <w:pPr>
        <w:pStyle w:val="4"/>
        <w:pageBreakBefore w:val="0"/>
        <w:widowControl w:val="0"/>
        <w:numPr>
          <w:ilvl w:val="0"/>
          <w:numId w:val="0"/>
        </w:numPr>
        <w:kinsoku/>
        <w:wordWrap/>
        <w:overflowPunct/>
        <w:topLinePunct w:val="0"/>
        <w:autoSpaceDE/>
        <w:autoSpaceDN/>
        <w:bidi w:val="0"/>
        <w:adjustRightInd w:val="0"/>
        <w:snapToGrid/>
        <w:spacing w:beforeLines="0" w:afterLines="0" w:line="360" w:lineRule="exact"/>
        <w:ind w:left="0" w:lef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（三）全钢边台配套设施</w:t>
      </w:r>
    </w:p>
    <w:p w14:paraId="41C68CAB">
      <w:pPr>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PP水槽</w:t>
      </w:r>
    </w:p>
    <w:p w14:paraId="7BF99C8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水槽采用全新PP色母</w:t>
      </w:r>
      <w:r>
        <w:rPr>
          <w:rFonts w:hint="eastAsia" w:ascii="宋体" w:hAnsi="宋体" w:eastAsia="宋体" w:cs="宋体"/>
          <w:color w:val="auto"/>
          <w:sz w:val="22"/>
          <w:szCs w:val="22"/>
          <w:highlight w:val="none"/>
          <w:lang w:val="en-US" w:eastAsia="zh-CN"/>
        </w:rPr>
        <w:t>料</w:t>
      </w:r>
      <w:r>
        <w:rPr>
          <w:rFonts w:hint="eastAsia" w:ascii="宋体" w:hAnsi="宋体" w:eastAsia="宋体" w:cs="宋体"/>
          <w:color w:val="auto"/>
          <w:sz w:val="22"/>
          <w:szCs w:val="22"/>
          <w:highlight w:val="none"/>
        </w:rPr>
        <w:t>，无碳酸钙成分；下水口与水槽一体注塑成型，水槽内壁无缩印，四边平整，表面光滑顺畅，不有划伤、裂纹、气泡、爆边等明显缺陷。水槽壁厚</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5mm；为防止水槽中间或四周有积液，槽体底部有导流线。</w:t>
      </w:r>
    </w:p>
    <w:p w14:paraId="493D2AD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检测报告：</w:t>
      </w:r>
    </w:p>
    <w:p w14:paraId="5600E043">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（1）耐污染性能：依据GB/T 17657-2022标准，同一份检测报告需包含甲酸（AR，85%）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抗坏血酸（AR）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单宁酸（AR）</w:t>
      </w:r>
      <w:r>
        <w:rPr>
          <w:rFonts w:hint="eastAsia" w:ascii="宋体" w:hAnsi="宋体" w:eastAsia="宋体" w:cs="宋体"/>
          <w:color w:val="auto"/>
          <w:sz w:val="22"/>
          <w:szCs w:val="22"/>
          <w:highlight w:val="none"/>
          <w:lang w:eastAsia="zh-CN"/>
        </w:rPr>
        <w:t>、二氯乙酸</w:t>
      </w:r>
      <w:r>
        <w:rPr>
          <w:rFonts w:hint="eastAsia" w:ascii="宋体" w:hAnsi="宋体" w:eastAsia="宋体" w:cs="宋体"/>
          <w:color w:val="auto"/>
          <w:sz w:val="22"/>
          <w:szCs w:val="22"/>
          <w:highlight w:val="none"/>
        </w:rPr>
        <w:t>（AR，98%）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氨水（氢氧化铵）（AR）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氢氧化钙（AR）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氢氧化钾（AR，≥85.0%）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磷酸氢二钠（无水）（AR，≥99.0%）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硫代硫酸钠（≥99.5%）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硫氰酸钾（GR，99%）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硫酸铁铵（&gt;98%）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己烷</w:t>
      </w:r>
      <w:r>
        <w:rPr>
          <w:rFonts w:hint="eastAsia" w:ascii="宋体" w:hAnsi="宋体" w:eastAsia="宋体" w:cs="宋体"/>
          <w:color w:val="auto"/>
          <w:sz w:val="22"/>
          <w:szCs w:val="22"/>
          <w:highlight w:val="none"/>
        </w:rPr>
        <w:t>（AR，≥97.0%）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邻二甲苯（CP，≥98.0%）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四氯化碳</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2-苯乙醇（&gt;99. 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2-甲氧基乙醇（特纯99%）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糠醛（呋喃甲叉）（AR，99%）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桃醛（0.98）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二恶烷（1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4-二氧六环、二氧杂环</w:t>
      </w:r>
      <w:r>
        <w:rPr>
          <w:rFonts w:hint="eastAsia" w:ascii="宋体" w:hAnsi="宋体" w:eastAsia="宋体" w:cs="宋体"/>
          <w:color w:val="auto"/>
          <w:sz w:val="22"/>
          <w:szCs w:val="22"/>
          <w:highlight w:val="none"/>
          <w:lang w:val="en-US" w:eastAsia="zh-CN"/>
        </w:rPr>
        <w:t>己烷</w:t>
      </w:r>
      <w:r>
        <w:rPr>
          <w:rFonts w:hint="eastAsia" w:ascii="宋体" w:hAnsi="宋体" w:eastAsia="宋体" w:cs="宋体"/>
          <w:color w:val="auto"/>
          <w:sz w:val="22"/>
          <w:szCs w:val="22"/>
          <w:highlight w:val="none"/>
        </w:rPr>
        <w:t>）（AR，99%）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丁酮（甲基乙基酮、甲乙酮）（AR，≥99.0%）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二正丁胺（1601）（AR）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N-甲基吡咯烷酮（&gt;99.5%）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二硫化碳（≥99.9%）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二氯甲烷（AR，≥99.5%）等</w:t>
      </w:r>
      <w:r>
        <w:rPr>
          <w:rFonts w:hint="eastAsia" w:ascii="宋体" w:hAnsi="宋体" w:eastAsia="宋体" w:cs="宋体"/>
          <w:color w:val="auto"/>
          <w:sz w:val="22"/>
          <w:szCs w:val="22"/>
          <w:highlight w:val="none"/>
          <w:lang w:val="en-US" w:eastAsia="zh-CN"/>
        </w:rPr>
        <w:t>至少</w:t>
      </w:r>
      <w:r>
        <w:rPr>
          <w:rFonts w:hint="eastAsia" w:ascii="宋体" w:hAnsi="宋体" w:eastAsia="宋体" w:cs="宋体"/>
          <w:color w:val="auto"/>
          <w:sz w:val="22"/>
          <w:szCs w:val="22"/>
          <w:highlight w:val="none"/>
        </w:rPr>
        <w:t>150种有机、无机试剂，</w:t>
      </w:r>
      <w:r>
        <w:rPr>
          <w:rFonts w:hint="eastAsia" w:ascii="宋体" w:hAnsi="宋体" w:eastAsia="宋体" w:cs="宋体"/>
          <w:color w:val="auto"/>
          <w:sz w:val="22"/>
          <w:szCs w:val="22"/>
          <w:highlight w:val="none"/>
          <w:lang w:val="en-US" w:eastAsia="zh-CN"/>
        </w:rPr>
        <w:t>耐污染接触时间≥48h，覆盖/未覆盖玻璃盖板，</w:t>
      </w:r>
      <w:r>
        <w:rPr>
          <w:rFonts w:hint="eastAsia" w:ascii="宋体" w:hAnsi="宋体" w:eastAsia="宋体" w:cs="宋体"/>
          <w:color w:val="auto"/>
          <w:sz w:val="22"/>
          <w:szCs w:val="22"/>
          <w:highlight w:val="none"/>
        </w:rPr>
        <w:t>检验结果均为5级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无明显变化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007B8D3E">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（2）抗菌性：依据JC/T 897-2014标准，要求≥14种细菌的检测，检测值≥99.99%（菌种包括</w:t>
      </w:r>
      <w:r>
        <w:rPr>
          <w:rFonts w:hint="eastAsia" w:ascii="宋体" w:hAnsi="宋体" w:eastAsia="宋体" w:cs="宋体"/>
          <w:color w:val="auto"/>
          <w:sz w:val="22"/>
          <w:szCs w:val="22"/>
          <w:highlight w:val="none"/>
          <w:lang w:eastAsia="zh-CN"/>
        </w:rPr>
        <w:t>粘质沙雷氏菌</w:t>
      </w:r>
      <w:r>
        <w:rPr>
          <w:rFonts w:hint="eastAsia" w:ascii="宋体" w:hAnsi="宋体" w:eastAsia="宋体" w:cs="宋体"/>
          <w:color w:val="auto"/>
          <w:sz w:val="22"/>
          <w:szCs w:val="22"/>
          <w:highlight w:val="none"/>
        </w:rPr>
        <w:t>、鼠伤寒沙门氏菌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恶臭假单胞菌、鲍曼不动杆菌）。</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1A61BC1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弯曲强度：依据GB/T 9341-2008标准，检测结果≥</w:t>
      </w:r>
      <w:r>
        <w:rPr>
          <w:rFonts w:hint="eastAsia" w:ascii="宋体" w:hAnsi="宋体" w:eastAsia="宋体" w:cs="宋体"/>
          <w:color w:val="auto"/>
          <w:sz w:val="22"/>
          <w:szCs w:val="22"/>
          <w:highlight w:val="none"/>
          <w:lang w:val="en-US" w:eastAsia="zh-CN"/>
        </w:rPr>
        <w:t>80</w:t>
      </w:r>
      <w:r>
        <w:rPr>
          <w:rFonts w:hint="eastAsia" w:ascii="宋体" w:hAnsi="宋体" w:eastAsia="宋体" w:cs="宋体"/>
          <w:color w:val="auto"/>
          <w:sz w:val="22"/>
          <w:szCs w:val="22"/>
          <w:highlight w:val="none"/>
        </w:rPr>
        <w:t>MPa。</w:t>
      </w:r>
      <w:r>
        <w:rPr>
          <w:rFonts w:hint="eastAsia" w:ascii="宋体" w:hAnsi="宋体" w:eastAsia="宋体" w:cs="宋体"/>
          <w:b/>
          <w:bCs/>
          <w:color w:val="auto"/>
          <w:sz w:val="22"/>
          <w:szCs w:val="22"/>
          <w:highlight w:val="none"/>
          <w:lang w:val="en-US" w:eastAsia="zh-CN"/>
        </w:rPr>
        <w:t>商务和技术文件中提供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w:t>
      </w:r>
    </w:p>
    <w:p w14:paraId="04817CCC">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抗压强度：依据GB/T 1041-2008标准，检测结果≥</w:t>
      </w:r>
      <w:r>
        <w:rPr>
          <w:rFonts w:hint="eastAsia" w:ascii="宋体" w:hAnsi="宋体" w:eastAsia="宋体" w:cs="宋体"/>
          <w:color w:val="auto"/>
          <w:sz w:val="22"/>
          <w:szCs w:val="22"/>
          <w:highlight w:val="none"/>
          <w:lang w:val="en-US" w:eastAsia="zh-CN"/>
        </w:rPr>
        <w:t>80</w:t>
      </w:r>
      <w:r>
        <w:rPr>
          <w:rFonts w:hint="eastAsia" w:ascii="宋体" w:hAnsi="宋体" w:eastAsia="宋体" w:cs="宋体"/>
          <w:color w:val="auto"/>
          <w:sz w:val="22"/>
          <w:szCs w:val="22"/>
          <w:highlight w:val="none"/>
        </w:rPr>
        <w:t>MPa。</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2F1AA081">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rPr>
        <w:t>投标</w:t>
      </w:r>
      <w:r>
        <w:rPr>
          <w:rFonts w:hint="eastAsia" w:ascii="宋体" w:hAnsi="宋体" w:eastAsia="宋体" w:cs="宋体"/>
          <w:b/>
          <w:bCs/>
          <w:color w:val="auto"/>
          <w:sz w:val="22"/>
          <w:szCs w:val="22"/>
          <w:highlight w:val="none"/>
          <w:lang w:val="en-US" w:eastAsia="zh-CN"/>
        </w:rPr>
        <w:t>人商务和技术文件中</w:t>
      </w:r>
      <w:r>
        <w:rPr>
          <w:rFonts w:hint="eastAsia" w:ascii="宋体" w:hAnsi="宋体" w:eastAsia="宋体" w:cs="宋体"/>
          <w:b/>
          <w:bCs/>
          <w:color w:val="auto"/>
          <w:sz w:val="22"/>
          <w:szCs w:val="22"/>
          <w:highlight w:val="none"/>
        </w:rPr>
        <w:t>提供绿色产品认证证书</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，以证明所投产品符合国家对绿色制造与环境产品的相关要求。</w:t>
      </w:r>
    </w:p>
    <w:p w14:paraId="34EB2C21">
      <w:pPr>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实验室化验水龙头</w:t>
      </w:r>
    </w:p>
    <w:p w14:paraId="7E503A84">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龙头选用H63黄铜管，使用红冲锻造工艺，不出现砂眼；涂层经哑光环氧树脂粉末涂料热固处理，防紫外线辐射，耐化学腐蚀；陶瓷阀芯可90度旋转、耐磨、耐腐蚀，开关使用寿命测试可达60万次，静态最大耐压2.5MPa，鹅颈出水管可360度旋转；旋钮把手为PP全新料无添加碳酸钙；供水软管：长度1.5米，软性PVC管外覆不锈钢网，外层包裹PE管，有效防止生锈、渗漏。</w:t>
      </w:r>
    </w:p>
    <w:p w14:paraId="2D9F34C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化验水龙头</w:t>
      </w:r>
      <w:r>
        <w:rPr>
          <w:rFonts w:hint="eastAsia" w:ascii="宋体" w:hAnsi="宋体" w:eastAsia="宋体" w:cs="宋体"/>
          <w:b/>
          <w:bCs/>
          <w:color w:val="auto"/>
          <w:sz w:val="22"/>
          <w:szCs w:val="22"/>
          <w:highlight w:val="none"/>
          <w:lang w:val="en-US" w:eastAsia="zh-CN"/>
        </w:rPr>
        <w:t>需满足以下要求：</w:t>
      </w:r>
    </w:p>
    <w:p w14:paraId="21F0E7AB">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耐液体化学试剂性能：依据GB/T 11547-2008标准，同一份检测报告需包含硼酸溶液（30%wt）、氟硼酸溶液（50%wt）、氢溴酸（AR40%）、甲酸溶液（40%（w/w））、L-酒石酸溶液（50%（w/v））、单宁酸溶液（20%）、氢氧化钠溶液（50%）、碳酸钾溶液（50%（w/w））、硫代硫酸钠溶液（10%（100g/L））、碳酸钠饱和溶液、碳酸氢钠溶液（7.4%）、亚硫酸氢钠溶液（20%（200g/L））、硫酸钠溶液（10%（100g/L））、硫酸铵溶液（5%）、工业酒精（95%）、正丙醇（99.5%）、正丁醇（AR99.5%）、苯甲醛（AR99%）、乙二醇甲醚（AR99.5%）、乙二醇乙醚（AR99%）、环戊酮（ AR97%）、N，N-二甲基环</w:t>
      </w:r>
      <w:r>
        <w:rPr>
          <w:rFonts w:hint="eastAsia" w:ascii="宋体" w:hAnsi="宋体" w:eastAsia="宋体" w:cs="宋体"/>
          <w:color w:val="auto"/>
          <w:sz w:val="22"/>
          <w:szCs w:val="22"/>
          <w:highlight w:val="none"/>
          <w:lang w:val="en-US" w:eastAsia="zh-CN"/>
        </w:rPr>
        <w:t>己胺</w:t>
      </w:r>
      <w:r>
        <w:rPr>
          <w:rFonts w:hint="eastAsia" w:ascii="宋体" w:hAnsi="宋体" w:eastAsia="宋体" w:cs="宋体"/>
          <w:color w:val="auto"/>
          <w:sz w:val="22"/>
          <w:szCs w:val="22"/>
          <w:highlight w:val="none"/>
          <w:lang w:eastAsia="zh-CN"/>
        </w:rPr>
        <w:t>（98%）、甲酰胺（AR99%）、乙酸甲酯（AR98%）、己二酸二乙酯（AR99%）、乙酸丁酯（AR99.5%）、乙酸戊酯（AR99%）、异戊烷（99%）、三氯乙烯（AR99%）、汽油95号、优级真空泵油68号、L-AN15高级机械油、刚果红指示剂（1%（w/v））、溴酚蓝指示剂（10g/L）、苯甲腈（99%）等至少</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0种试剂，浸泡时间≥48h，检测结果均为无变化。</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b/>
          <w:bCs/>
          <w:color w:val="auto"/>
          <w:sz w:val="22"/>
          <w:szCs w:val="22"/>
          <w:highlight w:val="none"/>
          <w:lang w:eastAsia="zh-CN"/>
        </w:rPr>
        <w:t>。</w:t>
      </w:r>
    </w:p>
    <w:p w14:paraId="3303E0B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）抗菌性：依据JC/T 897-2014标准，要求≥14种细菌的检测，检测值≥99.99%（菌种包括</w:t>
      </w:r>
      <w:r>
        <w:rPr>
          <w:rFonts w:hint="eastAsia" w:ascii="宋体" w:hAnsi="宋体" w:eastAsia="宋体" w:cs="宋体"/>
          <w:color w:val="auto"/>
          <w:sz w:val="22"/>
          <w:szCs w:val="22"/>
          <w:highlight w:val="none"/>
          <w:lang w:eastAsia="zh-CN"/>
        </w:rPr>
        <w:t>粘质沙雷氏菌</w:t>
      </w:r>
      <w:r>
        <w:rPr>
          <w:rFonts w:hint="eastAsia" w:ascii="宋体" w:hAnsi="宋体" w:eastAsia="宋体" w:cs="宋体"/>
          <w:color w:val="auto"/>
          <w:sz w:val="22"/>
          <w:szCs w:val="22"/>
          <w:highlight w:val="none"/>
        </w:rPr>
        <w:t>、鼠伤寒沙门氏菌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恶臭假单胞菌、鲍曼不动杆菌）。</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w:t>
      </w:r>
    </w:p>
    <w:p w14:paraId="5D7385D2">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）连接软管耐压性：依据GB/T 23448-2019标准，经过耐压性能检测，软管无破裂、渗漏和其他缺陷。</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w:t>
      </w:r>
    </w:p>
    <w:p w14:paraId="002F6ED7">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连接软管密封性：依据GB/T 23448-2019标准，经过密封性能检测，软管各部位无破裂、渗漏和其他缺陷。</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w:t>
      </w:r>
    </w:p>
    <w:p w14:paraId="61B2F8FE">
      <w:pPr>
        <w:pStyle w:val="10"/>
        <w:pageBreakBefore w:val="0"/>
        <w:widowControl w:val="0"/>
        <w:kinsoku/>
        <w:overflowPunct/>
        <w:topLinePunct w:val="0"/>
        <w:bidi w:val="0"/>
        <w:snapToGrid/>
        <w:spacing w:line="360" w:lineRule="exact"/>
        <w:ind w:firstLine="745" w:firstLineChars="339"/>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b/>
          <w:bCs/>
          <w:color w:val="auto"/>
          <w:kern w:val="2"/>
          <w:sz w:val="22"/>
          <w:szCs w:val="22"/>
          <w:highlight w:val="none"/>
          <w:u w:val="single"/>
          <w:lang w:val="en-US" w:eastAsia="zh-CN" w:bidi="ar-SA"/>
        </w:rPr>
        <w:t>水龙头属于强制节能产品，商务和技术文件中提供有效的强制节能产品认证证书</w:t>
      </w:r>
      <w:r>
        <w:rPr>
          <w:rFonts w:hint="eastAsia" w:ascii="宋体" w:hAnsi="宋体" w:eastAsia="宋体" w:cs="宋体"/>
          <w:b/>
          <w:bCs/>
          <w:color w:val="auto"/>
          <w:sz w:val="22"/>
          <w:szCs w:val="22"/>
          <w:highlight w:val="none"/>
          <w:u w:val="single"/>
          <w:lang w:val="en-US" w:eastAsia="zh-CN"/>
        </w:rPr>
        <w:t>复印件</w:t>
      </w:r>
      <w:r>
        <w:rPr>
          <w:rFonts w:hint="eastAsia" w:ascii="宋体" w:hAnsi="宋体" w:eastAsia="宋体" w:cs="宋体"/>
          <w:b/>
          <w:bCs/>
          <w:color w:val="auto"/>
          <w:kern w:val="2"/>
          <w:sz w:val="22"/>
          <w:szCs w:val="22"/>
          <w:highlight w:val="none"/>
          <w:lang w:val="en-US" w:eastAsia="zh-CN" w:bidi="ar-SA"/>
        </w:rPr>
        <w:t>。</w:t>
      </w:r>
    </w:p>
    <w:p w14:paraId="1563D56F">
      <w:pPr>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洗眼器</w:t>
      </w:r>
    </w:p>
    <w:p w14:paraId="2FBED2CD">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主体：加厚铜质H59-1；</w:t>
      </w:r>
    </w:p>
    <w:p w14:paraId="1BECEA72">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洗眼喷头：加厚铜质环氧树脂涂层外加软性橡胶，出水经缓压处理呈泡沫状水柱，防止冲伤眼睛；</w:t>
      </w:r>
    </w:p>
    <w:p w14:paraId="02F7CC91">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莲蓬头护罩：Φ70橡胶质护杯，以避免紧急使用时瞬间接触眼部造成碰撞二次伤害；</w:t>
      </w:r>
    </w:p>
    <w:p w14:paraId="0508802E">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防尘盖：PP材质，平常可防尘，使用时可随时被水冲开，并降低突然时短暂的高水压，防止冲伤眼睛，防尘盖有连接于护罩可防尘脱落。使用时自动被水冲开；</w:t>
      </w:r>
    </w:p>
    <w:p w14:paraId="1F758684">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水流锁定开关：水流开启，水流锁定功能一次完成，方便使用；</w:t>
      </w:r>
    </w:p>
    <w:p w14:paraId="5EDC1C66">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前置过滤器：配有小型前置过滤器主要的去除管道所产生的沉淀杂质和细菌、微生物残骸、铁锈、沙泥等大于5微米以上的颗粒杂质，避免眼睛及人体肌肤受到伤害；</w:t>
      </w:r>
    </w:p>
    <w:p w14:paraId="1B677601">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供水软管：长度1.5米，软性PVC管外覆不锈钢网，外层包裹PE管，有效防止生锈、渗漏。</w:t>
      </w:r>
    </w:p>
    <w:p w14:paraId="1695A601">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洗眼量：＞6L/min。</w:t>
      </w:r>
    </w:p>
    <w:p w14:paraId="1DC41445">
      <w:pPr>
        <w:pageBreakBefore w:val="0"/>
        <w:widowControl w:val="0"/>
        <w:numPr>
          <w:ilvl w:val="0"/>
          <w:numId w:val="4"/>
        </w:numPr>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商务和技术文件中提供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第三方检测实验室出具的包含</w:t>
      </w:r>
      <w:r>
        <w:rPr>
          <w:rFonts w:hint="eastAsia" w:ascii="宋体" w:hAnsi="宋体" w:eastAsia="宋体" w:cs="宋体"/>
          <w:b/>
          <w:bCs/>
          <w:color w:val="auto"/>
          <w:sz w:val="22"/>
          <w:szCs w:val="22"/>
          <w:highlight w:val="none"/>
          <w:lang w:val="en-US" w:eastAsia="zh-CN"/>
        </w:rPr>
        <w:t>以下</w:t>
      </w:r>
      <w:r>
        <w:rPr>
          <w:rFonts w:hint="eastAsia" w:ascii="宋体" w:hAnsi="宋体" w:eastAsia="宋体" w:cs="宋体"/>
          <w:b/>
          <w:bCs/>
          <w:color w:val="auto"/>
          <w:sz w:val="22"/>
          <w:szCs w:val="22"/>
          <w:highlight w:val="none"/>
        </w:rPr>
        <w:t>项目的检测报告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lang w:val="en-US" w:eastAsia="zh-CN"/>
        </w:rPr>
        <w:t>（1）测试压力0.20MPa，测试时间3min/次，样品提供冲洗液流量：≥10.3L/min，能保持洗眼时间：15min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（2）阀门在0.64s的时间内能完全打开。阀门一经打开，除使用者有意关闭的情况之外，能始终保持开启状态；（3）</w:t>
      </w:r>
      <w:r>
        <w:rPr>
          <w:rFonts w:hint="eastAsia" w:ascii="宋体" w:hAnsi="宋体" w:eastAsia="宋体" w:cs="宋体"/>
          <w:color w:val="auto"/>
          <w:sz w:val="22"/>
          <w:szCs w:val="22"/>
          <w:highlight w:val="none"/>
        </w:rPr>
        <w:t>喷头位于距离使用者站立的水平面的高度距离可调（838mm～1143mm），距离墙壁或最近的障碍物距离可调（≥153mm）</w:t>
      </w:r>
      <w:r>
        <w:rPr>
          <w:rFonts w:hint="eastAsia" w:ascii="宋体" w:hAnsi="宋体" w:eastAsia="宋体" w:cs="宋体"/>
          <w:color w:val="auto"/>
          <w:sz w:val="22"/>
          <w:szCs w:val="22"/>
          <w:highlight w:val="none"/>
          <w:lang w:eastAsia="zh-CN"/>
        </w:rPr>
        <w:t>。</w:t>
      </w:r>
    </w:p>
    <w:p w14:paraId="2E37D56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检测报告：</w:t>
      </w:r>
    </w:p>
    <w:p w14:paraId="14F6CC45">
      <w:pPr>
        <w:pageBreakBefore w:val="0"/>
        <w:widowControl w:val="0"/>
        <w:numPr>
          <w:ilvl w:val="0"/>
          <w:numId w:val="5"/>
        </w:numPr>
        <w:kinsoku/>
        <w:wordWrap/>
        <w:overflowPunct/>
        <w:topLinePunct w:val="0"/>
        <w:autoSpaceDE/>
        <w:autoSpaceDN/>
        <w:bidi w:val="0"/>
        <w:adjustRightInd w:val="0"/>
        <w:snapToGrid/>
        <w:spacing w:line="360" w:lineRule="exact"/>
        <w:ind w:left="0" w:leftChars="0" w:firstLine="40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耐污染性能：依据GB/T 17657-2022标准，同一份检测报告需包含甲酸（AR，85%）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抗坏血酸（AR）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单宁酸（AR）</w:t>
      </w:r>
      <w:r>
        <w:rPr>
          <w:rFonts w:hint="eastAsia" w:ascii="宋体" w:hAnsi="宋体" w:eastAsia="宋体" w:cs="宋体"/>
          <w:color w:val="auto"/>
          <w:sz w:val="22"/>
          <w:szCs w:val="22"/>
          <w:highlight w:val="none"/>
          <w:lang w:eastAsia="zh-CN"/>
        </w:rPr>
        <w:t>、二氯乙酸</w:t>
      </w:r>
      <w:r>
        <w:rPr>
          <w:rFonts w:hint="eastAsia" w:ascii="宋体" w:hAnsi="宋体" w:eastAsia="宋体" w:cs="宋体"/>
          <w:color w:val="auto"/>
          <w:sz w:val="22"/>
          <w:szCs w:val="22"/>
          <w:highlight w:val="none"/>
        </w:rPr>
        <w:t>（AR，98%）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氨水（氢氧化铵）（AR）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氢氧化钙（AR）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氢氧化钾（AR，≥85.0%）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磷酸氢二钠（无水）（AR，≥99.0%）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硫代硫酸钠（≥99.5%）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硫氰酸钾（GR，99%）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硫酸铁铵（&gt;98%）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己</w:t>
      </w:r>
      <w:r>
        <w:rPr>
          <w:rFonts w:hint="eastAsia" w:ascii="宋体" w:hAnsi="宋体" w:eastAsia="宋体" w:cs="宋体"/>
          <w:color w:val="auto"/>
          <w:sz w:val="22"/>
          <w:szCs w:val="22"/>
          <w:highlight w:val="none"/>
        </w:rPr>
        <w:t>烷（AR，≥97.0%）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邻二甲苯（CP，≥98.0%）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四氯化碳</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2-苯乙醇（&gt;99. 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2-甲氧基乙醇（特纯99%）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糠醛（呋喃甲叉）（AR，99%）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桃醛（0.98）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二恶烷（1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4-二氧六环、二氧杂环</w:t>
      </w:r>
      <w:r>
        <w:rPr>
          <w:rFonts w:hint="eastAsia" w:ascii="宋体" w:hAnsi="宋体" w:eastAsia="宋体" w:cs="宋体"/>
          <w:color w:val="auto"/>
          <w:sz w:val="22"/>
          <w:szCs w:val="22"/>
          <w:highlight w:val="none"/>
          <w:lang w:val="en-US" w:eastAsia="zh-CN"/>
        </w:rPr>
        <w:t>己</w:t>
      </w:r>
      <w:r>
        <w:rPr>
          <w:rFonts w:hint="eastAsia" w:ascii="宋体" w:hAnsi="宋体" w:eastAsia="宋体" w:cs="宋体"/>
          <w:color w:val="auto"/>
          <w:sz w:val="22"/>
          <w:szCs w:val="22"/>
          <w:highlight w:val="none"/>
        </w:rPr>
        <w:t>烷）（AR，99%）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丁酮（甲基乙基酮、甲乙酮）（AR，≥99.0%）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二正丁胺（1601）（AR）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N-甲基吡咯烷酮（&gt;99.5%）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二硫化碳（≥99.9%）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二氯甲烷（AR，≥99.5%）等</w:t>
      </w:r>
      <w:r>
        <w:rPr>
          <w:rFonts w:hint="eastAsia" w:ascii="宋体" w:hAnsi="宋体" w:eastAsia="宋体" w:cs="宋体"/>
          <w:color w:val="auto"/>
          <w:sz w:val="22"/>
          <w:szCs w:val="22"/>
          <w:highlight w:val="none"/>
          <w:lang w:val="en-US" w:eastAsia="zh-CN"/>
        </w:rPr>
        <w:t>至少</w:t>
      </w:r>
      <w:r>
        <w:rPr>
          <w:rFonts w:hint="eastAsia" w:ascii="宋体" w:hAnsi="宋体" w:eastAsia="宋体" w:cs="宋体"/>
          <w:color w:val="auto"/>
          <w:sz w:val="22"/>
          <w:szCs w:val="22"/>
          <w:highlight w:val="none"/>
        </w:rPr>
        <w:t>150种有机、无机试剂，</w:t>
      </w:r>
      <w:r>
        <w:rPr>
          <w:rFonts w:hint="eastAsia" w:ascii="宋体" w:hAnsi="宋体" w:eastAsia="宋体" w:cs="宋体"/>
          <w:color w:val="auto"/>
          <w:sz w:val="22"/>
          <w:szCs w:val="22"/>
          <w:highlight w:val="none"/>
          <w:lang w:val="en-US" w:eastAsia="zh-CN"/>
        </w:rPr>
        <w:t>耐污染接触时间≥48h，覆盖/未覆盖玻璃盖板，</w:t>
      </w:r>
      <w:r>
        <w:rPr>
          <w:rFonts w:hint="eastAsia" w:ascii="宋体" w:hAnsi="宋体" w:eastAsia="宋体" w:cs="宋体"/>
          <w:color w:val="auto"/>
          <w:sz w:val="22"/>
          <w:szCs w:val="22"/>
          <w:highlight w:val="none"/>
        </w:rPr>
        <w:t>检验结果均为5级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无明显变化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005D1769">
      <w:pPr>
        <w:pageBreakBefore w:val="0"/>
        <w:widowControl w:val="0"/>
        <w:numPr>
          <w:ilvl w:val="0"/>
          <w:numId w:val="5"/>
        </w:numPr>
        <w:kinsoku/>
        <w:wordWrap/>
        <w:overflowPunct/>
        <w:topLinePunct w:val="0"/>
        <w:autoSpaceDE/>
        <w:autoSpaceDN/>
        <w:bidi w:val="0"/>
        <w:adjustRightInd w:val="0"/>
        <w:snapToGrid/>
        <w:spacing w:line="360" w:lineRule="exact"/>
        <w:ind w:left="0" w:leftChars="0" w:firstLine="40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氙弧灯老化测试：依据GB/T 16422.2-2022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GB/T 250-2008</w:t>
      </w:r>
      <w:r>
        <w:rPr>
          <w:rFonts w:hint="eastAsia" w:ascii="宋体" w:hAnsi="宋体" w:eastAsia="宋体" w:cs="宋体"/>
          <w:color w:val="auto"/>
          <w:sz w:val="22"/>
          <w:szCs w:val="22"/>
          <w:highlight w:val="none"/>
          <w:lang w:val="en-US" w:eastAsia="zh-CN"/>
        </w:rPr>
        <w:t>标准，</w:t>
      </w:r>
      <w:r>
        <w:rPr>
          <w:rFonts w:hint="eastAsia" w:ascii="宋体" w:hAnsi="宋体" w:eastAsia="宋体" w:cs="宋体"/>
          <w:color w:val="auto"/>
          <w:sz w:val="22"/>
          <w:szCs w:val="22"/>
          <w:highlight w:val="none"/>
        </w:rPr>
        <w:t>通过氙弧灯老化测试（</w:t>
      </w:r>
      <w:r>
        <w:rPr>
          <w:rFonts w:hint="eastAsia" w:ascii="宋体" w:hAnsi="宋体" w:eastAsia="宋体" w:cs="宋体"/>
          <w:color w:val="auto"/>
          <w:sz w:val="22"/>
          <w:szCs w:val="22"/>
          <w:highlight w:val="none"/>
          <w:lang w:eastAsia="zh-CN"/>
        </w:rPr>
        <w:t>黑标温度计：65℃，循环：102min干燥、18min 喷淋，辐照度：0.51W/（m²·nm），试验时长：</w:t>
      </w:r>
      <w:r>
        <w:rPr>
          <w:rFonts w:hint="eastAsia" w:ascii="宋体" w:hAnsi="宋体" w:eastAsia="宋体" w:cs="宋体"/>
          <w:color w:val="auto"/>
          <w:sz w:val="22"/>
          <w:szCs w:val="22"/>
          <w:highlight w:val="none"/>
          <w:lang w:val="en-US" w:eastAsia="zh-CN"/>
        </w:rPr>
        <w:t>≥3500h</w:t>
      </w:r>
      <w:r>
        <w:rPr>
          <w:rFonts w:hint="eastAsia" w:ascii="宋体" w:hAnsi="宋体" w:eastAsia="宋体" w:cs="宋体"/>
          <w:color w:val="auto"/>
          <w:sz w:val="22"/>
          <w:szCs w:val="22"/>
          <w:highlight w:val="none"/>
        </w:rPr>
        <w:t>），色牢度等级</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4级，符合相关技术要求。</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5FC84E0A">
      <w:pPr>
        <w:pageBreakBefore w:val="0"/>
        <w:widowControl w:val="0"/>
        <w:numPr>
          <w:ilvl w:val="0"/>
          <w:numId w:val="5"/>
        </w:numPr>
        <w:kinsoku/>
        <w:wordWrap/>
        <w:overflowPunct/>
        <w:topLinePunct w:val="0"/>
        <w:autoSpaceDE/>
        <w:autoSpaceDN/>
        <w:bidi w:val="0"/>
        <w:adjustRightInd w:val="0"/>
        <w:snapToGrid/>
        <w:spacing w:line="360" w:lineRule="exact"/>
        <w:ind w:left="0" w:leftChars="0" w:firstLine="40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金属污染物析出：依据GB 18145-2014标准，砷＜1.0μg/L，钡＜200μg/L，硼＜500μg/L、镉＜0.5μg/L、锰＜30.0μg/L、钼＜4.0μg/L，锑、铍、铬、六价铬、铜、汞、硒、铊、铋、镍等均未检出。</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2923974D">
      <w:pPr>
        <w:pageBreakBefore w:val="0"/>
        <w:widowControl w:val="0"/>
        <w:numPr>
          <w:ilvl w:val="0"/>
          <w:numId w:val="5"/>
        </w:numPr>
        <w:kinsoku/>
        <w:wordWrap/>
        <w:overflowPunct/>
        <w:topLinePunct w:val="0"/>
        <w:autoSpaceDE/>
        <w:autoSpaceDN/>
        <w:bidi w:val="0"/>
        <w:adjustRightInd w:val="0"/>
        <w:snapToGrid/>
        <w:spacing w:line="360" w:lineRule="exact"/>
        <w:ind w:left="0" w:leftChars="0" w:firstLine="40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中性盐雾试验：依据GB/T 10125-2021标准进行≥</w:t>
      </w:r>
      <w:r>
        <w:rPr>
          <w:rFonts w:hint="eastAsia" w:ascii="宋体" w:hAnsi="宋体" w:eastAsia="宋体" w:cs="宋体"/>
          <w:color w:val="auto"/>
          <w:sz w:val="22"/>
          <w:szCs w:val="22"/>
          <w:highlight w:val="none"/>
          <w:lang w:val="en-US" w:eastAsia="zh-CN"/>
        </w:rPr>
        <w:t>60</w:t>
      </w:r>
      <w:r>
        <w:rPr>
          <w:rFonts w:hint="eastAsia" w:ascii="宋体" w:hAnsi="宋体" w:eastAsia="宋体" w:cs="宋体"/>
          <w:color w:val="auto"/>
          <w:sz w:val="22"/>
          <w:szCs w:val="22"/>
          <w:highlight w:val="none"/>
          <w:lang w:eastAsia="zh-CN"/>
        </w:rPr>
        <w:t>0h中性盐雾试验后，保护等级（Rp）不低于8级，外观评级（Ra）不低于8级。</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318E5370">
      <w:pPr>
        <w:pageBreakBefore w:val="0"/>
        <w:widowControl w:val="0"/>
        <w:numPr>
          <w:ilvl w:val="0"/>
          <w:numId w:val="5"/>
        </w:numPr>
        <w:kinsoku/>
        <w:wordWrap/>
        <w:overflowPunct/>
        <w:topLinePunct w:val="0"/>
        <w:autoSpaceDE/>
        <w:autoSpaceDN/>
        <w:bidi w:val="0"/>
        <w:adjustRightInd w:val="0"/>
        <w:snapToGrid/>
        <w:spacing w:line="360" w:lineRule="exact"/>
        <w:ind w:left="0" w:leftChars="0" w:firstLine="400" w:firstLineChars="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w:t>
      </w:r>
      <w:r>
        <w:rPr>
          <w:rFonts w:hint="eastAsia" w:ascii="宋体" w:hAnsi="宋体" w:eastAsia="宋体" w:cs="宋体"/>
          <w:b/>
          <w:bCs/>
          <w:color w:val="auto"/>
          <w:sz w:val="22"/>
          <w:szCs w:val="22"/>
          <w:highlight w:val="none"/>
          <w:lang w:val="en-US" w:eastAsia="zh-CN"/>
        </w:rPr>
        <w:t>人商务和技术文件中</w:t>
      </w:r>
      <w:r>
        <w:rPr>
          <w:rFonts w:hint="eastAsia" w:ascii="宋体" w:hAnsi="宋体" w:eastAsia="宋体" w:cs="宋体"/>
          <w:b/>
          <w:bCs/>
          <w:color w:val="auto"/>
          <w:sz w:val="22"/>
          <w:szCs w:val="22"/>
          <w:highlight w:val="none"/>
        </w:rPr>
        <w:t>提供绿色产品认证证书</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，以证明所投产品符合国家对绿色制造与环境产品的相关要求。</w:t>
      </w:r>
    </w:p>
    <w:p w14:paraId="2AF8D9A0">
      <w:pPr>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滴水架</w:t>
      </w:r>
    </w:p>
    <w:p w14:paraId="49D2F5DA">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材料：采用高密度PP，一体成型，无异味；表面光洁，无缩印，无划痕，无飞边；内部无气泡、无气纹；</w:t>
      </w:r>
    </w:p>
    <w:p w14:paraId="727007E5">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款式：滴水棒卡扣设计为嵌入式，可拆卸，安装简便，插好后不易脱落，左右摇晃&lt;1mm；</w:t>
      </w:r>
    </w:p>
    <w:p w14:paraId="0B4CE687">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接水底部：中间设有排水孔；</w:t>
      </w:r>
    </w:p>
    <w:p w14:paraId="505997C9">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可拆卸式滴水棒，滴水棒27/</w:t>
      </w:r>
      <w:r>
        <w:rPr>
          <w:rFonts w:hint="eastAsia" w:ascii="宋体" w:hAnsi="宋体" w:eastAsia="宋体" w:cs="宋体"/>
          <w:color w:val="auto"/>
          <w:sz w:val="22"/>
          <w:szCs w:val="22"/>
          <w:highlight w:val="none"/>
          <w:lang w:val="en-US" w:eastAsia="zh-CN"/>
        </w:rPr>
        <w:t>61</w:t>
      </w:r>
      <w:r>
        <w:rPr>
          <w:rFonts w:hint="eastAsia" w:ascii="宋体" w:hAnsi="宋体" w:eastAsia="宋体" w:cs="宋体"/>
          <w:color w:val="auto"/>
          <w:sz w:val="22"/>
          <w:szCs w:val="22"/>
          <w:highlight w:val="none"/>
        </w:rPr>
        <w:t>根；</w:t>
      </w:r>
    </w:p>
    <w:p w14:paraId="273B2B36">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安装方式：壁挂式/台式。</w:t>
      </w:r>
    </w:p>
    <w:p w14:paraId="7295F95F">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检测报告：</w:t>
      </w:r>
    </w:p>
    <w:p w14:paraId="147DF4CD">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（1）耐污染性能：依据GB/T 17657-2022标准，同一份检测报告需包含甲酸（AR，85%）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抗坏血酸（AR）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单宁酸（AR）</w:t>
      </w:r>
      <w:r>
        <w:rPr>
          <w:rFonts w:hint="eastAsia" w:ascii="宋体" w:hAnsi="宋体" w:eastAsia="宋体" w:cs="宋体"/>
          <w:color w:val="auto"/>
          <w:sz w:val="22"/>
          <w:szCs w:val="22"/>
          <w:highlight w:val="none"/>
          <w:lang w:eastAsia="zh-CN"/>
        </w:rPr>
        <w:t>、二氯乙酸</w:t>
      </w:r>
      <w:r>
        <w:rPr>
          <w:rFonts w:hint="eastAsia" w:ascii="宋体" w:hAnsi="宋体" w:eastAsia="宋体" w:cs="宋体"/>
          <w:color w:val="auto"/>
          <w:sz w:val="22"/>
          <w:szCs w:val="22"/>
          <w:highlight w:val="none"/>
        </w:rPr>
        <w:t>（AR，98%）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氨水（氢氧化铵）（AR）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氢氧化钙（AR）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氢氧化钾（AR，≥85.0%）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磷酸氢二钠（无水）（AR，≥99.0%）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硫代硫酸钠（≥99.5%）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硫氰酸钾（GR，99%）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硫酸铁铵（&gt;98%）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己</w:t>
      </w:r>
      <w:r>
        <w:rPr>
          <w:rFonts w:hint="eastAsia" w:ascii="宋体" w:hAnsi="宋体" w:eastAsia="宋体" w:cs="宋体"/>
          <w:color w:val="auto"/>
          <w:sz w:val="22"/>
          <w:szCs w:val="22"/>
          <w:highlight w:val="none"/>
        </w:rPr>
        <w:t>烷（AR，≥97.0%）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邻二甲苯（CP，≥98.0%）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四氯化碳</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2-苯乙醇（&gt;99. 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2-甲氧基乙醇（特纯99%）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糠醛（呋喃甲叉）（AR，99%）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桃醛（0.98）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二恶烷（1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4-二氧六环、二氧杂环</w:t>
      </w:r>
      <w:r>
        <w:rPr>
          <w:rFonts w:hint="eastAsia" w:ascii="宋体" w:hAnsi="宋体" w:eastAsia="宋体" w:cs="宋体"/>
          <w:color w:val="auto"/>
          <w:sz w:val="22"/>
          <w:szCs w:val="22"/>
          <w:highlight w:val="none"/>
          <w:lang w:val="en-US" w:eastAsia="zh-CN"/>
        </w:rPr>
        <w:t>己</w:t>
      </w:r>
      <w:r>
        <w:rPr>
          <w:rFonts w:hint="eastAsia" w:ascii="宋体" w:hAnsi="宋体" w:eastAsia="宋体" w:cs="宋体"/>
          <w:color w:val="auto"/>
          <w:sz w:val="22"/>
          <w:szCs w:val="22"/>
          <w:highlight w:val="none"/>
        </w:rPr>
        <w:t>烷）（AR，99%）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丁酮（甲基乙基酮、甲乙酮）（AR，≥99.0%）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二正丁胺（1601）（AR）</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N-甲基吡咯烷酮（&gt;99.5%）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二硫化碳（≥99.9%）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二氯甲烷（AR，≥99.5%）等</w:t>
      </w:r>
      <w:r>
        <w:rPr>
          <w:rFonts w:hint="eastAsia" w:ascii="宋体" w:hAnsi="宋体" w:eastAsia="宋体" w:cs="宋体"/>
          <w:color w:val="auto"/>
          <w:sz w:val="22"/>
          <w:szCs w:val="22"/>
          <w:highlight w:val="none"/>
          <w:lang w:val="en-US" w:eastAsia="zh-CN"/>
        </w:rPr>
        <w:t>至少</w:t>
      </w:r>
      <w:r>
        <w:rPr>
          <w:rFonts w:hint="eastAsia" w:ascii="宋体" w:hAnsi="宋体" w:eastAsia="宋体" w:cs="宋体"/>
          <w:color w:val="auto"/>
          <w:sz w:val="22"/>
          <w:szCs w:val="22"/>
          <w:highlight w:val="none"/>
        </w:rPr>
        <w:t>150种有机、无机试剂，</w:t>
      </w:r>
      <w:r>
        <w:rPr>
          <w:rFonts w:hint="eastAsia" w:ascii="宋体" w:hAnsi="宋体" w:eastAsia="宋体" w:cs="宋体"/>
          <w:color w:val="auto"/>
          <w:sz w:val="22"/>
          <w:szCs w:val="22"/>
          <w:highlight w:val="none"/>
          <w:lang w:val="en-US" w:eastAsia="zh-CN"/>
        </w:rPr>
        <w:t>耐污染接触时间≥48h，覆盖/未覆盖玻璃盖板，</w:t>
      </w:r>
      <w:r>
        <w:rPr>
          <w:rFonts w:hint="eastAsia" w:ascii="宋体" w:hAnsi="宋体" w:eastAsia="宋体" w:cs="宋体"/>
          <w:color w:val="auto"/>
          <w:sz w:val="22"/>
          <w:szCs w:val="22"/>
          <w:highlight w:val="none"/>
        </w:rPr>
        <w:t>检验结果均为5级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无明显变化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3359584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）紫外老化测试：依据GB/T 16422.3-2022、GB/T 1766-2008标准，通过紫外老化测试（灯型：UVA-340，辐照度：0.76W·m-2·nm-1，暴露方式：60℃辐照8h</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50℃无辐照冷凝4h，试验时长：</w:t>
      </w:r>
      <w:r>
        <w:rPr>
          <w:rFonts w:hint="eastAsia" w:ascii="宋体" w:hAnsi="宋体" w:eastAsia="宋体" w:cs="宋体"/>
          <w:color w:val="auto"/>
          <w:sz w:val="22"/>
          <w:szCs w:val="22"/>
          <w:highlight w:val="none"/>
          <w:lang w:eastAsia="zh-CN"/>
        </w:rPr>
        <w:t>≥700h</w:t>
      </w:r>
      <w:r>
        <w:rPr>
          <w:rFonts w:hint="eastAsia" w:ascii="宋体" w:hAnsi="宋体" w:eastAsia="宋体" w:cs="宋体"/>
          <w:color w:val="auto"/>
          <w:sz w:val="22"/>
          <w:szCs w:val="22"/>
          <w:highlight w:val="none"/>
        </w:rPr>
        <w:t>），无可视变化，色差≤1.5，无变色，变色等级0级。</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5C0836C0">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拉伸强度：依据GB/T 1040.2-2022标准，检测结果≥</w:t>
      </w:r>
      <w:r>
        <w:rPr>
          <w:rFonts w:hint="eastAsia" w:ascii="宋体" w:hAnsi="宋体" w:eastAsia="宋体" w:cs="宋体"/>
          <w:color w:val="auto"/>
          <w:sz w:val="22"/>
          <w:szCs w:val="22"/>
          <w:highlight w:val="none"/>
          <w:lang w:val="en-US" w:eastAsia="zh-CN"/>
        </w:rPr>
        <w:t>60</w:t>
      </w:r>
      <w:r>
        <w:rPr>
          <w:rFonts w:hint="eastAsia" w:ascii="宋体" w:hAnsi="宋体" w:eastAsia="宋体" w:cs="宋体"/>
          <w:color w:val="auto"/>
          <w:sz w:val="22"/>
          <w:szCs w:val="22"/>
          <w:highlight w:val="none"/>
        </w:rPr>
        <w:t>MPa。</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22AFBC3B">
      <w:pPr>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简支梁缺口冲击强度：依据GB/T 1043.1-2008标准，检测结果≥7</w:t>
      </w:r>
      <w:r>
        <w:rPr>
          <w:rFonts w:hint="eastAsia" w:ascii="宋体" w:hAnsi="宋体" w:eastAsia="宋体" w:cs="宋体"/>
          <w:color w:val="auto"/>
          <w:sz w:val="22"/>
          <w:szCs w:val="22"/>
          <w:highlight w:val="none"/>
          <w:lang w:val="en-US" w:eastAsia="zh-CN"/>
        </w:rPr>
        <w:t>kJ/m</w:t>
      </w: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带有CMA</w:t>
      </w:r>
      <w:r>
        <w:rPr>
          <w:rFonts w:hint="eastAsia" w:ascii="宋体" w:hAnsi="宋体" w:eastAsia="宋体" w:cs="宋体"/>
          <w:b/>
          <w:bCs/>
          <w:color w:val="auto"/>
          <w:sz w:val="22"/>
          <w:szCs w:val="22"/>
          <w:highlight w:val="none"/>
          <w:lang w:val="en-US" w:eastAsia="zh-CN"/>
        </w:rPr>
        <w:t>标识的</w:t>
      </w:r>
      <w:r>
        <w:rPr>
          <w:rFonts w:hint="eastAsia" w:ascii="宋体" w:hAnsi="宋体" w:eastAsia="宋体" w:cs="宋体"/>
          <w:b/>
          <w:bCs/>
          <w:color w:val="auto"/>
          <w:sz w:val="22"/>
          <w:szCs w:val="22"/>
          <w:highlight w:val="none"/>
        </w:rPr>
        <w:t>第三方检测实验室出具的检测报告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p>
    <w:p w14:paraId="7294471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rPr>
        <w:t>投标</w:t>
      </w:r>
      <w:r>
        <w:rPr>
          <w:rFonts w:hint="eastAsia" w:ascii="宋体" w:hAnsi="宋体" w:eastAsia="宋体" w:cs="宋体"/>
          <w:b/>
          <w:bCs/>
          <w:color w:val="auto"/>
          <w:sz w:val="22"/>
          <w:szCs w:val="22"/>
          <w:highlight w:val="none"/>
          <w:lang w:val="en-US" w:eastAsia="zh-CN"/>
        </w:rPr>
        <w:t>人商务和技术文件中</w:t>
      </w:r>
      <w:r>
        <w:rPr>
          <w:rFonts w:hint="eastAsia" w:ascii="宋体" w:hAnsi="宋体" w:eastAsia="宋体" w:cs="宋体"/>
          <w:b/>
          <w:bCs/>
          <w:color w:val="auto"/>
          <w:sz w:val="22"/>
          <w:szCs w:val="22"/>
          <w:highlight w:val="none"/>
        </w:rPr>
        <w:t>提供绿色产品认证证书</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，以证明所投产品符合国家对绿色制造与环境产品的相关要求。</w:t>
      </w:r>
    </w:p>
    <w:p w14:paraId="2C7FB3E4">
      <w:pPr>
        <w:pStyle w:val="4"/>
        <w:pageBreakBefore w:val="0"/>
        <w:widowControl w:val="0"/>
        <w:numPr>
          <w:ilvl w:val="0"/>
          <w:numId w:val="0"/>
        </w:numPr>
        <w:kinsoku/>
        <w:wordWrap/>
        <w:overflowPunct/>
        <w:topLinePunct w:val="0"/>
        <w:autoSpaceDE/>
        <w:autoSpaceDN/>
        <w:bidi w:val="0"/>
        <w:adjustRightInd w:val="0"/>
        <w:snapToGrid/>
        <w:spacing w:beforeLines="0" w:afterLines="0" w:line="360" w:lineRule="exac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（四）细胞培养间</w:t>
      </w:r>
    </w:p>
    <w:p w14:paraId="44834C67">
      <w:pPr>
        <w:keepNext w:val="0"/>
        <w:keepLines w:val="0"/>
        <w:pageBreakBefore w:val="0"/>
        <w:widowControl w:val="0"/>
        <w:kinsoku/>
        <w:wordWrap/>
        <w:overflowPunct/>
        <w:topLinePunct w:val="0"/>
        <w:bidi w:val="0"/>
        <w:adjustRightInd w:val="0"/>
        <w:snapToGrid/>
        <w:spacing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1.</w:t>
      </w:r>
      <w:r>
        <w:rPr>
          <w:rFonts w:hint="eastAsia" w:ascii="宋体" w:hAnsi="宋体" w:eastAsia="宋体" w:cs="宋体"/>
          <w:b/>
          <w:color w:val="auto"/>
          <w:sz w:val="22"/>
          <w:szCs w:val="22"/>
          <w:highlight w:val="none"/>
        </w:rPr>
        <w:t>设计要求</w:t>
      </w:r>
      <w:r>
        <w:rPr>
          <w:rFonts w:hint="eastAsia" w:ascii="宋体" w:hAnsi="宋体" w:eastAsia="宋体" w:cs="宋体"/>
          <w:color w:val="auto"/>
          <w:sz w:val="22"/>
          <w:szCs w:val="22"/>
          <w:highlight w:val="none"/>
        </w:rPr>
        <w:t>：</w:t>
      </w:r>
    </w:p>
    <w:p w14:paraId="3608F156">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无菌室级别为万级实验室（尘粒最大允许数大或等于0.5微米的粒子数不得超过</w:t>
      </w:r>
      <w:r>
        <w:rPr>
          <w:rFonts w:hint="eastAsia" w:ascii="宋体" w:hAnsi="宋体" w:eastAsia="宋体" w:cs="宋体"/>
          <w:color w:val="auto"/>
          <w:sz w:val="22"/>
          <w:szCs w:val="22"/>
          <w:highlight w:val="none"/>
          <w:lang w:val="en-US" w:eastAsia="zh-CN"/>
        </w:rPr>
        <w:t>35200</w:t>
      </w:r>
      <w:r>
        <w:rPr>
          <w:rFonts w:hint="eastAsia" w:ascii="宋体" w:hAnsi="宋体" w:eastAsia="宋体" w:cs="宋体"/>
          <w:color w:val="auto"/>
          <w:sz w:val="22"/>
          <w:szCs w:val="22"/>
          <w:highlight w:val="none"/>
        </w:rPr>
        <w:t>个，大于或等于5微米的粒子数不得超过</w:t>
      </w:r>
      <w:r>
        <w:rPr>
          <w:rFonts w:hint="eastAsia" w:ascii="宋体" w:hAnsi="宋体" w:eastAsia="宋体" w:cs="宋体"/>
          <w:color w:val="auto"/>
          <w:sz w:val="22"/>
          <w:szCs w:val="22"/>
          <w:highlight w:val="none"/>
          <w:lang w:val="en-US" w:eastAsia="zh-CN"/>
        </w:rPr>
        <w:t>2930</w:t>
      </w:r>
      <w:r>
        <w:rPr>
          <w:rFonts w:hint="eastAsia" w:ascii="宋体" w:hAnsi="宋体" w:eastAsia="宋体" w:cs="宋体"/>
          <w:color w:val="auto"/>
          <w:sz w:val="22"/>
          <w:szCs w:val="22"/>
          <w:highlight w:val="none"/>
        </w:rPr>
        <w:t>个；微生物标准为浮游菌数不超过</w:t>
      </w:r>
      <w:r>
        <w:rPr>
          <w:rFonts w:hint="eastAsia" w:ascii="宋体" w:hAnsi="宋体" w:eastAsia="宋体" w:cs="宋体"/>
          <w:color w:val="auto"/>
          <w:sz w:val="22"/>
          <w:szCs w:val="22"/>
          <w:highlight w:val="none"/>
          <w:lang w:val="en-US" w:eastAsia="zh-CN"/>
        </w:rPr>
        <w:t>100</w:t>
      </w:r>
      <w:r>
        <w:rPr>
          <w:rFonts w:hint="eastAsia" w:ascii="宋体" w:hAnsi="宋体" w:eastAsia="宋体" w:cs="宋体"/>
          <w:color w:val="auto"/>
          <w:sz w:val="22"/>
          <w:szCs w:val="22"/>
          <w:highlight w:val="none"/>
        </w:rPr>
        <w:t>个每立方米，沉降菌数不超过</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个每培养皿）；</w:t>
      </w:r>
    </w:p>
    <w:p w14:paraId="7ED42779">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送风方式：带扩散板高效空气过滤器顶棚送风；</w:t>
      </w:r>
    </w:p>
    <w:p w14:paraId="3FB36FF9">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回风方式：墙下部布置回风口；</w:t>
      </w:r>
    </w:p>
    <w:p w14:paraId="6797B5DA">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换气次数：万级</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次/小时；</w:t>
      </w:r>
    </w:p>
    <w:p w14:paraId="188819A9">
      <w:pPr>
        <w:pStyle w:val="7"/>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b w:val="0"/>
          <w:color w:val="auto"/>
          <w:spacing w:val="0"/>
          <w:sz w:val="22"/>
          <w:szCs w:val="22"/>
          <w:highlight w:val="none"/>
          <w:lang w:eastAsia="zh-CN"/>
        </w:rPr>
      </w:pPr>
      <w:r>
        <w:rPr>
          <w:rFonts w:hint="eastAsia" w:ascii="宋体" w:hAnsi="宋体" w:eastAsia="宋体" w:cs="宋体"/>
          <w:b w:val="0"/>
          <w:color w:val="auto"/>
          <w:spacing w:val="0"/>
          <w:sz w:val="22"/>
          <w:szCs w:val="22"/>
          <w:highlight w:val="none"/>
        </w:rPr>
        <w:t>压差：洁净室与</w:t>
      </w:r>
      <w:r>
        <w:rPr>
          <w:rFonts w:hint="eastAsia" w:ascii="宋体" w:hAnsi="宋体" w:eastAsia="宋体" w:cs="宋体"/>
          <w:b w:val="0"/>
          <w:color w:val="auto"/>
          <w:spacing w:val="0"/>
          <w:sz w:val="22"/>
          <w:szCs w:val="22"/>
          <w:highlight w:val="none"/>
          <w:lang w:val="en-US" w:eastAsia="zh-CN"/>
        </w:rPr>
        <w:t>非</w:t>
      </w:r>
      <w:r>
        <w:rPr>
          <w:rFonts w:hint="eastAsia" w:ascii="宋体" w:hAnsi="宋体" w:eastAsia="宋体" w:cs="宋体"/>
          <w:b w:val="0"/>
          <w:color w:val="auto"/>
          <w:spacing w:val="0"/>
          <w:sz w:val="22"/>
          <w:szCs w:val="22"/>
          <w:highlight w:val="none"/>
        </w:rPr>
        <w:t>洁净室之间的压差</w:t>
      </w:r>
      <w:r>
        <w:rPr>
          <w:rFonts w:hint="eastAsia" w:ascii="宋体" w:hAnsi="宋体" w:eastAsia="宋体" w:cs="宋体"/>
          <w:color w:val="auto"/>
          <w:sz w:val="22"/>
          <w:szCs w:val="22"/>
          <w:highlight w:val="none"/>
        </w:rPr>
        <w:t>≥</w:t>
      </w:r>
      <w:r>
        <w:rPr>
          <w:rFonts w:hint="eastAsia" w:ascii="宋体" w:hAnsi="宋体" w:eastAsia="宋体" w:cs="宋体"/>
          <w:b w:val="0"/>
          <w:color w:val="auto"/>
          <w:spacing w:val="0"/>
          <w:sz w:val="22"/>
          <w:szCs w:val="22"/>
          <w:highlight w:val="none"/>
          <w:lang w:val="en-US" w:eastAsia="zh-CN"/>
        </w:rPr>
        <w:t>5</w:t>
      </w:r>
      <w:r>
        <w:rPr>
          <w:rFonts w:hint="eastAsia" w:ascii="宋体" w:hAnsi="宋体" w:eastAsia="宋体" w:cs="宋体"/>
          <w:b w:val="0"/>
          <w:color w:val="auto"/>
          <w:spacing w:val="0"/>
          <w:sz w:val="22"/>
          <w:szCs w:val="22"/>
          <w:highlight w:val="none"/>
        </w:rPr>
        <w:t>Pa</w:t>
      </w:r>
      <w:r>
        <w:rPr>
          <w:rFonts w:hint="eastAsia" w:ascii="宋体" w:hAnsi="宋体" w:eastAsia="宋体" w:cs="宋体"/>
          <w:b w:val="0"/>
          <w:color w:val="auto"/>
          <w:spacing w:val="0"/>
          <w:sz w:val="22"/>
          <w:szCs w:val="22"/>
          <w:highlight w:val="none"/>
          <w:lang w:eastAsia="zh-CN"/>
        </w:rPr>
        <w:t>。</w:t>
      </w:r>
    </w:p>
    <w:p w14:paraId="65721787">
      <w:pPr>
        <w:keepNext w:val="0"/>
        <w:keepLines w:val="0"/>
        <w:pageBreakBefore w:val="0"/>
        <w:widowControl w:val="0"/>
        <w:kinsoku/>
        <w:wordWrap/>
        <w:overflowPunct/>
        <w:topLinePunct w:val="0"/>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2.</w:t>
      </w:r>
      <w:r>
        <w:rPr>
          <w:rFonts w:hint="eastAsia" w:ascii="宋体" w:hAnsi="宋体" w:eastAsia="宋体" w:cs="宋体"/>
          <w:b/>
          <w:bCs/>
          <w:color w:val="auto"/>
          <w:sz w:val="22"/>
          <w:szCs w:val="22"/>
          <w:highlight w:val="none"/>
        </w:rPr>
        <w:t>彩钢板隔断及吊顶</w:t>
      </w:r>
    </w:p>
    <w:p w14:paraId="5AB0886C">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2.1总体要求</w:t>
      </w:r>
    </w:p>
    <w:p w14:paraId="6E886DDF">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需采用50mm手工岩棉玻美彩钢板，不含石棉、甲醛、苯及有害放射性元素。气密型，墙板与墙板之间、墙板与结构之间的拼接必须平整、严密，所有连接角均处理成大于90</w:t>
      </w:r>
      <w:r>
        <w:rPr>
          <w:rFonts w:hint="eastAsia" w:ascii="宋体" w:hAnsi="宋体" w:eastAsia="宋体" w:cs="宋体"/>
          <w:color w:val="auto"/>
          <w:sz w:val="22"/>
          <w:szCs w:val="22"/>
          <w:highlight w:val="none"/>
          <w:vertAlign w:val="superscript"/>
        </w:rPr>
        <w:t>。</w:t>
      </w:r>
      <w:r>
        <w:rPr>
          <w:rFonts w:hint="eastAsia" w:ascii="宋体" w:hAnsi="宋体" w:eastAsia="宋体" w:cs="宋体"/>
          <w:color w:val="auto"/>
          <w:sz w:val="22"/>
          <w:szCs w:val="22"/>
          <w:highlight w:val="none"/>
        </w:rPr>
        <w:t>角，并以R50圆弧过渡连接，以确保没有卫生死角，便于清洁，消毒，实验室表层要求处理成哑光面。所有地面接缝处用原材料处理成无缝。</w:t>
      </w:r>
    </w:p>
    <w:p w14:paraId="649E24FC">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彩钢内夹芯岩棉板，岩棉容重≥100kg/m3，非抗静电，钢板厚度≥0.476mm，四边用钢龙骨封边，不吸尘产尘，耐腐蚀易清洁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板底面的缝隙 (即露于洁净室内的一面) 应用优质硅胶嵌缝，嵌缝应连接、严密、光滑。成品彩钢板表面覆有保护膜，厚度≥50μm。</w:t>
      </w:r>
    </w:p>
    <w:p w14:paraId="0C0F7739">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强度性能：3米高的墙板其弯曲程度需＜2毫米/米。所有承插面、密封面需满涂粘合剂（99%以上），确保表板与芯材的粘结牢固。抗腐蚀，抗酸抗碱，热胀冷缩变化小，干缩率≤0.3%，湿胀率≤0.6%，具有耐-40℃的抗冻性，符合国家建材防霉标准。</w:t>
      </w:r>
    </w:p>
    <w:p w14:paraId="3A17EEED">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2.2耐火性能要求</w:t>
      </w:r>
    </w:p>
    <w:p w14:paraId="7553EB90">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板材耐火极限≥1h，燃烧性能等级需为GB8624A（A1）级，</w:t>
      </w:r>
      <w:r>
        <w:rPr>
          <w:rFonts w:hint="eastAsia" w:ascii="宋体" w:hAnsi="宋体" w:eastAsia="宋体" w:cs="宋体"/>
          <w:b/>
          <w:bCs/>
          <w:color w:val="auto"/>
          <w:sz w:val="22"/>
          <w:szCs w:val="22"/>
          <w:highlight w:val="none"/>
          <w:lang w:val="en-US" w:eastAsia="zh-CN"/>
        </w:rPr>
        <w:t>商务和技术文件中</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eastAsia="zh-CN"/>
        </w:rPr>
        <w:t>具备国家认可的相应资质的检测机构出具</w:t>
      </w:r>
      <w:r>
        <w:rPr>
          <w:rFonts w:hint="eastAsia" w:ascii="宋体" w:hAnsi="宋体" w:eastAsia="宋体" w:cs="宋体"/>
          <w:b/>
          <w:bCs/>
          <w:color w:val="auto"/>
          <w:sz w:val="22"/>
          <w:szCs w:val="22"/>
          <w:highlight w:val="none"/>
        </w:rPr>
        <w:t>的防火等级检测报告</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rPr>
        <w:t>加盖投标人公章</w:t>
      </w:r>
      <w:r>
        <w:rPr>
          <w:rFonts w:hint="eastAsia" w:ascii="宋体" w:hAnsi="宋体" w:eastAsia="宋体" w:cs="宋体"/>
          <w:color w:val="auto"/>
          <w:sz w:val="22"/>
          <w:szCs w:val="22"/>
          <w:highlight w:val="none"/>
        </w:rPr>
        <w:t>。其完整性和隔热性达到GB/T 9978.1-2008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10.2.2和GB/T 9978.1-2008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10.2.3要求。</w:t>
      </w:r>
    </w:p>
    <w:p w14:paraId="2ECD7939">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2.3隔声吸音要求</w:t>
      </w:r>
    </w:p>
    <w:p w14:paraId="35E38DFA">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彩钢顶板隔音性能需满足RW=29~30dB，吸音效果按照ISO 354/85 标准。</w:t>
      </w:r>
    </w:p>
    <w:p w14:paraId="1354B2B7">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需采用彩钢板制成品门，颜色为白灰色。外层需采用≥0.5mm耐刮擦、防撞的彩钢板，内填充阻燃纸蜂窝，内部需有龙骨加强，厚度≥50mm；每扇门铰链为卫生型不锈钢，数量不少于三个。</w:t>
      </w:r>
    </w:p>
    <w:p w14:paraId="3BBC1DAE">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门框：需采用成品门，密封槽内嵌EPDM密封条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与彩钢板平安装。</w:t>
      </w:r>
    </w:p>
    <w:p w14:paraId="7FFA27A8">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五金配件：需配套优质不锈钢门锁(采用优质执手锁)，优质锁芯，双开门固定扇配整体暗插销。门铰链安装后与门页门框齐平无凸起便于清洁；</w:t>
      </w:r>
    </w:p>
    <w:p w14:paraId="4778F6BC">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观察窗：视窗安装后玻璃与彩钢复合板相平，玻璃与彩钢板墙的缝隙与隔墙缝隙一致，要求玻璃夹层内清洁不起雾，玻璃与窗框粘贴牢固且密封。</w:t>
      </w:r>
    </w:p>
    <w:p w14:paraId="083BCACC">
      <w:pPr>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3.</w:t>
      </w:r>
      <w:r>
        <w:rPr>
          <w:rFonts w:hint="eastAsia" w:ascii="宋体" w:hAnsi="宋体" w:eastAsia="宋体" w:cs="宋体"/>
          <w:b/>
          <w:bCs/>
          <w:color w:val="auto"/>
          <w:sz w:val="22"/>
          <w:szCs w:val="22"/>
          <w:highlight w:val="none"/>
        </w:rPr>
        <w:t>钢制洁净门</w:t>
      </w:r>
    </w:p>
    <w:p w14:paraId="771394EC">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3.1总体要求</w:t>
      </w:r>
    </w:p>
    <w:p w14:paraId="2EF7D002">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实验室出入门体采用成品钢制洁净门，颜色为白灰色。实验室内相邻房间的门，在关门状态下，具有能够维持密闭措施。门表面平整、整洁无划痕、无麻点、凹坑，无锈蚀; 表面涂料颜色均匀一致，涂膜光洁美观，带防撞功能，门扇表面色调与墙面协调，气密性良好。外层需采用≥0.5mm耐刮擦、防撞的彩钢板，内填充阻燃纸蜂窝，内部需有龙骨加强，厚度≥50mm。</w:t>
      </w:r>
    </w:p>
    <w:p w14:paraId="0AEA63F1">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3.2门锁</w:t>
      </w:r>
    </w:p>
    <w:p w14:paraId="454D6C2D">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采用不锈钢高级锁。(根据尺寸现场制作安装) 玻璃选用钢化玻璃，每樘门含五金，且具有执手锁+铰链+门吸，每樘门装三个优质铰链的不锈钢专用型材。</w:t>
      </w:r>
    </w:p>
    <w:p w14:paraId="7958733E">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门套制作采用拉丝不锈钢进行包封，门采用铝制型材成品专用门 (尺寸可调定做) ，门上自带观察窗，并配套四边成品门框。</w:t>
      </w:r>
    </w:p>
    <w:p w14:paraId="0BFB21CA">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3.3观察窗</w:t>
      </w:r>
    </w:p>
    <w:p w14:paraId="4C7AE278">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300*400mm观察窗，观察窗处采用双圆弧形专业铝型材，所有观察窗与玻璃交接口处</w:t>
      </w:r>
      <w:r>
        <w:rPr>
          <w:rFonts w:hint="eastAsia" w:ascii="宋体" w:hAnsi="宋体" w:cs="宋体"/>
          <w:color w:val="auto"/>
          <w:sz w:val="22"/>
          <w:szCs w:val="22"/>
          <w:highlight w:val="none"/>
          <w:lang w:eastAsia="zh-CN"/>
        </w:rPr>
        <w:t>采用</w:t>
      </w:r>
      <w:r>
        <w:rPr>
          <w:rFonts w:hint="eastAsia" w:ascii="宋体" w:hAnsi="宋体" w:eastAsia="宋体" w:cs="宋体"/>
          <w:color w:val="auto"/>
          <w:sz w:val="22"/>
          <w:szCs w:val="22"/>
          <w:highlight w:val="none"/>
        </w:rPr>
        <w:t>专用橡胶条密封胶，安装后玻璃与彩钢复合板相平视窗，玻璃夹层内清洁不起雾，玻璃与窗框粘贴牢固且密封。</w:t>
      </w:r>
      <w:r>
        <w:rPr>
          <w:rFonts w:hint="eastAsia" w:ascii="宋体" w:hAnsi="宋体" w:eastAsia="宋体" w:cs="宋体"/>
          <w:color w:val="auto"/>
          <w:sz w:val="22"/>
          <w:szCs w:val="22"/>
          <w:highlight w:val="none"/>
          <w:lang w:val="en-US" w:eastAsia="zh-CN"/>
        </w:rPr>
        <w:t xml:space="preserve">   </w:t>
      </w:r>
    </w:p>
    <w:p w14:paraId="09D1C296">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3.4控制系统</w:t>
      </w:r>
    </w:p>
    <w:p w14:paraId="22C2BB9F">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3.4.1.系统概述</w:t>
      </w:r>
    </w:p>
    <w:p w14:paraId="3C65F1B8">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方案旨在设计一套基于可编程逻辑控制器（PLC）与7寸人机交互界面（HMI）的洁净室智能控制系统。系统核心功能为实现对净化机组温度、房间压差、紫外灯消毒时序的精确控制与监测，并集成远程监控与管理功能，确保洁净室环境参数持续稳定在设定标准，提升自动化水平与管理效率。</w:t>
      </w:r>
    </w:p>
    <w:p w14:paraId="1C1C4A11">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3.4.2.系统设计目标与原则</w:t>
      </w:r>
    </w:p>
    <w:p w14:paraId="6A6EDD16">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高可靠性：采用工业级PLC与组件，确保系统7x24小时连续稳定运行。</w:t>
      </w:r>
    </w:p>
    <w:p w14:paraId="3BAC0CAB">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精确控制：对温度、压差等关键参数实现闭环PID调节，控制精度高。</w:t>
      </w:r>
    </w:p>
    <w:p w14:paraId="50F71F05">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操作便捷：通过7寸彩色触摸屏进行直观的参数设置、状态监控与手动操作。</w:t>
      </w:r>
    </w:p>
    <w:p w14:paraId="5D7F1A09">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远程运维：支持通过局域网/互联网进行远程实时监控、参数修改与故障报警。</w:t>
      </w:r>
    </w:p>
    <w:p w14:paraId="79CEE3FF">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可扩展性：采用模块化设计，便于后期增加控制点位或功能。</w:t>
      </w:r>
    </w:p>
    <w:p w14:paraId="4CCD5DC6">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3.4.3.系统硬件配置</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89"/>
        <w:gridCol w:w="3941"/>
        <w:gridCol w:w="3916"/>
      </w:tblGrid>
      <w:tr w14:paraId="12C9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417AD7B2">
            <w:pPr>
              <w:pStyle w:val="7"/>
              <w:bidi w:val="0"/>
              <w:spacing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组件</w:t>
            </w:r>
          </w:p>
        </w:tc>
        <w:tc>
          <w:tcPr>
            <w:tcW w:w="2021" w:type="pct"/>
            <w:vAlign w:val="center"/>
          </w:tcPr>
          <w:p w14:paraId="31BC79B9">
            <w:pPr>
              <w:pStyle w:val="7"/>
              <w:bidi w:val="0"/>
              <w:spacing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规格/型号</w:t>
            </w:r>
          </w:p>
        </w:tc>
        <w:tc>
          <w:tcPr>
            <w:tcW w:w="2008" w:type="pct"/>
            <w:vAlign w:val="center"/>
          </w:tcPr>
          <w:p w14:paraId="3EE31208">
            <w:pPr>
              <w:pStyle w:val="7"/>
              <w:bidi w:val="0"/>
              <w:spacing w:line="24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功能说明</w:t>
            </w:r>
          </w:p>
        </w:tc>
      </w:tr>
      <w:tr w14:paraId="6D63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15C95351">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主控制器</w:t>
            </w:r>
            <w:r>
              <w:rPr>
                <w:rFonts w:hint="eastAsia" w:ascii="宋体" w:hAnsi="宋体" w:eastAsia="宋体" w:cs="宋体"/>
                <w:color w:val="auto"/>
                <w:spacing w:val="2"/>
                <w:sz w:val="22"/>
                <w:szCs w:val="22"/>
                <w:highlight w:val="none"/>
              </w:rPr>
              <w:t xml:space="preserve"> </w:t>
            </w:r>
          </w:p>
        </w:tc>
        <w:tc>
          <w:tcPr>
            <w:tcW w:w="2021" w:type="pct"/>
            <w:vAlign w:val="center"/>
          </w:tcPr>
          <w:p w14:paraId="1FC23ACB">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 xml:space="preserve"> 工业级PLC    </w:t>
            </w:r>
          </w:p>
        </w:tc>
        <w:tc>
          <w:tcPr>
            <w:tcW w:w="2008" w:type="pct"/>
            <w:vAlign w:val="center"/>
          </w:tcPr>
          <w:p w14:paraId="22344D70">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系统核心，执行逻辑控制、</w:t>
            </w:r>
            <w:r>
              <w:rPr>
                <w:rFonts w:hint="eastAsia" w:ascii="宋体" w:hAnsi="宋体" w:eastAsia="宋体" w:cs="宋体"/>
                <w:color w:val="auto"/>
                <w:sz w:val="22"/>
                <w:szCs w:val="22"/>
                <w:highlight w:val="none"/>
              </w:rPr>
              <w:t>PID</w:t>
            </w:r>
            <w:r>
              <w:rPr>
                <w:rFonts w:hint="eastAsia" w:ascii="宋体" w:hAnsi="宋体" w:eastAsia="宋体" w:cs="宋体"/>
                <w:color w:val="auto"/>
                <w:spacing w:val="1"/>
                <w:sz w:val="22"/>
                <w:szCs w:val="22"/>
                <w:highlight w:val="none"/>
              </w:rPr>
              <w:t>运算、通讯管理。</w:t>
            </w:r>
          </w:p>
        </w:tc>
      </w:tr>
      <w:tr w14:paraId="0D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4F17D279">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人机界面HMI</w:t>
            </w:r>
          </w:p>
        </w:tc>
        <w:tc>
          <w:tcPr>
            <w:tcW w:w="2021" w:type="pct"/>
            <w:vAlign w:val="center"/>
          </w:tcPr>
          <w:p w14:paraId="4BA9E403">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7英寸高亮度彩色触摸屏，分辨率800x480</w:t>
            </w:r>
          </w:p>
        </w:tc>
        <w:tc>
          <w:tcPr>
            <w:tcW w:w="2008" w:type="pct"/>
            <w:vAlign w:val="center"/>
          </w:tcPr>
          <w:p w14:paraId="524041FB">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本地操作主界面，显示实时数据、曲线、报警，进行参数设定。</w:t>
            </w:r>
          </w:p>
        </w:tc>
      </w:tr>
      <w:tr w14:paraId="1D23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696565C1">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温度控制模块</w:t>
            </w:r>
          </w:p>
        </w:tc>
        <w:tc>
          <w:tcPr>
            <w:tcW w:w="2021" w:type="pct"/>
            <w:vAlign w:val="center"/>
          </w:tcPr>
          <w:p w14:paraId="1FD89972">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PLC模拟量输入/输出模块</w:t>
            </w:r>
          </w:p>
        </w:tc>
        <w:tc>
          <w:tcPr>
            <w:tcW w:w="2008" w:type="pct"/>
            <w:vAlign w:val="center"/>
          </w:tcPr>
          <w:p w14:paraId="65B0A772">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接收温度传感器信号，输出控制信号调节加热/表冷阀。</w:t>
            </w:r>
          </w:p>
        </w:tc>
      </w:tr>
      <w:tr w14:paraId="4F1C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7E14F1ED">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压差变送器</w:t>
            </w:r>
          </w:p>
        </w:tc>
        <w:tc>
          <w:tcPr>
            <w:tcW w:w="2021" w:type="pct"/>
            <w:vAlign w:val="center"/>
          </w:tcPr>
          <w:p w14:paraId="016E89EA">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高精度微差压传感器</w:t>
            </w:r>
          </w:p>
        </w:tc>
        <w:tc>
          <w:tcPr>
            <w:tcW w:w="2008" w:type="pct"/>
            <w:vAlign w:val="center"/>
          </w:tcPr>
          <w:p w14:paraId="7841CC54">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检测洁净室与相邻区域的压差，信号送PLC。</w:t>
            </w:r>
          </w:p>
        </w:tc>
      </w:tr>
      <w:tr w14:paraId="208E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7A779F24">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执行机构</w:t>
            </w:r>
          </w:p>
        </w:tc>
        <w:tc>
          <w:tcPr>
            <w:tcW w:w="2021" w:type="pct"/>
            <w:vAlign w:val="center"/>
          </w:tcPr>
          <w:p w14:paraId="23205933">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电动调节阀、变频风机控制柜</w:t>
            </w:r>
          </w:p>
        </w:tc>
        <w:tc>
          <w:tcPr>
            <w:tcW w:w="2008" w:type="pct"/>
            <w:vAlign w:val="center"/>
          </w:tcPr>
          <w:p w14:paraId="2757AB61">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执行PLC指令，调节水阀开度、风机转速。</w:t>
            </w:r>
          </w:p>
        </w:tc>
      </w:tr>
      <w:tr w14:paraId="4963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969" w:type="pct"/>
            <w:vAlign w:val="center"/>
          </w:tcPr>
          <w:p w14:paraId="36FF9881">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紫外灯控制器</w:t>
            </w:r>
          </w:p>
        </w:tc>
        <w:tc>
          <w:tcPr>
            <w:tcW w:w="2021" w:type="pct"/>
            <w:vAlign w:val="center"/>
          </w:tcPr>
          <w:p w14:paraId="1CFEE743">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PLC数字量输出模块+时间继电器</w:t>
            </w:r>
          </w:p>
        </w:tc>
        <w:tc>
          <w:tcPr>
            <w:tcW w:w="2008" w:type="pct"/>
            <w:vAlign w:val="center"/>
          </w:tcPr>
          <w:p w14:paraId="16297E33">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控制紫外灯的定时启停。</w:t>
            </w:r>
          </w:p>
        </w:tc>
      </w:tr>
      <w:tr w14:paraId="2AD0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69" w:type="pct"/>
            <w:vAlign w:val="center"/>
          </w:tcPr>
          <w:p w14:paraId="2135AAE3">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通讯模块</w:t>
            </w:r>
          </w:p>
        </w:tc>
        <w:tc>
          <w:tcPr>
            <w:tcW w:w="2021" w:type="pct"/>
            <w:vAlign w:val="center"/>
          </w:tcPr>
          <w:p w14:paraId="3C33DD1A">
            <w:pPr>
              <w:pStyle w:val="7"/>
              <w:bidi w:val="0"/>
              <w:spacing w:line="24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PLC以太网模块/4G路由器(可选)</w:t>
            </w:r>
          </w:p>
        </w:tc>
        <w:tc>
          <w:tcPr>
            <w:tcW w:w="2008" w:type="pct"/>
            <w:vAlign w:val="center"/>
          </w:tcPr>
          <w:p w14:paraId="62694D9F">
            <w:pPr>
              <w:pStyle w:val="7"/>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实现PLC与触摸屏、远程上位机/云平台的网络通讯。</w:t>
            </w:r>
          </w:p>
        </w:tc>
      </w:tr>
    </w:tbl>
    <w:p w14:paraId="52E78C80">
      <w:pPr>
        <w:keepNext w:val="0"/>
        <w:keepLines w:val="0"/>
        <w:pageBreakBefore w:val="0"/>
        <w:widowControl w:val="0"/>
        <w:kinsoku/>
        <w:wordWrap/>
        <w:overflowPunct/>
        <w:topLinePunct w:val="0"/>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3.5门禁系统</w:t>
      </w:r>
    </w:p>
    <w:p w14:paraId="6E14B4A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3.5.1系统概述</w:t>
      </w:r>
    </w:p>
    <w:p w14:paraId="5A480D6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系统是一套集成了多种生物识别与智能验证技术的一体化门禁解决方案。系统以智能门禁机为核心控制单元，联动磁力锁实现门的通电锁定/断电开启，并通过门禁电源集中供电，由门禁开关提供合法的内部出门信号。系统支持动态人脸识别、指纹、手机小程序、扫码、刷卡及密码等多种验证方式，适用于办公室、数据中心、实验室等高安全性要求场所的通道管控。</w:t>
      </w:r>
    </w:p>
    <w:p w14:paraId="1215C5B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3.5.2主要设备技术规格</w:t>
      </w:r>
    </w:p>
    <w:p w14:paraId="3738CAB0">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智能门禁机 (5寸显示屏)</w:t>
      </w:r>
    </w:p>
    <w:p w14:paraId="46943FC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显示屏：5英寸高清IPS电容触摸屏</w:t>
      </w:r>
    </w:p>
    <w:p w14:paraId="4E8CE44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识别方式：</w:t>
      </w:r>
    </w:p>
    <w:p w14:paraId="6BFE9680">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动态人脸识别：支持活体检测，识别速度 ≤0.3秒，识别距离 0.3m - 1.5m。</w:t>
      </w:r>
    </w:p>
    <w:p w14:paraId="4E0784B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指纹识别：光学或半导体指纹模块，容量 ≥3000枚，拒真率(FRR)≤1%，认假率(FAR)≤0.001%。</w:t>
      </w:r>
    </w:p>
    <w:p w14:paraId="080F56E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移动端验证：支持通过蓝牙或扫码调用手机小程序生成动态通行凭证。</w:t>
      </w:r>
    </w:p>
    <w:p w14:paraId="370CB0F5">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扫码：支持读取微信/支付宝付款码形态的通行码（需后台配置）。</w:t>
      </w:r>
    </w:p>
    <w:p w14:paraId="2E8923C8">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刷卡：支持IC卡（Mifare系列）、ID卡。</w:t>
      </w:r>
    </w:p>
    <w:p w14:paraId="6128A24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密码：支持数字密码、胁迫密码（报警）。</w:t>
      </w:r>
    </w:p>
    <w:p w14:paraId="023E7731">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存储与通讯：</w:t>
      </w:r>
    </w:p>
    <w:p w14:paraId="4D6A351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本地用户容量 ≥10,000人，记录容量 ≥100,000条。</w:t>
      </w:r>
    </w:p>
    <w:p w14:paraId="1AE885F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网络：支持TCP/IP、Wi-Fi联网。</w:t>
      </w:r>
    </w:p>
    <w:p w14:paraId="1FBB5D4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接口：标配Wiegand输入/输出、RS-485、开门按钮、锁控继电器、门磁信号接口。</w:t>
      </w:r>
    </w:p>
    <w:p w14:paraId="5DDAA22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工作电压：DC 12V ±10%，由门禁电源供电。</w:t>
      </w:r>
    </w:p>
    <w:p w14:paraId="3C0A3D9B">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3.5.3门禁电源</w:t>
      </w:r>
    </w:p>
    <w:p w14:paraId="7999697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输入：AC 100-240V，50/60Hz。</w:t>
      </w:r>
    </w:p>
    <w:p w14:paraId="6AE125F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输出：DC 12V，3A（持续），峰值电流5A（满足磁力锁瞬间上电需求）。</w:t>
      </w:r>
    </w:p>
    <w:p w14:paraId="445FA2D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备用电源：内置可充电铅酸/锂电池，断电后可持续为系统供电 ≥4小时（具体视负载而定）。</w:t>
      </w:r>
    </w:p>
    <w:p w14:paraId="6E460B3C">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功能：具备电源状态指示灯，为门禁机、磁力锁等提供集中、稳定的直流电源。</w:t>
      </w:r>
    </w:p>
    <w:p w14:paraId="7EE2192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3.5.4磁力锁</w:t>
      </w:r>
    </w:p>
    <w:p w14:paraId="4B943EF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类型：断电开门型（常闭型）。通电产生磁力吸合，断电时磁力消失，门可开启。</w:t>
      </w:r>
    </w:p>
    <w:p w14:paraId="5F1EECFE">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锁体材质：高强度不锈钢。</w:t>
      </w:r>
    </w:p>
    <w:p w14:paraId="623F234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拉力：300公斤（约660磅）保持力。</w:t>
      </w:r>
    </w:p>
    <w:p w14:paraId="2722A1E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工作电压： DC 12V。</w:t>
      </w:r>
    </w:p>
    <w:p w14:paraId="78640CAD">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工作电流：启动瞬间约0.9A-1.2A，静态保持电流约0.3A-0.5A。</w:t>
      </w:r>
    </w:p>
    <w:p w14:paraId="32E802C5">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安装方式：适用于单开木门、玻璃门、金属门。需搭配金属铁板安装。</w:t>
      </w:r>
    </w:p>
    <w:p w14:paraId="0DD22ED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门禁开关 (出门按钮)</w:t>
      </w:r>
    </w:p>
    <w:p w14:paraId="6B03FD9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类型：常开触点（瞬间触发）型。</w:t>
      </w:r>
    </w:p>
    <w:p w14:paraId="37DA66D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材质：开关面板</w:t>
      </w:r>
    </w:p>
    <w:p w14:paraId="3A066CCE">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电压/电流：适用于低压直流信号电路，触点容量DC 12V/1A。</w:t>
      </w:r>
    </w:p>
    <w:p w14:paraId="5A4E5D90">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功能：按下时，向门禁机或电源的“出门按钮”接口发送一个短暂的短路信号，触发开门继电器动作。</w:t>
      </w:r>
    </w:p>
    <w:p w14:paraId="07D96C9A">
      <w:pPr>
        <w:keepNext w:val="0"/>
        <w:keepLines w:val="0"/>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配套附件要求</w:t>
      </w:r>
    </w:p>
    <w:p w14:paraId="4DCD1DDD">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.1过滤器总体要求</w:t>
      </w:r>
    </w:p>
    <w:p w14:paraId="11E6664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采用按</w:t>
      </w:r>
      <w:r>
        <w:rPr>
          <w:rFonts w:hint="eastAsia" w:ascii="宋体" w:hAnsi="宋体" w:eastAsia="宋体" w:cs="宋体"/>
          <w:color w:val="auto"/>
          <w:sz w:val="22"/>
          <w:szCs w:val="22"/>
          <w:highlight w:val="none"/>
          <w:lang w:val="en-US" w:eastAsia="zh-CN"/>
        </w:rPr>
        <w:t>国标</w:t>
      </w:r>
      <w:r>
        <w:rPr>
          <w:rFonts w:hint="eastAsia" w:ascii="宋体" w:hAnsi="宋体" w:eastAsia="宋体" w:cs="宋体"/>
          <w:color w:val="auto"/>
          <w:sz w:val="22"/>
          <w:szCs w:val="22"/>
          <w:highlight w:val="none"/>
        </w:rPr>
        <w:t>标准生产的各类过滤器（初、中效），过滤器可拼装任意过滤断面，为以后的维保提供方便，具有很好的通用性和互换性。过滤器固定结构密封简易，更换容易。过滤器可通过检修门更换、拆洗；50mm厚初效过滤器(G4)、中效过滤器(F8)，过滤器更换报警，过滤器报警压降值能手动调节。初中效空气过滤器为扁平式，其外框是镀锌钢板制成。无纺布滤料出风面经过光整处理，可防止无纺纤维断裂飞散而造成的二次污染危害；过滤器初阻力低、容尘量大；可水洗，水洗后过滤效率、初阻力、容尘量均符合国家标准规定的指标。中效过滤器过滤材料为永久性可洗涤的聚酯乙烯玻璃纤维，使用过程中过滤效率不衰减，精度可靠；每片滤袋均附有内衬条，可有效保持袋形，避免通风状况下滤袋过度张开而产生过滤“死区”；采用“V”形滤袋结构，充分利用有效过滤面积，风阻力低，使用寿命长，可以重复水洗使用。清洗后过滤效率、初阻力、容尘量均需符合国家标准规定的指标，过滤器与机组的连接处有紧固密封垫的滑动框，阻挡未过滤的空气通过。</w:t>
      </w:r>
    </w:p>
    <w:p w14:paraId="3E5FF5EE">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.2检测技术要求</w:t>
      </w:r>
    </w:p>
    <w:tbl>
      <w:tblPr>
        <w:tblStyle w:val="19"/>
        <w:tblW w:w="9676" w:type="dxa"/>
        <w:jc w:val="center"/>
        <w:tblLayout w:type="fixed"/>
        <w:tblCellMar>
          <w:top w:w="0" w:type="dxa"/>
          <w:left w:w="108" w:type="dxa"/>
          <w:bottom w:w="0" w:type="dxa"/>
          <w:right w:w="108" w:type="dxa"/>
        </w:tblCellMar>
      </w:tblPr>
      <w:tblGrid>
        <w:gridCol w:w="864"/>
        <w:gridCol w:w="1799"/>
        <w:gridCol w:w="1346"/>
        <w:gridCol w:w="1488"/>
        <w:gridCol w:w="703"/>
        <w:gridCol w:w="581"/>
        <w:gridCol w:w="1463"/>
        <w:gridCol w:w="1432"/>
      </w:tblGrid>
      <w:tr w14:paraId="0D629C28">
        <w:tblPrEx>
          <w:tblCellMar>
            <w:top w:w="0" w:type="dxa"/>
            <w:left w:w="108" w:type="dxa"/>
            <w:bottom w:w="0" w:type="dxa"/>
            <w:right w:w="108" w:type="dxa"/>
          </w:tblCellMar>
        </w:tblPrEx>
        <w:trPr>
          <w:trHeight w:val="525" w:hRule="atLeast"/>
          <w:jc w:val="center"/>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F0B2ECE">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0096BF4A">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检验检测项目</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0A3E062">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14:paraId="758E9DC9">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6D27DF15">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检验检测</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B061EF4">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单项评价</w:t>
            </w:r>
          </w:p>
        </w:tc>
      </w:tr>
      <w:tr w14:paraId="7A5B6F62">
        <w:tblPrEx>
          <w:tblCellMar>
            <w:top w:w="0" w:type="dxa"/>
            <w:left w:w="108" w:type="dxa"/>
            <w:bottom w:w="0" w:type="dxa"/>
            <w:right w:w="108" w:type="dxa"/>
          </w:tblCellMar>
        </w:tblPrEx>
        <w:trPr>
          <w:trHeight w:val="509" w:hRule="atLeast"/>
          <w:jc w:val="center"/>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53FC202">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2CFC7453">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效率@MPPS</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8B6A9A9">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14:paraId="05678A74">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53BBD368">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99.9962%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8DB0903">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p>
        </w:tc>
      </w:tr>
      <w:tr w14:paraId="00F636AA">
        <w:tblPrEx>
          <w:tblCellMar>
            <w:top w:w="0" w:type="dxa"/>
            <w:left w:w="108" w:type="dxa"/>
            <w:bottom w:w="0" w:type="dxa"/>
            <w:right w:w="108" w:type="dxa"/>
          </w:tblCellMar>
        </w:tblPrEx>
        <w:trPr>
          <w:trHeight w:val="520" w:hRule="atLeast"/>
          <w:jc w:val="center"/>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8B8F80F">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4E547D8F">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阻力</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7FCCB2A">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Pa</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14:paraId="0FFF398A">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1B63119E">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215</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E8FB30C">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p>
        </w:tc>
      </w:tr>
      <w:tr w14:paraId="52F03C0C">
        <w:tblPrEx>
          <w:tblCellMar>
            <w:top w:w="0" w:type="dxa"/>
            <w:left w:w="108" w:type="dxa"/>
            <w:bottom w:w="0" w:type="dxa"/>
            <w:right w:w="108" w:type="dxa"/>
          </w:tblCellMar>
        </w:tblPrEx>
        <w:trPr>
          <w:trHeight w:val="520" w:hRule="atLeast"/>
          <w:jc w:val="center"/>
        </w:trPr>
        <w:tc>
          <w:tcPr>
            <w:tcW w:w="9676" w:type="dxa"/>
            <w:gridSpan w:val="8"/>
            <w:tcBorders>
              <w:top w:val="single" w:color="000000" w:sz="4" w:space="0"/>
              <w:left w:val="single" w:color="000000" w:sz="4" w:space="0"/>
              <w:bottom w:val="single" w:color="000000" w:sz="4" w:space="0"/>
              <w:right w:val="single" w:color="000000" w:sz="4" w:space="0"/>
            </w:tcBorders>
            <w:noWrap w:val="0"/>
            <w:vAlign w:val="center"/>
          </w:tcPr>
          <w:p w14:paraId="720C926C">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粒径一效率检测数据</w:t>
            </w:r>
          </w:p>
        </w:tc>
      </w:tr>
      <w:tr w14:paraId="4E127F0C">
        <w:tblPrEx>
          <w:tblCellMar>
            <w:top w:w="0" w:type="dxa"/>
            <w:left w:w="108" w:type="dxa"/>
            <w:bottom w:w="0" w:type="dxa"/>
            <w:right w:w="108" w:type="dxa"/>
          </w:tblCellMar>
        </w:tblPrEx>
        <w:trPr>
          <w:trHeight w:val="531" w:hRule="atLeast"/>
          <w:jc w:val="center"/>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1B3D328">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粒径/μm</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1E31B261">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0.1～0.2*</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5BB20E78">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0.2～0.3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2126922">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0.3～0.5</w:t>
            </w:r>
          </w:p>
        </w:tc>
        <w:tc>
          <w:tcPr>
            <w:tcW w:w="1284" w:type="dxa"/>
            <w:gridSpan w:val="2"/>
            <w:tcBorders>
              <w:top w:val="single" w:color="000000" w:sz="4" w:space="0"/>
              <w:left w:val="single" w:color="000000" w:sz="4" w:space="0"/>
              <w:bottom w:val="single" w:color="000000" w:sz="4" w:space="0"/>
              <w:right w:val="single" w:color="000000" w:sz="4" w:space="0"/>
            </w:tcBorders>
            <w:noWrap w:val="0"/>
            <w:vAlign w:val="center"/>
          </w:tcPr>
          <w:p w14:paraId="70B35A0E">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7288CBC4">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0830422">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≥0.3</w:t>
            </w:r>
          </w:p>
        </w:tc>
      </w:tr>
      <w:tr w14:paraId="67ACA978">
        <w:tblPrEx>
          <w:tblCellMar>
            <w:top w:w="0" w:type="dxa"/>
            <w:left w:w="108" w:type="dxa"/>
            <w:bottom w:w="0" w:type="dxa"/>
            <w:right w:w="108" w:type="dxa"/>
          </w:tblCellMar>
        </w:tblPrEx>
        <w:trPr>
          <w:trHeight w:val="488" w:hRule="atLeast"/>
          <w:jc w:val="center"/>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007D4DB3">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效率</w:t>
            </w:r>
          </w:p>
        </w:tc>
        <w:tc>
          <w:tcPr>
            <w:tcW w:w="1799" w:type="dxa"/>
            <w:tcBorders>
              <w:top w:val="single" w:color="000000" w:sz="4" w:space="0"/>
              <w:left w:val="single" w:color="000000" w:sz="4" w:space="0"/>
              <w:bottom w:val="single" w:color="000000" w:sz="4" w:space="0"/>
              <w:right w:val="single" w:color="000000" w:sz="4" w:space="0"/>
            </w:tcBorders>
            <w:noWrap w:val="0"/>
            <w:vAlign w:val="center"/>
          </w:tcPr>
          <w:p w14:paraId="5AC3D3F9">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99.9962%*</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13794368">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99.9982%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E88EA89">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99.99972%</w:t>
            </w:r>
          </w:p>
        </w:tc>
        <w:tc>
          <w:tcPr>
            <w:tcW w:w="1284" w:type="dxa"/>
            <w:gridSpan w:val="2"/>
            <w:tcBorders>
              <w:top w:val="single" w:color="000000" w:sz="4" w:space="0"/>
              <w:left w:val="single" w:color="000000" w:sz="4" w:space="0"/>
              <w:bottom w:val="single" w:color="000000" w:sz="4" w:space="0"/>
              <w:right w:val="single" w:color="000000" w:sz="4" w:space="0"/>
            </w:tcBorders>
            <w:noWrap w:val="0"/>
            <w:vAlign w:val="center"/>
          </w:tcPr>
          <w:p w14:paraId="47AD8EA2">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99.9977%</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25A57ABF">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99.99903%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7F43EE7">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99.99977%</w:t>
            </w:r>
          </w:p>
        </w:tc>
      </w:tr>
      <w:tr w14:paraId="0B40DCD4">
        <w:tblPrEx>
          <w:tblCellMar>
            <w:top w:w="0" w:type="dxa"/>
            <w:left w:w="108" w:type="dxa"/>
            <w:bottom w:w="0" w:type="dxa"/>
            <w:right w:w="108" w:type="dxa"/>
          </w:tblCellMar>
        </w:tblPrEx>
        <w:trPr>
          <w:trHeight w:val="547" w:hRule="atLeast"/>
          <w:jc w:val="center"/>
        </w:trPr>
        <w:tc>
          <w:tcPr>
            <w:tcW w:w="9676" w:type="dxa"/>
            <w:gridSpan w:val="8"/>
            <w:tcBorders>
              <w:top w:val="single" w:color="000000" w:sz="4" w:space="0"/>
              <w:left w:val="single" w:color="000000" w:sz="4" w:space="0"/>
              <w:bottom w:val="single" w:color="000000" w:sz="4" w:space="0"/>
              <w:right w:val="single" w:color="000000" w:sz="4" w:space="0"/>
            </w:tcBorders>
            <w:noWrap w:val="0"/>
            <w:vAlign w:val="center"/>
          </w:tcPr>
          <w:p w14:paraId="00B7EA29">
            <w:pPr>
              <w:pageBreakBefore w:val="0"/>
              <w:widowControl w:val="0"/>
              <w:kinsoku/>
              <w:wordWrap/>
              <w:overflowPunct/>
              <w:topLinePunct w:val="0"/>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注1:MPPS为最易穿透粒径；</w:t>
            </w:r>
          </w:p>
        </w:tc>
      </w:tr>
    </w:tbl>
    <w:p w14:paraId="51487D5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特殊定制配件</w:t>
      </w:r>
    </w:p>
    <w:p w14:paraId="21115C8C">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1）高效送风口</w:t>
      </w:r>
    </w:p>
    <w:p w14:paraId="4391F72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采用无隔板的高效空气过滤器，过滤介质为PTFE，密封为耐酸碱和过氧乙酸热熔胶或相当的材料，外框材质为表面经过阳极处理的铝型材质。</w:t>
      </w:r>
    </w:p>
    <w:p w14:paraId="3F537A92">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面板为冷轧镀锌钢板，表面根据要求做喷漆处理，外表面必须平滑细腻，无凹凸和起楞；</w:t>
      </w:r>
    </w:p>
    <w:p w14:paraId="3A0B39AA">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具有较好的过滤性能，高效过滤效率≥99．995％，粒径≥0.3um；过滤器的寿命不得低于2 年；</w:t>
      </w:r>
    </w:p>
    <w:p w14:paraId="0F9A47A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初阻力（Pa）：≤250</w:t>
      </w:r>
    </w:p>
    <w:p w14:paraId="42FC99B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bookmarkStart w:id="62" w:name="_Toc102919685"/>
      <w:bookmarkStart w:id="63" w:name="_Toc3194"/>
      <w:bookmarkStart w:id="64" w:name="_Toc27789"/>
      <w:r>
        <w:rPr>
          <w:rFonts w:hint="eastAsia" w:ascii="宋体" w:hAnsi="宋体" w:eastAsia="宋体" w:cs="宋体"/>
          <w:color w:val="auto"/>
          <w:sz w:val="22"/>
          <w:szCs w:val="22"/>
          <w:highlight w:val="none"/>
        </w:rPr>
        <w:t>2）百叶风口</w:t>
      </w:r>
      <w:bookmarkEnd w:id="62"/>
      <w:bookmarkEnd w:id="63"/>
      <w:bookmarkEnd w:id="64"/>
    </w:p>
    <w:p w14:paraId="45B532EF">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回风口：采用门铰式风口，要求带过滤网，表面根据要求做喷塑处理，外表面必须平滑细腻，无凹凸和起楞；可调节带过滤装置。</w:t>
      </w:r>
    </w:p>
    <w:p w14:paraId="07C4B28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防雨百叶：全部采用喷塑处理，美观、实用。彻底防止自然锈蚀的发生；自带不锈钢防虫网，防止外物进入排风系统。</w:t>
      </w:r>
    </w:p>
    <w:p w14:paraId="664AEB0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bookmarkStart w:id="65" w:name="_Toc32691"/>
      <w:bookmarkStart w:id="66" w:name="_Toc102919686"/>
      <w:bookmarkStart w:id="67" w:name="_Toc30245"/>
      <w:r>
        <w:rPr>
          <w:rFonts w:hint="eastAsia" w:ascii="宋体" w:hAnsi="宋体" w:eastAsia="宋体" w:cs="宋体"/>
          <w:color w:val="auto"/>
          <w:sz w:val="22"/>
          <w:szCs w:val="22"/>
          <w:highlight w:val="none"/>
        </w:rPr>
        <w:t>3）阀门</w:t>
      </w:r>
      <w:bookmarkEnd w:id="65"/>
      <w:bookmarkEnd w:id="66"/>
      <w:bookmarkEnd w:id="67"/>
    </w:p>
    <w:p w14:paraId="33EACDFE">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风量调节阀，碳钢结构</w:t>
      </w:r>
    </w:p>
    <w:p w14:paraId="27F3707B">
      <w:pPr>
        <w:pStyle w:val="36"/>
        <w:keepNext w:val="0"/>
        <w:keepLines w:val="0"/>
        <w:pageBreakBefore w:val="0"/>
        <w:widowControl w:val="0"/>
        <w:numPr>
          <w:ilvl w:val="0"/>
          <w:numId w:val="6"/>
        </w:numPr>
        <w:kinsoku/>
        <w:wordWrap/>
        <w:overflowPunct/>
        <w:topLinePunct w:val="0"/>
        <w:autoSpaceDE/>
        <w:autoSpaceDN/>
        <w:bidi w:val="0"/>
        <w:adjustRightInd w:val="0"/>
        <w:snapToGrid/>
        <w:spacing w:line="360" w:lineRule="exact"/>
        <w:ind w:left="0" w:leftChars="0" w:firstLine="40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旋转角度：0°~90°</w:t>
      </w:r>
    </w:p>
    <w:p w14:paraId="4F536C0B">
      <w:pPr>
        <w:pStyle w:val="36"/>
        <w:keepNext w:val="0"/>
        <w:keepLines w:val="0"/>
        <w:pageBreakBefore w:val="0"/>
        <w:widowControl w:val="0"/>
        <w:numPr>
          <w:ilvl w:val="0"/>
          <w:numId w:val="6"/>
        </w:numPr>
        <w:kinsoku/>
        <w:wordWrap/>
        <w:overflowPunct/>
        <w:topLinePunct w:val="0"/>
        <w:autoSpaceDE/>
        <w:autoSpaceDN/>
        <w:bidi w:val="0"/>
        <w:adjustRightInd w:val="0"/>
        <w:snapToGrid/>
        <w:spacing w:line="360" w:lineRule="exact"/>
        <w:ind w:left="0" w:leftChars="0" w:firstLine="40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风道阀门采用对开多叶调节阀，小断面风道采用蝶阀</w:t>
      </w:r>
    </w:p>
    <w:p w14:paraId="62F7D987">
      <w:pPr>
        <w:pStyle w:val="36"/>
        <w:keepNext w:val="0"/>
        <w:keepLines w:val="0"/>
        <w:pageBreakBefore w:val="0"/>
        <w:widowControl w:val="0"/>
        <w:numPr>
          <w:ilvl w:val="0"/>
          <w:numId w:val="6"/>
        </w:numPr>
        <w:kinsoku/>
        <w:wordWrap/>
        <w:overflowPunct/>
        <w:topLinePunct w:val="0"/>
        <w:autoSpaceDE/>
        <w:autoSpaceDN/>
        <w:bidi w:val="0"/>
        <w:adjustRightInd w:val="0"/>
        <w:snapToGrid/>
        <w:spacing w:line="360" w:lineRule="exact"/>
        <w:ind w:left="0" w:leftChars="0" w:firstLine="40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叶片开启角度有标志</w:t>
      </w:r>
    </w:p>
    <w:p w14:paraId="781B1939">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防火阀：符合防火要求，风管穿越防火分区的位置需加装防火阀。平时呈现常开状态，当管道内气流温度达到70℃时，熔断器动作，阀门自动关闭。</w:t>
      </w:r>
    </w:p>
    <w:p w14:paraId="6BC6FFA7">
      <w:pPr>
        <w:keepNext w:val="0"/>
        <w:keepLines w:val="0"/>
        <w:pageBreakBefore w:val="0"/>
        <w:widowControl w:val="0"/>
        <w:kinsoku/>
        <w:wordWrap/>
        <w:overflowPunct/>
        <w:topLinePunct w:val="0"/>
        <w:autoSpaceDE/>
        <w:autoSpaceDN/>
        <w:bidi w:val="0"/>
        <w:adjustRightInd w:val="0"/>
        <w:snapToGrid/>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施工说明</w:t>
      </w:r>
    </w:p>
    <w:p w14:paraId="1A90B535">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风管的制作及安装</w:t>
      </w:r>
    </w:p>
    <w:p w14:paraId="282D84DD">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风管板材存放处应清洁、干燥。不锈钢板材、管材与镀锌钢板（镀锌钢板需加防尘膜）、管材不应与碳素钢材料接触，应分开设置。风管制作部件用的板材，应采用优质镀锌钢板，其厚度及法兰用料规格、漏风量均按GB50243-2016低压风管系统选用，表面损伤处均应作防腐处理，先刷两道防锈漆，再刷两道调和漆，对于镀锌层已有锈斑、氧化层、起皮、起泡、镀锌层脱落等缺陷的均不得采用。风系统风管制作应有专用的场地，其房间应清洁，宜封闭。工作人员应穿干净工作服和软性工作鞋。</w:t>
      </w:r>
    </w:p>
    <w:p w14:paraId="7996D4F8">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矩形风管的拼接缝采用单咬口，转角缝采用转角咬口，涂胶后仍有漏风时，应在风管外侧拼缝处再涂一次胶。应在胶封缝隙以后和绝热之前按《通风与空调工程施工质量验收规范》GB50243的方法进行干管和主管系统的漏风检测。1~5级洁净度环境的风管应全部进行漏风</w:t>
      </w:r>
    </w:p>
    <w:p w14:paraId="7E8A5F2F">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检测，6~9级洁净度环境的风管应对30%的风管并不少于一个系统进行漏风检测。检测结果应符合《洁净室施工及验收规范》（GB50591-2010）的有关规定。</w:t>
      </w:r>
    </w:p>
    <w:p w14:paraId="38937365">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风管厚度为：</w:t>
      </w:r>
    </w:p>
    <w:p w14:paraId="5706D09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矩形风管大边长（mm）                      管壁厚（mm）</w:t>
      </w:r>
    </w:p>
    <w:p w14:paraId="398DFB16">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b≤320                                   0.5</w:t>
      </w:r>
    </w:p>
    <w:p w14:paraId="141A12CE">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320＜b≤450                              0.6</w:t>
      </w:r>
    </w:p>
    <w:p w14:paraId="73ADE773">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450＜b≤630                              0.8</w:t>
      </w:r>
    </w:p>
    <w:p w14:paraId="149954AB">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630＜b≤1250                             1.0</w:t>
      </w:r>
    </w:p>
    <w:p w14:paraId="4406F114">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1250＜b≤2000                            1.2</w:t>
      </w:r>
    </w:p>
    <w:p w14:paraId="6223E3F4">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风管的表面应平整、光滑，不得在风管内设置加固框、加固筋或内法兰等物件。</w:t>
      </w:r>
    </w:p>
    <w:p w14:paraId="41AC82F3">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（5）</w:t>
      </w:r>
      <w:r>
        <w:rPr>
          <w:rFonts w:hint="eastAsia" w:ascii="宋体" w:hAnsi="宋体" w:eastAsia="宋体" w:cs="宋体"/>
          <w:color w:val="auto"/>
          <w:sz w:val="22"/>
          <w:szCs w:val="22"/>
          <w:highlight w:val="none"/>
        </w:rPr>
        <w:t>风管与法兰连接时，风管翻边应平整并</w:t>
      </w:r>
      <w:r>
        <w:rPr>
          <w:rFonts w:hint="eastAsia" w:ascii="宋体" w:hAnsi="宋体" w:eastAsia="宋体" w:cs="宋体"/>
          <w:color w:val="auto"/>
          <w:sz w:val="22"/>
          <w:szCs w:val="22"/>
          <w:highlight w:val="none"/>
          <w:lang w:val="en-US" w:eastAsia="zh-CN"/>
        </w:rPr>
        <w:t>紧贴</w:t>
      </w:r>
      <w:r>
        <w:rPr>
          <w:rFonts w:hint="eastAsia" w:ascii="宋体" w:hAnsi="宋体" w:eastAsia="宋体" w:cs="宋体"/>
          <w:color w:val="auto"/>
          <w:sz w:val="22"/>
          <w:szCs w:val="22"/>
          <w:highlight w:val="none"/>
        </w:rPr>
        <w:t>法兰，翻边宽度为7～9mm，风管的咬口应在齐翻折线部位剪去多余的咬口层并 保留一层余量，翻拐角边时应拍打为圆弧形。角钢法兰上螺栓孔和管件上的铆钉孔孔距均不应大于65mm。矩形法兰四角应设螺栓孔，法兰拼角缝应避开螺栓孔。螺栓、螺母、垫片和铆钉应镀锌。如必须使用抽芯铆钉，不得使用端头未封闭的产品，并应在端头胶封。</w:t>
      </w:r>
    </w:p>
    <w:p w14:paraId="4D2AE396">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（6）</w:t>
      </w:r>
      <w:r>
        <w:rPr>
          <w:rFonts w:hint="eastAsia" w:ascii="宋体" w:hAnsi="宋体" w:eastAsia="宋体" w:cs="宋体"/>
          <w:color w:val="auto"/>
          <w:sz w:val="22"/>
          <w:szCs w:val="22"/>
          <w:highlight w:val="none"/>
        </w:rPr>
        <w:t>法兰应在平台上焊接，以保证法兰面平整；法兰采用直肢对焊，不应采用45斜口对焊。</w:t>
      </w:r>
    </w:p>
    <w:p w14:paraId="27C7732D">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（7）</w:t>
      </w:r>
      <w:r>
        <w:rPr>
          <w:rFonts w:hint="eastAsia" w:ascii="宋体" w:hAnsi="宋体" w:eastAsia="宋体" w:cs="宋体"/>
          <w:color w:val="auto"/>
          <w:sz w:val="22"/>
          <w:szCs w:val="22"/>
          <w:highlight w:val="none"/>
        </w:rPr>
        <w:t xml:space="preserve">风管法兰内侧的铆钉处应涂密封胶，涂胶前应清除铆钉处表面油污，铆钉平头在内侧，敲打圆头在外侧。  </w:t>
      </w:r>
    </w:p>
    <w:p w14:paraId="178353DB">
      <w:pPr>
        <w:keepNext w:val="0"/>
        <w:keepLines w:val="0"/>
        <w:pageBreakBefore w:val="0"/>
        <w:widowControl w:val="0"/>
        <w:kinsoku/>
        <w:wordWrap/>
        <w:overflowPunct/>
        <w:topLinePunct w:val="0"/>
        <w:autoSpaceDE/>
        <w:autoSpaceDN/>
        <w:bidi w:val="0"/>
        <w:adjustRightInd w:val="0"/>
        <w:snapToGrid/>
        <w:spacing w:line="36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（8）</w:t>
      </w:r>
      <w:r>
        <w:rPr>
          <w:rFonts w:hint="eastAsia" w:ascii="宋体" w:hAnsi="宋体" w:eastAsia="宋体" w:cs="宋体"/>
          <w:color w:val="auto"/>
          <w:sz w:val="22"/>
          <w:szCs w:val="22"/>
          <w:highlight w:val="none"/>
        </w:rPr>
        <w:t>管道安装与各有关专业充分协调后进行，图中标高以米计，长度和管径以毫米计</w:t>
      </w:r>
    </w:p>
    <w:p w14:paraId="475F5FF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（9）</w:t>
      </w:r>
      <w:r>
        <w:rPr>
          <w:rFonts w:hint="eastAsia" w:ascii="宋体" w:hAnsi="宋体" w:eastAsia="宋体" w:cs="宋体"/>
          <w:color w:val="auto"/>
          <w:sz w:val="22"/>
          <w:szCs w:val="22"/>
          <w:highlight w:val="none"/>
        </w:rPr>
        <w:t>回风立管采用夹芯钢板制作，厚度40mm，必须保证每一回风立管的净空尺寸，支管与立管之间的空隙应以松散的不燃橡塑材料封堵。</w:t>
      </w:r>
    </w:p>
    <w:p w14:paraId="5EF924E2">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（10）</w:t>
      </w:r>
      <w:r>
        <w:rPr>
          <w:rFonts w:hint="eastAsia" w:ascii="宋体" w:hAnsi="宋体" w:eastAsia="宋体" w:cs="宋体"/>
          <w:color w:val="auto"/>
          <w:sz w:val="22"/>
          <w:szCs w:val="22"/>
          <w:highlight w:val="none"/>
        </w:rPr>
        <w:t>设计图中未标出测量孔，在安装时应根据调试要求在适当的部位配置测量孔，测量孔的做法详见国标06K131.</w:t>
      </w:r>
    </w:p>
    <w:p w14:paraId="2DDC4AF6">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（11）</w:t>
      </w:r>
      <w:r>
        <w:rPr>
          <w:rFonts w:hint="eastAsia" w:ascii="宋体" w:hAnsi="宋体" w:eastAsia="宋体" w:cs="宋体"/>
          <w:color w:val="auto"/>
          <w:sz w:val="22"/>
          <w:szCs w:val="22"/>
          <w:highlight w:val="none"/>
        </w:rPr>
        <w:t>空调机组所有接入、接出管均设150mm~300mm长的软接头；送风的软管应配带外保温，采用阻燃型合成革材料制作。</w:t>
      </w:r>
    </w:p>
    <w:p w14:paraId="6446F7F2">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（12）</w:t>
      </w:r>
      <w:r>
        <w:rPr>
          <w:rFonts w:hint="eastAsia" w:ascii="宋体" w:hAnsi="宋体" w:eastAsia="宋体" w:cs="宋体"/>
          <w:color w:val="auto"/>
          <w:sz w:val="22"/>
          <w:szCs w:val="22"/>
          <w:highlight w:val="none"/>
        </w:rPr>
        <w:t>风管内的可拆卸接口不得设置在墙体内。</w:t>
      </w:r>
    </w:p>
    <w:p w14:paraId="5152C49B">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（13）</w:t>
      </w:r>
      <w:r>
        <w:rPr>
          <w:rFonts w:hint="eastAsia" w:ascii="宋体" w:hAnsi="宋体" w:eastAsia="宋体" w:cs="宋体"/>
          <w:color w:val="auto"/>
          <w:sz w:val="22"/>
          <w:szCs w:val="22"/>
          <w:highlight w:val="none"/>
        </w:rPr>
        <w:t xml:space="preserve">所有的送回风管均以橡塑保温材料进行保温，厚度为≥25mm，橡塑保温板导热系数应小于0.032W/ m²，做法详见国标08K507. 塑板保温层外包≥0.5mm铝板作保护层。          </w:t>
      </w:r>
    </w:p>
    <w:p w14:paraId="0EA13ED6">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（14）</w:t>
      </w:r>
      <w:r>
        <w:rPr>
          <w:rFonts w:hint="eastAsia" w:ascii="宋体" w:hAnsi="宋体" w:eastAsia="宋体" w:cs="宋体"/>
          <w:color w:val="auto"/>
          <w:sz w:val="22"/>
          <w:szCs w:val="22"/>
          <w:highlight w:val="none"/>
        </w:rPr>
        <w:t>所有水平或垂直的风管必须设置必要的支吊或托架，其构造形式由安装单位保证牢固、可靠的原则下根据现场实际情况选定，做法详见国标08K132，风管支吊或托架采用膨胀螺栓现场锚固。</w:t>
      </w:r>
    </w:p>
    <w:p w14:paraId="474E2BAA">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（15）</w:t>
      </w:r>
      <w:r>
        <w:rPr>
          <w:rFonts w:hint="eastAsia" w:ascii="宋体" w:hAnsi="宋体" w:eastAsia="宋体" w:cs="宋体"/>
          <w:color w:val="auto"/>
          <w:sz w:val="22"/>
          <w:szCs w:val="22"/>
          <w:highlight w:val="none"/>
        </w:rPr>
        <w:t>风管支吊或托架应设置于保温层的外部，并在支吊或托架与风管接壤以经过防腐处理的电木，同时应避免在法兰测量孔、调节阀等零部件设置支吊架、托架。</w:t>
      </w:r>
    </w:p>
    <w:p w14:paraId="029E17A6">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（16）</w:t>
      </w:r>
      <w:r>
        <w:rPr>
          <w:rFonts w:hint="eastAsia" w:ascii="宋体" w:hAnsi="宋体" w:eastAsia="宋体" w:cs="宋体"/>
          <w:color w:val="auto"/>
          <w:sz w:val="22"/>
          <w:szCs w:val="22"/>
          <w:highlight w:val="none"/>
        </w:rPr>
        <w:t>安装调节阀、蝶阀等调节阀配件时，必须注意将操作手柄配置在便于操作的部位。</w:t>
      </w:r>
    </w:p>
    <w:p w14:paraId="49C3B1E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（17）</w:t>
      </w:r>
      <w:r>
        <w:rPr>
          <w:rFonts w:hint="eastAsia" w:ascii="宋体" w:hAnsi="宋体" w:eastAsia="宋体" w:cs="宋体"/>
          <w:color w:val="auto"/>
          <w:sz w:val="22"/>
          <w:szCs w:val="22"/>
          <w:highlight w:val="none"/>
        </w:rPr>
        <w:t>机组混凝土基础须待设备到货核对规格、型号后方可捣制，为了减少震动及噪声，在机组和基础之间装隔振器。</w:t>
      </w:r>
    </w:p>
    <w:p w14:paraId="29D6F1B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（18）</w:t>
      </w:r>
      <w:r>
        <w:rPr>
          <w:rFonts w:hint="eastAsia" w:ascii="宋体" w:hAnsi="宋体" w:eastAsia="宋体" w:cs="宋体"/>
          <w:color w:val="auto"/>
          <w:sz w:val="22"/>
          <w:szCs w:val="22"/>
          <w:highlight w:val="none"/>
        </w:rPr>
        <w:t>其余各项施工要求应严格遵守《通风与空调工程施工质量验收规范》（GB50243-2016）、《洁净室施工及验收规范》（GB50591-2010)的有关规定。</w:t>
      </w:r>
    </w:p>
    <w:p w14:paraId="486BBEDC">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风管的加固措施</w:t>
      </w:r>
    </w:p>
    <w:p w14:paraId="4646A97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风管的加固可采用楞筋、立筋、角钢（内、外加固）、扁钢、加固筋和管内支撑等形式。</w:t>
      </w:r>
    </w:p>
    <w:p w14:paraId="38EF1FE3">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 xml:space="preserve">楞筋或楞线的加固，排列应规则，间隔应均匀，板面不应有明显的变形； </w:t>
      </w:r>
    </w:p>
    <w:p w14:paraId="7770FB29">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 xml:space="preserve">角钢、加固筋的加固，应排列整齐、均匀对称，其高度应小于或等于风管的法兰宽度。角钢、加固筋与风管的铆接应牢固、间隔应均匀，不应大于220mm；两相交处应连接成一体； </w:t>
      </w:r>
    </w:p>
    <w:p w14:paraId="7D1D5DF5">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风管大边长≥630mm的非保温风管和大边长≥800mm的保温风管，当风管管段长度〉1.2m均需要采取加固措施：</w:t>
      </w:r>
    </w:p>
    <w:p w14:paraId="1164519F">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管道支架、吊架设置以及风阀的安装要求</w:t>
      </w:r>
    </w:p>
    <w:p w14:paraId="256B7526">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风管水平安装，直径或长边尺寸小于等于400mm，间距不应小于4m，大于400mm；螺旋风管的支、吊架间距可分别延长至5m通风柜</w:t>
      </w:r>
      <w:r>
        <w:rPr>
          <w:rFonts w:hint="eastAsia" w:ascii="宋体" w:hAnsi="宋体" w:cs="宋体"/>
          <w:color w:val="auto"/>
          <w:sz w:val="22"/>
          <w:szCs w:val="22"/>
          <w:highlight w:val="none"/>
          <w:lang w:eastAsia="zh-CN"/>
        </w:rPr>
        <w:t>和</w:t>
      </w:r>
      <w:r>
        <w:rPr>
          <w:rFonts w:hint="eastAsia" w:ascii="宋体" w:hAnsi="宋体" w:eastAsia="宋体" w:cs="宋体"/>
          <w:color w:val="auto"/>
          <w:sz w:val="22"/>
          <w:szCs w:val="22"/>
          <w:highlight w:val="none"/>
        </w:rPr>
        <w:t xml:space="preserve">3.75m；对于薄钢板法兰的风管，其支、吊架间距不应大于3m。 </w:t>
      </w:r>
    </w:p>
    <w:p w14:paraId="781EDD6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风管垂直安装，间距不应大于4m，单根直管至少应有2个固定点。</w:t>
      </w:r>
    </w:p>
    <w:p w14:paraId="79169435">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支、吊架不宜设在风口、阀门、检查门及自控机构处，离风口或插接管的距离不宜小于200mm。</w:t>
      </w:r>
    </w:p>
    <w:p w14:paraId="68A4097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为防止冷冻水管与支架接触处产生冷桥(热桥)现象，应在管道与支架间垫以沥青浸泡处理过的木块。</w:t>
      </w:r>
    </w:p>
    <w:p w14:paraId="30103044">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.4 调节风阀、防火阀的安装要求</w:t>
      </w:r>
    </w:p>
    <w:p w14:paraId="5293D7D9">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室内风管接入排风井时，入口处需增设70°C防火阀。</w:t>
      </w:r>
    </w:p>
    <w:p w14:paraId="38A63E2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 xml:space="preserve">安装风阀等配件时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注意将操作手柄配置在便于操作的地方 。</w:t>
      </w:r>
    </w:p>
    <w:p w14:paraId="14D45A80">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 xml:space="preserve">防火阀的安装方向应正确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同时应事先检验其外观质量动作灵活，可靠之后方可安装 ，防火阀须单独设置支.吊或托架。</w:t>
      </w:r>
    </w:p>
    <w:p w14:paraId="64ABAAFD">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 静压箱、回风箱的安装</w:t>
      </w:r>
    </w:p>
    <w:p w14:paraId="42391B1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静压箱的安装应平整。</w:t>
      </w:r>
    </w:p>
    <w:p w14:paraId="30A2A507">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静压箱安装时，用吊筋将静压箱的四个角固定在打在楼板的膨胀螺栓上，通过调节螺栓来调节 静压箱垂直方向的平整度。</w:t>
      </w:r>
    </w:p>
    <w:p w14:paraId="1FDEEE05">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静压箱的侧面用角钢焊死，角钢的另一端则固定在夹墙的主龙骨上使静压箱在水平方向上没有振动。</w:t>
      </w:r>
    </w:p>
    <w:p w14:paraId="2D09C24C">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回风箱的制作应符合要求，压条要上好，保温良好；安装时不得弄坏保温</w:t>
      </w:r>
      <w:r>
        <w:rPr>
          <w:rFonts w:hint="eastAsia" w:ascii="宋体" w:hAnsi="宋体" w:eastAsia="宋体" w:cs="宋体"/>
          <w:color w:val="auto"/>
          <w:sz w:val="22"/>
          <w:szCs w:val="22"/>
          <w:highlight w:val="none"/>
          <w:lang w:val="en-US" w:eastAsia="zh-CN"/>
        </w:rPr>
        <w:t>材料</w:t>
      </w:r>
      <w:r>
        <w:rPr>
          <w:rFonts w:hint="eastAsia" w:ascii="宋体" w:hAnsi="宋体" w:eastAsia="宋体" w:cs="宋体"/>
          <w:color w:val="auto"/>
          <w:sz w:val="22"/>
          <w:szCs w:val="22"/>
          <w:highlight w:val="none"/>
        </w:rPr>
        <w:t>。</w:t>
      </w:r>
    </w:p>
    <w:p w14:paraId="2A4EECAC">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.6高效过滤器安装</w:t>
      </w:r>
    </w:p>
    <w:p w14:paraId="450BFA1C">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高效过滤器安装时应将安装高效过滤器的外壳擦拭干净，当外壳内表面的涂层有损坏时，应修补完好后方准安装，壳体安装完毕应随即和风管连接好。孔板部位应用塑料薄膜和胶带纸密封。</w:t>
      </w:r>
    </w:p>
    <w:p w14:paraId="36EB60FB">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当在框架下</w:t>
      </w:r>
      <w:r>
        <w:rPr>
          <w:rFonts w:hint="eastAsia" w:ascii="宋体" w:hAnsi="宋体" w:eastAsia="宋体" w:cs="宋体"/>
          <w:color w:val="auto"/>
          <w:sz w:val="22"/>
          <w:szCs w:val="22"/>
          <w:highlight w:val="none"/>
          <w:lang w:val="en-US" w:eastAsia="zh-CN"/>
        </w:rPr>
        <w:t>部</w:t>
      </w:r>
      <w:r>
        <w:rPr>
          <w:rFonts w:hint="eastAsia" w:ascii="宋体" w:hAnsi="宋体" w:eastAsia="宋体" w:cs="宋体"/>
          <w:color w:val="auto"/>
          <w:sz w:val="22"/>
          <w:szCs w:val="22"/>
          <w:highlight w:val="none"/>
        </w:rPr>
        <w:t>（下装式）采用托架安装高效过滤器时，其安装框架与孔板框架之间的距离，宜取1.5倍的高效过滤器高度，且孔板框架的分格尺寸不应小于过滤器托架的外形尺寸。</w:t>
      </w:r>
    </w:p>
    <w:p w14:paraId="1477BD32">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安装高效过滤器前，系统应至少空吹24小时以上，同时必须对洁净室进行全面清扫、擦净，净化空调系统内也应达到同样的要求，如在设备层内安装高效过滤器时。设备层内应进行全面清扫。</w:t>
      </w:r>
    </w:p>
    <w:p w14:paraId="2679BB79">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高效过滤器必需在安装时现场拆开包装，严禁用手触摸滤纸，如内包装具备手提拉的条件时，可直接提拉内包装取出过滤器。</w:t>
      </w:r>
    </w:p>
    <w:p w14:paraId="2E4CE3BE">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（5）</w:t>
      </w:r>
      <w:r>
        <w:rPr>
          <w:rFonts w:hint="eastAsia" w:ascii="宋体" w:hAnsi="宋体" w:eastAsia="宋体" w:cs="宋体"/>
          <w:color w:val="auto"/>
          <w:sz w:val="22"/>
          <w:szCs w:val="22"/>
          <w:highlight w:val="none"/>
        </w:rPr>
        <w:t>高效过滤器和框架间的密封垫，采用橡胶密封垫采用单环、 双环整体密封胶垫，粘贴时，应把垫片、过滤器边框面和框架面檫试干净。</w:t>
      </w:r>
    </w:p>
    <w:p w14:paraId="6A55DC5A">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（6）</w:t>
      </w:r>
      <w:r>
        <w:rPr>
          <w:rFonts w:hint="eastAsia" w:ascii="宋体" w:hAnsi="宋体" w:eastAsia="宋体" w:cs="宋体"/>
          <w:color w:val="auto"/>
          <w:sz w:val="22"/>
          <w:szCs w:val="22"/>
          <w:highlight w:val="none"/>
        </w:rPr>
        <w:t>高效过滤器在安装时，应使气流方向与过滤器外框上的箭头方向一致，垂直安装时滤纸折痕垂直于地面。</w:t>
      </w:r>
    </w:p>
    <w:p w14:paraId="5BA43A9E">
      <w:pPr>
        <w:pageBreakBefore w:val="0"/>
        <w:widowControl w:val="0"/>
        <w:kinsoku/>
        <w:wordWrap/>
        <w:overflowPunct/>
        <w:topLinePunct w:val="0"/>
        <w:bidi w:val="0"/>
        <w:spacing w:line="360" w:lineRule="exact"/>
        <w:ind w:left="0" w:leftChars="0" w:firstLine="442" w:firstLineChars="200"/>
        <w:textAlignment w:val="auto"/>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电气部分</w:t>
      </w:r>
    </w:p>
    <w:p w14:paraId="5695BFB3">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配电箱的设计符合</w:t>
      </w:r>
      <w:r>
        <w:rPr>
          <w:rFonts w:hint="eastAsia" w:ascii="宋体" w:hAnsi="宋体" w:cs="宋体"/>
          <w:color w:val="auto"/>
          <w:sz w:val="22"/>
          <w:szCs w:val="22"/>
          <w:highlight w:val="none"/>
          <w:lang w:eastAsia="zh-CN"/>
        </w:rPr>
        <w:t>GB/T 17466</w:t>
      </w:r>
      <w:r>
        <w:rPr>
          <w:rFonts w:hint="eastAsia" w:ascii="宋体" w:hAnsi="宋体" w:eastAsia="宋体" w:cs="宋体"/>
          <w:color w:val="auto"/>
          <w:sz w:val="22"/>
          <w:szCs w:val="22"/>
          <w:highlight w:val="none"/>
        </w:rPr>
        <w:t>标准，箱内配有中性端子排、接地端子排及DIN导轨，可配合终端配电保护产品。</w:t>
      </w:r>
    </w:p>
    <w:p w14:paraId="2AE92B9F">
      <w:pPr>
        <w:pageBreakBefore w:val="0"/>
        <w:widowControl w:val="0"/>
        <w:kinsoku/>
        <w:wordWrap/>
        <w:overflowPunct/>
        <w:topLinePunct w:val="0"/>
        <w:bidi w:val="0"/>
        <w:spacing w:line="360" w:lineRule="exact"/>
        <w:ind w:left="0" w:lef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配电箱为全金属外壳，表面采用浅灰白色环氧树脂静电喷涂，平盖式的设计及暗装门盖螺丝。箱体的安装为嵌墙式安装。</w:t>
      </w:r>
    </w:p>
    <w:p w14:paraId="0FFCB1DE">
      <w:pPr>
        <w:pageBreakBefore w:val="0"/>
        <w:widowControl w:val="0"/>
        <w:kinsoku/>
        <w:wordWrap/>
        <w:overflowPunct/>
        <w:topLinePunct w:val="0"/>
        <w:bidi w:val="0"/>
        <w:spacing w:line="360" w:lineRule="exact"/>
        <w:ind w:left="0" w:lef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全新可拆卸改良版的终端配电箱的端子排；端子排可自由选择安装在</w:t>
      </w:r>
      <w:r>
        <w:rPr>
          <w:rFonts w:hint="eastAsia" w:ascii="宋体" w:hAnsi="宋体" w:eastAsia="宋体" w:cs="宋体"/>
          <w:color w:val="auto"/>
          <w:sz w:val="22"/>
          <w:szCs w:val="22"/>
          <w:highlight w:val="none"/>
          <w:lang w:val="en-US" w:eastAsia="zh-CN"/>
        </w:rPr>
        <w:t>底</w:t>
      </w:r>
      <w:r>
        <w:rPr>
          <w:rFonts w:hint="eastAsia" w:ascii="宋体" w:hAnsi="宋体" w:eastAsia="宋体" w:cs="宋体"/>
          <w:color w:val="auto"/>
          <w:sz w:val="22"/>
          <w:szCs w:val="22"/>
          <w:highlight w:val="none"/>
        </w:rPr>
        <w:t>箱的上端或下端，</w:t>
      </w:r>
    </w:p>
    <w:p w14:paraId="235736CC">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根据负荷的大小正确地选用低压电器。</w:t>
      </w:r>
    </w:p>
    <w:p w14:paraId="3103462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 电线电缆</w:t>
      </w:r>
    </w:p>
    <w:p w14:paraId="5A1538B1">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本工程涉及到的照明电线、插座电线等电力电缆选用 BV-450/750 型单芯硬导体无护套电力电缆，BV电线具有抗酸碱、耐油性、防潮、防霉等特性；配电箱配电、设备配电动力电缆均选用交联聚氯乙烯绝缘电力电缆，电力电缆产品通</w:t>
      </w:r>
      <w:r>
        <w:rPr>
          <w:rFonts w:hint="eastAsia" w:ascii="宋体" w:hAnsi="宋体" w:eastAsia="宋体" w:cs="宋体"/>
          <w:color w:val="auto"/>
          <w:sz w:val="22"/>
          <w:szCs w:val="22"/>
          <w:highlight w:val="none"/>
          <w:lang w:val="en-US" w:eastAsia="zh-CN"/>
        </w:rPr>
        <w:t>过</w:t>
      </w:r>
      <w:r>
        <w:rPr>
          <w:rFonts w:hint="eastAsia" w:ascii="宋体" w:hAnsi="宋体" w:eastAsia="宋体" w:cs="宋体"/>
          <w:color w:val="auto"/>
          <w:sz w:val="22"/>
          <w:szCs w:val="22"/>
          <w:highlight w:val="none"/>
        </w:rPr>
        <w:t xml:space="preserve"> ISO 9001:2015 产品认证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按 </w:t>
      </w:r>
      <w:r>
        <w:rPr>
          <w:rFonts w:hint="eastAsia" w:ascii="宋体" w:hAnsi="宋体" w:cs="宋体"/>
          <w:color w:val="auto"/>
          <w:sz w:val="22"/>
          <w:szCs w:val="22"/>
          <w:highlight w:val="none"/>
          <w:lang w:eastAsia="zh-CN"/>
        </w:rPr>
        <w:t>GB/T 12706</w:t>
      </w: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GB/T 12706</w:t>
      </w:r>
      <w:r>
        <w:rPr>
          <w:rFonts w:hint="eastAsia" w:ascii="宋体" w:hAnsi="宋体" w:eastAsia="宋体" w:cs="宋体"/>
          <w:color w:val="auto"/>
          <w:sz w:val="22"/>
          <w:szCs w:val="22"/>
          <w:highlight w:val="none"/>
        </w:rPr>
        <w:t>.3 设计制造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 其中阻燃特符合GB/T 18380 的要求。</w:t>
      </w:r>
    </w:p>
    <w:p w14:paraId="422002B8">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.3 微型断路器</w:t>
      </w:r>
    </w:p>
    <w:p w14:paraId="2E529952">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小型断路器具有以下功能：短路保护、过载保护、控制、隔离功能。</w:t>
      </w:r>
    </w:p>
    <w:tbl>
      <w:tblPr>
        <w:tblStyle w:val="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08"/>
        <w:gridCol w:w="6136"/>
      </w:tblGrid>
      <w:tr w14:paraId="41457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851" w:type="pct"/>
            <w:noWrap w:val="0"/>
            <w:vAlign w:val="center"/>
          </w:tcPr>
          <w:p w14:paraId="586511BC">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符合标准</w:t>
            </w:r>
          </w:p>
        </w:tc>
        <w:tc>
          <w:tcPr>
            <w:tcW w:w="3148" w:type="pct"/>
            <w:noWrap w:val="0"/>
            <w:vAlign w:val="center"/>
          </w:tcPr>
          <w:p w14:paraId="3B31D15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GB/T 10963</w:t>
            </w:r>
            <w:r>
              <w:rPr>
                <w:rFonts w:hint="eastAsia" w:ascii="宋体" w:hAnsi="宋体" w:eastAsia="宋体" w:cs="宋体"/>
                <w:color w:val="auto"/>
                <w:sz w:val="22"/>
                <w:szCs w:val="22"/>
                <w:highlight w:val="none"/>
              </w:rPr>
              <w:t>/ IEC60898</w:t>
            </w:r>
          </w:p>
        </w:tc>
      </w:tr>
      <w:tr w14:paraId="7302B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851" w:type="pct"/>
            <w:noWrap w:val="0"/>
            <w:vAlign w:val="center"/>
          </w:tcPr>
          <w:p w14:paraId="348E5601">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额定电压</w:t>
            </w:r>
          </w:p>
        </w:tc>
        <w:tc>
          <w:tcPr>
            <w:tcW w:w="3148" w:type="pct"/>
            <w:noWrap w:val="0"/>
            <w:vAlign w:val="center"/>
          </w:tcPr>
          <w:p w14:paraId="2808904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230/400VAC</w:t>
            </w:r>
          </w:p>
        </w:tc>
      </w:tr>
      <w:tr w14:paraId="25C2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851" w:type="pct"/>
            <w:noWrap w:val="0"/>
            <w:vAlign w:val="center"/>
          </w:tcPr>
          <w:p w14:paraId="6854E40C">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额定电流</w:t>
            </w:r>
          </w:p>
        </w:tc>
        <w:tc>
          <w:tcPr>
            <w:tcW w:w="3148" w:type="pct"/>
            <w:noWrap w:val="0"/>
            <w:vAlign w:val="center"/>
          </w:tcPr>
          <w:p w14:paraId="695F5EC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6-63A</w:t>
            </w:r>
          </w:p>
        </w:tc>
      </w:tr>
      <w:tr w14:paraId="3613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51" w:type="pct"/>
            <w:noWrap w:val="0"/>
            <w:vAlign w:val="center"/>
          </w:tcPr>
          <w:p w14:paraId="3EA4F8DC">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分段能力</w:t>
            </w:r>
          </w:p>
        </w:tc>
        <w:tc>
          <w:tcPr>
            <w:tcW w:w="3148" w:type="pct"/>
            <w:noWrap w:val="0"/>
            <w:vAlign w:val="center"/>
          </w:tcPr>
          <w:p w14:paraId="48CA2DA2">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6000A</w:t>
            </w:r>
          </w:p>
        </w:tc>
      </w:tr>
      <w:tr w14:paraId="4A1B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851" w:type="pct"/>
            <w:noWrap w:val="0"/>
            <w:vAlign w:val="center"/>
          </w:tcPr>
          <w:p w14:paraId="009912AE">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脱口特性</w:t>
            </w:r>
          </w:p>
        </w:tc>
        <w:tc>
          <w:tcPr>
            <w:tcW w:w="3148" w:type="pct"/>
            <w:noWrap w:val="0"/>
            <w:vAlign w:val="center"/>
          </w:tcPr>
          <w:p w14:paraId="2A6D50C7">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C(5- 10)LN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D( 10- 14)LN</w:t>
            </w:r>
          </w:p>
        </w:tc>
      </w:tr>
      <w:tr w14:paraId="13F3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51" w:type="pct"/>
            <w:noWrap w:val="0"/>
            <w:vAlign w:val="center"/>
          </w:tcPr>
          <w:p w14:paraId="1A3DCAFD">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极数</w:t>
            </w:r>
          </w:p>
        </w:tc>
        <w:tc>
          <w:tcPr>
            <w:tcW w:w="3148" w:type="pct"/>
            <w:noWrap w:val="0"/>
            <w:vAlign w:val="center"/>
          </w:tcPr>
          <w:p w14:paraId="5D590863">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1P-4P</w:t>
            </w:r>
          </w:p>
        </w:tc>
      </w:tr>
      <w:tr w14:paraId="05C31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51" w:type="pct"/>
            <w:noWrap w:val="0"/>
            <w:vAlign w:val="center"/>
          </w:tcPr>
          <w:p w14:paraId="4CAD1E32">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限流等级</w:t>
            </w:r>
          </w:p>
        </w:tc>
        <w:tc>
          <w:tcPr>
            <w:tcW w:w="3148" w:type="pct"/>
            <w:noWrap w:val="0"/>
            <w:vAlign w:val="center"/>
          </w:tcPr>
          <w:p w14:paraId="7D530583">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56A7A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51" w:type="pct"/>
            <w:noWrap w:val="0"/>
            <w:vAlign w:val="center"/>
          </w:tcPr>
          <w:p w14:paraId="3CD332E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快速闭合</w:t>
            </w:r>
          </w:p>
        </w:tc>
        <w:tc>
          <w:tcPr>
            <w:tcW w:w="3148" w:type="pct"/>
            <w:noWrap w:val="0"/>
            <w:vAlign w:val="center"/>
          </w:tcPr>
          <w:p w14:paraId="756FCA5A">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2.5Kw</w:t>
            </w:r>
          </w:p>
        </w:tc>
      </w:tr>
      <w:tr w14:paraId="5908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51" w:type="pct"/>
            <w:noWrap w:val="0"/>
            <w:vAlign w:val="center"/>
          </w:tcPr>
          <w:p w14:paraId="46CECFB1">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最大工作电压</w:t>
            </w:r>
          </w:p>
        </w:tc>
        <w:tc>
          <w:tcPr>
            <w:tcW w:w="3148" w:type="pct"/>
            <w:noWrap w:val="0"/>
            <w:vAlign w:val="center"/>
          </w:tcPr>
          <w:p w14:paraId="5EC401F2">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440VAC</w:t>
            </w:r>
          </w:p>
        </w:tc>
      </w:tr>
      <w:tr w14:paraId="31DC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851" w:type="pct"/>
            <w:noWrap w:val="0"/>
            <w:vAlign w:val="center"/>
          </w:tcPr>
          <w:p w14:paraId="187BF1E6">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冲击耐受电压</w:t>
            </w:r>
          </w:p>
        </w:tc>
        <w:tc>
          <w:tcPr>
            <w:tcW w:w="3148" w:type="pct"/>
            <w:noWrap w:val="0"/>
            <w:vAlign w:val="center"/>
          </w:tcPr>
          <w:p w14:paraId="5F90A864">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6KV</w:t>
            </w:r>
          </w:p>
        </w:tc>
      </w:tr>
      <w:tr w14:paraId="1C10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851" w:type="pct"/>
            <w:noWrap w:val="0"/>
            <w:vAlign w:val="center"/>
          </w:tcPr>
          <w:p w14:paraId="0E2C5ED5">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电气寿命</w:t>
            </w:r>
          </w:p>
        </w:tc>
        <w:tc>
          <w:tcPr>
            <w:tcW w:w="3148" w:type="pct"/>
            <w:noWrap w:val="0"/>
            <w:vAlign w:val="center"/>
          </w:tcPr>
          <w:p w14:paraId="4CE4B899">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10000 次</w:t>
            </w:r>
          </w:p>
        </w:tc>
      </w:tr>
      <w:tr w14:paraId="0418F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851" w:type="pct"/>
            <w:noWrap w:val="0"/>
            <w:vAlign w:val="center"/>
          </w:tcPr>
          <w:p w14:paraId="102514A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机械寿命</w:t>
            </w:r>
          </w:p>
        </w:tc>
        <w:tc>
          <w:tcPr>
            <w:tcW w:w="3148" w:type="pct"/>
            <w:noWrap w:val="0"/>
            <w:vAlign w:val="center"/>
          </w:tcPr>
          <w:p w14:paraId="1EE9067C">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20000 次</w:t>
            </w:r>
          </w:p>
        </w:tc>
      </w:tr>
      <w:tr w14:paraId="6F4A2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851" w:type="pct"/>
            <w:noWrap w:val="0"/>
            <w:vAlign w:val="center"/>
          </w:tcPr>
          <w:p w14:paraId="0511A36B">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使用环境要求</w:t>
            </w:r>
          </w:p>
        </w:tc>
        <w:tc>
          <w:tcPr>
            <w:tcW w:w="3148" w:type="pct"/>
            <w:noWrap w:val="0"/>
            <w:vAlign w:val="center"/>
          </w:tcPr>
          <w:p w14:paraId="1C3F9ABB">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-30~+70℃</w:t>
            </w:r>
          </w:p>
        </w:tc>
      </w:tr>
      <w:tr w14:paraId="2549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51" w:type="pct"/>
            <w:noWrap w:val="0"/>
            <w:vAlign w:val="center"/>
          </w:tcPr>
          <w:p w14:paraId="7A4AD4F2">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存储环境</w:t>
            </w:r>
          </w:p>
        </w:tc>
        <w:tc>
          <w:tcPr>
            <w:tcW w:w="3148" w:type="pct"/>
            <w:noWrap w:val="0"/>
            <w:vAlign w:val="center"/>
          </w:tcPr>
          <w:p w14:paraId="2CF2447B">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-40~+85℃</w:t>
            </w:r>
          </w:p>
        </w:tc>
      </w:tr>
      <w:tr w14:paraId="3BD4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51" w:type="pct"/>
            <w:noWrap w:val="0"/>
            <w:vAlign w:val="center"/>
          </w:tcPr>
          <w:p w14:paraId="3536E9DA">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抗湿性</w:t>
            </w:r>
          </w:p>
        </w:tc>
        <w:tc>
          <w:tcPr>
            <w:tcW w:w="3148" w:type="pct"/>
            <w:noWrap w:val="0"/>
            <w:vAlign w:val="center"/>
          </w:tcPr>
          <w:p w14:paraId="025D7368">
            <w:pPr>
              <w:pageBreakBefore w:val="0"/>
              <w:widowControl w:val="0"/>
              <w:kinsoku/>
              <w:wordWrap/>
              <w:overflowPunct/>
              <w:topLinePunct w:val="0"/>
              <w:bidi w:val="0"/>
              <w:spacing w:line="360" w:lineRule="exact"/>
              <w:ind w:left="0" w:leftChars="0" w:firstLine="48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二类 (温度 55℃时，相对湿度 95%)</w:t>
            </w:r>
          </w:p>
        </w:tc>
      </w:tr>
    </w:tbl>
    <w:p w14:paraId="28DD0B50">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.4 开关插座</w:t>
      </w:r>
    </w:p>
    <w:p w14:paraId="4129A758">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参照或相当于</w:t>
      </w:r>
      <w:r>
        <w:rPr>
          <w:rFonts w:hint="eastAsia" w:ascii="宋体" w:hAnsi="宋体" w:eastAsia="宋体" w:cs="宋体"/>
          <w:color w:val="auto"/>
          <w:sz w:val="22"/>
          <w:szCs w:val="22"/>
          <w:highlight w:val="none"/>
        </w:rPr>
        <w:t>施耐德、德力西、西门子</w:t>
      </w:r>
    </w:p>
    <w:p w14:paraId="786E5952">
      <w:pPr>
        <w:pageBreakBefore w:val="0"/>
        <w:widowControl w:val="0"/>
        <w:kinsoku/>
        <w:wordWrap/>
        <w:overflowPunct/>
        <w:topLinePunct w:val="0"/>
        <w:bidi w:val="0"/>
        <w:spacing w:line="360" w:lineRule="exact"/>
        <w:ind w:left="0" w:lef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本次项目选用的插座、开关，产品通过“3C”认证，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lang w:val="en-US" w:eastAsia="zh-CN"/>
        </w:rPr>
        <w:t>商务和技术文件中提供CCC认证证书</w:t>
      </w:r>
      <w:r>
        <w:rPr>
          <w:rFonts w:hint="eastAsia" w:ascii="宋体" w:hAnsi="宋体" w:cs="宋体"/>
          <w:b/>
          <w:bCs/>
          <w:color w:val="auto"/>
          <w:sz w:val="22"/>
          <w:szCs w:val="22"/>
          <w:highlight w:val="none"/>
          <w:u w:val="single"/>
          <w:lang w:val="en-US" w:eastAsia="zh-CN"/>
        </w:rPr>
        <w:t>复印件加盖投标人公章，不提供投标无效</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rPr>
        <w:t>插座开关材料选用PC，耐冲击、耐高温、光洁度好、易清洁；插座均带安全保护门，采用高弹性锡磷铜片，弹力好拔插稳；后座采用 阻燃尼龙，阻燃性强；开关类采用高品质银合金触点，导电性好。</w:t>
      </w:r>
    </w:p>
    <w:p w14:paraId="1357367D">
      <w:pPr>
        <w:pageBreakBefore w:val="0"/>
        <w:widowControl w:val="0"/>
        <w:numPr>
          <w:ilvl w:val="0"/>
          <w:numId w:val="0"/>
        </w:numPr>
        <w:kinsoku/>
        <w:wordWrap/>
        <w:overflowPunct/>
        <w:topLinePunct w:val="0"/>
        <w:bidi w:val="0"/>
        <w:snapToGrid w:val="0"/>
        <w:spacing w:line="360" w:lineRule="exac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商务要求（技术要求里另有注明的以技术要求为准）</w:t>
      </w:r>
    </w:p>
    <w:p w14:paraId="5586F8BD">
      <w:pPr>
        <w:pStyle w:val="27"/>
        <w:pageBreakBefore w:val="0"/>
        <w:widowControl w:val="0"/>
        <w:tabs>
          <w:tab w:val="left" w:pos="785"/>
        </w:tabs>
        <w:kinsoku/>
        <w:wordWrap/>
        <w:overflowPunct/>
        <w:topLinePunct w:val="0"/>
        <w:bidi w:val="0"/>
        <w:spacing w:line="360" w:lineRule="exact"/>
        <w:ind w:left="0" w:lef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1.售后服务保障要求：</w:t>
      </w:r>
    </w:p>
    <w:p w14:paraId="435B4FE0">
      <w:pPr>
        <w:pStyle w:val="27"/>
        <w:numPr>
          <w:ilvl w:val="1"/>
          <w:numId w:val="7"/>
        </w:numPr>
        <w:spacing w:line="360" w:lineRule="exact"/>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rPr>
        <w:t>货物验收合格后提供≥</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年质保</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其中台面质保为10年</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，质保期内因不能排除的故障而影响工作的情况每发生一次，质保期相应延长60天，质保期内因设备本身缺陷造成各种故障应由投标人免费技术服务和维修，若技术需求中有质保要求，以技术需求为准。</w:t>
      </w:r>
    </w:p>
    <w:p w14:paraId="067E48E0">
      <w:pPr>
        <w:pStyle w:val="27"/>
        <w:numPr>
          <w:ilvl w:val="1"/>
          <w:numId w:val="7"/>
        </w:numPr>
        <w:spacing w:line="360" w:lineRule="exact"/>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本项目招标文件及其投标文件中的质保期均指免费维保期，应理解为该质保期内所需的费用均由投标人考虑并包含在投标报价中，在合同履行过程中及质保期内所发生的保养费用、维护费用、因材料或制造质量问题需要更新和更换的费用、零配件更换费用等以及人工上门服务费均不再另行收费。</w:t>
      </w:r>
    </w:p>
    <w:p w14:paraId="473188FF">
      <w:pPr>
        <w:pStyle w:val="27"/>
        <w:numPr>
          <w:ilvl w:val="1"/>
          <w:numId w:val="7"/>
        </w:numPr>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设备）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14:paraId="3993A2F1">
      <w:pPr>
        <w:pStyle w:val="27"/>
        <w:numPr>
          <w:ilvl w:val="1"/>
          <w:numId w:val="7"/>
        </w:numPr>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设备/软件）发生故障接到用户维修要求后，投标人应承诺在1小时内响应并提出解决方案，2小时内到现场进行故障处理，维修过程中所需材料在接到通知后应及时提供，最多不超过4小时。若（设备）短期无法修复，应提供相应备件并负责安装调试。</w:t>
      </w:r>
    </w:p>
    <w:p w14:paraId="36F95D9E">
      <w:pPr>
        <w:pStyle w:val="27"/>
        <w:numPr>
          <w:ilvl w:val="1"/>
          <w:numId w:val="7"/>
        </w:numPr>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质保期内提供一年至少2次免费上门服务。</w:t>
      </w:r>
    </w:p>
    <w:p w14:paraId="75189DCF">
      <w:pPr>
        <w:pStyle w:val="27"/>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培训：在货物安装调试验收过程中，中标人安装工程师现场免费对用户操作人员进行基本培训，培训内容包括货物结构介绍、操作软件使用、货物操作使用、简单制样操作、智能附件及消耗品更换、日常保养及维护等。</w:t>
      </w:r>
    </w:p>
    <w:p w14:paraId="704C7914">
      <w:pPr>
        <w:pStyle w:val="27"/>
        <w:spacing w:line="360" w:lineRule="exact"/>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3.项目验收合格之日起5年内，中标人应提供一次设备免费搬迁服务</w:t>
      </w:r>
    </w:p>
    <w:p w14:paraId="272A4A99">
      <w:pPr>
        <w:pStyle w:val="27"/>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4.备品备件及耗材等要求：投标时标明常用备品备件及耗材的投标价，并承诺所报价格不高于市场价格</w:t>
      </w:r>
    </w:p>
    <w:p w14:paraId="349AAD53">
      <w:pPr>
        <w:pStyle w:val="27"/>
        <w:spacing w:line="360" w:lineRule="exact"/>
        <w:ind w:firstLine="44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kern w:val="0"/>
          <w:sz w:val="22"/>
          <w:szCs w:val="22"/>
          <w:highlight w:val="none"/>
          <w:lang w:eastAsia="zh-CN"/>
        </w:rPr>
        <w:t>供货要求</w:t>
      </w:r>
    </w:p>
    <w:p w14:paraId="598901E2">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（1）投标人须按照国家有关标准及规范完成产品的设计、供货、运输保管、装卸、安装（包括实验台柜等设施的电气开孔安装等）、调试、检验、无条件提供各项数据资料，保证通过验收；</w:t>
      </w:r>
    </w:p>
    <w:p w14:paraId="535F5FDE">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（2）投标人在供货前须将所供货物的样品递交采购人审查确认，经认可后方可批量送货。</w:t>
      </w:r>
    </w:p>
    <w:p w14:paraId="73CFDC29">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（3）投标人按采购人要求按需分批次供货，货到采购人指定的使用地点。</w:t>
      </w:r>
    </w:p>
    <w:p w14:paraId="6BE30430">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（4）投标人在投标文件中制订详细的计划，成交后，做好生产准备，采购内容经采购人确认后生产制作，</w:t>
      </w:r>
      <w:r>
        <w:rPr>
          <w:rFonts w:hint="eastAsia" w:ascii="宋体" w:hAnsi="宋体" w:eastAsia="宋体" w:cs="宋体"/>
          <w:b/>
          <w:bCs/>
          <w:color w:val="auto"/>
          <w:sz w:val="22"/>
          <w:szCs w:val="22"/>
          <w:highlight w:val="none"/>
          <w:lang w:eastAsia="zh-CN"/>
        </w:rPr>
        <w:t>接到采购人供货通知后</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20</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lang w:eastAsia="zh-CN"/>
        </w:rPr>
        <w:t>天内货到采购人指定地点安装组装完毕</w:t>
      </w:r>
      <w:r>
        <w:rPr>
          <w:rFonts w:hint="eastAsia" w:ascii="宋体" w:hAnsi="宋体" w:eastAsia="宋体" w:cs="宋体"/>
          <w:b w:val="0"/>
          <w:bCs w:val="0"/>
          <w:color w:val="auto"/>
          <w:sz w:val="22"/>
          <w:szCs w:val="22"/>
          <w:highlight w:val="none"/>
          <w:lang w:eastAsia="zh-CN"/>
        </w:rPr>
        <w:t>，验收合格，交付采购人使用。</w:t>
      </w:r>
    </w:p>
    <w:p w14:paraId="7F8D2C5B">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（5）投标人成交后，在签订合同前需同采购人再次确认所供产品等的数量、尺寸、颜色、材料及所供产品等的平面布置等。</w:t>
      </w:r>
    </w:p>
    <w:p w14:paraId="32E2A797">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（6）采购人对采购产品的形状、材质、颜色具有最终决定权。产品按投标文件样本中为准，如采购人日后需要更改，投标人应积极配合，价格不变。</w:t>
      </w:r>
    </w:p>
    <w:p w14:paraId="792A60F1">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7）允许投标人根据各自模具尺寸对外形尺寸进行局部调整，但必须征得采购人书面同意。投标人必须承担产品的制作、运输、装卸、安装放置至采购人指定地点等工作，最终采购以采购人认可的产品封样为准。</w:t>
      </w:r>
    </w:p>
    <w:p w14:paraId="292D7427">
      <w:pPr>
        <w:pStyle w:val="7"/>
        <w:keepNext w:val="0"/>
        <w:keepLines w:val="0"/>
        <w:pageBreakBefore w:val="0"/>
        <w:widowControl w:val="0"/>
        <w:kinsoku/>
        <w:wordWrap/>
        <w:overflowPunct/>
        <w:topLinePunct w:val="0"/>
        <w:autoSpaceDE w:val="0"/>
        <w:autoSpaceDN w:val="0"/>
        <w:bidi w:val="0"/>
        <w:adjustRightInd w:val="0"/>
        <w:snapToGrid/>
        <w:spacing w:line="3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（8）投标人提供的成品上有厂家LOGO和生产日期的标牌。</w:t>
      </w:r>
    </w:p>
    <w:p w14:paraId="6FF6A5C8">
      <w:pPr>
        <w:pStyle w:val="27"/>
        <w:spacing w:line="360" w:lineRule="exact"/>
        <w:ind w:left="420" w:leftChars="20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.交货时间及地点：</w:t>
      </w:r>
    </w:p>
    <w:p w14:paraId="60426206">
      <w:pPr>
        <w:pStyle w:val="27"/>
        <w:numPr>
          <w:ilvl w:val="0"/>
          <w:numId w:val="0"/>
        </w:numPr>
        <w:spacing w:line="360" w:lineRule="exact"/>
        <w:ind w:left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color w:val="auto"/>
          <w:sz w:val="22"/>
          <w:szCs w:val="22"/>
          <w:highlight w:val="none"/>
        </w:rPr>
        <w:t>交货时间：合同签订并生效后</w:t>
      </w:r>
      <w:r>
        <w:rPr>
          <w:rFonts w:hint="eastAsia" w:ascii="宋体" w:hAnsi="宋体" w:eastAsia="宋体" w:cs="宋体"/>
          <w:color w:val="auto"/>
          <w:sz w:val="22"/>
          <w:szCs w:val="22"/>
          <w:highlight w:val="none"/>
          <w:u w:val="single"/>
          <w:lang w:val="en-US" w:eastAsia="zh-CN"/>
        </w:rPr>
        <w:t xml:space="preserve">  20  </w:t>
      </w:r>
      <w:r>
        <w:rPr>
          <w:rFonts w:hint="eastAsia" w:ascii="宋体" w:hAnsi="宋体" w:eastAsia="宋体" w:cs="宋体"/>
          <w:color w:val="auto"/>
          <w:sz w:val="22"/>
          <w:szCs w:val="22"/>
          <w:highlight w:val="none"/>
        </w:rPr>
        <w:t>个工作日内交货、安装、调试完毕。</w:t>
      </w:r>
    </w:p>
    <w:p w14:paraId="19C54898">
      <w:pPr>
        <w:pStyle w:val="27"/>
        <w:numPr>
          <w:ilvl w:val="0"/>
          <w:numId w:val="0"/>
        </w:numPr>
        <w:spacing w:line="360" w:lineRule="exact"/>
        <w:ind w:left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地点：采购人指定地点。</w:t>
      </w:r>
    </w:p>
    <w:p w14:paraId="659F1D00">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rPr>
        <w:t>、采购设备的其它要求</w:t>
      </w:r>
    </w:p>
    <w:p w14:paraId="5B7A588D">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1.所有设备必须是全新的，未曾使用过的。</w:t>
      </w:r>
    </w:p>
    <w:p w14:paraId="3239B390">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2.投标人提供设备的专用工具及其清单。</w:t>
      </w:r>
    </w:p>
    <w:p w14:paraId="5C725503">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3.投标人提供的检测设备须符合国家有关设备制造标准。</w:t>
      </w:r>
    </w:p>
    <w:p w14:paraId="09A5DB95">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4.投标人应在投标文件详细说明所提供货物的技术规格和参数以及主要部件产地。</w:t>
      </w:r>
    </w:p>
    <w:p w14:paraId="05B083EE">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七</w:t>
      </w:r>
      <w:r>
        <w:rPr>
          <w:rFonts w:hint="eastAsia" w:ascii="宋体" w:hAnsi="宋体" w:eastAsia="宋体" w:cs="宋体"/>
          <w:b/>
          <w:color w:val="auto"/>
          <w:sz w:val="22"/>
          <w:szCs w:val="22"/>
          <w:highlight w:val="none"/>
        </w:rPr>
        <w:t>、技术文件</w:t>
      </w:r>
    </w:p>
    <w:p w14:paraId="6A66FFA3">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投标人应提供下列技术文件：</w:t>
      </w:r>
    </w:p>
    <w:p w14:paraId="69D920B9">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1.投标人在投标时必须提供设备样本及有关技术说明（所有参数均采用公制单位）。</w:t>
      </w:r>
    </w:p>
    <w:p w14:paraId="138C747D">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2.投标人在投标文件中必须提供主要部件生产厂家情况及有关样本、技术说明。</w:t>
      </w:r>
    </w:p>
    <w:p w14:paraId="547E801E">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3.投标人认为有必要提供的其它技术资料及文件。</w:t>
      </w:r>
    </w:p>
    <w:p w14:paraId="774E1D34">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4.投标人提供详细的试验报告。</w:t>
      </w:r>
    </w:p>
    <w:p w14:paraId="0DE04B55">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八</w:t>
      </w:r>
      <w:r>
        <w:rPr>
          <w:rFonts w:hint="eastAsia" w:ascii="宋体" w:hAnsi="宋体" w:eastAsia="宋体" w:cs="宋体"/>
          <w:b/>
          <w:color w:val="auto"/>
          <w:sz w:val="22"/>
          <w:szCs w:val="22"/>
          <w:highlight w:val="none"/>
        </w:rPr>
        <w:t>、技术服务</w:t>
      </w:r>
    </w:p>
    <w:p w14:paraId="50A03611">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1.设备的安装、调试由投标人负责，但用户需配合投标人进行该项内容。</w:t>
      </w:r>
    </w:p>
    <w:p w14:paraId="2888916B">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（1）投标人应确保设备运行可靠、维护方便。</w:t>
      </w:r>
    </w:p>
    <w:p w14:paraId="1E7DA3B0">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（2）投标人负责组织专业技术人员进行设备安装调试。中标人在收到采购人通知后在7日内完成安装和调试，如因中标人的原因未在规定时间内完成，则承担采购人因此造成的损失。</w:t>
      </w:r>
    </w:p>
    <w:p w14:paraId="4B57A790">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安装调试到位后的设备由投标人与设备使用单位组织的验收小组共同进行质量验收签字。（验收标准：各类设备的数量、技术质量性能和规格型号、外观等应符合采购文件要求及合同中的相关条款，同时应符合产品制造商和国家相关标准，明确安装调试、保修服务、配件提供、培训与技术升级等事宜）。</w:t>
      </w:r>
    </w:p>
    <w:p w14:paraId="051E82B5">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（4）设备交货的同时，投标人应向采购人提供以下列明的中文（或带有中文摘要的英文）技术资料，其费用应包括在报价总价内。</w:t>
      </w:r>
    </w:p>
    <w:p w14:paraId="02C139AF">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（a）产品技术说明书；</w:t>
      </w:r>
    </w:p>
    <w:p w14:paraId="6CA8F0C5">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（b）用户手册；</w:t>
      </w:r>
    </w:p>
    <w:p w14:paraId="3FB9262D">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（c）出厂明细表（装箱单）；</w:t>
      </w:r>
    </w:p>
    <w:p w14:paraId="4E61D407">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（d）出厂检验报告和合格书；</w:t>
      </w:r>
    </w:p>
    <w:p w14:paraId="0606272C">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（e）其他相关技术资料。</w:t>
      </w:r>
    </w:p>
    <w:p w14:paraId="1CA63EC9">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（5）投标人向用户提供安装和维修所需特殊专用的工具、随机备件及清单和中文说明书，其费用包括在投标价格内。</w:t>
      </w:r>
    </w:p>
    <w:p w14:paraId="073E59B2">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（6）如因投标人责任而造成的安装延期，产生的费用由投标人负担。</w:t>
      </w:r>
    </w:p>
    <w:p w14:paraId="50E335AB">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（7）货物验收不合格的，采购人可以要求中标（成交）方无条件免费更换或退货，并赔偿由此造成的采购人的损失。</w:t>
      </w:r>
    </w:p>
    <w:p w14:paraId="3D32DAE3">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2.投标人应为采购人或最终用户技术人员进行有关设备维护、操作、保养等方面培训，直至能独立操作。</w:t>
      </w:r>
    </w:p>
    <w:p w14:paraId="66223D08">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九</w:t>
      </w:r>
      <w:r>
        <w:rPr>
          <w:rFonts w:hint="eastAsia" w:ascii="宋体" w:hAnsi="宋体" w:eastAsia="宋体" w:cs="宋体"/>
          <w:b/>
          <w:color w:val="auto"/>
          <w:sz w:val="22"/>
          <w:szCs w:val="22"/>
          <w:highlight w:val="none"/>
        </w:rPr>
        <w:t>、验收</w:t>
      </w:r>
    </w:p>
    <w:p w14:paraId="5435B64E">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设备验收应当由采购人在指定地点进行，采购人对投标人所交货物依照采购文件上的技术规格要求或国家（设备制造国）有关标准指定验收小组进行验收，性能达到技术要求的，给予签收。验收不合格的不予以签收，后果由投标人负责。</w:t>
      </w:r>
    </w:p>
    <w:p w14:paraId="30821C04">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2.设备满足合同中规定的各项技术规格、指标和性能要求，符合厂家提供的正式技术文件的说明。</w:t>
      </w:r>
    </w:p>
    <w:p w14:paraId="33E35973">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3.采购人应在货到指定地点安装调试完毕之日起5个工作日内组织验收完毕。验收时投标人应在现场。所有调试及验收测试已进行完毕，并形成书面报告。</w:t>
      </w:r>
    </w:p>
    <w:p w14:paraId="46F9E3C2">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十</w:t>
      </w:r>
      <w:r>
        <w:rPr>
          <w:rFonts w:hint="eastAsia" w:ascii="宋体" w:hAnsi="宋体" w:eastAsia="宋体" w:cs="宋体"/>
          <w:b/>
          <w:color w:val="auto"/>
          <w:sz w:val="22"/>
          <w:szCs w:val="22"/>
          <w:highlight w:val="none"/>
        </w:rPr>
        <w:t>、采购的其它要求</w:t>
      </w:r>
    </w:p>
    <w:p w14:paraId="3977B506">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投标人应在投标文件中对采购文件技术规范的要求逐条加以说明，并在偏离表中体现出来。</w:t>
      </w:r>
    </w:p>
    <w:p w14:paraId="54B9F45E">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十一</w:t>
      </w:r>
      <w:r>
        <w:rPr>
          <w:rFonts w:hint="eastAsia" w:ascii="宋体" w:hAnsi="宋体" w:eastAsia="宋体" w:cs="宋体"/>
          <w:b/>
          <w:color w:val="auto"/>
          <w:sz w:val="22"/>
          <w:szCs w:val="22"/>
          <w:highlight w:val="none"/>
        </w:rPr>
        <w:t>、其他说明</w:t>
      </w:r>
    </w:p>
    <w:p w14:paraId="086001F4">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1.投标人须自行了解使用环境的一切与本项目实施有关的情况，提供产品时应考虑相应的环境与条件。</w:t>
      </w:r>
    </w:p>
    <w:p w14:paraId="6BB39C0A">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采购文件中遗漏了必须具备的设备、配件或服务，请投标人在投标文件中指出，并提出解决方案供采购人参考；中标人有义务保证采购人系统的完整性，如项目实施过程中因缺少设备、配件或服务导致采购人系统无法正常运行，中标人须承诺免费提供。</w:t>
      </w:r>
    </w:p>
    <w:p w14:paraId="14D8FC5D">
      <w:pPr>
        <w:spacing w:line="3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3.中标后不得以任何形式将本项目转包或分包给其他单位，否则采购人有权终止合同，所发生的一切损失均由中标人承担。</w:t>
      </w:r>
    </w:p>
    <w:p w14:paraId="14C1D69A">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二</w:t>
      </w:r>
      <w:r>
        <w:rPr>
          <w:rFonts w:hint="eastAsia" w:ascii="宋体" w:hAnsi="宋体" w:eastAsia="宋体" w:cs="宋体"/>
          <w:b/>
          <w:color w:val="auto"/>
          <w:sz w:val="22"/>
          <w:szCs w:val="22"/>
          <w:highlight w:val="none"/>
        </w:rPr>
        <w:t>、根据本项目的特点，投标文件中提供：</w:t>
      </w:r>
    </w:p>
    <w:p w14:paraId="13D0EF4F">
      <w:pPr>
        <w:spacing w:line="360" w:lineRule="exact"/>
        <w:ind w:firstLine="440" w:firstLineChars="200"/>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1.所提供产品的技术规格书、所投设备的品牌、型号规格、主要技术性能、特点、操作说明和质量水平的详细描述；投标产品的具体配置情况、技术支持资料、技术偏离程度；</w:t>
      </w:r>
    </w:p>
    <w:p w14:paraId="2D7938B9">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2.本项目的具体实施方案：包括技术实施方案、供货方案、服务方案、质量控制（安装调试技术保障措施）、人员培训计划、进度控制（物资进场安排、进度计划）等；</w:t>
      </w:r>
    </w:p>
    <w:p w14:paraId="374572C9">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3.本项目专业技术人员配备情况；</w:t>
      </w:r>
    </w:p>
    <w:p w14:paraId="09FB7ACA">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4.质保期、质保期满后备品备件及人工维修费用的价格承诺；</w:t>
      </w:r>
    </w:p>
    <w:p w14:paraId="0BCA890E">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5.技术支持、培训及售后服务等；</w:t>
      </w:r>
    </w:p>
    <w:p w14:paraId="4DD43C89">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6.招标文件及评分办法规定的其他要求。</w:t>
      </w:r>
    </w:p>
    <w:p w14:paraId="298D76DC">
      <w:pP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十</w:t>
      </w: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、样品要求</w:t>
      </w:r>
    </w:p>
    <w:p w14:paraId="7266A87C">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供应商递交以</w:t>
      </w:r>
      <w:r>
        <w:rPr>
          <w:rFonts w:hint="eastAsia" w:ascii="宋体" w:hAnsi="宋体" w:eastAsia="宋体" w:cs="宋体"/>
          <w:color w:val="auto"/>
          <w:sz w:val="22"/>
          <w:szCs w:val="22"/>
          <w:highlight w:val="none"/>
        </w:rPr>
        <w:t>下样品：</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19"/>
        <w:gridCol w:w="723"/>
        <w:gridCol w:w="6099"/>
        <w:gridCol w:w="771"/>
      </w:tblGrid>
      <w:tr w14:paraId="69B8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2" w:type="pct"/>
            <w:noWrap w:val="0"/>
            <w:vAlign w:val="center"/>
          </w:tcPr>
          <w:p w14:paraId="14BA446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813" w:type="pct"/>
            <w:noWrap w:val="0"/>
            <w:vAlign w:val="center"/>
          </w:tcPr>
          <w:p w14:paraId="6D2757C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名称</w:t>
            </w:r>
          </w:p>
        </w:tc>
        <w:tc>
          <w:tcPr>
            <w:tcW w:w="363" w:type="pct"/>
            <w:noWrap w:val="0"/>
            <w:vAlign w:val="center"/>
          </w:tcPr>
          <w:p w14:paraId="0BE55DC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c>
          <w:tcPr>
            <w:tcW w:w="3063" w:type="pct"/>
            <w:noWrap w:val="0"/>
            <w:vAlign w:val="center"/>
          </w:tcPr>
          <w:p w14:paraId="2EBB8C37">
            <w:pPr>
              <w:widowControl/>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规格</w:t>
            </w:r>
          </w:p>
        </w:tc>
        <w:tc>
          <w:tcPr>
            <w:tcW w:w="387" w:type="pct"/>
            <w:noWrap w:val="0"/>
            <w:vAlign w:val="center"/>
          </w:tcPr>
          <w:p w14:paraId="7015F66A">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w:t>
            </w:r>
          </w:p>
        </w:tc>
      </w:tr>
      <w:tr w14:paraId="6308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2" w:type="pct"/>
            <w:noWrap w:val="0"/>
            <w:vAlign w:val="center"/>
          </w:tcPr>
          <w:p w14:paraId="104FB8C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13" w:type="pct"/>
            <w:shd w:val="clear" w:color="auto" w:fill="auto"/>
            <w:noWrap w:val="0"/>
            <w:vAlign w:val="center"/>
          </w:tcPr>
          <w:p w14:paraId="2F1D8D52">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彩钢板</w:t>
            </w:r>
          </w:p>
        </w:tc>
        <w:tc>
          <w:tcPr>
            <w:tcW w:w="363" w:type="pct"/>
            <w:shd w:val="clear" w:color="auto" w:fill="auto"/>
            <w:noWrap w:val="0"/>
            <w:vAlign w:val="center"/>
          </w:tcPr>
          <w:p w14:paraId="1765555D">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1块</w:t>
            </w:r>
          </w:p>
        </w:tc>
        <w:tc>
          <w:tcPr>
            <w:tcW w:w="3063" w:type="pct"/>
            <w:shd w:val="clear" w:color="auto" w:fill="auto"/>
            <w:noWrap w:val="0"/>
            <w:vAlign w:val="center"/>
          </w:tcPr>
          <w:p w14:paraId="714D4875">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材质小样</w:t>
            </w:r>
          </w:p>
          <w:p w14:paraId="58CBAF3D">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（尺寸不做要求，以能体现材质各项评审因素为准）</w:t>
            </w:r>
          </w:p>
        </w:tc>
        <w:tc>
          <w:tcPr>
            <w:tcW w:w="387" w:type="pct"/>
            <w:noWrap w:val="0"/>
            <w:vAlign w:val="center"/>
          </w:tcPr>
          <w:p w14:paraId="42178068">
            <w:pPr>
              <w:widowControl/>
              <w:rPr>
                <w:rFonts w:hint="eastAsia" w:ascii="宋体" w:hAnsi="宋体" w:eastAsia="宋体" w:cs="宋体"/>
                <w:color w:val="auto"/>
                <w:kern w:val="0"/>
                <w:sz w:val="22"/>
                <w:szCs w:val="22"/>
                <w:highlight w:val="none"/>
              </w:rPr>
            </w:pPr>
          </w:p>
        </w:tc>
      </w:tr>
      <w:tr w14:paraId="2E05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2" w:type="pct"/>
            <w:noWrap w:val="0"/>
            <w:vAlign w:val="center"/>
          </w:tcPr>
          <w:p w14:paraId="6688B023">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813" w:type="pct"/>
            <w:shd w:val="clear" w:color="auto" w:fill="auto"/>
            <w:noWrap w:val="0"/>
            <w:vAlign w:val="center"/>
          </w:tcPr>
          <w:p w14:paraId="4DFD5657">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理化板</w:t>
            </w:r>
          </w:p>
        </w:tc>
        <w:tc>
          <w:tcPr>
            <w:tcW w:w="363" w:type="pct"/>
            <w:shd w:val="clear" w:color="auto" w:fill="auto"/>
            <w:noWrap w:val="0"/>
            <w:vAlign w:val="center"/>
          </w:tcPr>
          <w:p w14:paraId="5C769581">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1块</w:t>
            </w:r>
          </w:p>
        </w:tc>
        <w:tc>
          <w:tcPr>
            <w:tcW w:w="3063" w:type="pct"/>
            <w:shd w:val="clear" w:color="auto" w:fill="auto"/>
            <w:noWrap w:val="0"/>
            <w:vAlign w:val="center"/>
          </w:tcPr>
          <w:p w14:paraId="089E50B8">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材质小样</w:t>
            </w:r>
          </w:p>
          <w:p w14:paraId="42B67CB4">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（尺寸不做要求，以能体现材质各项评审因素为准）</w:t>
            </w:r>
          </w:p>
        </w:tc>
        <w:tc>
          <w:tcPr>
            <w:tcW w:w="387" w:type="pct"/>
            <w:noWrap w:val="0"/>
            <w:vAlign w:val="center"/>
          </w:tcPr>
          <w:p w14:paraId="21C5846D">
            <w:pPr>
              <w:widowControl/>
              <w:rPr>
                <w:rFonts w:hint="eastAsia" w:ascii="宋体" w:hAnsi="宋体" w:eastAsia="宋体" w:cs="宋体"/>
                <w:color w:val="auto"/>
                <w:kern w:val="0"/>
                <w:sz w:val="22"/>
                <w:szCs w:val="22"/>
                <w:highlight w:val="none"/>
              </w:rPr>
            </w:pPr>
          </w:p>
        </w:tc>
      </w:tr>
      <w:tr w14:paraId="676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2" w:type="pct"/>
            <w:noWrap w:val="0"/>
            <w:vAlign w:val="center"/>
          </w:tcPr>
          <w:p w14:paraId="7214970C">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813" w:type="pct"/>
            <w:shd w:val="clear" w:color="auto" w:fill="auto"/>
            <w:noWrap w:val="0"/>
            <w:vAlign w:val="center"/>
          </w:tcPr>
          <w:p w14:paraId="05BD6642">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冷轧钢板</w:t>
            </w:r>
          </w:p>
        </w:tc>
        <w:tc>
          <w:tcPr>
            <w:tcW w:w="363" w:type="pct"/>
            <w:shd w:val="clear" w:color="auto" w:fill="auto"/>
            <w:noWrap w:val="0"/>
            <w:vAlign w:val="center"/>
          </w:tcPr>
          <w:p w14:paraId="5E4B9098">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1套</w:t>
            </w:r>
          </w:p>
        </w:tc>
        <w:tc>
          <w:tcPr>
            <w:tcW w:w="3063" w:type="pct"/>
            <w:shd w:val="clear" w:color="auto" w:fill="auto"/>
            <w:noWrap w:val="0"/>
            <w:vAlign w:val="center"/>
          </w:tcPr>
          <w:p w14:paraId="0372B2DB">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材质小样（1.0mm和1.2mm厚度各一块）</w:t>
            </w:r>
          </w:p>
          <w:p w14:paraId="2445E1D7">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（尺寸不做要求，以能体现材质各项评审因素为准）</w:t>
            </w:r>
          </w:p>
        </w:tc>
        <w:tc>
          <w:tcPr>
            <w:tcW w:w="387" w:type="pct"/>
            <w:noWrap w:val="0"/>
            <w:vAlign w:val="center"/>
          </w:tcPr>
          <w:p w14:paraId="557C288B">
            <w:pPr>
              <w:widowControl/>
              <w:rPr>
                <w:rFonts w:hint="eastAsia" w:ascii="宋体" w:hAnsi="宋体" w:eastAsia="宋体" w:cs="宋体"/>
                <w:color w:val="auto"/>
                <w:kern w:val="0"/>
                <w:sz w:val="22"/>
                <w:szCs w:val="22"/>
                <w:highlight w:val="none"/>
              </w:rPr>
            </w:pPr>
          </w:p>
        </w:tc>
      </w:tr>
      <w:tr w14:paraId="29DB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2" w:type="pct"/>
            <w:vAlign w:val="center"/>
          </w:tcPr>
          <w:p w14:paraId="392FB14E">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813" w:type="pct"/>
            <w:shd w:val="clear" w:color="auto" w:fill="auto"/>
            <w:vAlign w:val="center"/>
          </w:tcPr>
          <w:p w14:paraId="5C202B54">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辅材及五金件</w:t>
            </w:r>
          </w:p>
        </w:tc>
        <w:tc>
          <w:tcPr>
            <w:tcW w:w="363" w:type="pct"/>
            <w:shd w:val="clear" w:color="auto" w:fill="auto"/>
            <w:vAlign w:val="center"/>
          </w:tcPr>
          <w:p w14:paraId="02B20CE4">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1批</w:t>
            </w:r>
          </w:p>
        </w:tc>
        <w:tc>
          <w:tcPr>
            <w:tcW w:w="3063" w:type="pct"/>
            <w:shd w:val="clear" w:color="auto" w:fill="auto"/>
            <w:vAlign w:val="center"/>
          </w:tcPr>
          <w:p w14:paraId="47A21905">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86型5孔插座、门锁、滑轨、合页、调整脚、桌脚钢架以及滑轮。</w:t>
            </w:r>
          </w:p>
        </w:tc>
        <w:tc>
          <w:tcPr>
            <w:tcW w:w="387" w:type="pct"/>
          </w:tcPr>
          <w:p w14:paraId="4DCE8C6C">
            <w:pPr>
              <w:widowControl/>
              <w:rPr>
                <w:rFonts w:hint="eastAsia" w:ascii="宋体" w:hAnsi="宋体" w:eastAsia="宋体" w:cs="宋体"/>
                <w:color w:val="auto"/>
                <w:kern w:val="0"/>
                <w:sz w:val="22"/>
                <w:szCs w:val="22"/>
                <w:highlight w:val="none"/>
              </w:rPr>
            </w:pPr>
          </w:p>
        </w:tc>
      </w:tr>
    </w:tbl>
    <w:p w14:paraId="42995BA4">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2.样品的递交</w:t>
      </w:r>
    </w:p>
    <w:p w14:paraId="7E714B17">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样品通过邮寄或送达的方式递交，供应商自行确保在投标文件递交截至时间前将样品送达代理机构指定地点【联系人：王纪凤，联系电话：18357703076，地址：浙江乐诚工程咨询有限公司（浙江省杭州市西湖区紫荆花路386号紫荆大厦107号商务楼303室）】，未按时送达的样品无效。具体要求如下：</w:t>
      </w:r>
    </w:p>
    <w:p w14:paraId="02840DFF">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（2）送达时间：提交投标文件截止时间一致（其他时间拒绝接收样品，未安装完成的停止安装，采购代理机构接收前样品保管责任由投标人自负）。</w:t>
      </w:r>
    </w:p>
    <w:p w14:paraId="3B408797">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样品的退还：中标人的样品将被封存作为履约验收的参考（中标人应将样品运送至采购人指定地点，期间应保证到达目的地的样品与评标样品完全一致。），未中标单位的样品将在结果公告发布后的8个工作日后的5个工作日内自行撤回，逾期未撤回采购人有权自行处置。联系人：王纪凤，联系电话：18357703076。 </w:t>
      </w:r>
    </w:p>
    <w:p w14:paraId="23286698">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u w:val="single"/>
          <w:lang w:val="en-US" w:eastAsia="zh-CN"/>
        </w:rPr>
        <w:t>▲未提供样品或样品提供不全的投标无效。</w:t>
      </w:r>
    </w:p>
    <w:p w14:paraId="4C8E288F">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3.样品标识：投标人在样品本体明显位置标注“项目名称；投标人全称；产品、材料名称；样品总件数-第几件”（浙江农林大学细胞房项目，XX公司</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-1）。</w:t>
      </w:r>
    </w:p>
    <w:p w14:paraId="6A9FF201">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4.样品为投标文件的补充，仅作辅助评标用，但其应能真实反映投标货物的参数性能指标，所提供样品与投标文件不符以投标文件为准。</w:t>
      </w:r>
    </w:p>
    <w:p w14:paraId="0F65F869">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5.评审小组评审样品分时可能对样品进行破坏性试验，如样品遭到破坏导致的损失由投标人自行承担，投标时请充分考虑当中风险。样品制作、安装、运输、拆除等递交、退还样品所需要费用由投标人自行承担。</w:t>
      </w:r>
    </w:p>
    <w:p w14:paraId="17162D36">
      <w:pPr>
        <w:pStyle w:val="17"/>
        <w:spacing w:before="0" w:beforeAutospacing="0" w:after="0" w:afterAutospacing="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pacing w:val="-6"/>
          <w:sz w:val="22"/>
          <w:szCs w:val="22"/>
          <w:highlight w:val="none"/>
        </w:rPr>
        <w:t>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w:t>
      </w:r>
      <w:r>
        <w:rPr>
          <w:rFonts w:hint="eastAsia" w:ascii="宋体" w:hAnsi="宋体" w:eastAsia="宋体" w:cs="宋体"/>
          <w:b/>
          <w:color w:val="auto"/>
          <w:sz w:val="22"/>
          <w:szCs w:val="22"/>
          <w:highlight w:val="none"/>
        </w:rPr>
        <w:t>未尽之</w:t>
      </w:r>
      <w:r>
        <w:rPr>
          <w:rFonts w:hint="eastAsia" w:ascii="宋体" w:hAnsi="宋体" w:eastAsia="宋体" w:cs="宋体"/>
          <w:b/>
          <w:color w:val="auto"/>
          <w:kern w:val="2"/>
          <w:sz w:val="22"/>
          <w:szCs w:val="22"/>
          <w:highlight w:val="none"/>
        </w:rPr>
        <w:t>处详见“第五部分 拟签订的合同文本”。</w:t>
      </w:r>
    </w:p>
    <w:p w14:paraId="7153A9DC">
      <w:pPr>
        <w:pStyle w:val="9"/>
        <w:spacing w:after="0" w:line="360" w:lineRule="exact"/>
        <w:ind w:left="0" w:leftChars="0" w:firstLine="0" w:firstLineChars="0"/>
        <w:rPr>
          <w:rFonts w:hint="eastAsia" w:ascii="宋体" w:hAnsi="宋体" w:eastAsia="宋体" w:cs="宋体"/>
          <w:b/>
          <w:bCs/>
          <w:color w:val="auto"/>
          <w:spacing w:val="-6"/>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五</w:t>
      </w:r>
      <w:r>
        <w:rPr>
          <w:rFonts w:hint="eastAsia" w:ascii="宋体" w:hAnsi="宋体" w:eastAsia="宋体" w:cs="宋体"/>
          <w:b/>
          <w:bCs/>
          <w:color w:val="auto"/>
          <w:spacing w:val="-6"/>
          <w:sz w:val="22"/>
          <w:szCs w:val="22"/>
          <w:highlight w:val="none"/>
        </w:rPr>
        <w:t>、其他</w:t>
      </w:r>
    </w:p>
    <w:p w14:paraId="37383D73">
      <w:pPr>
        <w:adjustRightInd/>
        <w:snapToGrid w:val="0"/>
        <w:spacing w:line="360" w:lineRule="exact"/>
        <w:ind w:firstLine="418" w:firstLineChars="20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带“▲且加下划线”的有关条款为实质性条款，投标人必须做出实质性响应，不允许负偏离，出现负偏离的将导致投标无效。打★的条款为重要指标，允许负偏离，但在技术评分时会重点扣分，具体见评标办法。</w:t>
      </w:r>
    </w:p>
    <w:p w14:paraId="46591021">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2</w:t>
      </w:r>
      <w:r>
        <w:rPr>
          <w:rFonts w:hint="eastAsia" w:ascii="宋体" w:hAnsi="宋体" w:eastAsia="宋体" w:cs="宋体"/>
          <w:b/>
          <w:bCs/>
          <w:color w:val="auto"/>
          <w:spacing w:val="-6"/>
          <w:sz w:val="22"/>
          <w:szCs w:val="22"/>
          <w:highlight w:val="none"/>
        </w:rPr>
        <w:t>.</w:t>
      </w:r>
      <w:r>
        <w:rPr>
          <w:rFonts w:hint="eastAsia" w:ascii="宋体" w:hAnsi="宋体" w:eastAsia="宋体" w:cs="宋体"/>
          <w:b/>
          <w:bCs/>
          <w:color w:val="auto"/>
          <w:spacing w:val="-6"/>
          <w:sz w:val="22"/>
          <w:szCs w:val="22"/>
          <w:highlight w:val="none"/>
          <w:lang w:val="en-US" w:eastAsia="zh-CN"/>
        </w:rPr>
        <w:t>采购需求</w:t>
      </w:r>
      <w:r>
        <w:rPr>
          <w:rFonts w:hint="eastAsia" w:ascii="宋体" w:hAnsi="宋体" w:eastAsia="宋体" w:cs="宋体"/>
          <w:b/>
          <w:bCs/>
          <w:color w:val="auto"/>
          <w:spacing w:val="-6"/>
          <w:sz w:val="22"/>
          <w:szCs w:val="22"/>
          <w:highlight w:val="none"/>
        </w:rPr>
        <w:t>中需要提供的证明材料有有效期的必须在有效期内，否则视为未提供。</w:t>
      </w:r>
    </w:p>
    <w:p w14:paraId="6727EEEA">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3</w:t>
      </w:r>
      <w:r>
        <w:rPr>
          <w:rFonts w:hint="eastAsia" w:ascii="宋体" w:hAnsi="宋体" w:eastAsia="宋体" w:cs="宋体"/>
          <w:b/>
          <w:bCs/>
          <w:color w:val="auto"/>
          <w:spacing w:val="-6"/>
          <w:sz w:val="22"/>
          <w:szCs w:val="22"/>
          <w:highlight w:val="none"/>
        </w:rPr>
        <w:t>.投标人响应产品应当明确制造商、品牌和规格型号。</w:t>
      </w:r>
    </w:p>
    <w:p w14:paraId="0A00D94E">
      <w:pPr>
        <w:spacing w:line="36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2"/>
          <w:highlight w:val="none"/>
        </w:rPr>
        <w:br w:type="page"/>
      </w:r>
      <w:bookmarkStart w:id="68" w:name="_Toc18169"/>
      <w:bookmarkStart w:id="69" w:name="_Toc13395"/>
      <w:bookmarkStart w:id="527" w:name="_GoBack"/>
      <w:bookmarkEnd w:id="527"/>
      <w:r>
        <w:rPr>
          <w:rStyle w:val="23"/>
          <w:rFonts w:hint="eastAsia" w:ascii="宋体" w:hAnsi="宋体" w:eastAsia="宋体" w:cs="宋体"/>
          <w:color w:val="auto"/>
          <w:highlight w:val="none"/>
        </w:rPr>
        <w:t>第四部分</w:t>
      </w:r>
      <w:bookmarkStart w:id="70" w:name="_Toc184312095"/>
      <w:bookmarkEnd w:id="70"/>
      <w:bookmarkStart w:id="71" w:name="_Toc184308084"/>
      <w:bookmarkEnd w:id="71"/>
      <w:bookmarkStart w:id="72" w:name="_Toc184310278"/>
      <w:bookmarkEnd w:id="72"/>
      <w:bookmarkStart w:id="73" w:name="_Toc184312070"/>
      <w:bookmarkEnd w:id="73"/>
      <w:bookmarkStart w:id="74" w:name="_Toc184313255"/>
      <w:bookmarkEnd w:id="74"/>
      <w:bookmarkStart w:id="75" w:name="_Toc184313289"/>
      <w:bookmarkEnd w:id="75"/>
      <w:bookmarkStart w:id="76" w:name="_Toc184308065"/>
      <w:bookmarkEnd w:id="76"/>
      <w:bookmarkStart w:id="77" w:name="_Toc184312102"/>
      <w:bookmarkEnd w:id="77"/>
      <w:bookmarkStart w:id="78" w:name="_Toc184314455"/>
      <w:bookmarkEnd w:id="78"/>
      <w:bookmarkStart w:id="79" w:name="_Toc184313306"/>
      <w:bookmarkEnd w:id="79"/>
      <w:bookmarkStart w:id="80" w:name="_Toc184308071"/>
      <w:bookmarkEnd w:id="80"/>
      <w:bookmarkStart w:id="81" w:name="_Toc184310302"/>
      <w:bookmarkEnd w:id="81"/>
      <w:bookmarkStart w:id="82" w:name="_Toc184314435"/>
      <w:bookmarkEnd w:id="82"/>
      <w:bookmarkStart w:id="83" w:name="_Toc184310336"/>
      <w:bookmarkEnd w:id="83"/>
      <w:bookmarkStart w:id="84" w:name="_Toc184314479"/>
      <w:bookmarkEnd w:id="84"/>
      <w:bookmarkStart w:id="85" w:name="_Toc184313294"/>
      <w:bookmarkEnd w:id="85"/>
      <w:bookmarkStart w:id="86" w:name="_Toc184312127"/>
      <w:bookmarkEnd w:id="86"/>
      <w:bookmarkStart w:id="87" w:name="_Toc184314418"/>
      <w:bookmarkEnd w:id="87"/>
      <w:bookmarkStart w:id="88" w:name="_Toc184308086"/>
      <w:bookmarkEnd w:id="88"/>
      <w:bookmarkStart w:id="89" w:name="_Toc184313304"/>
      <w:bookmarkEnd w:id="89"/>
      <w:bookmarkStart w:id="90" w:name="_Toc184310315"/>
      <w:bookmarkEnd w:id="90"/>
      <w:bookmarkStart w:id="91" w:name="_Toc184310338"/>
      <w:bookmarkEnd w:id="91"/>
      <w:bookmarkStart w:id="92" w:name="_Toc184312081"/>
      <w:bookmarkEnd w:id="92"/>
      <w:bookmarkStart w:id="93" w:name="_Toc184314424"/>
      <w:bookmarkEnd w:id="93"/>
      <w:bookmarkStart w:id="94" w:name="_Toc184312094"/>
      <w:bookmarkEnd w:id="94"/>
      <w:bookmarkStart w:id="95" w:name="_Toc184308052"/>
      <w:bookmarkEnd w:id="95"/>
      <w:bookmarkStart w:id="96" w:name="_Toc184314422"/>
      <w:bookmarkEnd w:id="96"/>
      <w:bookmarkStart w:id="97" w:name="_Toc184308073"/>
      <w:bookmarkEnd w:id="97"/>
      <w:bookmarkStart w:id="98" w:name="_Toc184308044"/>
      <w:bookmarkEnd w:id="98"/>
      <w:bookmarkStart w:id="99" w:name="_Toc184314478"/>
      <w:bookmarkEnd w:id="99"/>
      <w:bookmarkStart w:id="100" w:name="_Toc184313309"/>
      <w:bookmarkEnd w:id="100"/>
      <w:bookmarkStart w:id="101" w:name="_Toc184310289"/>
      <w:bookmarkEnd w:id="101"/>
      <w:bookmarkStart w:id="102" w:name="_Toc184313274"/>
      <w:bookmarkEnd w:id="102"/>
      <w:bookmarkStart w:id="103" w:name="_Toc184310310"/>
      <w:bookmarkEnd w:id="103"/>
      <w:bookmarkStart w:id="104" w:name="_Toc184308108"/>
      <w:bookmarkEnd w:id="104"/>
      <w:bookmarkStart w:id="105" w:name="_Toc184308105"/>
      <w:bookmarkEnd w:id="105"/>
      <w:bookmarkStart w:id="106" w:name="_Toc184310273"/>
      <w:bookmarkEnd w:id="106"/>
      <w:bookmarkStart w:id="107" w:name="_Toc184308106"/>
      <w:bookmarkEnd w:id="107"/>
      <w:bookmarkStart w:id="108" w:name="_Toc184313290"/>
      <w:bookmarkEnd w:id="108"/>
      <w:bookmarkStart w:id="109" w:name="_Toc184313271"/>
      <w:bookmarkEnd w:id="109"/>
      <w:bookmarkStart w:id="110" w:name="_Toc184312108"/>
      <w:bookmarkEnd w:id="110"/>
      <w:bookmarkStart w:id="111" w:name="_Toc184314434"/>
      <w:bookmarkEnd w:id="111"/>
      <w:bookmarkStart w:id="112" w:name="_Toc184312100"/>
      <w:bookmarkEnd w:id="112"/>
      <w:bookmarkStart w:id="113" w:name="_Toc184310290"/>
      <w:bookmarkEnd w:id="113"/>
      <w:bookmarkStart w:id="114" w:name="_Toc184312104"/>
      <w:bookmarkEnd w:id="114"/>
      <w:bookmarkStart w:id="115" w:name="_Toc184313265"/>
      <w:bookmarkEnd w:id="115"/>
      <w:bookmarkStart w:id="116" w:name="_Toc184313249"/>
      <w:bookmarkEnd w:id="116"/>
      <w:bookmarkStart w:id="117" w:name="_Toc184310322"/>
      <w:bookmarkEnd w:id="117"/>
      <w:bookmarkStart w:id="118" w:name="_Toc184312073"/>
      <w:bookmarkEnd w:id="118"/>
      <w:bookmarkStart w:id="119" w:name="_Toc184308043"/>
      <w:bookmarkEnd w:id="119"/>
      <w:bookmarkStart w:id="120" w:name="_Toc184314430"/>
      <w:bookmarkEnd w:id="120"/>
      <w:bookmarkStart w:id="121" w:name="_Toc184314453"/>
      <w:bookmarkEnd w:id="121"/>
      <w:bookmarkStart w:id="122" w:name="_Toc184312106"/>
      <w:bookmarkEnd w:id="122"/>
      <w:bookmarkStart w:id="123" w:name="_Toc184308093"/>
      <w:bookmarkEnd w:id="123"/>
      <w:bookmarkStart w:id="124" w:name="_Toc184310323"/>
      <w:bookmarkEnd w:id="124"/>
      <w:bookmarkStart w:id="125" w:name="_Toc184313288"/>
      <w:bookmarkEnd w:id="125"/>
      <w:bookmarkStart w:id="126" w:name="_Toc184310274"/>
      <w:bookmarkEnd w:id="126"/>
      <w:bookmarkStart w:id="127" w:name="_Toc184310325"/>
      <w:bookmarkEnd w:id="127"/>
      <w:bookmarkStart w:id="128" w:name="_Toc184308068"/>
      <w:bookmarkEnd w:id="128"/>
      <w:bookmarkStart w:id="129" w:name="_Toc184308085"/>
      <w:bookmarkEnd w:id="129"/>
      <w:bookmarkStart w:id="130" w:name="_Toc184313308"/>
      <w:bookmarkEnd w:id="130"/>
      <w:bookmarkStart w:id="131" w:name="_Toc184313277"/>
      <w:bookmarkEnd w:id="131"/>
      <w:bookmarkStart w:id="132" w:name="_Toc184312121"/>
      <w:bookmarkEnd w:id="132"/>
      <w:bookmarkStart w:id="133" w:name="_Toc184310332"/>
      <w:bookmarkEnd w:id="133"/>
      <w:bookmarkStart w:id="134" w:name="_Toc184310340"/>
      <w:bookmarkEnd w:id="134"/>
      <w:bookmarkStart w:id="135" w:name="_Toc184310291"/>
      <w:bookmarkEnd w:id="135"/>
      <w:bookmarkStart w:id="136" w:name="_Toc184314420"/>
      <w:bookmarkEnd w:id="136"/>
      <w:bookmarkStart w:id="137" w:name="_Toc184308088"/>
      <w:bookmarkEnd w:id="137"/>
      <w:bookmarkStart w:id="138" w:name="_Toc184313256"/>
      <w:bookmarkEnd w:id="138"/>
      <w:bookmarkStart w:id="139" w:name="_Toc184312099"/>
      <w:bookmarkEnd w:id="139"/>
      <w:bookmarkStart w:id="140" w:name="_Toc184312135"/>
      <w:bookmarkEnd w:id="140"/>
      <w:bookmarkStart w:id="141" w:name="_Toc184314456"/>
      <w:bookmarkEnd w:id="141"/>
      <w:bookmarkStart w:id="142" w:name="_Toc184314454"/>
      <w:bookmarkEnd w:id="142"/>
      <w:bookmarkStart w:id="143" w:name="_Toc184308057"/>
      <w:bookmarkEnd w:id="143"/>
      <w:bookmarkStart w:id="144" w:name="_Toc184310292"/>
      <w:bookmarkEnd w:id="144"/>
      <w:bookmarkStart w:id="145" w:name="_Toc184312068"/>
      <w:bookmarkEnd w:id="145"/>
      <w:bookmarkStart w:id="146" w:name="_Toc184310343"/>
      <w:bookmarkEnd w:id="146"/>
      <w:bookmarkStart w:id="147" w:name="_Toc184310304"/>
      <w:bookmarkEnd w:id="147"/>
      <w:bookmarkStart w:id="148" w:name="_Toc184313262"/>
      <w:bookmarkEnd w:id="148"/>
      <w:bookmarkStart w:id="149" w:name="_Toc184314468"/>
      <w:bookmarkEnd w:id="149"/>
      <w:bookmarkStart w:id="150" w:name="_Toc184308055"/>
      <w:bookmarkEnd w:id="150"/>
      <w:bookmarkStart w:id="151" w:name="_Toc184308042"/>
      <w:bookmarkEnd w:id="151"/>
      <w:bookmarkStart w:id="152" w:name="_Toc184312110"/>
      <w:bookmarkEnd w:id="152"/>
      <w:bookmarkStart w:id="153" w:name="_Toc184314467"/>
      <w:bookmarkEnd w:id="153"/>
      <w:bookmarkStart w:id="154" w:name="_Toc184313244"/>
      <w:bookmarkEnd w:id="154"/>
      <w:bookmarkStart w:id="155" w:name="_Toc184313267"/>
      <w:bookmarkEnd w:id="155"/>
      <w:bookmarkStart w:id="156" w:name="_Toc184310308"/>
      <w:bookmarkEnd w:id="156"/>
      <w:bookmarkStart w:id="157" w:name="_Toc184310313"/>
      <w:bookmarkEnd w:id="157"/>
      <w:bookmarkStart w:id="158" w:name="_Toc184312089"/>
      <w:bookmarkEnd w:id="158"/>
      <w:bookmarkStart w:id="159" w:name="_Toc184310283"/>
      <w:bookmarkEnd w:id="159"/>
      <w:bookmarkStart w:id="160" w:name="_Toc184310324"/>
      <w:bookmarkEnd w:id="160"/>
      <w:bookmarkStart w:id="161" w:name="_Toc184314414"/>
      <w:bookmarkEnd w:id="161"/>
      <w:bookmarkStart w:id="162" w:name="_Toc184308050"/>
      <w:bookmarkEnd w:id="162"/>
      <w:bookmarkStart w:id="163" w:name="_Toc184312090"/>
      <w:bookmarkEnd w:id="163"/>
      <w:bookmarkStart w:id="164" w:name="_Toc184312103"/>
      <w:bookmarkEnd w:id="164"/>
      <w:bookmarkStart w:id="165" w:name="_Toc184308037"/>
      <w:bookmarkEnd w:id="165"/>
      <w:bookmarkStart w:id="166" w:name="_Toc184308059"/>
      <w:bookmarkEnd w:id="166"/>
      <w:bookmarkStart w:id="167" w:name="_Toc184310286"/>
      <w:bookmarkEnd w:id="167"/>
      <w:bookmarkStart w:id="168" w:name="_Toc184310275"/>
      <w:bookmarkEnd w:id="168"/>
      <w:bookmarkStart w:id="169" w:name="_Toc184308083"/>
      <w:bookmarkEnd w:id="169"/>
      <w:bookmarkStart w:id="170" w:name="_Toc184312069"/>
      <w:bookmarkEnd w:id="170"/>
      <w:bookmarkStart w:id="171" w:name="_Toc184308094"/>
      <w:bookmarkEnd w:id="171"/>
      <w:bookmarkStart w:id="172" w:name="_Toc184310300"/>
      <w:bookmarkEnd w:id="172"/>
      <w:bookmarkStart w:id="173" w:name="_Toc184312072"/>
      <w:bookmarkEnd w:id="173"/>
      <w:bookmarkStart w:id="174" w:name="_Toc184312105"/>
      <w:bookmarkEnd w:id="174"/>
      <w:bookmarkStart w:id="175" w:name="_Toc184313287"/>
      <w:bookmarkEnd w:id="175"/>
      <w:bookmarkStart w:id="176" w:name="_Toc184308080"/>
      <w:bookmarkEnd w:id="176"/>
      <w:bookmarkStart w:id="177" w:name="_Toc184310342"/>
      <w:bookmarkEnd w:id="177"/>
      <w:bookmarkStart w:id="178" w:name="_Toc184308078"/>
      <w:bookmarkEnd w:id="178"/>
      <w:bookmarkStart w:id="179" w:name="_Toc184310341"/>
      <w:bookmarkEnd w:id="179"/>
      <w:bookmarkStart w:id="180" w:name="_Toc184314466"/>
      <w:bookmarkEnd w:id="180"/>
      <w:bookmarkStart w:id="181" w:name="_Toc184314450"/>
      <w:bookmarkEnd w:id="181"/>
      <w:bookmarkStart w:id="182" w:name="_Toc184310297"/>
      <w:bookmarkEnd w:id="182"/>
      <w:bookmarkStart w:id="183" w:name="_Toc184312083"/>
      <w:bookmarkEnd w:id="183"/>
      <w:bookmarkStart w:id="184" w:name="_Toc184313268"/>
      <w:bookmarkEnd w:id="184"/>
      <w:bookmarkStart w:id="185" w:name="_Toc184312136"/>
      <w:bookmarkEnd w:id="185"/>
      <w:bookmarkStart w:id="186" w:name="_Toc184314473"/>
      <w:bookmarkEnd w:id="186"/>
      <w:bookmarkStart w:id="187" w:name="_Toc184310280"/>
      <w:bookmarkEnd w:id="187"/>
      <w:bookmarkStart w:id="188" w:name="_Toc184310281"/>
      <w:bookmarkEnd w:id="188"/>
      <w:bookmarkStart w:id="189" w:name="_Toc184310318"/>
      <w:bookmarkEnd w:id="189"/>
      <w:bookmarkStart w:id="190" w:name="_Toc184314448"/>
      <w:bookmarkEnd w:id="190"/>
      <w:bookmarkStart w:id="191" w:name="_Toc184310311"/>
      <w:bookmarkEnd w:id="191"/>
      <w:bookmarkStart w:id="192" w:name="_Toc184314423"/>
      <w:bookmarkEnd w:id="192"/>
      <w:bookmarkStart w:id="193" w:name="_Toc184313295"/>
      <w:bookmarkEnd w:id="193"/>
      <w:bookmarkStart w:id="194" w:name="_Toc184314437"/>
      <w:bookmarkEnd w:id="194"/>
      <w:bookmarkStart w:id="195" w:name="_Toc184308063"/>
      <w:bookmarkEnd w:id="195"/>
      <w:bookmarkStart w:id="196" w:name="_Toc184314415"/>
      <w:bookmarkEnd w:id="196"/>
      <w:bookmarkStart w:id="197" w:name="_Toc184313299"/>
      <w:bookmarkEnd w:id="197"/>
      <w:bookmarkStart w:id="198" w:name="_Toc184308067"/>
      <w:bookmarkEnd w:id="198"/>
      <w:bookmarkStart w:id="199" w:name="_Toc184313269"/>
      <w:bookmarkEnd w:id="199"/>
      <w:bookmarkStart w:id="200" w:name="_Toc184312097"/>
      <w:bookmarkEnd w:id="200"/>
      <w:bookmarkStart w:id="201" w:name="_Toc184312084"/>
      <w:bookmarkEnd w:id="201"/>
      <w:bookmarkStart w:id="202" w:name="_Toc184314464"/>
      <w:bookmarkEnd w:id="202"/>
      <w:bookmarkStart w:id="203" w:name="_Toc184312114"/>
      <w:bookmarkEnd w:id="203"/>
      <w:bookmarkStart w:id="204" w:name="_Toc184310303"/>
      <w:bookmarkEnd w:id="204"/>
      <w:bookmarkStart w:id="205" w:name="_Toc184313281"/>
      <w:bookmarkEnd w:id="205"/>
      <w:bookmarkStart w:id="206" w:name="_Toc184308053"/>
      <w:bookmarkEnd w:id="206"/>
      <w:bookmarkStart w:id="207" w:name="_Toc184313252"/>
      <w:bookmarkEnd w:id="207"/>
      <w:bookmarkStart w:id="208" w:name="_Toc184308070"/>
      <w:bookmarkEnd w:id="208"/>
      <w:bookmarkStart w:id="209" w:name="_Toc184314440"/>
      <w:bookmarkEnd w:id="209"/>
      <w:bookmarkStart w:id="210" w:name="_Toc184308054"/>
      <w:bookmarkEnd w:id="210"/>
      <w:bookmarkStart w:id="211" w:name="_Toc184312138"/>
      <w:bookmarkEnd w:id="211"/>
      <w:bookmarkStart w:id="212" w:name="_Toc184314442"/>
      <w:bookmarkEnd w:id="212"/>
      <w:bookmarkStart w:id="213" w:name="_Toc184308069"/>
      <w:bookmarkEnd w:id="213"/>
      <w:bookmarkStart w:id="214" w:name="_Toc184308076"/>
      <w:bookmarkEnd w:id="214"/>
      <w:bookmarkStart w:id="215" w:name="_Toc184314463"/>
      <w:bookmarkEnd w:id="215"/>
      <w:bookmarkStart w:id="216" w:name="_Toc184313272"/>
      <w:bookmarkEnd w:id="216"/>
      <w:bookmarkStart w:id="217" w:name="_Toc184310331"/>
      <w:bookmarkEnd w:id="217"/>
      <w:bookmarkStart w:id="218" w:name="_Toc184313263"/>
      <w:bookmarkEnd w:id="218"/>
      <w:bookmarkStart w:id="219" w:name="_Toc184308104"/>
      <w:bookmarkEnd w:id="219"/>
      <w:bookmarkStart w:id="220" w:name="_Toc184312131"/>
      <w:bookmarkEnd w:id="220"/>
      <w:bookmarkStart w:id="221" w:name="_Toc184308102"/>
      <w:bookmarkEnd w:id="221"/>
      <w:bookmarkStart w:id="222" w:name="_Toc184310319"/>
      <w:bookmarkEnd w:id="222"/>
      <w:bookmarkStart w:id="223" w:name="_Toc184312124"/>
      <w:bookmarkEnd w:id="223"/>
      <w:bookmarkStart w:id="224" w:name="_Toc184308038"/>
      <w:bookmarkEnd w:id="224"/>
      <w:bookmarkStart w:id="225" w:name="_Toc184313251"/>
      <w:bookmarkEnd w:id="225"/>
      <w:bookmarkStart w:id="226" w:name="_Toc184314470"/>
      <w:bookmarkEnd w:id="226"/>
      <w:bookmarkStart w:id="227" w:name="_Toc184310299"/>
      <w:bookmarkEnd w:id="227"/>
      <w:bookmarkStart w:id="228" w:name="_Toc184313307"/>
      <w:bookmarkEnd w:id="228"/>
      <w:bookmarkStart w:id="229" w:name="_Toc184313247"/>
      <w:bookmarkEnd w:id="229"/>
      <w:bookmarkStart w:id="230" w:name="_Toc184313257"/>
      <w:bookmarkEnd w:id="230"/>
      <w:bookmarkStart w:id="231" w:name="_Toc184312115"/>
      <w:bookmarkEnd w:id="231"/>
      <w:bookmarkStart w:id="232" w:name="_Toc184313293"/>
      <w:bookmarkEnd w:id="232"/>
      <w:bookmarkStart w:id="233" w:name="_Toc184312101"/>
      <w:bookmarkEnd w:id="233"/>
      <w:bookmarkStart w:id="234" w:name="_Toc184314482"/>
      <w:bookmarkEnd w:id="234"/>
      <w:bookmarkStart w:id="235" w:name="_Toc184308049"/>
      <w:bookmarkEnd w:id="235"/>
      <w:bookmarkStart w:id="236" w:name="_Toc184310328"/>
      <w:bookmarkEnd w:id="236"/>
      <w:bookmarkStart w:id="237" w:name="_Toc184310287"/>
      <w:bookmarkEnd w:id="237"/>
      <w:bookmarkStart w:id="238" w:name="_Toc184314432"/>
      <w:bookmarkEnd w:id="238"/>
      <w:bookmarkStart w:id="239" w:name="_Toc184313292"/>
      <w:bookmarkEnd w:id="239"/>
      <w:bookmarkStart w:id="240" w:name="_Toc184310272"/>
      <w:bookmarkEnd w:id="240"/>
      <w:bookmarkStart w:id="241" w:name="_Toc184310285"/>
      <w:bookmarkEnd w:id="241"/>
      <w:bookmarkStart w:id="242" w:name="_Toc184313296"/>
      <w:bookmarkEnd w:id="242"/>
      <w:bookmarkStart w:id="243" w:name="_Toc184312077"/>
      <w:bookmarkEnd w:id="243"/>
      <w:bookmarkStart w:id="244" w:name="_Toc184314474"/>
      <w:bookmarkEnd w:id="244"/>
      <w:bookmarkStart w:id="245" w:name="_Toc184313276"/>
      <w:bookmarkEnd w:id="245"/>
      <w:bookmarkStart w:id="246" w:name="_Toc184308075"/>
      <w:bookmarkEnd w:id="246"/>
      <w:bookmarkStart w:id="247" w:name="_Toc184314416"/>
      <w:bookmarkEnd w:id="247"/>
      <w:bookmarkStart w:id="248" w:name="_Toc184312133"/>
      <w:bookmarkEnd w:id="248"/>
      <w:bookmarkStart w:id="249" w:name="_Toc184313273"/>
      <w:bookmarkEnd w:id="249"/>
      <w:bookmarkStart w:id="250" w:name="_Toc184308087"/>
      <w:bookmarkEnd w:id="250"/>
      <w:bookmarkStart w:id="251" w:name="_Toc184308099"/>
      <w:bookmarkEnd w:id="251"/>
      <w:bookmarkStart w:id="252" w:name="_Toc184310320"/>
      <w:bookmarkEnd w:id="252"/>
      <w:bookmarkStart w:id="253" w:name="_Toc184310314"/>
      <w:bookmarkEnd w:id="253"/>
      <w:bookmarkStart w:id="254" w:name="_Toc184314410"/>
      <w:bookmarkEnd w:id="254"/>
      <w:bookmarkStart w:id="255" w:name="_Toc184314457"/>
      <w:bookmarkEnd w:id="255"/>
      <w:bookmarkStart w:id="256" w:name="_Toc184312118"/>
      <w:bookmarkEnd w:id="256"/>
      <w:bookmarkStart w:id="257" w:name="_Toc184312119"/>
      <w:bookmarkEnd w:id="257"/>
      <w:bookmarkStart w:id="258" w:name="_Toc184310305"/>
      <w:bookmarkEnd w:id="258"/>
      <w:bookmarkStart w:id="259" w:name="_Toc184312093"/>
      <w:bookmarkEnd w:id="259"/>
      <w:bookmarkStart w:id="260" w:name="_Toc184314471"/>
      <w:bookmarkEnd w:id="260"/>
      <w:bookmarkStart w:id="261" w:name="_Toc184313310"/>
      <w:bookmarkEnd w:id="261"/>
      <w:bookmarkStart w:id="262" w:name="_Toc184312109"/>
      <w:bookmarkEnd w:id="262"/>
      <w:bookmarkStart w:id="263" w:name="_Toc184314475"/>
      <w:bookmarkEnd w:id="263"/>
      <w:bookmarkStart w:id="264" w:name="_Toc184312130"/>
      <w:bookmarkEnd w:id="264"/>
      <w:bookmarkStart w:id="265" w:name="_Toc184310282"/>
      <w:bookmarkEnd w:id="265"/>
      <w:bookmarkStart w:id="266" w:name="_Toc184308061"/>
      <w:bookmarkEnd w:id="266"/>
      <w:bookmarkStart w:id="267" w:name="_Toc184312113"/>
      <w:bookmarkEnd w:id="267"/>
      <w:bookmarkStart w:id="268" w:name="_Toc184308058"/>
      <w:bookmarkEnd w:id="268"/>
      <w:bookmarkStart w:id="269" w:name="_Toc184312112"/>
      <w:bookmarkEnd w:id="269"/>
      <w:bookmarkStart w:id="270" w:name="_Toc184308036"/>
      <w:bookmarkEnd w:id="270"/>
      <w:bookmarkStart w:id="271" w:name="_Toc184314459"/>
      <w:bookmarkEnd w:id="271"/>
      <w:bookmarkStart w:id="272" w:name="_Toc184308081"/>
      <w:bookmarkEnd w:id="272"/>
      <w:bookmarkStart w:id="273" w:name="_Toc184313254"/>
      <w:bookmarkEnd w:id="273"/>
      <w:bookmarkStart w:id="274" w:name="_Toc184308041"/>
      <w:bookmarkEnd w:id="274"/>
      <w:bookmarkStart w:id="275" w:name="_Toc184313275"/>
      <w:bookmarkEnd w:id="275"/>
      <w:bookmarkStart w:id="276" w:name="_Toc184310327"/>
      <w:bookmarkEnd w:id="276"/>
      <w:bookmarkStart w:id="277" w:name="_Toc184308103"/>
      <w:bookmarkEnd w:id="277"/>
      <w:bookmarkStart w:id="278" w:name="_Toc184314461"/>
      <w:bookmarkEnd w:id="278"/>
      <w:bookmarkStart w:id="279" w:name="_Toc184314439"/>
      <w:bookmarkEnd w:id="279"/>
      <w:bookmarkStart w:id="280" w:name="_Toc184314477"/>
      <w:bookmarkEnd w:id="280"/>
      <w:bookmarkStart w:id="281" w:name="_Toc184314460"/>
      <w:bookmarkEnd w:id="281"/>
      <w:bookmarkStart w:id="282" w:name="_Toc184312126"/>
      <w:bookmarkEnd w:id="282"/>
      <w:bookmarkStart w:id="283" w:name="_Toc184310307"/>
      <w:bookmarkEnd w:id="283"/>
      <w:bookmarkStart w:id="284" w:name="_Toc184310334"/>
      <w:bookmarkEnd w:id="284"/>
      <w:bookmarkStart w:id="285" w:name="_Toc184308096"/>
      <w:bookmarkEnd w:id="285"/>
      <w:bookmarkStart w:id="286" w:name="_Toc184312120"/>
      <w:bookmarkEnd w:id="286"/>
      <w:bookmarkStart w:id="287" w:name="_Toc184310296"/>
      <w:bookmarkEnd w:id="287"/>
      <w:bookmarkStart w:id="288" w:name="_Toc184312092"/>
      <w:bookmarkEnd w:id="288"/>
      <w:bookmarkStart w:id="289" w:name="_Toc184310276"/>
      <w:bookmarkEnd w:id="289"/>
      <w:bookmarkStart w:id="290" w:name="_Toc184314458"/>
      <w:bookmarkEnd w:id="290"/>
      <w:bookmarkStart w:id="291" w:name="_Toc184308098"/>
      <w:bookmarkEnd w:id="291"/>
      <w:bookmarkStart w:id="292" w:name="_Toc184310321"/>
      <w:bookmarkEnd w:id="292"/>
      <w:bookmarkStart w:id="293" w:name="_Toc184310294"/>
      <w:bookmarkEnd w:id="293"/>
      <w:bookmarkStart w:id="294" w:name="_Toc184312117"/>
      <w:bookmarkEnd w:id="294"/>
      <w:bookmarkStart w:id="295" w:name="_Toc184308047"/>
      <w:bookmarkEnd w:id="295"/>
      <w:bookmarkStart w:id="296" w:name="_Toc184312085"/>
      <w:bookmarkEnd w:id="296"/>
      <w:bookmarkStart w:id="297" w:name="_Toc184314481"/>
      <w:bookmarkEnd w:id="297"/>
      <w:bookmarkStart w:id="298" w:name="_Toc184314438"/>
      <w:bookmarkEnd w:id="298"/>
      <w:bookmarkStart w:id="299" w:name="_Toc184308072"/>
      <w:bookmarkEnd w:id="299"/>
      <w:bookmarkStart w:id="300" w:name="_Toc184308092"/>
      <w:bookmarkEnd w:id="300"/>
      <w:bookmarkStart w:id="301" w:name="_Toc184314428"/>
      <w:bookmarkEnd w:id="301"/>
      <w:bookmarkStart w:id="302" w:name="_Toc184312088"/>
      <w:bookmarkEnd w:id="302"/>
      <w:bookmarkStart w:id="303" w:name="_Toc184310309"/>
      <w:bookmarkEnd w:id="303"/>
      <w:bookmarkStart w:id="304" w:name="_Toc184308097"/>
      <w:bookmarkEnd w:id="304"/>
      <w:bookmarkStart w:id="305" w:name="_Toc184314469"/>
      <w:bookmarkEnd w:id="305"/>
      <w:bookmarkStart w:id="306" w:name="_Toc184314445"/>
      <w:bookmarkEnd w:id="306"/>
      <w:bookmarkStart w:id="307" w:name="_Toc184310293"/>
      <w:bookmarkEnd w:id="307"/>
      <w:bookmarkStart w:id="308" w:name="_Toc184312116"/>
      <w:bookmarkEnd w:id="308"/>
      <w:bookmarkStart w:id="309" w:name="_Toc184313259"/>
      <w:bookmarkEnd w:id="309"/>
      <w:bookmarkStart w:id="310" w:name="_Toc184314417"/>
      <w:bookmarkEnd w:id="310"/>
      <w:bookmarkStart w:id="311" w:name="_Toc184308039"/>
      <w:bookmarkEnd w:id="311"/>
      <w:bookmarkStart w:id="312" w:name="_Toc184312067"/>
      <w:bookmarkEnd w:id="312"/>
      <w:bookmarkStart w:id="313" w:name="_Toc184310344"/>
      <w:bookmarkEnd w:id="313"/>
      <w:bookmarkStart w:id="314" w:name="_Toc184312139"/>
      <w:bookmarkEnd w:id="314"/>
      <w:bookmarkStart w:id="315" w:name="_Toc184313261"/>
      <w:bookmarkEnd w:id="315"/>
      <w:bookmarkStart w:id="316" w:name="_Toc184313238"/>
      <w:bookmarkEnd w:id="316"/>
      <w:bookmarkStart w:id="317" w:name="_Toc184313284"/>
      <w:bookmarkEnd w:id="317"/>
      <w:bookmarkStart w:id="318" w:name="_Toc184312080"/>
      <w:bookmarkEnd w:id="318"/>
      <w:bookmarkStart w:id="319" w:name="_Toc184313240"/>
      <w:bookmarkEnd w:id="319"/>
      <w:bookmarkStart w:id="320" w:name="_Toc184314419"/>
      <w:bookmarkEnd w:id="320"/>
      <w:bookmarkStart w:id="321" w:name="_Toc184313239"/>
      <w:bookmarkEnd w:id="321"/>
      <w:bookmarkStart w:id="322" w:name="_Toc184313298"/>
      <w:bookmarkEnd w:id="322"/>
      <w:bookmarkStart w:id="323" w:name="_Toc184313280"/>
      <w:bookmarkEnd w:id="323"/>
      <w:bookmarkStart w:id="324" w:name="_Toc184308064"/>
      <w:bookmarkEnd w:id="324"/>
      <w:bookmarkStart w:id="325" w:name="_Toc184308091"/>
      <w:bookmarkEnd w:id="325"/>
      <w:bookmarkStart w:id="326" w:name="_Toc184314465"/>
      <w:bookmarkEnd w:id="326"/>
      <w:bookmarkStart w:id="327" w:name="_Toc184313242"/>
      <w:bookmarkEnd w:id="327"/>
      <w:bookmarkStart w:id="328" w:name="_Toc184314412"/>
      <w:bookmarkEnd w:id="328"/>
      <w:bookmarkStart w:id="329" w:name="_Toc184308082"/>
      <w:bookmarkEnd w:id="329"/>
      <w:bookmarkStart w:id="330" w:name="_Toc184314429"/>
      <w:bookmarkEnd w:id="330"/>
      <w:bookmarkStart w:id="331" w:name="_Toc184308051"/>
      <w:bookmarkEnd w:id="331"/>
      <w:bookmarkStart w:id="332" w:name="_Toc184313258"/>
      <w:bookmarkEnd w:id="332"/>
      <w:bookmarkStart w:id="333" w:name="_Toc184308074"/>
      <w:bookmarkEnd w:id="333"/>
      <w:bookmarkStart w:id="334" w:name="_Toc184313264"/>
      <w:bookmarkEnd w:id="334"/>
      <w:bookmarkStart w:id="335" w:name="_Toc184313253"/>
      <w:bookmarkEnd w:id="335"/>
      <w:bookmarkStart w:id="336" w:name="_Toc184314433"/>
      <w:bookmarkEnd w:id="336"/>
      <w:bookmarkStart w:id="337" w:name="_Toc184312086"/>
      <w:bookmarkEnd w:id="337"/>
      <w:bookmarkStart w:id="338" w:name="_Toc184314447"/>
      <w:bookmarkEnd w:id="338"/>
      <w:bookmarkStart w:id="339" w:name="_Toc184314421"/>
      <w:bookmarkEnd w:id="339"/>
      <w:bookmarkStart w:id="340" w:name="_Toc184314436"/>
      <w:bookmarkEnd w:id="340"/>
      <w:bookmarkStart w:id="341" w:name="_Toc184310306"/>
      <w:bookmarkEnd w:id="341"/>
      <w:bookmarkStart w:id="342" w:name="_Toc184313291"/>
      <w:bookmarkEnd w:id="342"/>
      <w:bookmarkStart w:id="343" w:name="_Toc184308048"/>
      <w:bookmarkEnd w:id="343"/>
      <w:bookmarkStart w:id="344" w:name="_Toc184312075"/>
      <w:bookmarkEnd w:id="344"/>
      <w:bookmarkStart w:id="345" w:name="_Toc184313270"/>
      <w:bookmarkEnd w:id="345"/>
      <w:bookmarkStart w:id="346" w:name="_Toc184313278"/>
      <w:bookmarkEnd w:id="346"/>
      <w:bookmarkStart w:id="347" w:name="_Toc184308077"/>
      <w:bookmarkEnd w:id="347"/>
      <w:bookmarkStart w:id="348" w:name="_Toc184312098"/>
      <w:bookmarkEnd w:id="348"/>
      <w:bookmarkStart w:id="349" w:name="_Toc184310301"/>
      <w:bookmarkEnd w:id="349"/>
      <w:bookmarkStart w:id="350" w:name="_Toc184310284"/>
      <w:bookmarkEnd w:id="350"/>
      <w:bookmarkStart w:id="351" w:name="_Toc184314449"/>
      <w:bookmarkEnd w:id="351"/>
      <w:bookmarkStart w:id="352" w:name="_Toc184310326"/>
      <w:bookmarkEnd w:id="352"/>
      <w:bookmarkStart w:id="353" w:name="_Toc184314451"/>
      <w:bookmarkEnd w:id="353"/>
      <w:bookmarkStart w:id="354" w:name="_Toc184310316"/>
      <w:bookmarkEnd w:id="354"/>
      <w:bookmarkStart w:id="355" w:name="_Toc184312111"/>
      <w:bookmarkEnd w:id="355"/>
      <w:bookmarkStart w:id="356" w:name="_Toc184310298"/>
      <w:bookmarkEnd w:id="356"/>
      <w:bookmarkStart w:id="357" w:name="_Toc184314427"/>
      <w:bookmarkEnd w:id="357"/>
      <w:bookmarkStart w:id="358" w:name="_Toc184312137"/>
      <w:bookmarkEnd w:id="358"/>
      <w:bookmarkStart w:id="359" w:name="_Toc184308040"/>
      <w:bookmarkEnd w:id="359"/>
      <w:bookmarkStart w:id="360" w:name="_Toc184312107"/>
      <w:bookmarkEnd w:id="360"/>
      <w:bookmarkStart w:id="361" w:name="_Toc184312134"/>
      <w:bookmarkEnd w:id="361"/>
      <w:bookmarkStart w:id="362" w:name="_Toc184308100"/>
      <w:bookmarkEnd w:id="362"/>
      <w:bookmarkStart w:id="363" w:name="_Toc184314444"/>
      <w:bookmarkEnd w:id="363"/>
      <w:bookmarkStart w:id="364" w:name="_Toc184314472"/>
      <w:bookmarkEnd w:id="364"/>
      <w:bookmarkStart w:id="365" w:name="_Toc184312087"/>
      <w:bookmarkEnd w:id="365"/>
      <w:bookmarkStart w:id="366" w:name="_Toc184314462"/>
      <w:bookmarkEnd w:id="366"/>
      <w:bookmarkStart w:id="367" w:name="_Toc184312096"/>
      <w:bookmarkEnd w:id="367"/>
      <w:bookmarkStart w:id="368" w:name="_Toc184308107"/>
      <w:bookmarkEnd w:id="368"/>
      <w:bookmarkStart w:id="369" w:name="_Toc184313245"/>
      <w:bookmarkEnd w:id="369"/>
      <w:bookmarkStart w:id="370" w:name="_Toc184312074"/>
      <w:bookmarkEnd w:id="370"/>
      <w:bookmarkStart w:id="371" w:name="_Toc184314476"/>
      <w:bookmarkEnd w:id="371"/>
      <w:bookmarkStart w:id="372" w:name="_Toc184313282"/>
      <w:bookmarkEnd w:id="372"/>
      <w:bookmarkStart w:id="373" w:name="_Toc184310312"/>
      <w:bookmarkEnd w:id="373"/>
      <w:bookmarkStart w:id="374" w:name="_Toc184314431"/>
      <w:bookmarkEnd w:id="374"/>
      <w:bookmarkStart w:id="375" w:name="_Toc184308046"/>
      <w:bookmarkEnd w:id="375"/>
      <w:bookmarkStart w:id="376" w:name="_Toc184312125"/>
      <w:bookmarkEnd w:id="376"/>
      <w:bookmarkStart w:id="377" w:name="_Toc184314452"/>
      <w:bookmarkEnd w:id="377"/>
      <w:bookmarkStart w:id="378" w:name="_Toc184314426"/>
      <w:bookmarkEnd w:id="378"/>
      <w:bookmarkStart w:id="379" w:name="_Toc184312078"/>
      <w:bookmarkEnd w:id="379"/>
      <w:bookmarkStart w:id="380" w:name="_Toc184312128"/>
      <w:bookmarkEnd w:id="380"/>
      <w:bookmarkStart w:id="381" w:name="_Toc184314441"/>
      <w:bookmarkEnd w:id="381"/>
      <w:bookmarkStart w:id="382" w:name="_Toc184312132"/>
      <w:bookmarkEnd w:id="382"/>
      <w:bookmarkStart w:id="383" w:name="_Toc184313246"/>
      <w:bookmarkEnd w:id="383"/>
      <w:bookmarkStart w:id="384" w:name="_Toc184313286"/>
      <w:bookmarkEnd w:id="384"/>
      <w:bookmarkStart w:id="385" w:name="_Toc184310330"/>
      <w:bookmarkEnd w:id="385"/>
      <w:bookmarkStart w:id="386" w:name="_Toc184308066"/>
      <w:bookmarkEnd w:id="386"/>
      <w:bookmarkStart w:id="387" w:name="_Toc184314443"/>
      <w:bookmarkEnd w:id="387"/>
      <w:bookmarkStart w:id="388" w:name="_Toc184314413"/>
      <w:bookmarkEnd w:id="388"/>
      <w:bookmarkStart w:id="389" w:name="_Toc184314425"/>
      <w:bookmarkEnd w:id="389"/>
      <w:bookmarkStart w:id="390" w:name="_Toc184313250"/>
      <w:bookmarkEnd w:id="390"/>
      <w:bookmarkStart w:id="391" w:name="_Toc184308101"/>
      <w:bookmarkEnd w:id="391"/>
      <w:bookmarkStart w:id="392" w:name="_Toc184310295"/>
      <w:bookmarkEnd w:id="392"/>
      <w:bookmarkStart w:id="393" w:name="_Toc184313248"/>
      <w:bookmarkEnd w:id="393"/>
      <w:bookmarkStart w:id="394" w:name="_Toc184312091"/>
      <w:bookmarkEnd w:id="394"/>
      <w:bookmarkStart w:id="395" w:name="_Toc184308062"/>
      <w:bookmarkEnd w:id="395"/>
      <w:bookmarkStart w:id="396" w:name="_Toc184310339"/>
      <w:bookmarkEnd w:id="396"/>
      <w:bookmarkStart w:id="397" w:name="_Toc184312071"/>
      <w:bookmarkEnd w:id="397"/>
      <w:bookmarkStart w:id="398" w:name="_Toc184308045"/>
      <w:bookmarkEnd w:id="398"/>
      <w:bookmarkStart w:id="399" w:name="_Toc184313302"/>
      <w:bookmarkEnd w:id="399"/>
      <w:bookmarkStart w:id="400" w:name="_Toc184310329"/>
      <w:bookmarkEnd w:id="400"/>
      <w:bookmarkStart w:id="401" w:name="_Toc184314446"/>
      <w:bookmarkEnd w:id="401"/>
      <w:bookmarkStart w:id="402" w:name="_Toc184313283"/>
      <w:bookmarkEnd w:id="402"/>
      <w:bookmarkStart w:id="403" w:name="_Toc184313260"/>
      <w:bookmarkEnd w:id="403"/>
      <w:bookmarkStart w:id="404" w:name="_Toc184314480"/>
      <w:bookmarkEnd w:id="404"/>
      <w:bookmarkStart w:id="405" w:name="_Toc184312122"/>
      <w:bookmarkEnd w:id="405"/>
      <w:bookmarkStart w:id="406" w:name="_Toc184310288"/>
      <w:bookmarkEnd w:id="406"/>
      <w:bookmarkStart w:id="407" w:name="_Toc184310279"/>
      <w:bookmarkEnd w:id="407"/>
      <w:bookmarkStart w:id="408" w:name="_Toc184313266"/>
      <w:bookmarkEnd w:id="408"/>
      <w:bookmarkStart w:id="409" w:name="_Toc184310333"/>
      <w:bookmarkEnd w:id="409"/>
      <w:bookmarkStart w:id="410" w:name="_Toc184314411"/>
      <w:bookmarkEnd w:id="410"/>
      <w:bookmarkStart w:id="411" w:name="_Toc184312129"/>
      <w:bookmarkEnd w:id="411"/>
      <w:bookmarkStart w:id="412" w:name="_Toc184313241"/>
      <w:bookmarkEnd w:id="412"/>
      <w:bookmarkStart w:id="413" w:name="_Toc184313303"/>
      <w:bookmarkEnd w:id="413"/>
      <w:bookmarkStart w:id="414" w:name="_Toc184308095"/>
      <w:bookmarkEnd w:id="414"/>
      <w:bookmarkStart w:id="415" w:name="_Toc184313297"/>
      <w:bookmarkEnd w:id="415"/>
      <w:bookmarkStart w:id="416" w:name="_Toc184312123"/>
      <w:bookmarkEnd w:id="416"/>
      <w:bookmarkStart w:id="417" w:name="_Toc184308090"/>
      <w:bookmarkEnd w:id="417"/>
      <w:bookmarkStart w:id="418" w:name="_Toc184308056"/>
      <w:bookmarkEnd w:id="418"/>
      <w:bookmarkStart w:id="419" w:name="_Toc184308079"/>
      <w:bookmarkEnd w:id="419"/>
      <w:bookmarkStart w:id="420" w:name="_Toc184313300"/>
      <w:bookmarkEnd w:id="420"/>
      <w:bookmarkStart w:id="421" w:name="_Toc184313285"/>
      <w:bookmarkEnd w:id="421"/>
      <w:bookmarkStart w:id="422" w:name="_Toc184312079"/>
      <w:bookmarkEnd w:id="422"/>
      <w:bookmarkStart w:id="423" w:name="_Toc184312076"/>
      <w:bookmarkEnd w:id="423"/>
      <w:bookmarkStart w:id="424" w:name="_Toc184310335"/>
      <w:bookmarkEnd w:id="424"/>
      <w:bookmarkStart w:id="425" w:name="_Toc184308060"/>
      <w:bookmarkEnd w:id="425"/>
      <w:bookmarkStart w:id="426" w:name="_Toc184313279"/>
      <w:bookmarkEnd w:id="426"/>
      <w:bookmarkStart w:id="427" w:name="_Toc184312082"/>
      <w:bookmarkEnd w:id="427"/>
      <w:bookmarkStart w:id="428" w:name="_Toc184308089"/>
      <w:bookmarkEnd w:id="428"/>
      <w:bookmarkStart w:id="429" w:name="_Toc184313301"/>
      <w:bookmarkEnd w:id="429"/>
      <w:bookmarkStart w:id="430" w:name="_Toc184310277"/>
      <w:bookmarkEnd w:id="430"/>
      <w:bookmarkStart w:id="431" w:name="_Toc184313305"/>
      <w:bookmarkEnd w:id="431"/>
      <w:bookmarkStart w:id="432" w:name="_Toc184313243"/>
      <w:bookmarkEnd w:id="432"/>
      <w:bookmarkStart w:id="433" w:name="_Toc184310337"/>
      <w:bookmarkEnd w:id="433"/>
      <w:bookmarkStart w:id="434" w:name="_Toc184310317"/>
      <w:bookmarkEnd w:id="434"/>
      <w:r>
        <w:rPr>
          <w:rStyle w:val="23"/>
          <w:rFonts w:hint="eastAsia" w:ascii="宋体" w:hAnsi="宋体" w:eastAsia="宋体" w:cs="宋体"/>
          <w:color w:val="auto"/>
          <w:highlight w:val="none"/>
          <w:lang w:val="en-US"/>
        </w:rPr>
        <w:t xml:space="preserve"> </w:t>
      </w:r>
      <w:r>
        <w:rPr>
          <w:rStyle w:val="23"/>
          <w:rFonts w:hint="eastAsia" w:ascii="宋体" w:hAnsi="宋体" w:eastAsia="宋体" w:cs="宋体"/>
          <w:color w:val="auto"/>
          <w:highlight w:val="none"/>
        </w:rPr>
        <w:t>评标办法</w:t>
      </w:r>
      <w:bookmarkEnd w:id="68"/>
      <w:bookmarkEnd w:id="69"/>
    </w:p>
    <w:p w14:paraId="39F2CBA2">
      <w:pPr>
        <w:snapToGrid w:val="0"/>
        <w:spacing w:line="400" w:lineRule="exact"/>
        <w:jc w:val="center"/>
        <w:rPr>
          <w:rStyle w:val="23"/>
          <w:rFonts w:hint="eastAsia" w:ascii="宋体" w:hAnsi="宋体" w:eastAsia="宋体" w:cs="宋体"/>
          <w:color w:val="auto"/>
          <w:highlight w:val="none"/>
        </w:rPr>
      </w:pPr>
      <w:bookmarkStart w:id="435" w:name="_Hlk93170489"/>
      <w:bookmarkStart w:id="436" w:name="_Toc18573"/>
    </w:p>
    <w:p w14:paraId="63C4EC39">
      <w:pPr>
        <w:snapToGrid w:val="0"/>
        <w:spacing w:line="400" w:lineRule="exact"/>
        <w:jc w:val="center"/>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评标办法前附表</w:t>
      </w:r>
    </w:p>
    <w:tbl>
      <w:tblPr>
        <w:tblStyle w:val="19"/>
        <w:tblW w:w="9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81"/>
        <w:gridCol w:w="682"/>
        <w:gridCol w:w="1265"/>
        <w:gridCol w:w="4950"/>
        <w:gridCol w:w="617"/>
        <w:gridCol w:w="871"/>
      </w:tblGrid>
      <w:tr w14:paraId="4FEA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Align w:val="center"/>
          </w:tcPr>
          <w:p w14:paraId="28A793E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266" w:type="dxa"/>
            <w:gridSpan w:val="6"/>
            <w:vAlign w:val="center"/>
          </w:tcPr>
          <w:p w14:paraId="0BACE4D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评标标准</w:t>
            </w:r>
          </w:p>
        </w:tc>
      </w:tr>
      <w:tr w14:paraId="4E26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Align w:val="center"/>
          </w:tcPr>
          <w:p w14:paraId="3C7E9FD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63" w:type="dxa"/>
            <w:gridSpan w:val="2"/>
            <w:vAlign w:val="center"/>
          </w:tcPr>
          <w:p w14:paraId="71563B6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分值权重构成</w:t>
            </w:r>
          </w:p>
        </w:tc>
        <w:tc>
          <w:tcPr>
            <w:tcW w:w="7703" w:type="dxa"/>
            <w:gridSpan w:val="4"/>
            <w:vAlign w:val="center"/>
          </w:tcPr>
          <w:p w14:paraId="7B047D2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评标委员会将对各投标人的投标报价、技术或服务水平、履约能力、售后服务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业绩情况等方面进行综合评审，评标委员会各成员应当独立对每个有效投标人的投标文件进行评价、打分。</w:t>
            </w:r>
          </w:p>
          <w:p w14:paraId="022907B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各投标人的综合得分为：投标报价得分+商务技术得分之和，总和为100分，其中商务技术70分（商务技术权值70%），报价30分（价格权值30%）。</w:t>
            </w:r>
          </w:p>
        </w:tc>
      </w:tr>
      <w:tr w14:paraId="47E1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restart"/>
            <w:vAlign w:val="center"/>
          </w:tcPr>
          <w:p w14:paraId="46B06A9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81" w:type="dxa"/>
            <w:vMerge w:val="restart"/>
            <w:vAlign w:val="center"/>
          </w:tcPr>
          <w:p w14:paraId="5ED4F38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商务技术评分标准</w:t>
            </w:r>
          </w:p>
        </w:tc>
        <w:tc>
          <w:tcPr>
            <w:tcW w:w="682" w:type="dxa"/>
            <w:vAlign w:val="center"/>
          </w:tcPr>
          <w:p w14:paraId="3BE7FEB8">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6215" w:type="dxa"/>
            <w:gridSpan w:val="2"/>
            <w:vAlign w:val="center"/>
          </w:tcPr>
          <w:p w14:paraId="40BB62AD">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c>
          <w:tcPr>
            <w:tcW w:w="617" w:type="dxa"/>
            <w:vAlign w:val="center"/>
          </w:tcPr>
          <w:p w14:paraId="67DD7EE9">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871" w:type="dxa"/>
            <w:vAlign w:val="center"/>
          </w:tcPr>
          <w:p w14:paraId="208FE568">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E1D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4CF602D8">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E19CE13">
            <w:pPr>
              <w:spacing w:line="400" w:lineRule="exact"/>
              <w:jc w:val="center"/>
              <w:rPr>
                <w:rFonts w:hint="eastAsia" w:ascii="宋体" w:hAnsi="宋体" w:eastAsia="宋体" w:cs="宋体"/>
                <w:color w:val="auto"/>
                <w:sz w:val="22"/>
                <w:szCs w:val="22"/>
                <w:highlight w:val="none"/>
              </w:rPr>
            </w:pPr>
          </w:p>
        </w:tc>
        <w:tc>
          <w:tcPr>
            <w:tcW w:w="682" w:type="dxa"/>
            <w:vMerge w:val="restart"/>
            <w:vAlign w:val="center"/>
          </w:tcPr>
          <w:p w14:paraId="2681BFC4">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265" w:type="dxa"/>
            <w:vMerge w:val="restart"/>
            <w:shd w:val="clear" w:color="auto" w:fill="auto"/>
            <w:vAlign w:val="center"/>
          </w:tcPr>
          <w:p w14:paraId="7183B943">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商务资信</w:t>
            </w:r>
            <w:r>
              <w:rPr>
                <w:rFonts w:hint="eastAsia" w:ascii="宋体" w:hAnsi="宋体" w:eastAsia="宋体" w:cs="宋体"/>
                <w:color w:val="auto"/>
                <w:sz w:val="22"/>
                <w:szCs w:val="22"/>
                <w:highlight w:val="none"/>
                <w:lang w:val="en-US" w:eastAsia="zh-CN"/>
              </w:rPr>
              <w:t>分</w:t>
            </w:r>
          </w:p>
        </w:tc>
        <w:tc>
          <w:tcPr>
            <w:tcW w:w="4950" w:type="dxa"/>
            <w:shd w:val="clear" w:color="auto" w:fill="auto"/>
            <w:vAlign w:val="center"/>
          </w:tcPr>
          <w:p w14:paraId="6C17D846">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年1月1日至</w:t>
            </w:r>
            <w:r>
              <w:rPr>
                <w:rFonts w:hint="eastAsia" w:ascii="宋体" w:hAnsi="宋体" w:eastAsia="宋体" w:cs="宋体"/>
                <w:color w:val="auto"/>
                <w:sz w:val="22"/>
                <w:szCs w:val="22"/>
                <w:highlight w:val="none"/>
                <w:lang w:val="en-US" w:eastAsia="zh-CN"/>
              </w:rPr>
              <w:t>本项目投标截止时间止</w:t>
            </w:r>
            <w:r>
              <w:rPr>
                <w:rFonts w:hint="eastAsia" w:ascii="宋体" w:hAnsi="宋体" w:eastAsia="宋体" w:cs="宋体"/>
                <w:color w:val="auto"/>
                <w:sz w:val="22"/>
                <w:szCs w:val="22"/>
                <w:highlight w:val="none"/>
              </w:rPr>
              <w:t>（以合同签订时间为准）的类似项目业绩，每个有效业绩得1分，最高得3分（类似项目业绩指与采购标的同品类的产品业绩）。</w:t>
            </w:r>
          </w:p>
          <w:p w14:paraId="39C2C1E4">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证明材料：投标文件中同时提供</w:t>
            </w:r>
            <w:r>
              <w:rPr>
                <w:rFonts w:hint="eastAsia" w:ascii="宋体" w:hAnsi="宋体" w:eastAsia="宋体" w:cs="宋体"/>
                <w:color w:val="auto"/>
                <w:sz w:val="22"/>
                <w:szCs w:val="22"/>
                <w:highlight w:val="none"/>
                <w:lang w:val="en-US" w:eastAsia="zh-CN"/>
              </w:rPr>
              <w:t>验收合格证明、</w:t>
            </w:r>
            <w:r>
              <w:rPr>
                <w:rFonts w:hint="eastAsia" w:ascii="宋体" w:hAnsi="宋体" w:eastAsia="宋体" w:cs="宋体"/>
                <w:color w:val="auto"/>
                <w:sz w:val="22"/>
                <w:szCs w:val="22"/>
                <w:highlight w:val="none"/>
              </w:rPr>
              <w:t>合同复印件加盖投标人公章，两者需同时提供，缺一项不得分。</w:t>
            </w:r>
          </w:p>
        </w:tc>
        <w:tc>
          <w:tcPr>
            <w:tcW w:w="617" w:type="dxa"/>
            <w:shd w:val="clear" w:color="auto" w:fill="auto"/>
            <w:vAlign w:val="center"/>
          </w:tcPr>
          <w:p w14:paraId="7BB61BB8">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3</w:t>
            </w:r>
          </w:p>
        </w:tc>
        <w:tc>
          <w:tcPr>
            <w:tcW w:w="871" w:type="dxa"/>
            <w:vAlign w:val="center"/>
          </w:tcPr>
          <w:p w14:paraId="3B203530">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2302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Merge w:val="continue"/>
            <w:vAlign w:val="center"/>
          </w:tcPr>
          <w:p w14:paraId="56D5E3C7">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2821C64B">
            <w:pPr>
              <w:spacing w:line="400" w:lineRule="exact"/>
              <w:jc w:val="center"/>
              <w:rPr>
                <w:rFonts w:hint="eastAsia" w:ascii="宋体" w:hAnsi="宋体" w:eastAsia="宋体" w:cs="宋体"/>
                <w:color w:val="auto"/>
                <w:sz w:val="22"/>
                <w:szCs w:val="22"/>
                <w:highlight w:val="none"/>
              </w:rPr>
            </w:pPr>
          </w:p>
        </w:tc>
        <w:tc>
          <w:tcPr>
            <w:tcW w:w="682" w:type="dxa"/>
            <w:vMerge w:val="continue"/>
            <w:vAlign w:val="center"/>
          </w:tcPr>
          <w:p w14:paraId="1B63C439">
            <w:pPr>
              <w:tabs>
                <w:tab w:val="left" w:pos="0"/>
              </w:tabs>
              <w:spacing w:line="400" w:lineRule="exact"/>
              <w:jc w:val="center"/>
              <w:rPr>
                <w:rFonts w:hint="eastAsia" w:ascii="宋体" w:hAnsi="宋体" w:eastAsia="宋体" w:cs="宋体"/>
                <w:color w:val="auto"/>
                <w:sz w:val="22"/>
                <w:szCs w:val="22"/>
                <w:highlight w:val="none"/>
              </w:rPr>
            </w:pPr>
          </w:p>
        </w:tc>
        <w:tc>
          <w:tcPr>
            <w:tcW w:w="1265" w:type="dxa"/>
            <w:vMerge w:val="continue"/>
            <w:vAlign w:val="center"/>
          </w:tcPr>
          <w:p w14:paraId="01867BB9">
            <w:pPr>
              <w:tabs>
                <w:tab w:val="left" w:pos="0"/>
              </w:tabs>
              <w:spacing w:line="400" w:lineRule="exact"/>
              <w:jc w:val="center"/>
              <w:rPr>
                <w:rFonts w:hint="eastAsia" w:ascii="宋体" w:hAnsi="宋体" w:eastAsia="宋体" w:cs="宋体"/>
                <w:color w:val="auto"/>
                <w:sz w:val="22"/>
                <w:szCs w:val="22"/>
                <w:highlight w:val="none"/>
              </w:rPr>
            </w:pPr>
          </w:p>
        </w:tc>
        <w:tc>
          <w:tcPr>
            <w:tcW w:w="4950" w:type="dxa"/>
            <w:shd w:val="clear" w:color="auto" w:fill="auto"/>
            <w:vAlign w:val="center"/>
          </w:tcPr>
          <w:p w14:paraId="2A363530">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投标人或所投产品制造商通过质量管理体系、环境管理体系、职业健康安全管理体系认证并获得相关证书（有效期内）的，凭相关证书复印件</w:t>
            </w:r>
            <w:r>
              <w:rPr>
                <w:rFonts w:hint="eastAsia" w:ascii="宋体" w:hAnsi="宋体" w:eastAsia="宋体" w:cs="宋体"/>
                <w:color w:val="auto"/>
                <w:sz w:val="22"/>
                <w:szCs w:val="22"/>
                <w:highlight w:val="none"/>
                <w:lang w:val="en-US" w:eastAsia="zh-CN"/>
              </w:rPr>
              <w:t>并附</w:t>
            </w:r>
            <w:r>
              <w:rPr>
                <w:rFonts w:hint="eastAsia" w:ascii="宋体" w:hAnsi="宋体" w:eastAsia="宋体" w:cs="宋体"/>
                <w:color w:val="auto"/>
                <w:sz w:val="22"/>
                <w:szCs w:val="22"/>
                <w:highlight w:val="none"/>
              </w:rPr>
              <w:t>信息</w:t>
            </w:r>
            <w:r>
              <w:rPr>
                <w:rFonts w:hint="eastAsia" w:ascii="宋体" w:hAnsi="宋体" w:eastAsia="宋体" w:cs="宋体"/>
                <w:color w:val="auto"/>
                <w:sz w:val="22"/>
                <w:szCs w:val="22"/>
                <w:highlight w:val="none"/>
                <w:lang w:val="en-US" w:eastAsia="zh-CN"/>
              </w:rPr>
              <w:t>查询截图</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http://cx.cnca.cn/CertECloud/result/skipResultList每项得1分，本项最高得3分。</w:t>
            </w:r>
          </w:p>
        </w:tc>
        <w:tc>
          <w:tcPr>
            <w:tcW w:w="617" w:type="dxa"/>
            <w:shd w:val="clear" w:color="auto" w:fill="auto"/>
            <w:vAlign w:val="center"/>
          </w:tcPr>
          <w:p w14:paraId="5C4822CB">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3</w:t>
            </w:r>
          </w:p>
        </w:tc>
        <w:tc>
          <w:tcPr>
            <w:tcW w:w="871" w:type="dxa"/>
            <w:vAlign w:val="center"/>
          </w:tcPr>
          <w:p w14:paraId="3782DDB7">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7517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Merge w:val="continue"/>
            <w:vAlign w:val="center"/>
          </w:tcPr>
          <w:p w14:paraId="49B9AFDD">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7E6E82B">
            <w:pPr>
              <w:spacing w:line="400" w:lineRule="exact"/>
              <w:jc w:val="center"/>
              <w:rPr>
                <w:rFonts w:hint="eastAsia" w:ascii="宋体" w:hAnsi="宋体" w:eastAsia="宋体" w:cs="宋体"/>
                <w:color w:val="auto"/>
                <w:sz w:val="22"/>
                <w:szCs w:val="22"/>
                <w:highlight w:val="none"/>
              </w:rPr>
            </w:pPr>
          </w:p>
        </w:tc>
        <w:tc>
          <w:tcPr>
            <w:tcW w:w="682" w:type="dxa"/>
            <w:vMerge w:val="continue"/>
            <w:vAlign w:val="center"/>
          </w:tcPr>
          <w:p w14:paraId="79D42BBA">
            <w:pPr>
              <w:tabs>
                <w:tab w:val="left" w:pos="0"/>
              </w:tabs>
              <w:spacing w:line="400" w:lineRule="exact"/>
              <w:jc w:val="center"/>
              <w:rPr>
                <w:rFonts w:hint="eastAsia" w:ascii="宋体" w:hAnsi="宋体" w:eastAsia="宋体" w:cs="宋体"/>
                <w:color w:val="auto"/>
                <w:sz w:val="22"/>
                <w:szCs w:val="22"/>
                <w:highlight w:val="none"/>
              </w:rPr>
            </w:pPr>
          </w:p>
        </w:tc>
        <w:tc>
          <w:tcPr>
            <w:tcW w:w="1265" w:type="dxa"/>
            <w:vMerge w:val="continue"/>
            <w:vAlign w:val="center"/>
          </w:tcPr>
          <w:p w14:paraId="00674E0F">
            <w:pPr>
              <w:tabs>
                <w:tab w:val="left" w:pos="0"/>
              </w:tabs>
              <w:spacing w:line="400" w:lineRule="exact"/>
              <w:jc w:val="center"/>
              <w:rPr>
                <w:rFonts w:hint="eastAsia" w:ascii="宋体" w:hAnsi="宋体" w:eastAsia="宋体" w:cs="宋体"/>
                <w:color w:val="auto"/>
                <w:sz w:val="22"/>
                <w:szCs w:val="22"/>
                <w:highlight w:val="none"/>
              </w:rPr>
            </w:pPr>
          </w:p>
        </w:tc>
        <w:tc>
          <w:tcPr>
            <w:tcW w:w="4950" w:type="dxa"/>
            <w:shd w:val="clear" w:color="auto" w:fill="auto"/>
            <w:vAlign w:val="center"/>
          </w:tcPr>
          <w:p w14:paraId="6CC00AB3">
            <w:pPr>
              <w:snapToGrid w:val="0"/>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质保期在满足招标文件要求(5年)的基础上每延长12个月得1分，最多得2分，延长时间不足12个月的不计入得分，质保期不满足招标文件要求的投标无效。</w:t>
            </w:r>
            <w:r>
              <w:rPr>
                <w:rFonts w:hint="eastAsia" w:ascii="宋体" w:hAnsi="宋体" w:eastAsia="宋体" w:cs="宋体"/>
                <w:color w:val="auto"/>
                <w:sz w:val="22"/>
                <w:szCs w:val="22"/>
                <w:highlight w:val="none"/>
                <w:lang w:val="en-US" w:eastAsia="zh-CN"/>
              </w:rPr>
              <w:t>提供承诺书（格式自拟），否则不得分。</w:t>
            </w:r>
          </w:p>
        </w:tc>
        <w:tc>
          <w:tcPr>
            <w:tcW w:w="617" w:type="dxa"/>
            <w:shd w:val="clear" w:color="auto" w:fill="auto"/>
            <w:vAlign w:val="center"/>
          </w:tcPr>
          <w:p w14:paraId="6851724C">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2</w:t>
            </w:r>
          </w:p>
        </w:tc>
        <w:tc>
          <w:tcPr>
            <w:tcW w:w="871" w:type="dxa"/>
            <w:vAlign w:val="center"/>
          </w:tcPr>
          <w:p w14:paraId="56671182">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713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vMerge w:val="continue"/>
            <w:vAlign w:val="center"/>
          </w:tcPr>
          <w:p w14:paraId="47B26A0F">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9DF9BC0">
            <w:pPr>
              <w:spacing w:line="400" w:lineRule="exact"/>
              <w:jc w:val="center"/>
              <w:rPr>
                <w:rFonts w:hint="eastAsia" w:ascii="宋体" w:hAnsi="宋体" w:eastAsia="宋体" w:cs="宋体"/>
                <w:color w:val="auto"/>
                <w:sz w:val="22"/>
                <w:szCs w:val="22"/>
                <w:highlight w:val="none"/>
              </w:rPr>
            </w:pPr>
          </w:p>
        </w:tc>
        <w:tc>
          <w:tcPr>
            <w:tcW w:w="682" w:type="dxa"/>
            <w:vAlign w:val="center"/>
          </w:tcPr>
          <w:p w14:paraId="35ACAD42">
            <w:pPr>
              <w:tabs>
                <w:tab w:val="left" w:pos="0"/>
              </w:tabs>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p>
        </w:tc>
        <w:tc>
          <w:tcPr>
            <w:tcW w:w="1265" w:type="dxa"/>
            <w:shd w:val="clear" w:color="auto" w:fill="auto"/>
            <w:vAlign w:val="center"/>
          </w:tcPr>
          <w:p w14:paraId="797F6FFF">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政策分</w:t>
            </w:r>
          </w:p>
        </w:tc>
        <w:tc>
          <w:tcPr>
            <w:tcW w:w="4950" w:type="dxa"/>
            <w:shd w:val="clear" w:color="auto" w:fill="auto"/>
            <w:vAlign w:val="center"/>
          </w:tcPr>
          <w:p w14:paraId="002C31AC">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投标人在本次采购项目中使用的材料（设备）列入政府采购节能产品、环境标志产品品目清单范围的：提供节能产品的，得0.5分；提供环境标志产品的，得0.5分。（根据最新政府采购节能产品、环境标志产品品目清单，信息查看中国政府采购网http：//www.ccgp.gov.cn进行评分，投标人应在投标文件中提供相关依据国家确定的认证机构出具的、处于有效期之内的节能产品、环境标志产品认证证书证明材料，否则不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强制节能产品除外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617" w:type="dxa"/>
            <w:shd w:val="clear" w:color="auto" w:fill="auto"/>
            <w:vAlign w:val="center"/>
          </w:tcPr>
          <w:p w14:paraId="6E1E11C6">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1</w:t>
            </w:r>
          </w:p>
        </w:tc>
        <w:tc>
          <w:tcPr>
            <w:tcW w:w="871" w:type="dxa"/>
            <w:vAlign w:val="center"/>
          </w:tcPr>
          <w:p w14:paraId="4463DD3A">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6A9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4C85A781">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4EDC0783">
            <w:pPr>
              <w:spacing w:line="400" w:lineRule="exact"/>
              <w:jc w:val="center"/>
              <w:rPr>
                <w:rFonts w:hint="eastAsia" w:ascii="宋体" w:hAnsi="宋体" w:eastAsia="宋体" w:cs="宋体"/>
                <w:color w:val="auto"/>
                <w:sz w:val="22"/>
                <w:szCs w:val="22"/>
                <w:highlight w:val="none"/>
              </w:rPr>
            </w:pPr>
          </w:p>
        </w:tc>
        <w:tc>
          <w:tcPr>
            <w:tcW w:w="682" w:type="dxa"/>
            <w:vAlign w:val="center"/>
          </w:tcPr>
          <w:p w14:paraId="336FD51F">
            <w:pPr>
              <w:tabs>
                <w:tab w:val="left" w:pos="0"/>
              </w:tabs>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1265" w:type="dxa"/>
            <w:shd w:val="clear" w:color="auto" w:fill="auto"/>
            <w:vAlign w:val="center"/>
          </w:tcPr>
          <w:p w14:paraId="5FC675A7">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货物技术参数及要求响应</w:t>
            </w:r>
          </w:p>
        </w:tc>
        <w:tc>
          <w:tcPr>
            <w:tcW w:w="4950" w:type="dxa"/>
            <w:shd w:val="clear" w:color="auto" w:fill="auto"/>
            <w:vAlign w:val="center"/>
          </w:tcPr>
          <w:p w14:paraId="664B2C4F">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针对“第四章  招标内容及需求”中的“二、技术要求”的技术条款的响应情况：</w:t>
            </w:r>
          </w:p>
          <w:p w14:paraId="5C6D47EB">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标记为“★”的指标是重要技术条款，基础分</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分，每负偏离一条扣</w:t>
            </w:r>
            <w:r>
              <w:rPr>
                <w:rFonts w:hint="eastAsia" w:ascii="宋体" w:hAnsi="宋体" w:eastAsia="宋体" w:cs="宋体"/>
                <w:color w:val="auto"/>
                <w:sz w:val="22"/>
                <w:szCs w:val="22"/>
                <w:highlight w:val="none"/>
                <w:lang w:val="en-US" w:eastAsia="zh-CN"/>
              </w:rPr>
              <w:t>3分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6分</w:t>
            </w:r>
            <w:r>
              <w:rPr>
                <w:rFonts w:hint="eastAsia" w:ascii="宋体" w:hAnsi="宋体" w:eastAsia="宋体" w:cs="宋体"/>
                <w:color w:val="auto"/>
                <w:sz w:val="22"/>
                <w:szCs w:val="22"/>
                <w:highlight w:val="none"/>
              </w:rPr>
              <w:t>扣完为止；（注：重要性指标，需在检测报告复印件中标注出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如因未标注导致评审时未被发现，相关责任由投标人自行承担）</w:t>
            </w:r>
          </w:p>
          <w:p w14:paraId="184559D8">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无标记的指标为一般技术条款，满分</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分，负偏离每条扣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30分</w:t>
            </w:r>
            <w:r>
              <w:rPr>
                <w:rFonts w:hint="eastAsia" w:ascii="宋体" w:hAnsi="宋体" w:eastAsia="宋体" w:cs="宋体"/>
                <w:color w:val="auto"/>
                <w:sz w:val="22"/>
                <w:szCs w:val="22"/>
                <w:highlight w:val="none"/>
              </w:rPr>
              <w:t>扣完为止。</w:t>
            </w:r>
          </w:p>
          <w:p w14:paraId="516B8D39">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本项目最低得0分。</w:t>
            </w:r>
          </w:p>
        </w:tc>
        <w:tc>
          <w:tcPr>
            <w:tcW w:w="617" w:type="dxa"/>
            <w:shd w:val="clear" w:color="auto" w:fill="auto"/>
            <w:vAlign w:val="center"/>
          </w:tcPr>
          <w:p w14:paraId="72DEB7FD">
            <w:pPr>
              <w:snapToGrid w:val="0"/>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36</w:t>
            </w:r>
          </w:p>
        </w:tc>
        <w:tc>
          <w:tcPr>
            <w:tcW w:w="871" w:type="dxa"/>
            <w:shd w:val="clear" w:color="auto" w:fill="auto"/>
            <w:vAlign w:val="center"/>
          </w:tcPr>
          <w:p w14:paraId="7826EB09">
            <w:pPr>
              <w:tabs>
                <w:tab w:val="left" w:pos="0"/>
              </w:tabs>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客观分</w:t>
            </w:r>
          </w:p>
        </w:tc>
      </w:tr>
      <w:tr w14:paraId="208F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2A3E7109">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6F22B17">
            <w:pPr>
              <w:spacing w:line="400" w:lineRule="exact"/>
              <w:jc w:val="center"/>
              <w:rPr>
                <w:rFonts w:hint="eastAsia" w:ascii="宋体" w:hAnsi="宋体" w:eastAsia="宋体" w:cs="宋体"/>
                <w:color w:val="auto"/>
                <w:sz w:val="22"/>
                <w:szCs w:val="22"/>
                <w:highlight w:val="none"/>
              </w:rPr>
            </w:pPr>
          </w:p>
        </w:tc>
        <w:tc>
          <w:tcPr>
            <w:tcW w:w="682" w:type="dxa"/>
            <w:vAlign w:val="center"/>
          </w:tcPr>
          <w:p w14:paraId="6AF2C093">
            <w:pPr>
              <w:tabs>
                <w:tab w:val="left" w:pos="0"/>
              </w:tabs>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265" w:type="dxa"/>
            <w:shd w:val="clear" w:color="auto" w:fill="auto"/>
            <w:vAlign w:val="center"/>
          </w:tcPr>
          <w:p w14:paraId="440144D5">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洁净室</w:t>
            </w:r>
            <w:r>
              <w:rPr>
                <w:rFonts w:hint="eastAsia" w:ascii="宋体" w:hAnsi="宋体" w:eastAsia="宋体" w:cs="宋体"/>
                <w:color w:val="auto"/>
                <w:sz w:val="22"/>
                <w:szCs w:val="22"/>
                <w:highlight w:val="none"/>
              </w:rPr>
              <w:t>整体配置效果</w:t>
            </w:r>
          </w:p>
        </w:tc>
        <w:tc>
          <w:tcPr>
            <w:tcW w:w="4950" w:type="dxa"/>
            <w:shd w:val="clear" w:color="auto" w:fill="auto"/>
            <w:vAlign w:val="center"/>
          </w:tcPr>
          <w:p w14:paraId="595B64B8">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按照产品配置是否满足实验室使用功能要求、是否符合安全规范、整体布局是否符合人机工程学要求，家具构型配色是否体现美学要求4方面来评价。其中：</w:t>
            </w:r>
          </w:p>
          <w:p w14:paraId="05D979E3">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rPr>
              <w:t>根据具体情况提供：符合使用功能的3D立体彩色效果图、合理充分考虑空间的平面布局图、符合产品要求的单件图，符合要求的系统图（节能深化图纸、配件数量配置深化图纸等）应说明符合上述4方面要求。图纸齐全，完全符合要求，设计合理、视图完整颜色搭配协调、美观舒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评审范围：4，3，2，1，0</w:t>
            </w:r>
            <w:r>
              <w:rPr>
                <w:rFonts w:hint="eastAsia" w:ascii="宋体" w:hAnsi="宋体" w:eastAsia="宋体" w:cs="宋体"/>
                <w:color w:val="auto"/>
                <w:sz w:val="22"/>
                <w:szCs w:val="22"/>
                <w:highlight w:val="none"/>
                <w:lang w:eastAsia="zh-CN"/>
              </w:rPr>
              <w:t>）</w:t>
            </w:r>
          </w:p>
        </w:tc>
        <w:tc>
          <w:tcPr>
            <w:tcW w:w="617" w:type="dxa"/>
            <w:shd w:val="clear" w:color="auto" w:fill="auto"/>
            <w:vAlign w:val="center"/>
          </w:tcPr>
          <w:p w14:paraId="6F574DAF">
            <w:pPr>
              <w:snapToGrid w:val="0"/>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4</w:t>
            </w:r>
          </w:p>
        </w:tc>
        <w:tc>
          <w:tcPr>
            <w:tcW w:w="871" w:type="dxa"/>
            <w:vAlign w:val="center"/>
          </w:tcPr>
          <w:p w14:paraId="69DD1A29">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14:paraId="4144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19B4DB49">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6D5CD65E">
            <w:pPr>
              <w:spacing w:line="400" w:lineRule="exact"/>
              <w:jc w:val="center"/>
              <w:rPr>
                <w:rFonts w:hint="eastAsia" w:ascii="宋体" w:hAnsi="宋体" w:eastAsia="宋体" w:cs="宋体"/>
                <w:color w:val="auto"/>
                <w:sz w:val="22"/>
                <w:szCs w:val="22"/>
                <w:highlight w:val="none"/>
              </w:rPr>
            </w:pPr>
          </w:p>
        </w:tc>
        <w:tc>
          <w:tcPr>
            <w:tcW w:w="682" w:type="dxa"/>
            <w:vAlign w:val="center"/>
          </w:tcPr>
          <w:p w14:paraId="7936A6FE">
            <w:pPr>
              <w:tabs>
                <w:tab w:val="left" w:pos="0"/>
              </w:tabs>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265" w:type="dxa"/>
            <w:shd w:val="clear" w:color="auto" w:fill="auto"/>
            <w:vAlign w:val="center"/>
          </w:tcPr>
          <w:p w14:paraId="7AA038E6">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生产能力保障</w:t>
            </w:r>
          </w:p>
        </w:tc>
        <w:tc>
          <w:tcPr>
            <w:tcW w:w="4950" w:type="dxa"/>
            <w:shd w:val="clear" w:color="auto" w:fill="auto"/>
            <w:vAlign w:val="center"/>
          </w:tcPr>
          <w:p w14:paraId="1334839E">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产线包括完备的折弯机、激光切割机、封边机、排钻、喷粉房、钢制柜体需提供酸洗、磷化生产车间图片等工序和配套的生产设备。拟投入生产的折弯机、激光切割机、封边机、排钻等必须数量充足、多样性好、现场保障能力强，包括不限于：折弯机、激光切割机、封边机、排钻、喷粉房设施等。</w:t>
            </w:r>
          </w:p>
          <w:p w14:paraId="417C0706">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或生产厂家</w:t>
            </w:r>
            <w:r>
              <w:rPr>
                <w:rFonts w:hint="eastAsia" w:ascii="宋体" w:hAnsi="宋体" w:eastAsia="宋体" w:cs="宋体"/>
                <w:color w:val="auto"/>
                <w:sz w:val="22"/>
                <w:szCs w:val="22"/>
                <w:highlight w:val="none"/>
                <w:lang w:val="en-US" w:eastAsia="zh-CN"/>
              </w:rPr>
              <w:t>用于本项目的主要加工、生产设备的配置情况</w:t>
            </w:r>
            <w:r>
              <w:rPr>
                <w:rFonts w:hint="eastAsia" w:ascii="宋体" w:hAnsi="宋体" w:eastAsia="宋体" w:cs="宋体"/>
                <w:color w:val="auto"/>
                <w:sz w:val="22"/>
                <w:szCs w:val="22"/>
                <w:highlight w:val="none"/>
              </w:rPr>
              <w:t>。（评</w:t>
            </w:r>
            <w:r>
              <w:rPr>
                <w:rFonts w:hint="eastAsia" w:ascii="宋体" w:hAnsi="宋体" w:eastAsia="宋体" w:cs="宋体"/>
                <w:color w:val="auto"/>
                <w:sz w:val="22"/>
                <w:szCs w:val="22"/>
                <w:highlight w:val="none"/>
                <w:lang w:val="en-US" w:eastAsia="zh-CN"/>
              </w:rPr>
              <w:t>审</w:t>
            </w:r>
            <w:r>
              <w:rPr>
                <w:rFonts w:hint="eastAsia" w:ascii="宋体" w:hAnsi="宋体" w:eastAsia="宋体" w:cs="宋体"/>
                <w:color w:val="auto"/>
                <w:sz w:val="22"/>
                <w:szCs w:val="22"/>
                <w:highlight w:val="none"/>
              </w:rPr>
              <w:t>范围</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0）</w:t>
            </w:r>
          </w:p>
          <w:p w14:paraId="13BAD8A6">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val="en-US" w:eastAsia="zh-CN"/>
              </w:rPr>
              <w:t>提供设备购置发票复印件及设备照片，设备租赁的需提供租赁设备的合同。</w:t>
            </w:r>
          </w:p>
        </w:tc>
        <w:tc>
          <w:tcPr>
            <w:tcW w:w="617" w:type="dxa"/>
            <w:shd w:val="clear" w:color="auto" w:fill="auto"/>
            <w:vAlign w:val="center"/>
          </w:tcPr>
          <w:p w14:paraId="70C4A774">
            <w:pPr>
              <w:snapToGrid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871" w:type="dxa"/>
            <w:vAlign w:val="center"/>
          </w:tcPr>
          <w:p w14:paraId="71B61572">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14:paraId="008A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2BFF3D31">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81F69E8">
            <w:pPr>
              <w:spacing w:line="400" w:lineRule="exact"/>
              <w:jc w:val="center"/>
              <w:rPr>
                <w:rFonts w:hint="eastAsia" w:ascii="宋体" w:hAnsi="宋体" w:eastAsia="宋体" w:cs="宋体"/>
                <w:color w:val="auto"/>
                <w:sz w:val="22"/>
                <w:szCs w:val="22"/>
                <w:highlight w:val="none"/>
              </w:rPr>
            </w:pPr>
          </w:p>
        </w:tc>
        <w:tc>
          <w:tcPr>
            <w:tcW w:w="682" w:type="dxa"/>
            <w:vMerge w:val="restart"/>
            <w:vAlign w:val="center"/>
          </w:tcPr>
          <w:p w14:paraId="3D030D08">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265" w:type="dxa"/>
            <w:vMerge w:val="restart"/>
            <w:shd w:val="clear" w:color="auto" w:fill="auto"/>
            <w:vAlign w:val="center"/>
          </w:tcPr>
          <w:p w14:paraId="19E70114">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合同顺利履约的保障措施及方案</w:t>
            </w:r>
          </w:p>
        </w:tc>
        <w:tc>
          <w:tcPr>
            <w:tcW w:w="4950" w:type="dxa"/>
            <w:shd w:val="clear" w:color="auto" w:fill="auto"/>
            <w:vAlign w:val="center"/>
          </w:tcPr>
          <w:p w14:paraId="1B16BC63">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生产实施方案的全面性和针对性进行综合评分：</w:t>
            </w:r>
          </w:p>
          <w:p w14:paraId="789807AB">
            <w:pPr>
              <w:snapToGrid w:val="0"/>
              <w:spacing w:line="4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rPr>
              <w:t>生产组织实施方案；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评审范围：1.5，1，0.5，0</w:t>
            </w:r>
            <w:r>
              <w:rPr>
                <w:rFonts w:hint="eastAsia" w:ascii="宋体" w:hAnsi="宋体" w:eastAsia="宋体" w:cs="宋体"/>
                <w:color w:val="auto"/>
                <w:sz w:val="22"/>
                <w:szCs w:val="22"/>
                <w:highlight w:val="none"/>
                <w:lang w:eastAsia="zh-CN"/>
              </w:rPr>
              <w:t>）</w:t>
            </w:r>
          </w:p>
          <w:p w14:paraId="341C1490">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eastAsia="zh-CN"/>
              </w:rPr>
              <w:t>2.</w:t>
            </w:r>
            <w:r>
              <w:rPr>
                <w:rFonts w:hint="eastAsia" w:ascii="宋体" w:hAnsi="宋体" w:eastAsia="宋体" w:cs="宋体"/>
                <w:color w:val="auto"/>
                <w:sz w:val="22"/>
                <w:szCs w:val="22"/>
                <w:highlight w:val="none"/>
              </w:rPr>
              <w:t>加工制作装配方案及质量保障措施；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评审范围：1.5，1，0.5，0</w:t>
            </w:r>
            <w:r>
              <w:rPr>
                <w:rFonts w:hint="eastAsia" w:ascii="宋体" w:hAnsi="宋体" w:eastAsia="宋体" w:cs="宋体"/>
                <w:color w:val="auto"/>
                <w:sz w:val="22"/>
                <w:szCs w:val="22"/>
                <w:highlight w:val="none"/>
                <w:lang w:eastAsia="zh-CN"/>
              </w:rPr>
              <w:t>）</w:t>
            </w:r>
          </w:p>
        </w:tc>
        <w:tc>
          <w:tcPr>
            <w:tcW w:w="617" w:type="dxa"/>
            <w:shd w:val="clear" w:color="auto" w:fill="auto"/>
            <w:vAlign w:val="center"/>
          </w:tcPr>
          <w:p w14:paraId="70F7F693">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cs="宋体"/>
                <w:color w:val="auto"/>
                <w:sz w:val="22"/>
                <w:szCs w:val="22"/>
                <w:highlight w:val="none"/>
                <w:lang w:val="en-US" w:eastAsia="zh-CN"/>
              </w:rPr>
              <w:t>3</w:t>
            </w:r>
          </w:p>
        </w:tc>
        <w:tc>
          <w:tcPr>
            <w:tcW w:w="871" w:type="dxa"/>
            <w:vAlign w:val="center"/>
          </w:tcPr>
          <w:p w14:paraId="3E5E93A1">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1C79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6BBA2779">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387F649D">
            <w:pPr>
              <w:spacing w:line="400" w:lineRule="exact"/>
              <w:jc w:val="center"/>
              <w:rPr>
                <w:rFonts w:hint="eastAsia" w:ascii="宋体" w:hAnsi="宋体" w:eastAsia="宋体" w:cs="宋体"/>
                <w:color w:val="auto"/>
                <w:sz w:val="22"/>
                <w:szCs w:val="22"/>
                <w:highlight w:val="none"/>
              </w:rPr>
            </w:pPr>
          </w:p>
        </w:tc>
        <w:tc>
          <w:tcPr>
            <w:tcW w:w="682" w:type="dxa"/>
            <w:vMerge w:val="continue"/>
            <w:vAlign w:val="center"/>
          </w:tcPr>
          <w:p w14:paraId="2510092E">
            <w:pPr>
              <w:tabs>
                <w:tab w:val="left" w:pos="0"/>
              </w:tabs>
              <w:spacing w:line="400" w:lineRule="exact"/>
              <w:jc w:val="center"/>
              <w:rPr>
                <w:rFonts w:hint="eastAsia" w:ascii="宋体" w:hAnsi="宋体" w:eastAsia="宋体" w:cs="宋体"/>
                <w:color w:val="auto"/>
                <w:sz w:val="22"/>
                <w:szCs w:val="22"/>
                <w:highlight w:val="none"/>
              </w:rPr>
            </w:pPr>
          </w:p>
        </w:tc>
        <w:tc>
          <w:tcPr>
            <w:tcW w:w="1265" w:type="dxa"/>
            <w:vMerge w:val="continue"/>
            <w:vAlign w:val="center"/>
          </w:tcPr>
          <w:p w14:paraId="7F86BC47">
            <w:pPr>
              <w:tabs>
                <w:tab w:val="left" w:pos="0"/>
              </w:tabs>
              <w:spacing w:line="400" w:lineRule="exact"/>
              <w:jc w:val="center"/>
              <w:rPr>
                <w:rFonts w:hint="eastAsia" w:ascii="宋体" w:hAnsi="宋体" w:eastAsia="宋体" w:cs="宋体"/>
                <w:color w:val="auto"/>
                <w:sz w:val="22"/>
                <w:szCs w:val="22"/>
                <w:highlight w:val="none"/>
              </w:rPr>
            </w:pPr>
          </w:p>
        </w:tc>
        <w:tc>
          <w:tcPr>
            <w:tcW w:w="4950" w:type="dxa"/>
            <w:shd w:val="clear" w:color="auto" w:fill="auto"/>
            <w:vAlign w:val="center"/>
          </w:tcPr>
          <w:p w14:paraId="3F5F2A96">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品质管理管控方案的全面性、针对性进行综合评分，包括产品品质管理管控过程、生产专职品控人员设置和相应的品控标准、确保产品生产过程中质量控制完善的措施。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评审范围：3，2，1，0.5，0</w:t>
            </w:r>
            <w:r>
              <w:rPr>
                <w:rFonts w:hint="eastAsia" w:ascii="宋体" w:hAnsi="宋体" w:eastAsia="宋体" w:cs="宋体"/>
                <w:color w:val="auto"/>
                <w:sz w:val="22"/>
                <w:szCs w:val="22"/>
                <w:highlight w:val="none"/>
                <w:lang w:eastAsia="zh-CN"/>
              </w:rPr>
              <w:t>）</w:t>
            </w:r>
          </w:p>
        </w:tc>
        <w:tc>
          <w:tcPr>
            <w:tcW w:w="617" w:type="dxa"/>
            <w:shd w:val="clear" w:color="auto" w:fill="auto"/>
            <w:vAlign w:val="center"/>
          </w:tcPr>
          <w:p w14:paraId="1C3E0FD7">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cs="宋体"/>
                <w:color w:val="auto"/>
                <w:sz w:val="22"/>
                <w:szCs w:val="22"/>
                <w:highlight w:val="none"/>
                <w:lang w:val="en-US" w:eastAsia="zh-CN"/>
              </w:rPr>
              <w:t>3</w:t>
            </w:r>
          </w:p>
        </w:tc>
        <w:tc>
          <w:tcPr>
            <w:tcW w:w="871" w:type="dxa"/>
            <w:vAlign w:val="center"/>
          </w:tcPr>
          <w:p w14:paraId="2F1B2499">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56CA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70D02846">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12A7872A">
            <w:pPr>
              <w:spacing w:line="400" w:lineRule="exact"/>
              <w:jc w:val="center"/>
              <w:rPr>
                <w:rFonts w:hint="eastAsia" w:ascii="宋体" w:hAnsi="宋体" w:eastAsia="宋体" w:cs="宋体"/>
                <w:color w:val="auto"/>
                <w:sz w:val="22"/>
                <w:szCs w:val="22"/>
                <w:highlight w:val="none"/>
              </w:rPr>
            </w:pPr>
          </w:p>
        </w:tc>
        <w:tc>
          <w:tcPr>
            <w:tcW w:w="682" w:type="dxa"/>
            <w:vMerge w:val="continue"/>
            <w:vAlign w:val="center"/>
          </w:tcPr>
          <w:p w14:paraId="4D96C00A">
            <w:pPr>
              <w:tabs>
                <w:tab w:val="left" w:pos="0"/>
              </w:tabs>
              <w:spacing w:line="400" w:lineRule="exact"/>
              <w:jc w:val="center"/>
              <w:rPr>
                <w:rFonts w:hint="eastAsia" w:ascii="宋体" w:hAnsi="宋体" w:eastAsia="宋体" w:cs="宋体"/>
                <w:color w:val="auto"/>
                <w:sz w:val="22"/>
                <w:szCs w:val="22"/>
                <w:highlight w:val="none"/>
              </w:rPr>
            </w:pPr>
          </w:p>
        </w:tc>
        <w:tc>
          <w:tcPr>
            <w:tcW w:w="1265" w:type="dxa"/>
            <w:vMerge w:val="continue"/>
            <w:vAlign w:val="center"/>
          </w:tcPr>
          <w:p w14:paraId="6732C709">
            <w:pPr>
              <w:tabs>
                <w:tab w:val="left" w:pos="0"/>
              </w:tabs>
              <w:spacing w:line="400" w:lineRule="exact"/>
              <w:jc w:val="center"/>
              <w:rPr>
                <w:rFonts w:hint="eastAsia" w:ascii="宋体" w:hAnsi="宋体" w:eastAsia="宋体" w:cs="宋体"/>
                <w:color w:val="auto"/>
                <w:sz w:val="22"/>
                <w:szCs w:val="22"/>
                <w:highlight w:val="none"/>
              </w:rPr>
            </w:pPr>
          </w:p>
        </w:tc>
        <w:tc>
          <w:tcPr>
            <w:tcW w:w="4950" w:type="dxa"/>
            <w:shd w:val="clear" w:color="auto" w:fill="auto"/>
            <w:vAlign w:val="center"/>
          </w:tcPr>
          <w:p w14:paraId="359A659B">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施工安装服务实施方案的全面性和针对性进行综合评分：</w:t>
            </w:r>
          </w:p>
          <w:p w14:paraId="5D46F4CC">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rPr>
              <w:t>施工安装实施进度计划；</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评审范围：2，1.5，1，0.5，0</w:t>
            </w:r>
            <w:r>
              <w:rPr>
                <w:rFonts w:hint="eastAsia" w:ascii="宋体" w:hAnsi="宋体" w:eastAsia="宋体" w:cs="宋体"/>
                <w:color w:val="auto"/>
                <w:sz w:val="22"/>
                <w:szCs w:val="22"/>
                <w:highlight w:val="none"/>
                <w:lang w:eastAsia="zh-CN"/>
              </w:rPr>
              <w:t>）</w:t>
            </w:r>
          </w:p>
          <w:p w14:paraId="19517B09">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eastAsia="zh-CN"/>
              </w:rPr>
              <w:t>2.</w:t>
            </w:r>
            <w:r>
              <w:rPr>
                <w:rFonts w:hint="eastAsia" w:ascii="宋体" w:hAnsi="宋体" w:eastAsia="宋体" w:cs="宋体"/>
                <w:color w:val="auto"/>
                <w:sz w:val="22"/>
                <w:szCs w:val="22"/>
                <w:highlight w:val="none"/>
              </w:rPr>
              <w:t>施工安装质量保障措施；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评审范围：2，1.5，1，0.5，0</w:t>
            </w:r>
            <w:r>
              <w:rPr>
                <w:rFonts w:hint="eastAsia" w:ascii="宋体" w:hAnsi="宋体" w:eastAsia="宋体" w:cs="宋体"/>
                <w:color w:val="auto"/>
                <w:sz w:val="22"/>
                <w:szCs w:val="22"/>
                <w:highlight w:val="none"/>
                <w:lang w:eastAsia="zh-CN"/>
              </w:rPr>
              <w:t>）</w:t>
            </w:r>
          </w:p>
        </w:tc>
        <w:tc>
          <w:tcPr>
            <w:tcW w:w="617" w:type="dxa"/>
            <w:shd w:val="clear" w:color="auto" w:fill="auto"/>
            <w:vAlign w:val="center"/>
          </w:tcPr>
          <w:p w14:paraId="273687A4">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4</w:t>
            </w:r>
          </w:p>
        </w:tc>
        <w:tc>
          <w:tcPr>
            <w:tcW w:w="871" w:type="dxa"/>
            <w:vAlign w:val="center"/>
          </w:tcPr>
          <w:p w14:paraId="50E5C347">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523A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5D1B4497">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38D82A3C">
            <w:pPr>
              <w:spacing w:line="400" w:lineRule="exact"/>
              <w:jc w:val="center"/>
              <w:rPr>
                <w:rFonts w:hint="eastAsia" w:ascii="宋体" w:hAnsi="宋体" w:eastAsia="宋体" w:cs="宋体"/>
                <w:color w:val="auto"/>
                <w:sz w:val="22"/>
                <w:szCs w:val="22"/>
                <w:highlight w:val="none"/>
              </w:rPr>
            </w:pPr>
          </w:p>
        </w:tc>
        <w:tc>
          <w:tcPr>
            <w:tcW w:w="682" w:type="dxa"/>
            <w:vAlign w:val="center"/>
          </w:tcPr>
          <w:p w14:paraId="3D93AB92">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265" w:type="dxa"/>
            <w:shd w:val="clear" w:color="auto" w:fill="auto"/>
            <w:vAlign w:val="center"/>
          </w:tcPr>
          <w:p w14:paraId="769AF8F3">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售后服务</w:t>
            </w:r>
          </w:p>
        </w:tc>
        <w:tc>
          <w:tcPr>
            <w:tcW w:w="4950" w:type="dxa"/>
            <w:shd w:val="clear" w:color="auto" w:fill="auto"/>
            <w:vAlign w:val="center"/>
          </w:tcPr>
          <w:p w14:paraId="76EE18CB">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售后服务方案的全面性、针对性进行综合评分，包括服务内容、服务承诺、响应时间、服务方式、人员配备、应急服务等。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评审范围：3，2，1，0.5，0</w:t>
            </w:r>
            <w:r>
              <w:rPr>
                <w:rFonts w:hint="eastAsia" w:ascii="宋体" w:hAnsi="宋体" w:eastAsia="宋体" w:cs="宋体"/>
                <w:color w:val="auto"/>
                <w:sz w:val="22"/>
                <w:szCs w:val="22"/>
                <w:highlight w:val="none"/>
                <w:lang w:eastAsia="zh-CN"/>
              </w:rPr>
              <w:t>）</w:t>
            </w:r>
          </w:p>
        </w:tc>
        <w:tc>
          <w:tcPr>
            <w:tcW w:w="617" w:type="dxa"/>
            <w:shd w:val="clear" w:color="auto" w:fill="auto"/>
            <w:vAlign w:val="center"/>
          </w:tcPr>
          <w:p w14:paraId="45AD6E69">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3</w:t>
            </w:r>
          </w:p>
        </w:tc>
        <w:tc>
          <w:tcPr>
            <w:tcW w:w="871" w:type="dxa"/>
            <w:vAlign w:val="center"/>
          </w:tcPr>
          <w:p w14:paraId="401776ED">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7088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6175666B">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7C981F31">
            <w:pPr>
              <w:spacing w:line="400" w:lineRule="exact"/>
              <w:jc w:val="center"/>
              <w:rPr>
                <w:rFonts w:hint="eastAsia" w:ascii="宋体" w:hAnsi="宋体" w:eastAsia="宋体" w:cs="宋体"/>
                <w:color w:val="auto"/>
                <w:sz w:val="22"/>
                <w:szCs w:val="22"/>
                <w:highlight w:val="none"/>
              </w:rPr>
            </w:pPr>
          </w:p>
        </w:tc>
        <w:tc>
          <w:tcPr>
            <w:tcW w:w="682" w:type="dxa"/>
            <w:vAlign w:val="center"/>
          </w:tcPr>
          <w:p w14:paraId="342C32D3">
            <w:pPr>
              <w:tabs>
                <w:tab w:val="left" w:pos="0"/>
              </w:tabs>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265" w:type="dxa"/>
            <w:shd w:val="clear" w:color="auto" w:fill="auto"/>
            <w:vAlign w:val="center"/>
          </w:tcPr>
          <w:p w14:paraId="026DCC12">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样品</w:t>
            </w:r>
          </w:p>
        </w:tc>
        <w:tc>
          <w:tcPr>
            <w:tcW w:w="4950" w:type="dxa"/>
            <w:shd w:val="clear" w:color="auto" w:fill="auto"/>
            <w:vAlign w:val="center"/>
          </w:tcPr>
          <w:p w14:paraId="0938E701">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材料小样质量情况：（样品制作工艺、使用灵活性或方便性、结构或构造合理性、坚固性或牢固度等方面进行综合评审）</w:t>
            </w:r>
          </w:p>
          <w:p w14:paraId="35A2E99F">
            <w:pPr>
              <w:snapToGrid w:val="0"/>
              <w:spacing w:line="40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彩钢板、</w:t>
            </w:r>
            <w:r>
              <w:rPr>
                <w:rFonts w:hint="eastAsia" w:ascii="宋体" w:hAnsi="宋体" w:eastAsia="宋体" w:cs="宋体"/>
                <w:color w:val="auto"/>
                <w:sz w:val="22"/>
                <w:szCs w:val="22"/>
                <w:highlight w:val="none"/>
              </w:rPr>
              <w:t>冷轧钢板（</w:t>
            </w:r>
            <w:r>
              <w:rPr>
                <w:rFonts w:hint="eastAsia" w:ascii="宋体" w:hAnsi="宋体" w:eastAsia="宋体" w:cs="宋体"/>
                <w:color w:val="auto"/>
                <w:sz w:val="22"/>
                <w:szCs w:val="22"/>
                <w:highlight w:val="none"/>
                <w:lang w:val="en-US" w:eastAsia="zh-CN"/>
              </w:rPr>
              <w:t>评审范围：1，0.7，0.3，0</w:t>
            </w:r>
            <w:r>
              <w:rPr>
                <w:rFonts w:hint="eastAsia" w:ascii="宋体" w:hAnsi="宋体" w:eastAsia="宋体" w:cs="宋体"/>
                <w:color w:val="auto"/>
                <w:sz w:val="22"/>
                <w:szCs w:val="22"/>
                <w:highlight w:val="none"/>
              </w:rPr>
              <w:t>）</w:t>
            </w:r>
          </w:p>
          <w:p w14:paraId="48742FA2">
            <w:pPr>
              <w:snapToGrid w:val="0"/>
              <w:spacing w:line="40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理化板台面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评审范围：2，1.5，1，0.5，0</w:t>
            </w:r>
            <w:r>
              <w:rPr>
                <w:rFonts w:hint="eastAsia" w:ascii="宋体" w:hAnsi="宋体" w:eastAsia="宋体" w:cs="宋体"/>
                <w:color w:val="auto"/>
                <w:sz w:val="22"/>
                <w:szCs w:val="22"/>
                <w:highlight w:val="none"/>
                <w:lang w:eastAsia="zh-CN"/>
              </w:rPr>
              <w:t>）</w:t>
            </w:r>
          </w:p>
          <w:p w14:paraId="0637F564">
            <w:pPr>
              <w:snapToGrid w:val="0"/>
              <w:spacing w:line="400" w:lineRule="exac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）辅材及五金件(86型5孔插座、门锁、滑轨、合页、调整脚、桌脚钢架以及滑轮)（</w:t>
            </w:r>
            <w:r>
              <w:rPr>
                <w:rFonts w:hint="eastAsia" w:ascii="宋体" w:hAnsi="宋体" w:eastAsia="宋体" w:cs="宋体"/>
                <w:color w:val="auto"/>
                <w:sz w:val="22"/>
                <w:szCs w:val="22"/>
                <w:highlight w:val="none"/>
                <w:lang w:val="en-US" w:eastAsia="zh-CN"/>
              </w:rPr>
              <w:t>评审范围：1，0.7，0.3，0</w:t>
            </w:r>
            <w:r>
              <w:rPr>
                <w:rFonts w:hint="eastAsia" w:ascii="宋体" w:hAnsi="宋体" w:eastAsia="宋体" w:cs="宋体"/>
                <w:color w:val="auto"/>
                <w:sz w:val="22"/>
                <w:szCs w:val="22"/>
                <w:highlight w:val="none"/>
              </w:rPr>
              <w:t>）</w:t>
            </w:r>
          </w:p>
        </w:tc>
        <w:tc>
          <w:tcPr>
            <w:tcW w:w="617" w:type="dxa"/>
            <w:shd w:val="clear" w:color="auto" w:fill="auto"/>
            <w:vAlign w:val="center"/>
          </w:tcPr>
          <w:p w14:paraId="7BD89A7C">
            <w:pPr>
              <w:tabs>
                <w:tab w:val="left" w:pos="0"/>
              </w:tabs>
              <w:spacing w:line="400" w:lineRule="exact"/>
              <w:jc w:val="center"/>
              <w:rPr>
                <w:rFonts w:hint="eastAsia" w:ascii="宋体" w:hAnsi="宋体" w:eastAsia="宋体" w:cs="宋体"/>
                <w:color w:val="auto"/>
                <w:sz w:val="22"/>
                <w:szCs w:val="22"/>
                <w:highlight w:val="none"/>
                <w:lang w:val="zh-CN" w:eastAsia="zh-CN"/>
              </w:rPr>
            </w:pPr>
            <w:r>
              <w:rPr>
                <w:rFonts w:hint="eastAsia" w:ascii="宋体" w:hAnsi="宋体" w:cs="宋体"/>
                <w:color w:val="auto"/>
                <w:sz w:val="22"/>
                <w:szCs w:val="22"/>
                <w:highlight w:val="none"/>
                <w:lang w:val="en-US" w:eastAsia="zh-CN"/>
              </w:rPr>
              <w:t>4</w:t>
            </w:r>
          </w:p>
        </w:tc>
        <w:tc>
          <w:tcPr>
            <w:tcW w:w="871" w:type="dxa"/>
            <w:vAlign w:val="center"/>
          </w:tcPr>
          <w:p w14:paraId="2F854026">
            <w:pPr>
              <w:tabs>
                <w:tab w:val="left" w:pos="0"/>
              </w:tabs>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3A15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Merge w:val="continue"/>
            <w:vAlign w:val="center"/>
          </w:tcPr>
          <w:p w14:paraId="28150CBC">
            <w:pPr>
              <w:spacing w:line="400" w:lineRule="exact"/>
              <w:jc w:val="center"/>
              <w:rPr>
                <w:rFonts w:hint="eastAsia" w:ascii="宋体" w:hAnsi="宋体" w:eastAsia="宋体" w:cs="宋体"/>
                <w:color w:val="auto"/>
                <w:sz w:val="22"/>
                <w:szCs w:val="22"/>
                <w:highlight w:val="none"/>
              </w:rPr>
            </w:pPr>
          </w:p>
        </w:tc>
        <w:tc>
          <w:tcPr>
            <w:tcW w:w="881" w:type="dxa"/>
            <w:vMerge w:val="continue"/>
            <w:vAlign w:val="center"/>
          </w:tcPr>
          <w:p w14:paraId="0549E92F">
            <w:pPr>
              <w:spacing w:line="400" w:lineRule="exact"/>
              <w:jc w:val="center"/>
              <w:rPr>
                <w:rFonts w:hint="eastAsia" w:ascii="宋体" w:hAnsi="宋体" w:eastAsia="宋体" w:cs="宋体"/>
                <w:color w:val="auto"/>
                <w:sz w:val="22"/>
                <w:szCs w:val="22"/>
                <w:highlight w:val="none"/>
              </w:rPr>
            </w:pPr>
          </w:p>
        </w:tc>
        <w:tc>
          <w:tcPr>
            <w:tcW w:w="8385" w:type="dxa"/>
            <w:gridSpan w:val="5"/>
          </w:tcPr>
          <w:p w14:paraId="2B57A161">
            <w:pPr>
              <w:tabs>
                <w:tab w:val="left" w:pos="0"/>
              </w:tabs>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说明：各评审因素注明“主观分”或“客观分”</w:t>
            </w:r>
          </w:p>
          <w:p w14:paraId="06F12320">
            <w:pPr>
              <w:tabs>
                <w:tab w:val="left" w:pos="0"/>
              </w:tabs>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审小组成员按以上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c>
      </w:tr>
      <w:tr w14:paraId="39AD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1" w:type="dxa"/>
            <w:vAlign w:val="center"/>
          </w:tcPr>
          <w:p w14:paraId="4BE790E0">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81" w:type="dxa"/>
            <w:vAlign w:val="center"/>
          </w:tcPr>
          <w:p w14:paraId="3CE566A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报价评分标准</w:t>
            </w:r>
          </w:p>
        </w:tc>
        <w:tc>
          <w:tcPr>
            <w:tcW w:w="8385" w:type="dxa"/>
            <w:gridSpan w:val="5"/>
            <w:vAlign w:val="center"/>
          </w:tcPr>
          <w:p w14:paraId="2BC34463">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（1）满足采购文件要求且报价最低的投标报价为评标基准价，其价格分为满分30分。</w:t>
            </w:r>
          </w:p>
          <w:p w14:paraId="5F48CD39">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（2）其他投标人的投标价格得分按以下公式计算：</w:t>
            </w:r>
          </w:p>
          <w:p w14:paraId="01D15ACC">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投标报价得分=（评标基准价/</w:t>
            </w:r>
            <w:r>
              <w:rPr>
                <w:rFonts w:hint="eastAsia" w:ascii="宋体" w:hAnsi="宋体" w:eastAsia="宋体" w:cs="宋体"/>
                <w:color w:val="auto"/>
                <w:sz w:val="22"/>
                <w:szCs w:val="22"/>
                <w:highlight w:val="none"/>
                <w:lang w:val="zh-CN"/>
              </w:rPr>
              <w:t>有效投标报价</w:t>
            </w:r>
            <w:r>
              <w:rPr>
                <w:rFonts w:hint="eastAsia" w:ascii="宋体" w:hAnsi="宋体" w:eastAsia="宋体" w:cs="宋体"/>
                <w:color w:val="auto"/>
                <w:sz w:val="22"/>
                <w:szCs w:val="22"/>
                <w:highlight w:val="none"/>
              </w:rPr>
              <w:t>）× 价格权值 ×100（四舍五入，保留小数点后2位）</w:t>
            </w:r>
          </w:p>
        </w:tc>
      </w:tr>
    </w:tbl>
    <w:p w14:paraId="73088C4A">
      <w:pPr>
        <w:widowControl/>
        <w:adjustRightInd/>
        <w:spacing w:line="40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r>
        <w:rPr>
          <w:rFonts w:hint="eastAsia" w:ascii="宋体" w:hAnsi="宋体" w:eastAsia="宋体" w:cs="宋体"/>
          <w:color w:val="auto"/>
          <w:sz w:val="22"/>
          <w:szCs w:val="22"/>
          <w:highlight w:val="none"/>
        </w:rPr>
        <w:t>投标人编制投标文件（商务技术文件部分）时，建议按此目录（序号和内容）提供评标标准相应的商务技术资料。 </w:t>
      </w:r>
    </w:p>
    <w:p w14:paraId="35DB6D08">
      <w:pPr>
        <w:snapToGrid w:val="0"/>
        <w:spacing w:line="400" w:lineRule="exact"/>
        <w:jc w:val="left"/>
        <w:rPr>
          <w:rStyle w:val="23"/>
          <w:rFonts w:hint="eastAsia" w:ascii="宋体" w:hAnsi="宋体" w:eastAsia="宋体" w:cs="宋体"/>
          <w:color w:val="auto"/>
          <w:sz w:val="22"/>
          <w:szCs w:val="22"/>
          <w:highlight w:val="none"/>
        </w:rPr>
      </w:pPr>
      <w:bookmarkStart w:id="437" w:name="_Toc63189375"/>
      <w:bookmarkStart w:id="438" w:name="_Toc55302373"/>
      <w:r>
        <w:rPr>
          <w:rStyle w:val="23"/>
          <w:rFonts w:hint="eastAsia" w:ascii="宋体" w:hAnsi="宋体" w:eastAsia="宋体" w:cs="宋体"/>
          <w:color w:val="auto"/>
          <w:sz w:val="22"/>
          <w:szCs w:val="22"/>
          <w:highlight w:val="none"/>
        </w:rPr>
        <w:t>1.评标方法</w:t>
      </w:r>
      <w:bookmarkEnd w:id="437"/>
      <w:bookmarkEnd w:id="438"/>
    </w:p>
    <w:p w14:paraId="288879A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本项目采用</w:t>
      </w:r>
      <w:r>
        <w:rPr>
          <w:rFonts w:hint="eastAsia" w:ascii="宋体" w:hAnsi="宋体" w:eastAsia="宋体" w:cs="宋体"/>
          <w:color w:val="auto"/>
          <w:sz w:val="22"/>
          <w:szCs w:val="22"/>
          <w:highlight w:val="none"/>
        </w:rPr>
        <w:t>综合评分法。</w:t>
      </w:r>
    </w:p>
    <w:p w14:paraId="48A530F2">
      <w:pPr>
        <w:adjustRightInd/>
        <w:spacing w:line="360" w:lineRule="auto"/>
        <w:rPr>
          <w:rFonts w:hint="eastAsia" w:ascii="宋体" w:hAnsi="宋体" w:eastAsia="宋体" w:cs="宋体"/>
          <w:color w:val="auto"/>
          <w:kern w:val="0"/>
          <w:sz w:val="22"/>
          <w:szCs w:val="22"/>
          <w:highlight w:val="none"/>
        </w:rPr>
      </w:pPr>
      <w:bookmarkStart w:id="439" w:name="_Toc30314"/>
      <w:bookmarkStart w:id="440" w:name="_Toc55302374"/>
      <w:bookmarkStart w:id="441" w:name="_Toc63189376"/>
      <w:r>
        <w:rPr>
          <w:rStyle w:val="23"/>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rPr>
        <w:t>评标标准</w:t>
      </w:r>
      <w:bookmarkEnd w:id="439"/>
    </w:p>
    <w:p w14:paraId="7D4B0512">
      <w:pPr>
        <w:spacing w:line="360" w:lineRule="auto"/>
        <w:ind w:firstLine="431" w:firstLineChars="196"/>
        <w:rPr>
          <w:rStyle w:val="23"/>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见评标办法前附表。</w:t>
      </w:r>
    </w:p>
    <w:p w14:paraId="283AA970">
      <w:pPr>
        <w:snapToGrid w:val="0"/>
        <w:spacing w:line="360" w:lineRule="auto"/>
        <w:jc w:val="left"/>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3.</w:t>
      </w:r>
      <w:r>
        <w:rPr>
          <w:rStyle w:val="23"/>
          <w:rFonts w:hint="eastAsia" w:ascii="宋体" w:hAnsi="宋体" w:eastAsia="宋体" w:cs="宋体"/>
          <w:color w:val="auto"/>
          <w:sz w:val="22"/>
          <w:szCs w:val="22"/>
          <w:highlight w:val="none"/>
        </w:rPr>
        <w:t>评标程序</w:t>
      </w:r>
      <w:bookmarkEnd w:id="440"/>
      <w:bookmarkEnd w:id="441"/>
    </w:p>
    <w:p w14:paraId="3ABEEBC4">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3.1资格审查</w:t>
      </w:r>
    </w:p>
    <w:p w14:paraId="1A92B053">
      <w:pPr>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开标后，采购人或采购代理机构对各投标人按照</w:t>
      </w:r>
      <w:r>
        <w:rPr>
          <w:rFonts w:hint="eastAsia" w:ascii="宋体" w:hAnsi="宋体" w:eastAsia="宋体" w:cs="宋体"/>
          <w:bCs/>
          <w:color w:val="auto"/>
          <w:kern w:val="0"/>
          <w:sz w:val="22"/>
          <w:szCs w:val="22"/>
          <w:highlight w:val="none"/>
        </w:rPr>
        <w:t>第二部分“</w:t>
      </w:r>
      <w:r>
        <w:rPr>
          <w:rFonts w:hint="eastAsia" w:ascii="宋体" w:hAnsi="宋体" w:eastAsia="宋体" w:cs="宋体"/>
          <w:color w:val="auto"/>
          <w:sz w:val="22"/>
          <w:szCs w:val="22"/>
          <w:highlight w:val="none"/>
          <w:lang w:val="zh-CN"/>
        </w:rPr>
        <w:t>投标人须知</w:t>
      </w:r>
      <w:r>
        <w:rPr>
          <w:rFonts w:hint="eastAsia" w:ascii="宋体" w:hAnsi="宋体" w:eastAsia="宋体" w:cs="宋体"/>
          <w:bCs/>
          <w:color w:val="auto"/>
          <w:kern w:val="0"/>
          <w:sz w:val="22"/>
          <w:szCs w:val="22"/>
          <w:highlight w:val="none"/>
        </w:rPr>
        <w:t>”</w:t>
      </w:r>
      <w:r>
        <w:rPr>
          <w:rFonts w:hint="eastAsia" w:ascii="宋体" w:hAnsi="宋体" w:eastAsia="宋体" w:cs="宋体"/>
          <w:color w:val="auto"/>
          <w:sz w:val="22"/>
          <w:szCs w:val="22"/>
          <w:highlight w:val="none"/>
          <w:lang w:val="zh-CN"/>
        </w:rPr>
        <w:t>第</w:t>
      </w:r>
      <w:r>
        <w:rPr>
          <w:rFonts w:hint="eastAsia" w:ascii="宋体" w:hAnsi="宋体" w:eastAsia="宋体" w:cs="宋体"/>
          <w:color w:val="auto"/>
          <w:sz w:val="22"/>
          <w:szCs w:val="22"/>
          <w:highlight w:val="none"/>
        </w:rPr>
        <w:t>12.1</w:t>
      </w:r>
      <w:r>
        <w:rPr>
          <w:rFonts w:hint="eastAsia" w:ascii="宋体" w:hAnsi="宋体" w:eastAsia="宋体" w:cs="宋体"/>
          <w:color w:val="auto"/>
          <w:sz w:val="22"/>
          <w:szCs w:val="22"/>
          <w:highlight w:val="none"/>
          <w:lang w:val="zh-CN"/>
        </w:rPr>
        <w:t>款</w:t>
      </w:r>
      <w:r>
        <w:rPr>
          <w:rFonts w:hint="eastAsia" w:ascii="宋体" w:hAnsi="宋体" w:eastAsia="宋体" w:cs="宋体"/>
          <w:color w:val="auto"/>
          <w:sz w:val="22"/>
          <w:szCs w:val="22"/>
          <w:highlight w:val="none"/>
        </w:rPr>
        <w:t>进行资格审查，有一项不符合评审标准的，投标无效</w:t>
      </w:r>
      <w:r>
        <w:rPr>
          <w:rFonts w:hint="eastAsia" w:ascii="宋体" w:hAnsi="宋体" w:eastAsia="宋体" w:cs="宋体"/>
          <w:color w:val="auto"/>
          <w:sz w:val="22"/>
          <w:szCs w:val="22"/>
          <w:highlight w:val="none"/>
          <w:lang w:eastAsia="zh-CN"/>
        </w:rPr>
        <w:t>。</w:t>
      </w:r>
    </w:p>
    <w:p w14:paraId="47289654">
      <w:pPr>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3.2符合性审查</w:t>
      </w:r>
    </w:p>
    <w:p w14:paraId="268980FD">
      <w:pPr>
        <w:snapToGrid w:val="0"/>
        <w:spacing w:line="360" w:lineRule="auto"/>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rPr>
        <w:t>评标委员会应当对符合资格的投标人的投标文件进行符合性审查，以确定其是否满足招标文件的实质性要求。不满足招标文件的实质性要求的，投标无效</w:t>
      </w:r>
      <w:r>
        <w:rPr>
          <w:rFonts w:hint="eastAsia" w:ascii="宋体" w:hAnsi="宋体" w:eastAsia="宋体" w:cs="宋体"/>
          <w:b/>
          <w:color w:val="auto"/>
          <w:sz w:val="22"/>
          <w:szCs w:val="22"/>
          <w:highlight w:val="none"/>
        </w:rPr>
        <w:t>：</w:t>
      </w:r>
    </w:p>
    <w:p w14:paraId="4F6966B4">
      <w:pPr>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u w:val="single"/>
        </w:rPr>
        <w:t>▲3.2.1投标人存在下列情况之一的，投标无效：</w:t>
      </w:r>
    </w:p>
    <w:p w14:paraId="5170103B">
      <w:pPr>
        <w:numPr>
          <w:ilvl w:val="0"/>
          <w:numId w:val="8"/>
        </w:numPr>
        <w:snapToGrid w:val="0"/>
        <w:spacing w:line="360" w:lineRule="auto"/>
        <w:ind w:left="0" w:firstLine="442" w:firstLineChars="200"/>
        <w:jc w:val="left"/>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投标人仅提交备份投标文件，没有在电子交易平台传输递交投标文件的；</w:t>
      </w:r>
    </w:p>
    <w:p w14:paraId="117F6925">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不具备招标文件中规定的资格要求的；</w:t>
      </w:r>
    </w:p>
    <w:p w14:paraId="049BF126">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lang w:val="en-US" w:eastAsia="zh-CN"/>
        </w:rPr>
        <w:t>被财政部门列入不良行为记录名单的供应商，参加本项目政府采购活动的未按照招标文件要求提交投标保证金或未在资格文件中提供保证金缴纳凭证的；</w:t>
      </w:r>
    </w:p>
    <w:p w14:paraId="21476095">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投标文件未按招标文件要求签署、盖章的；</w:t>
      </w:r>
    </w:p>
    <w:p w14:paraId="4F7A83F4">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明显不符合招标文件中标注“▲且加下划线”的实质性要求和条件（主要技术规格、商务技术标准或服务要求）的；</w:t>
      </w:r>
    </w:p>
    <w:p w14:paraId="1A8429DA">
      <w:pPr>
        <w:numPr>
          <w:ilvl w:val="0"/>
          <w:numId w:val="8"/>
        </w:numPr>
        <w:snapToGrid w:val="0"/>
        <w:spacing w:line="360" w:lineRule="auto"/>
        <w:ind w:left="0"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未提供采购需求偏离表的；</w:t>
      </w:r>
    </w:p>
    <w:p w14:paraId="030EB22D">
      <w:pPr>
        <w:numPr>
          <w:ilvl w:val="0"/>
          <w:numId w:val="8"/>
        </w:numPr>
        <w:snapToGrid w:val="0"/>
        <w:spacing w:line="360" w:lineRule="auto"/>
        <w:ind w:left="0"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采购人拟采购的产品属于政府强制采购的节能产品品目清单范围的，投标人未按招标文件要求提供国家确定的认证机构出具的、处于有效期之内的节能产品认证证书的；</w:t>
      </w:r>
    </w:p>
    <w:p w14:paraId="65C1F8DF">
      <w:pPr>
        <w:numPr>
          <w:ilvl w:val="0"/>
          <w:numId w:val="8"/>
        </w:numPr>
        <w:snapToGrid w:val="0"/>
        <w:spacing w:line="360" w:lineRule="auto"/>
        <w:ind w:left="0"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投标文件中承诺的投标有效期少于招标文件中载明的投标有效期的；</w:t>
      </w:r>
    </w:p>
    <w:p w14:paraId="4F798281">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投标文件实质性内容不全或关键字迹模糊无法辨认的；</w:t>
      </w:r>
    </w:p>
    <w:p w14:paraId="0C6FD427">
      <w:pPr>
        <w:numPr>
          <w:ilvl w:val="0"/>
          <w:numId w:val="8"/>
        </w:numPr>
        <w:snapToGrid w:val="0"/>
        <w:spacing w:line="360" w:lineRule="auto"/>
        <w:ind w:left="0" w:firstLine="442" w:firstLineChars="200"/>
        <w:jc w:val="left"/>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sz w:val="22"/>
          <w:szCs w:val="22"/>
          <w:highlight w:val="none"/>
          <w:u w:val="single"/>
        </w:rPr>
        <w:t>不接受按招标文件规定的修正错误原则修正后的报价的或在规定的时间内不予确认的</w:t>
      </w:r>
      <w:r>
        <w:rPr>
          <w:rFonts w:hint="eastAsia" w:ascii="宋体" w:hAnsi="宋体" w:eastAsia="宋体" w:cs="宋体"/>
          <w:b/>
          <w:color w:val="auto"/>
          <w:kern w:val="0"/>
          <w:sz w:val="22"/>
          <w:szCs w:val="22"/>
          <w:highlight w:val="none"/>
          <w:u w:val="single"/>
        </w:rPr>
        <w:t>；</w:t>
      </w:r>
    </w:p>
    <w:p w14:paraId="6B9F3333">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投标文件有采购人不能接受的附加条件的；</w:t>
      </w:r>
    </w:p>
    <w:p w14:paraId="16821282">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投标人提供虚假材料投标的；</w:t>
      </w:r>
    </w:p>
    <w:p w14:paraId="1DE9A997">
      <w:pPr>
        <w:numPr>
          <w:ilvl w:val="0"/>
          <w:numId w:val="8"/>
        </w:numPr>
        <w:snapToGrid w:val="0"/>
        <w:spacing w:line="360" w:lineRule="auto"/>
        <w:ind w:left="0"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kern w:val="0"/>
          <w:sz w:val="22"/>
          <w:szCs w:val="22"/>
          <w:highlight w:val="none"/>
          <w:u w:val="single"/>
        </w:rPr>
        <w:t>商务技术文件中出现投标报价的；</w:t>
      </w:r>
    </w:p>
    <w:p w14:paraId="6DB0B771">
      <w:pPr>
        <w:numPr>
          <w:ilvl w:val="0"/>
          <w:numId w:val="8"/>
        </w:numPr>
        <w:snapToGrid w:val="0"/>
        <w:spacing w:line="360" w:lineRule="auto"/>
        <w:ind w:left="0" w:firstLine="442" w:firstLineChars="200"/>
        <w:jc w:val="left"/>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sz w:val="22"/>
          <w:szCs w:val="22"/>
          <w:highlight w:val="none"/>
          <w:u w:val="single"/>
        </w:rPr>
        <w:t>投标报价超过采购</w:t>
      </w:r>
      <w:r>
        <w:rPr>
          <w:rFonts w:hint="eastAsia" w:ascii="宋体" w:hAnsi="宋体" w:eastAsia="宋体" w:cs="宋体"/>
          <w:b/>
          <w:color w:val="auto"/>
          <w:kern w:val="0"/>
          <w:sz w:val="22"/>
          <w:szCs w:val="22"/>
          <w:highlight w:val="none"/>
          <w:u w:val="single"/>
        </w:rPr>
        <w:t>预算或最高限价；</w:t>
      </w:r>
    </w:p>
    <w:p w14:paraId="442346A2">
      <w:pPr>
        <w:numPr>
          <w:ilvl w:val="0"/>
          <w:numId w:val="8"/>
        </w:numPr>
        <w:snapToGrid w:val="0"/>
        <w:spacing w:line="360" w:lineRule="auto"/>
        <w:ind w:left="0" w:firstLine="442" w:firstLineChars="200"/>
        <w:jc w:val="left"/>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投标文件出现不是唯一的、有选择性投标报价的；</w:t>
      </w:r>
    </w:p>
    <w:p w14:paraId="52A46363">
      <w:pPr>
        <w:numPr>
          <w:ilvl w:val="0"/>
          <w:numId w:val="8"/>
        </w:numPr>
        <w:snapToGrid w:val="0"/>
        <w:spacing w:line="360" w:lineRule="auto"/>
        <w:ind w:left="0" w:firstLine="442" w:firstLineChars="200"/>
        <w:jc w:val="left"/>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投标人未按照招标文件标明的币种报价的；</w:t>
      </w:r>
    </w:p>
    <w:p w14:paraId="1C2FC33F">
      <w:pPr>
        <w:numPr>
          <w:ilvl w:val="0"/>
          <w:numId w:val="8"/>
        </w:numPr>
        <w:spacing w:line="360" w:lineRule="auto"/>
        <w:ind w:left="0" w:firstLine="442" w:firstLineChars="200"/>
        <w:rPr>
          <w:rFonts w:hint="eastAsia" w:ascii="宋体" w:hAnsi="宋体" w:eastAsia="宋体" w:cs="宋体"/>
          <w:b/>
          <w:color w:val="auto"/>
          <w:kern w:val="0"/>
          <w:sz w:val="22"/>
          <w:szCs w:val="22"/>
          <w:highlight w:val="none"/>
          <w:u w:val="single"/>
          <w:lang w:val="en-US" w:eastAsia="zh-CN"/>
        </w:rPr>
      </w:pPr>
      <w:r>
        <w:rPr>
          <w:rFonts w:hint="eastAsia" w:ascii="宋体" w:hAnsi="宋体" w:eastAsia="宋体" w:cs="宋体"/>
          <w:b/>
          <w:color w:val="auto"/>
          <w:kern w:val="0"/>
          <w:sz w:val="22"/>
          <w:szCs w:val="22"/>
          <w:highlight w:val="none"/>
          <w:u w:val="single"/>
        </w:rPr>
        <w:t>投标人报价低于</w:t>
      </w:r>
      <w:r>
        <w:rPr>
          <w:rFonts w:hint="eastAsia" w:ascii="宋体" w:hAnsi="宋体" w:eastAsia="宋体" w:cs="宋体"/>
          <w:b/>
          <w:color w:val="auto"/>
          <w:kern w:val="0"/>
          <w:sz w:val="22"/>
          <w:szCs w:val="22"/>
          <w:highlight w:val="none"/>
          <w:u w:val="single"/>
          <w:lang w:val="en-US" w:eastAsia="zh-CN"/>
        </w:rPr>
        <w:t>最高限价65</w:t>
      </w:r>
      <w:r>
        <w:rPr>
          <w:rFonts w:hint="eastAsia" w:ascii="宋体" w:hAnsi="宋体" w:eastAsia="宋体" w:cs="宋体"/>
          <w:b/>
          <w:color w:val="auto"/>
          <w:kern w:val="0"/>
          <w:sz w:val="22"/>
          <w:szCs w:val="22"/>
          <w:highlight w:val="none"/>
          <w:u w:val="single"/>
        </w:rPr>
        <w:t>%的，未在报价文件中</w:t>
      </w:r>
      <w:r>
        <w:rPr>
          <w:rFonts w:hint="eastAsia" w:ascii="宋体" w:hAnsi="宋体" w:eastAsia="宋体" w:cs="宋体"/>
          <w:b/>
          <w:color w:val="auto"/>
          <w:kern w:val="0"/>
          <w:sz w:val="22"/>
          <w:szCs w:val="22"/>
          <w:highlight w:val="none"/>
          <w:u w:val="single"/>
          <w:lang w:val="en-US" w:eastAsia="zh-CN"/>
        </w:rPr>
        <w:t>提供项目具体成本测算等与报价合理性相关的书面说明及必要的证明材料的（包括但不限于原材料成本、人工成本、制造费用等）（系指同类项目中标（成交）价格、类似产品市场价格水平、行业人工费用标准、国家有关部门指导行业协会发布的行业平均成本等）】或者提供的书面说明、证明材料不能证明其报价合理性的；</w:t>
      </w:r>
    </w:p>
    <w:p w14:paraId="4295E286">
      <w:pPr>
        <w:numPr>
          <w:ilvl w:val="0"/>
          <w:numId w:val="8"/>
        </w:numPr>
        <w:spacing w:line="360" w:lineRule="auto"/>
        <w:ind w:left="0" w:firstLine="442" w:firstLineChars="200"/>
        <w:rPr>
          <w:rFonts w:hint="eastAsia" w:ascii="宋体" w:hAnsi="宋体" w:eastAsia="宋体" w:cs="宋体"/>
          <w:b/>
          <w:color w:val="auto"/>
          <w:kern w:val="0"/>
          <w:sz w:val="22"/>
          <w:szCs w:val="22"/>
          <w:highlight w:val="none"/>
          <w:u w:val="single"/>
          <w:lang w:val="en-US" w:eastAsia="zh-CN"/>
        </w:rPr>
      </w:pPr>
      <w:r>
        <w:rPr>
          <w:rFonts w:hint="eastAsia" w:ascii="宋体" w:hAnsi="宋体" w:eastAsia="宋体" w:cs="宋体"/>
          <w:b/>
          <w:color w:val="auto"/>
          <w:kern w:val="0"/>
          <w:sz w:val="22"/>
          <w:szCs w:val="22"/>
          <w:highlight w:val="none"/>
          <w:u w:val="single"/>
          <w:lang w:val="en-US" w:eastAsia="zh-CN"/>
        </w:rPr>
        <w:t>评审小组启动异常低价投标（响应）审查程序的，投标（响应）供应商不能提供书面说明、证明材料，或者提供的书面说明、证明材料不能证明其报价合理性的，评审小组应当将其作为无效投标（响应）处理。</w:t>
      </w:r>
    </w:p>
    <w:p w14:paraId="5A8DC38A">
      <w:pPr>
        <w:numPr>
          <w:ilvl w:val="0"/>
          <w:numId w:val="8"/>
        </w:numPr>
        <w:spacing w:line="360" w:lineRule="auto"/>
        <w:ind w:left="0"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投标人有恶意串通、妨碍其他投标人的竞争行为、损害采购人或者其他投标人的合法权益情形的；</w:t>
      </w:r>
    </w:p>
    <w:p w14:paraId="26A3081A">
      <w:pPr>
        <w:numPr>
          <w:ilvl w:val="0"/>
          <w:numId w:val="8"/>
        </w:numPr>
        <w:spacing w:line="360" w:lineRule="auto"/>
        <w:ind w:left="0"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投标文件不满足采购文件的其它实质性要求的；</w:t>
      </w:r>
    </w:p>
    <w:p w14:paraId="578D59CF">
      <w:pPr>
        <w:numPr>
          <w:ilvl w:val="0"/>
          <w:numId w:val="8"/>
        </w:numPr>
        <w:spacing w:line="360" w:lineRule="auto"/>
        <w:ind w:left="0"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kern w:val="0"/>
          <w:sz w:val="22"/>
          <w:szCs w:val="22"/>
          <w:highlight w:val="none"/>
          <w:u w:val="single"/>
          <w:lang w:eastAsia="zh-CN"/>
        </w:rPr>
        <w:t>法律法规</w:t>
      </w:r>
      <w:r>
        <w:rPr>
          <w:rFonts w:hint="eastAsia" w:ascii="宋体" w:hAnsi="宋体" w:eastAsia="宋体" w:cs="宋体"/>
          <w:b/>
          <w:color w:val="auto"/>
          <w:kern w:val="0"/>
          <w:sz w:val="22"/>
          <w:szCs w:val="22"/>
          <w:highlight w:val="none"/>
          <w:u w:val="single"/>
        </w:rPr>
        <w:t>、规章（适用本市的）及省级以上规范性文件（适用本市的）规定的其他无效情形。</w:t>
      </w:r>
    </w:p>
    <w:p w14:paraId="37950468">
      <w:pPr>
        <w:snapToGrid w:val="0"/>
        <w:spacing w:line="360" w:lineRule="auto"/>
        <w:ind w:firstLine="442"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
          <w:color w:val="auto"/>
          <w:sz w:val="22"/>
          <w:szCs w:val="22"/>
          <w:highlight w:val="none"/>
          <w:u w:val="single"/>
        </w:rPr>
        <w:t>▲3.2.2有下列情形之一的，属于恶意串通，对投标人依照政府采购法第七十七条第一款的规定追究法律责任，对采购人、采购代理机构及其工作人员依照政府采购法第七十二条的规定追究法律责任：</w:t>
      </w:r>
    </w:p>
    <w:p w14:paraId="348D80AF">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（1）投标人直接或者间接从采购人或者采购代理机构处获得其他投标人的相关情况并修改其投标文件的；</w:t>
      </w:r>
    </w:p>
    <w:p w14:paraId="596BF61A">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（2）投标人按照采购人或者采购代理机构的授意撤换、修改投标文件的；</w:t>
      </w:r>
    </w:p>
    <w:p w14:paraId="16D33392">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（3）投标人之间协商报价、技术方案等投标文件或者投标文件的实质性内容；</w:t>
      </w:r>
    </w:p>
    <w:p w14:paraId="5248CEEA">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（4）属于同一集团、协会、商会等组织成员的投标人按照该组织要求协同参加政府采购活动；</w:t>
      </w:r>
    </w:p>
    <w:p w14:paraId="18928862">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（5）投标人之间事先约定由某一特定投标人中标、成交；</w:t>
      </w:r>
    </w:p>
    <w:p w14:paraId="35E55383">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（6）投标人之间商定部分投标人放弃参加政府采购活动或者放弃中标、成交；</w:t>
      </w:r>
    </w:p>
    <w:p w14:paraId="5E40BD5A">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（7）投标人与采购人或者采购代理机构之间、投标人相互之间，为谋求特定投标人中标、成交或者排斥其他投标人的其他串通行为。</w:t>
      </w:r>
    </w:p>
    <w:p w14:paraId="17CAACF4">
      <w:pPr>
        <w:snapToGrid w:val="0"/>
        <w:spacing w:line="360" w:lineRule="auto"/>
        <w:ind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▲3.2.3有下列情形之一的，视为投标人串通投标，其投标无效：</w:t>
      </w:r>
    </w:p>
    <w:p w14:paraId="5572E108">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（1）不同投标人的投标文件由同一单位或者个人编制；</w:t>
      </w:r>
    </w:p>
    <w:p w14:paraId="37A55C60">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（2）不同投标人委托同一单位或者个人办理投标事宜；</w:t>
      </w:r>
    </w:p>
    <w:p w14:paraId="4FFFDE44">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（3）不同投标人的投标文件载明的项目管理成员或者联系人员为同一人；</w:t>
      </w:r>
    </w:p>
    <w:p w14:paraId="201D5577">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（4）不同投标人的投标文件异常一致或者投标报价呈规律性差异；</w:t>
      </w:r>
    </w:p>
    <w:p w14:paraId="6525AE9E">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（5）不同投标人的投标文件相互混装；</w:t>
      </w:r>
    </w:p>
    <w:p w14:paraId="704A02AF">
      <w:pPr>
        <w:snapToGrid w:val="0"/>
        <w:spacing w:line="360" w:lineRule="auto"/>
        <w:ind w:firstLine="440" w:firstLineChars="200"/>
        <w:jc w:val="left"/>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lang w:val="en-US" w:eastAsia="zh-CN"/>
        </w:rPr>
        <w:t>6</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rPr>
        <w:t>不同投标人的投标保证金从同一单位或者个人的账户转出</w:t>
      </w:r>
      <w:r>
        <w:rPr>
          <w:rFonts w:hint="eastAsia" w:ascii="宋体" w:hAnsi="宋体" w:eastAsia="宋体" w:cs="宋体"/>
          <w:bCs/>
          <w:color w:val="auto"/>
          <w:sz w:val="22"/>
          <w:szCs w:val="22"/>
          <w:highlight w:val="none"/>
          <w:u w:val="single"/>
          <w:lang w:eastAsia="zh-CN"/>
        </w:rPr>
        <w:t>。</w:t>
      </w:r>
    </w:p>
    <w:p w14:paraId="65F3DB91">
      <w:pPr>
        <w:snapToGrid w:val="0"/>
        <w:spacing w:line="360" w:lineRule="auto"/>
        <w:ind w:firstLine="442" w:firstLineChars="200"/>
        <w:jc w:val="left"/>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zh-CN"/>
        </w:rPr>
        <w:t>▲</w:t>
      </w:r>
      <w:r>
        <w:rPr>
          <w:rFonts w:hint="eastAsia" w:ascii="宋体" w:hAnsi="宋体" w:eastAsia="宋体" w:cs="宋体"/>
          <w:b/>
          <w:color w:val="auto"/>
          <w:sz w:val="22"/>
          <w:szCs w:val="22"/>
          <w:highlight w:val="none"/>
          <w:u w:val="single"/>
        </w:rPr>
        <w:t>3.2.4</w:t>
      </w:r>
      <w:r>
        <w:rPr>
          <w:rFonts w:hint="eastAsia" w:ascii="宋体" w:hAnsi="宋体" w:eastAsia="宋体" w:cs="宋体"/>
          <w:b/>
          <w:color w:val="auto"/>
          <w:sz w:val="22"/>
          <w:szCs w:val="22"/>
          <w:highlight w:val="none"/>
          <w:u w:val="single"/>
          <w:lang w:val="zh-CN"/>
        </w:rPr>
        <w:t>除法定串通之外，参与同一个采购包（标段）的供应商存在下列情形之一且无法合理解释的，其投标（响应）文件无效：</w:t>
      </w:r>
    </w:p>
    <w:p w14:paraId="3A4B68E5">
      <w:pPr>
        <w:snapToGrid w:val="0"/>
        <w:spacing w:line="360" w:lineRule="auto"/>
        <w:ind w:firstLine="440" w:firstLineChars="200"/>
        <w:jc w:val="left"/>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（1）不同供应商的电子投标（响应）文件上传计算机的网卡MAC地址或硬盘序列号等硬件信息相同的；</w:t>
      </w:r>
    </w:p>
    <w:p w14:paraId="1E7F0A1E">
      <w:pPr>
        <w:snapToGrid w:val="0"/>
        <w:spacing w:line="360" w:lineRule="auto"/>
        <w:ind w:firstLine="440" w:firstLineChars="200"/>
        <w:jc w:val="lef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（2）上传的电子投标（响应）文件若出现使用本项目其他投标（响应）供应商的数字证书加密的，或者加盖本项目其他投标（响应）供应商的电子印章的；</w:t>
      </w:r>
    </w:p>
    <w:p w14:paraId="2207E8D7">
      <w:pPr>
        <w:snapToGrid w:val="0"/>
        <w:spacing w:line="360" w:lineRule="auto"/>
        <w:ind w:firstLine="440" w:firstLineChars="200"/>
        <w:jc w:val="left"/>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rPr>
        <w:t>（3）不同供应商的投标（响应）文件的内容存在3处（含）以上错误一致的；</w:t>
      </w:r>
    </w:p>
    <w:p w14:paraId="30BEB52D">
      <w:pPr>
        <w:snapToGrid w:val="0"/>
        <w:spacing w:line="360" w:lineRule="auto"/>
        <w:ind w:firstLine="440" w:firstLineChars="200"/>
        <w:jc w:val="left"/>
        <w:rPr>
          <w:rFonts w:hint="eastAsia" w:ascii="宋体" w:hAnsi="宋体" w:eastAsia="宋体" w:cs="宋体"/>
          <w:bCs/>
          <w:color w:val="auto"/>
          <w:sz w:val="22"/>
          <w:szCs w:val="22"/>
          <w:highlight w:val="none"/>
          <w:u w:val="single"/>
          <w:lang w:val="zh-CN"/>
        </w:rPr>
      </w:pPr>
      <w:r>
        <w:rPr>
          <w:rFonts w:hint="eastAsia" w:ascii="宋体" w:hAnsi="宋体" w:eastAsia="宋体" w:cs="宋体"/>
          <w:bCs/>
          <w:color w:val="auto"/>
          <w:sz w:val="22"/>
          <w:szCs w:val="22"/>
          <w:highlight w:val="none"/>
          <w:u w:val="single"/>
          <w:lang w:val="zh-CN"/>
        </w:rPr>
        <w:t>（</w:t>
      </w:r>
      <w:r>
        <w:rPr>
          <w:rFonts w:hint="eastAsia" w:ascii="宋体" w:hAnsi="宋体" w:eastAsia="宋体" w:cs="宋体"/>
          <w:bCs/>
          <w:color w:val="auto"/>
          <w:sz w:val="22"/>
          <w:szCs w:val="22"/>
          <w:highlight w:val="none"/>
          <w:u w:val="single"/>
        </w:rPr>
        <w:t>4</w:t>
      </w:r>
      <w:r>
        <w:rPr>
          <w:rFonts w:hint="eastAsia" w:ascii="宋体" w:hAnsi="宋体" w:eastAsia="宋体" w:cs="宋体"/>
          <w:bCs/>
          <w:color w:val="auto"/>
          <w:sz w:val="22"/>
          <w:szCs w:val="22"/>
          <w:highlight w:val="none"/>
          <w:u w:val="single"/>
          <w:lang w:val="zh-CN"/>
        </w:rPr>
        <w:t>）不同供应商联系人为同一人或不同联系人的联系电话一致的。</w:t>
      </w:r>
    </w:p>
    <w:p w14:paraId="5D3640D6">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3.2.5政府采购评审中出现下列情形之一的，评审小组应当启动异常低价投标（响应）审查程序：</w:t>
      </w:r>
    </w:p>
    <w:p w14:paraId="32C9A260">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（1）投标（响应）报价低于全部通过符合性审查供应商投标（响应）报价平均值65%的，即投标（响应）报价&lt;全部通过符合性审查供应商投标（响应）报价平均值×65%；</w:t>
      </w:r>
    </w:p>
    <w:p w14:paraId="7B262E21">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（2）投标（响应）报价低于通过符合性审查的次低报价供应商投标（响应）报价65%的，即投标（响应）报价&lt;通过符合性审查的次低报价供应商投标（响应）报价×65%；</w:t>
      </w:r>
    </w:p>
    <w:p w14:paraId="2119E767">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（3）投标（响应）报价低于采购项目最高限价65%的，即投标（响应）报价&lt;采购项目最高限价×65%；</w:t>
      </w:r>
    </w:p>
    <w:p w14:paraId="3EAA534E">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（4）评审小组基于专业判断，认为供应商报价过低，有可能影响产品质量或者不能诚信履约的其他情形。</w:t>
      </w:r>
    </w:p>
    <w:p w14:paraId="04242B34">
      <w:pPr>
        <w:snapToGrid w:val="0"/>
        <w:spacing w:line="360" w:lineRule="auto"/>
        <w:ind w:firstLine="442" w:firstLineChars="200"/>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系指同类项目中标（成交）价格、类似产品市场价格水平、行业人工费用标准、国家有关部门指导行业协会发布的行业平均成本等），给予相关供应商的合理时间一般不少于30分钟。其中，属于第（3）项情形，供应商必须在报价文件中提交相关书面说明及必要的证明材料，在评审现场不再重复提交。</w:t>
      </w:r>
    </w:p>
    <w:p w14:paraId="31B93686">
      <w:pPr>
        <w:snapToGrid w:val="0"/>
        <w:spacing w:line="360" w:lineRule="auto"/>
        <w:ind w:firstLine="442" w:firstLineChars="200"/>
        <w:jc w:val="left"/>
        <w:rPr>
          <w:rFonts w:hint="eastAsia" w:ascii="宋体" w:hAnsi="宋体" w:eastAsia="宋体" w:cs="宋体"/>
          <w:b/>
          <w:bCs w:val="0"/>
          <w:color w:val="auto"/>
          <w:sz w:val="22"/>
          <w:szCs w:val="22"/>
          <w:highlight w:val="none"/>
          <w:u w:val="single"/>
          <w:lang w:val="en-US" w:eastAsia="zh-CN"/>
        </w:rPr>
      </w:pPr>
      <w:r>
        <w:rPr>
          <w:rFonts w:hint="eastAsia" w:ascii="宋体" w:hAnsi="宋体" w:eastAsia="宋体" w:cs="宋体"/>
          <w:b/>
          <w:bCs w:val="0"/>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val="0"/>
          <w:color w:val="auto"/>
          <w:sz w:val="22"/>
          <w:szCs w:val="22"/>
          <w:highlight w:val="none"/>
          <w:u w:val="single"/>
          <w:lang w:val="zh-CN" w:eastAsia="zh-CN"/>
        </w:rPr>
        <w:t>▲</w:t>
      </w:r>
      <w:r>
        <w:rPr>
          <w:rFonts w:hint="eastAsia" w:ascii="宋体" w:hAnsi="宋体" w:eastAsia="宋体" w:cs="宋体"/>
          <w:b/>
          <w:bCs w:val="0"/>
          <w:color w:val="auto"/>
          <w:sz w:val="22"/>
          <w:szCs w:val="22"/>
          <w:highlight w:val="none"/>
          <w:u w:val="single"/>
          <w:lang w:val="en-US" w:eastAsia="zh-CN"/>
        </w:rPr>
        <w:t>投标（响应）供应商不能提供书面说明、证明材料，或者提供的书面说明、证明材料不能证明其报价合理性的，评审小组应当将其作为无效投标（响应）处理。</w:t>
      </w:r>
    </w:p>
    <w:p w14:paraId="0D5F04CF">
      <w:pPr>
        <w:snapToGrid w:val="0"/>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符合性审查其他要求见评标办法前附表</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如有</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w:t>
      </w:r>
    </w:p>
    <w:p w14:paraId="34BC1FDB">
      <w:pPr>
        <w:snapToGrid w:val="0"/>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实质上没有响应招标文件要求的投标将被否决，投标人不得通过修正或撤销不符合要求的偏离或保留从而使其投标成为实质上响应的投标。</w:t>
      </w:r>
    </w:p>
    <w:p w14:paraId="4434646B">
      <w:pPr>
        <w:widowControl/>
        <w:tabs>
          <w:tab w:val="left" w:pos="900"/>
        </w:tabs>
        <w:snapToGrid w:val="0"/>
        <w:spacing w:line="360" w:lineRule="auto"/>
        <w:ind w:firstLine="440" w:firstLineChars="200"/>
        <w:jc w:val="left"/>
        <w:rPr>
          <w:rFonts w:hint="eastAsia" w:ascii="宋体" w:hAnsi="宋体" w:eastAsia="宋体" w:cs="宋体"/>
          <w:color w:val="auto"/>
          <w:sz w:val="22"/>
          <w:szCs w:val="22"/>
          <w:highlight w:val="none"/>
        </w:rPr>
      </w:pPr>
      <w:bookmarkStart w:id="442" w:name="_Toc31606"/>
      <w:bookmarkStart w:id="443" w:name="_Toc5724"/>
      <w:bookmarkStart w:id="444" w:name="_Toc63189379"/>
      <w:bookmarkStart w:id="445" w:name="_Toc55375024"/>
      <w:bookmarkStart w:id="446" w:name="_Toc55302377"/>
      <w:r>
        <w:rPr>
          <w:rFonts w:hint="eastAsia" w:ascii="宋体" w:hAnsi="宋体" w:eastAsia="宋体" w:cs="宋体"/>
          <w:color w:val="auto"/>
          <w:sz w:val="22"/>
          <w:szCs w:val="22"/>
          <w:highlight w:val="none"/>
        </w:rPr>
        <w:t>3.3比较与评价（适用于综合评分法）</w:t>
      </w:r>
      <w:bookmarkEnd w:id="442"/>
    </w:p>
    <w:bookmarkEnd w:id="443"/>
    <w:bookmarkEnd w:id="444"/>
    <w:bookmarkEnd w:id="445"/>
    <w:bookmarkEnd w:id="446"/>
    <w:p w14:paraId="01A9489B">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3.3.1分值权重构成，见评标办法前附表。</w:t>
      </w:r>
    </w:p>
    <w:p w14:paraId="401030D6">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3.3.2商务技术评分标准，见评标办法前附表。</w:t>
      </w:r>
    </w:p>
    <w:p w14:paraId="40548BE2">
      <w:pPr>
        <w:pStyle w:val="18"/>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3</w:t>
      </w:r>
      <w:r>
        <w:rPr>
          <w:rFonts w:hint="eastAsia" w:ascii="宋体" w:hAnsi="宋体" w:eastAsia="宋体" w:cs="宋体"/>
          <w:color w:val="auto"/>
          <w:sz w:val="22"/>
          <w:szCs w:val="22"/>
          <w:highlight w:val="none"/>
        </w:rPr>
        <w:t>.3.3报价评分标准，见评标办法前附表。</w:t>
      </w:r>
    </w:p>
    <w:p w14:paraId="0911D59D">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3.3.4评分分值计算保留小数点后两位，小数点后第三位“四舍五入”。</w:t>
      </w:r>
    </w:p>
    <w:p w14:paraId="67BEFF19">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3.3.5投标人综合得分=商务技术得分+报价得分。</w:t>
      </w:r>
    </w:p>
    <w:p w14:paraId="2BF5B978">
      <w:pPr>
        <w:widowControl/>
        <w:tabs>
          <w:tab w:val="left" w:pos="900"/>
        </w:tabs>
        <w:snapToGrid w:val="0"/>
        <w:spacing w:line="360" w:lineRule="auto"/>
        <w:ind w:firstLine="442" w:firstLineChars="200"/>
        <w:jc w:val="left"/>
        <w:rPr>
          <w:rFonts w:hint="eastAsia" w:ascii="宋体" w:hAnsi="宋体" w:eastAsia="宋体" w:cs="宋体"/>
          <w:b/>
          <w:color w:val="auto"/>
          <w:sz w:val="22"/>
          <w:szCs w:val="22"/>
          <w:highlight w:val="none"/>
        </w:rPr>
      </w:pPr>
      <w:bookmarkStart w:id="447" w:name="_Toc55302378"/>
      <w:bookmarkStart w:id="448" w:name="_Toc63189380"/>
      <w:bookmarkStart w:id="449" w:name="_Toc11195"/>
      <w:bookmarkStart w:id="450" w:name="_Toc55375025"/>
      <w:bookmarkStart w:id="451" w:name="_Toc5272"/>
      <w:r>
        <w:rPr>
          <w:rFonts w:hint="eastAsia" w:ascii="宋体" w:hAnsi="宋体" w:eastAsia="宋体" w:cs="宋体"/>
          <w:b/>
          <w:color w:val="auto"/>
          <w:sz w:val="22"/>
          <w:szCs w:val="22"/>
          <w:highlight w:val="none"/>
        </w:rPr>
        <w:t>3.4投标文件的澄清</w:t>
      </w:r>
      <w:bookmarkEnd w:id="447"/>
      <w:bookmarkEnd w:id="448"/>
      <w:bookmarkEnd w:id="449"/>
      <w:bookmarkEnd w:id="450"/>
      <w:bookmarkEnd w:id="451"/>
    </w:p>
    <w:p w14:paraId="0ABC28B4">
      <w:pPr>
        <w:snapToGrid w:val="0"/>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3.4.1</w:t>
      </w:r>
      <w:r>
        <w:rPr>
          <w:rFonts w:hint="eastAsia" w:ascii="宋体" w:hAnsi="宋体" w:eastAsia="宋体" w:cs="宋体"/>
          <w:color w:val="auto"/>
          <w:kern w:val="0"/>
          <w:sz w:val="22"/>
          <w:szCs w:val="22"/>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或通过投标人代表签字或通过法定代表人签字的扫描件。给予投标人提交澄清、说明或补正的时间不得少于半小时，投标人已经明确表示澄清说明或补正完毕的除外。投标人的澄清、说明或者补正不得超出投标文件的范围或者改变投标文件的实质性内容</w:t>
      </w:r>
      <w:r>
        <w:rPr>
          <w:rFonts w:hint="eastAsia" w:ascii="宋体" w:hAnsi="宋体" w:eastAsia="宋体" w:cs="宋体"/>
          <w:bCs/>
          <w:color w:val="auto"/>
          <w:sz w:val="22"/>
          <w:szCs w:val="22"/>
          <w:highlight w:val="none"/>
        </w:rPr>
        <w:t>。</w:t>
      </w:r>
    </w:p>
    <w:p w14:paraId="5F4CB0E7">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3.4.2投标文件报价出现前后不一致的，按照下列规定修正：</w:t>
      </w:r>
    </w:p>
    <w:p w14:paraId="0A1026AF">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（1）投标文件中开标一览表(报价表)内容与投标文件中相应内容不一致的，以开标一览表(报价表)为准；</w:t>
      </w:r>
    </w:p>
    <w:p w14:paraId="16689D35">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（2）大写金额和小写金额不一致的，以大写金额为准；</w:t>
      </w:r>
    </w:p>
    <w:p w14:paraId="4A63BD26">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（3）单价金额小数点或者百分比有明显错位的，以开标一览表的总价为准，并修改单价；</w:t>
      </w:r>
    </w:p>
    <w:p w14:paraId="7B8FD590">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（4）总价金额与按单价汇总金额不一致的，以单价金额计算结果为准。</w:t>
      </w:r>
    </w:p>
    <w:p w14:paraId="564186D2">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（5）客户端填写的报价与以pdf格式上传文件中的报价不一致的，应以Pdf格式上传文件中的报价为准。</w:t>
      </w:r>
    </w:p>
    <w:p w14:paraId="599EEFAC">
      <w:pPr>
        <w:pStyle w:val="25"/>
        <w:snapToGrid w:val="0"/>
        <w:spacing w:before="0"/>
        <w:ind w:firstLine="44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14:paraId="6988D284">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3.4.3澄清、说明或补正不得超出投标文件的范围且不得改变投标文件的实质性内容，并构成投标文件的组成部分。</w:t>
      </w:r>
    </w:p>
    <w:p w14:paraId="1EE73C16">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3.4.4评标委员会对投标人提交的澄清、说明或补正有疑问的，可以要求投标人进一步澄清、说明或补正，直至满足评标委员会的要求。</w:t>
      </w:r>
    </w:p>
    <w:p w14:paraId="36BD3597">
      <w:pPr>
        <w:snapToGrid w:val="0"/>
        <w:spacing w:line="360" w:lineRule="auto"/>
        <w:ind w:firstLine="440" w:firstLineChars="200"/>
        <w:jc w:val="left"/>
        <w:rPr>
          <w:rFonts w:hint="eastAsia" w:ascii="宋体" w:hAnsi="宋体" w:eastAsia="宋体" w:cs="宋体"/>
          <w:color w:val="auto"/>
          <w:sz w:val="22"/>
          <w:szCs w:val="22"/>
          <w:highlight w:val="none"/>
        </w:rPr>
      </w:pPr>
      <w:bookmarkStart w:id="452" w:name="_Toc11850"/>
      <w:bookmarkStart w:id="453" w:name="_Toc63189381"/>
      <w:bookmarkStart w:id="454" w:name="_Toc55302379"/>
      <w:r>
        <w:rPr>
          <w:rFonts w:hint="eastAsia" w:ascii="宋体" w:hAnsi="宋体" w:eastAsia="宋体" w:cs="宋体"/>
          <w:color w:val="auto"/>
          <w:sz w:val="22"/>
          <w:szCs w:val="22"/>
          <w:highlight w:val="none"/>
        </w:rPr>
        <w:t>3.4.5对于评标委员会提出的要求投标人澄清、说明或者补正的，如果投标人代表拒绝澄清、说明或者补正，或者拒绝签字或盖章的，评标委员会可以对其作出不利于投标人的决定。</w:t>
      </w:r>
    </w:p>
    <w:p w14:paraId="7918BA3F">
      <w:pPr>
        <w:snapToGrid w:val="0"/>
        <w:spacing w:line="360" w:lineRule="auto"/>
        <w:jc w:val="left"/>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4</w:t>
      </w:r>
      <w:r>
        <w:rPr>
          <w:rStyle w:val="23"/>
          <w:rFonts w:hint="eastAsia" w:ascii="宋体" w:hAnsi="宋体" w:eastAsia="宋体" w:cs="宋体"/>
          <w:color w:val="auto"/>
          <w:sz w:val="22"/>
          <w:szCs w:val="22"/>
          <w:highlight w:val="none"/>
        </w:rPr>
        <w:t>.评标结果</w:t>
      </w:r>
      <w:bookmarkEnd w:id="452"/>
      <w:bookmarkEnd w:id="453"/>
      <w:bookmarkEnd w:id="454"/>
    </w:p>
    <w:p w14:paraId="3CC9502B">
      <w:pPr>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4.1采用综合评分法的，评标委员会按照投标人综合得分由高到低的顺序</w:t>
      </w:r>
      <w:r>
        <w:rPr>
          <w:rFonts w:hint="eastAsia" w:ascii="宋体" w:hAnsi="宋体" w:eastAsia="宋体" w:cs="宋体"/>
          <w:color w:val="auto"/>
          <w:sz w:val="22"/>
          <w:highlight w:val="none"/>
        </w:rPr>
        <w:t>推荐不少于2名中标候选人</w:t>
      </w:r>
      <w:r>
        <w:rPr>
          <w:rFonts w:hint="eastAsia" w:ascii="宋体" w:hAnsi="宋体" w:eastAsia="宋体" w:cs="宋体"/>
          <w:color w:val="auto"/>
          <w:sz w:val="22"/>
          <w:szCs w:val="22"/>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40EDD383">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4.2 </w:t>
      </w:r>
      <w:r>
        <w:rPr>
          <w:rFonts w:hint="eastAsia" w:ascii="宋体" w:hAnsi="宋体" w:eastAsia="宋体" w:cs="宋体"/>
          <w:color w:val="auto"/>
          <w:kern w:val="0"/>
          <w:sz w:val="22"/>
          <w:szCs w:val="22"/>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169524">
      <w:pPr>
        <w:snapToGrid w:val="0"/>
        <w:spacing w:line="360" w:lineRule="auto"/>
        <w:jc w:val="left"/>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5.</w:t>
      </w:r>
      <w:r>
        <w:rPr>
          <w:rStyle w:val="23"/>
          <w:rFonts w:hint="eastAsia" w:ascii="宋体" w:hAnsi="宋体" w:eastAsia="宋体" w:cs="宋体"/>
          <w:color w:val="auto"/>
          <w:sz w:val="22"/>
          <w:szCs w:val="22"/>
          <w:highlight w:val="none"/>
        </w:rPr>
        <w:t>其他</w:t>
      </w:r>
    </w:p>
    <w:p w14:paraId="6D025DEF">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5.1废标</w:t>
      </w:r>
    </w:p>
    <w:p w14:paraId="58A31C2B">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根据《中华人民共和国政府采购法》第三十六条之规定，在采购中，出现下列情形之一的，应予废标：</w:t>
      </w:r>
    </w:p>
    <w:p w14:paraId="1ADAE8AC">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（1）符合专业条件的投标人或者对招标文件作实质响应的投标人不足3家的；</w:t>
      </w:r>
    </w:p>
    <w:p w14:paraId="7CD86947">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（2）出现影响采购公正的违法、违规行为的；</w:t>
      </w:r>
    </w:p>
    <w:p w14:paraId="20F2772F">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（3）投标人的报价均超过了采购预算，采购人不能支付的；</w:t>
      </w:r>
    </w:p>
    <w:p w14:paraId="083D679D">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（4）因重大变故，采购任务取消的。</w:t>
      </w:r>
    </w:p>
    <w:p w14:paraId="39FDDF28">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废标后，采购机构应当将废标理由通知所有投标人。</w:t>
      </w:r>
    </w:p>
    <w:p w14:paraId="1717FA14">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5.2修改招标文件，重新组织采购活动。</w:t>
      </w:r>
    </w:p>
    <w:p w14:paraId="69CC4DB2">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bookmarkEnd w:id="435"/>
    </w:p>
    <w:bookmarkEnd w:id="436"/>
    <w:p w14:paraId="4A12B263">
      <w:pPr>
        <w:pStyle w:val="8"/>
        <w:snapToGrid w:val="0"/>
        <w:spacing w:line="360" w:lineRule="auto"/>
        <w:ind w:firstLine="0" w:firstLineChars="0"/>
        <w:rPr>
          <w:rFonts w:hint="eastAsia" w:ascii="宋体" w:hAnsi="宋体" w:eastAsia="宋体" w:cs="宋体"/>
          <w:color w:val="auto"/>
          <w:highlight w:val="none"/>
        </w:rPr>
      </w:pPr>
    </w:p>
    <w:bookmarkEnd w:id="59"/>
    <w:p w14:paraId="7A499C6F">
      <w:pPr>
        <w:pStyle w:val="2"/>
        <w:tabs>
          <w:tab w:val="left" w:pos="432"/>
        </w:tabs>
        <w:spacing w:before="0" w:after="0"/>
        <w:jc w:val="center"/>
        <w:rPr>
          <w:rFonts w:hint="eastAsia" w:ascii="宋体" w:hAnsi="宋体" w:eastAsia="宋体" w:cs="宋体"/>
          <w:color w:val="auto"/>
          <w:highlight w:val="none"/>
        </w:rPr>
      </w:pPr>
      <w:bookmarkStart w:id="455" w:name="第五部分"/>
      <w:bookmarkStart w:id="456" w:name="_Toc86217003"/>
      <w:r>
        <w:rPr>
          <w:rFonts w:hint="eastAsia" w:ascii="宋体" w:hAnsi="宋体" w:eastAsia="宋体" w:cs="宋体"/>
          <w:color w:val="auto"/>
          <w:highlight w:val="none"/>
        </w:rPr>
        <w:br w:type="page"/>
      </w:r>
      <w:bookmarkStart w:id="457" w:name="_Toc24392"/>
      <w:bookmarkStart w:id="458" w:name="_Toc28896"/>
      <w:r>
        <w:rPr>
          <w:rStyle w:val="23"/>
          <w:rFonts w:hint="eastAsia" w:ascii="宋体" w:hAnsi="宋体" w:eastAsia="宋体" w:cs="宋体"/>
          <w:b/>
          <w:color w:val="auto"/>
          <w:kern w:val="2"/>
          <w:highlight w:val="none"/>
        </w:rPr>
        <w:t>第五部分 拟签订的合同文本</w:t>
      </w:r>
      <w:bookmarkEnd w:id="457"/>
      <w:bookmarkEnd w:id="458"/>
    </w:p>
    <w:p w14:paraId="776D69FA">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浙江农林大学</w:t>
      </w:r>
      <w:r>
        <w:rPr>
          <w:rFonts w:hint="eastAsia" w:ascii="宋体" w:hAnsi="宋体" w:eastAsia="宋体" w:cs="宋体"/>
          <w:b/>
          <w:color w:val="auto"/>
          <w:sz w:val="32"/>
          <w:szCs w:val="32"/>
          <w:highlight w:val="none"/>
          <w:lang w:eastAsia="zh-CN"/>
        </w:rPr>
        <w:t>细胞房</w:t>
      </w:r>
      <w:r>
        <w:rPr>
          <w:rFonts w:hint="eastAsia" w:ascii="宋体" w:hAnsi="宋体" w:eastAsia="宋体" w:cs="宋体"/>
          <w:b/>
          <w:color w:val="auto"/>
          <w:sz w:val="32"/>
          <w:szCs w:val="32"/>
          <w:highlight w:val="none"/>
        </w:rPr>
        <w:t>项目合同</w:t>
      </w:r>
    </w:p>
    <w:p w14:paraId="3F69DCA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（国产合同）</w:t>
      </w:r>
    </w:p>
    <w:p w14:paraId="3E9E90A2">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采购编号：                                                          合同编号：</w:t>
      </w:r>
    </w:p>
    <w:p w14:paraId="42E9F8F7">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确认书号：</w:t>
      </w:r>
    </w:p>
    <w:p w14:paraId="21560219">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甲方：浙江农林大学</w:t>
      </w:r>
    </w:p>
    <w:p w14:paraId="415A1E17">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p>
    <w:p w14:paraId="6D2EC29C">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采购代理机构：浙江乐诚工程咨询有限公司</w:t>
      </w:r>
    </w:p>
    <w:p w14:paraId="5922CB1F">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签约时间、地点：</w:t>
      </w:r>
      <w:r>
        <w:rPr>
          <w:rFonts w:hint="eastAsia" w:ascii="宋体" w:hAnsi="宋体" w:eastAsia="宋体" w:cs="宋体"/>
          <w:color w:val="auto"/>
          <w:sz w:val="22"/>
          <w:szCs w:val="22"/>
          <w:highlight w:val="none"/>
          <w:lang w:eastAsia="zh-CN"/>
        </w:rPr>
        <w:t>2026</w:t>
      </w:r>
      <w:r>
        <w:rPr>
          <w:rFonts w:hint="eastAsia" w:ascii="宋体" w:hAnsi="宋体" w:eastAsia="宋体" w:cs="宋体"/>
          <w:color w:val="auto"/>
          <w:sz w:val="22"/>
          <w:szCs w:val="22"/>
          <w:highlight w:val="none"/>
        </w:rPr>
        <w:t>年  月   日、浙江农林大学</w:t>
      </w:r>
    </w:p>
    <w:p w14:paraId="1E6B0140">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b/>
          <w:color w:val="auto"/>
          <w:spacing w:val="-6"/>
          <w:sz w:val="22"/>
          <w:szCs w:val="22"/>
          <w:highlight w:val="none"/>
        </w:rPr>
        <w:t xml:space="preserve">    </w:t>
      </w:r>
      <w:r>
        <w:rPr>
          <w:rFonts w:hint="eastAsia" w:ascii="宋体" w:hAnsi="宋体" w:eastAsia="宋体" w:cs="宋体"/>
          <w:color w:val="auto"/>
          <w:sz w:val="22"/>
          <w:szCs w:val="22"/>
          <w:highlight w:val="none"/>
          <w:u w:val="single"/>
          <w:lang w:eastAsia="zh-CN"/>
        </w:rPr>
        <w:t>2026</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zh-CN"/>
        </w:rPr>
        <w:t>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浙江农林大学 </w:t>
      </w:r>
      <w:r>
        <w:rPr>
          <w:rFonts w:hint="eastAsia" w:ascii="宋体" w:hAnsi="宋体" w:eastAsia="宋体" w:cs="宋体"/>
          <w:color w:val="auto"/>
          <w:sz w:val="22"/>
          <w:szCs w:val="22"/>
          <w:highlight w:val="none"/>
        </w:rPr>
        <w:t>以</w:t>
      </w:r>
      <w:r>
        <w:rPr>
          <w:rFonts w:hint="eastAsia" w:ascii="宋体" w:hAnsi="宋体" w:eastAsia="宋体" w:cs="宋体"/>
          <w:color w:val="auto"/>
          <w:sz w:val="22"/>
          <w:szCs w:val="22"/>
          <w:highlight w:val="none"/>
          <w:u w:val="single"/>
        </w:rPr>
        <w:t xml:space="preserve">公开招标 </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u w:val="single"/>
          <w:lang w:eastAsia="zh-CN"/>
        </w:rPr>
        <w:t>细胞房</w:t>
      </w:r>
      <w:r>
        <w:rPr>
          <w:rFonts w:hint="eastAsia" w:ascii="宋体" w:hAnsi="宋体" w:eastAsia="宋体" w:cs="宋体"/>
          <w:color w:val="auto"/>
          <w:sz w:val="22"/>
          <w:szCs w:val="22"/>
          <w:highlight w:val="none"/>
          <w:u w:val="single"/>
        </w:rPr>
        <w:t>（项目编号：</w:t>
      </w:r>
      <w:r>
        <w:rPr>
          <w:rFonts w:hint="eastAsia" w:ascii="宋体" w:hAnsi="宋体" w:cs="宋体"/>
          <w:color w:val="auto"/>
          <w:sz w:val="22"/>
          <w:szCs w:val="22"/>
          <w:highlight w:val="none"/>
          <w:u w:val="single"/>
          <w:lang w:eastAsia="zh-CN"/>
        </w:rPr>
        <w:t>330000263030040000163-ZJYC2026060(GK)</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项目进行了采购。经</w:t>
      </w:r>
      <w:r>
        <w:rPr>
          <w:rFonts w:hint="eastAsia" w:ascii="宋体" w:hAnsi="宋体" w:eastAsia="宋体" w:cs="宋体"/>
          <w:color w:val="auto"/>
          <w:sz w:val="22"/>
          <w:szCs w:val="22"/>
          <w:highlight w:val="none"/>
          <w:u w:val="single"/>
        </w:rPr>
        <w:t xml:space="preserve">  评审小组  </w:t>
      </w:r>
      <w:r>
        <w:rPr>
          <w:rFonts w:hint="eastAsia" w:ascii="宋体" w:hAnsi="宋体" w:eastAsia="宋体" w:cs="宋体"/>
          <w:color w:val="auto"/>
          <w:sz w:val="22"/>
          <w:szCs w:val="22"/>
          <w:highlight w:val="none"/>
        </w:rPr>
        <w:t>评定及甲方确认，</w:t>
      </w:r>
      <w:r>
        <w:rPr>
          <w:rFonts w:hint="eastAsia" w:ascii="宋体" w:hAnsi="宋体" w:eastAsia="宋体" w:cs="宋体"/>
          <w:color w:val="auto"/>
          <w:sz w:val="22"/>
          <w:szCs w:val="22"/>
          <w:highlight w:val="none"/>
          <w:u w:val="single"/>
        </w:rPr>
        <w:t xml:space="preserve"> （中标人名称）</w:t>
      </w:r>
      <w:r>
        <w:rPr>
          <w:rFonts w:hint="eastAsia" w:ascii="宋体" w:hAnsi="宋体" w:eastAsia="宋体" w:cs="宋体"/>
          <w:color w:val="auto"/>
          <w:sz w:val="22"/>
          <w:szCs w:val="22"/>
          <w:highlight w:val="none"/>
        </w:rPr>
        <w:t>为该项目中标人。现于中标通知书发出之日起30日内，按照采购文件确定的事项签订本合同。</w:t>
      </w:r>
    </w:p>
    <w:p w14:paraId="5DBABA54">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2"/>
          <w:szCs w:val="22"/>
          <w:highlight w:val="none"/>
          <w:u w:val="single"/>
        </w:rPr>
        <w:t xml:space="preserve">浙江农林大学 </w:t>
      </w:r>
      <w:r>
        <w:rPr>
          <w:rFonts w:hint="eastAsia" w:ascii="宋体" w:hAnsi="宋体" w:eastAsia="宋体" w:cs="宋体"/>
          <w:color w:val="auto"/>
          <w:sz w:val="22"/>
          <w:szCs w:val="22"/>
          <w:highlight w:val="none"/>
          <w:lang w:val="zh-CN"/>
        </w:rPr>
        <w:t>(以下简称：甲方)和</w:t>
      </w:r>
      <w:r>
        <w:rPr>
          <w:rFonts w:hint="eastAsia" w:ascii="宋体" w:hAnsi="宋体" w:eastAsia="宋体" w:cs="宋体"/>
          <w:color w:val="auto"/>
          <w:sz w:val="22"/>
          <w:szCs w:val="22"/>
          <w:highlight w:val="none"/>
          <w:u w:val="single"/>
        </w:rPr>
        <w:t xml:space="preserve">  （中标人名称）</w:t>
      </w:r>
      <w:r>
        <w:rPr>
          <w:rFonts w:hint="eastAsia" w:ascii="宋体" w:hAnsi="宋体" w:eastAsia="宋体" w:cs="宋体"/>
          <w:color w:val="auto"/>
          <w:sz w:val="22"/>
          <w:szCs w:val="22"/>
          <w:highlight w:val="none"/>
          <w:lang w:val="zh-CN"/>
        </w:rPr>
        <w:t>(以下简称：乙方)协商一致，约定以下合同</w:t>
      </w:r>
      <w:r>
        <w:rPr>
          <w:rFonts w:hint="eastAsia" w:ascii="宋体" w:hAnsi="宋体" w:eastAsia="宋体" w:cs="宋体"/>
          <w:color w:val="auto"/>
          <w:sz w:val="22"/>
          <w:szCs w:val="22"/>
          <w:highlight w:val="none"/>
        </w:rPr>
        <w:t>条款，以兹共同遵守、全面履行。</w:t>
      </w:r>
    </w:p>
    <w:p w14:paraId="45A29984">
      <w:pPr>
        <w:spacing w:line="400" w:lineRule="exact"/>
        <w:rPr>
          <w:rFonts w:hint="eastAsia" w:ascii="宋体" w:hAnsi="宋体" w:eastAsia="宋体" w:cs="宋体"/>
          <w:color w:val="auto"/>
          <w:sz w:val="22"/>
          <w:szCs w:val="22"/>
          <w:highlight w:val="none"/>
        </w:rPr>
      </w:pPr>
      <w:bookmarkStart w:id="459" w:name="_Toc15367"/>
      <w:bookmarkStart w:id="460" w:name="_Toc20421"/>
      <w:bookmarkStart w:id="461" w:name="_Toc25639"/>
      <w:bookmarkStart w:id="462" w:name="_Toc19273"/>
      <w:bookmarkStart w:id="463" w:name="_Toc22967"/>
      <w:bookmarkStart w:id="464" w:name="_Toc28855"/>
      <w:r>
        <w:rPr>
          <w:rFonts w:hint="eastAsia" w:ascii="宋体" w:hAnsi="宋体" w:eastAsia="宋体" w:cs="宋体"/>
          <w:b/>
          <w:color w:val="auto"/>
          <w:sz w:val="22"/>
          <w:szCs w:val="22"/>
          <w:highlight w:val="none"/>
        </w:rPr>
        <w:t>第一条：合同组成部分</w:t>
      </w:r>
      <w:bookmarkEnd w:id="459"/>
      <w:bookmarkEnd w:id="460"/>
      <w:bookmarkEnd w:id="461"/>
      <w:bookmarkEnd w:id="462"/>
      <w:bookmarkEnd w:id="463"/>
      <w:bookmarkEnd w:id="464"/>
    </w:p>
    <w:p w14:paraId="5752C4A5">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3E4E754">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1.本合同及其补充合同、变更协议；</w:t>
      </w:r>
    </w:p>
    <w:p w14:paraId="1B105FE1">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67C73985">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3.投标或者</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（含澄清或者说明文件）；</w:t>
      </w:r>
    </w:p>
    <w:p w14:paraId="1608C97F">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4.采购文件（含澄清或者修改文件）；</w:t>
      </w:r>
    </w:p>
    <w:p w14:paraId="6A74D20B">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5.其他相关采购文件。</w:t>
      </w:r>
    </w:p>
    <w:p w14:paraId="4C9A7C2F">
      <w:pPr>
        <w:spacing w:line="400" w:lineRule="exact"/>
        <w:rPr>
          <w:rFonts w:hint="eastAsia" w:ascii="宋体" w:hAnsi="宋体" w:eastAsia="宋体" w:cs="宋体"/>
          <w:b/>
          <w:color w:val="auto"/>
          <w:sz w:val="22"/>
          <w:szCs w:val="22"/>
          <w:highlight w:val="none"/>
        </w:rPr>
      </w:pPr>
      <w:r>
        <w:rPr>
          <w:rFonts w:hint="eastAsia" w:ascii="宋体" w:hAnsi="宋体" w:eastAsia="宋体" w:cs="宋体"/>
          <w:b/>
          <w:color w:val="auto"/>
          <w:spacing w:val="-6"/>
          <w:sz w:val="22"/>
          <w:szCs w:val="22"/>
          <w:highlight w:val="none"/>
        </w:rPr>
        <w:t>第二条：</w:t>
      </w:r>
      <w:r>
        <w:rPr>
          <w:rFonts w:hint="eastAsia" w:ascii="宋体" w:hAnsi="宋体" w:eastAsia="宋体" w:cs="宋体"/>
          <w:b/>
          <w:color w:val="auto"/>
          <w:sz w:val="22"/>
          <w:szCs w:val="22"/>
          <w:highlight w:val="none"/>
        </w:rPr>
        <w:t>采购产品内容及合同价格</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67"/>
        <w:gridCol w:w="1941"/>
        <w:gridCol w:w="477"/>
        <w:gridCol w:w="1049"/>
        <w:gridCol w:w="855"/>
        <w:gridCol w:w="1755"/>
        <w:gridCol w:w="1812"/>
      </w:tblGrid>
      <w:tr w14:paraId="3A6A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C2B716B">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67" w:type="dxa"/>
            <w:vAlign w:val="center"/>
          </w:tcPr>
          <w:p w14:paraId="6601B72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941" w:type="dxa"/>
            <w:vAlign w:val="center"/>
          </w:tcPr>
          <w:p w14:paraId="3832CE5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型号和规格</w:t>
            </w:r>
          </w:p>
        </w:tc>
        <w:tc>
          <w:tcPr>
            <w:tcW w:w="477" w:type="dxa"/>
            <w:vAlign w:val="center"/>
          </w:tcPr>
          <w:p w14:paraId="2EBD444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049" w:type="dxa"/>
            <w:vAlign w:val="center"/>
          </w:tcPr>
          <w:p w14:paraId="0FB5D439">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品牌及厂家</w:t>
            </w:r>
          </w:p>
        </w:tc>
        <w:tc>
          <w:tcPr>
            <w:tcW w:w="855" w:type="dxa"/>
            <w:vAlign w:val="center"/>
          </w:tcPr>
          <w:p w14:paraId="2C24003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w:t>
            </w:r>
          </w:p>
        </w:tc>
        <w:tc>
          <w:tcPr>
            <w:tcW w:w="1755" w:type="dxa"/>
            <w:vAlign w:val="center"/>
          </w:tcPr>
          <w:p w14:paraId="5DE0B72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p w14:paraId="58A4D6E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1812" w:type="dxa"/>
            <w:vAlign w:val="center"/>
          </w:tcPr>
          <w:p w14:paraId="10C6F0A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人民币小计</w:t>
            </w:r>
          </w:p>
        </w:tc>
      </w:tr>
      <w:tr w14:paraId="053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72" w:type="dxa"/>
            <w:vAlign w:val="center"/>
          </w:tcPr>
          <w:p w14:paraId="4F36877A">
            <w:pPr>
              <w:spacing w:line="400" w:lineRule="exact"/>
              <w:jc w:val="center"/>
              <w:rPr>
                <w:rFonts w:hint="eastAsia" w:ascii="宋体" w:hAnsi="宋体" w:eastAsia="宋体" w:cs="宋体"/>
                <w:color w:val="auto"/>
                <w:sz w:val="22"/>
                <w:szCs w:val="22"/>
                <w:highlight w:val="none"/>
              </w:rPr>
            </w:pPr>
          </w:p>
        </w:tc>
        <w:tc>
          <w:tcPr>
            <w:tcW w:w="1167" w:type="dxa"/>
            <w:vAlign w:val="center"/>
          </w:tcPr>
          <w:p w14:paraId="5E087F26">
            <w:pPr>
              <w:spacing w:line="400" w:lineRule="exact"/>
              <w:jc w:val="center"/>
              <w:rPr>
                <w:rFonts w:hint="eastAsia" w:ascii="宋体" w:hAnsi="宋体" w:eastAsia="宋体" w:cs="宋体"/>
                <w:color w:val="auto"/>
                <w:sz w:val="22"/>
                <w:szCs w:val="22"/>
                <w:highlight w:val="none"/>
              </w:rPr>
            </w:pPr>
          </w:p>
        </w:tc>
        <w:tc>
          <w:tcPr>
            <w:tcW w:w="1941" w:type="dxa"/>
            <w:vAlign w:val="center"/>
          </w:tcPr>
          <w:p w14:paraId="1767E391">
            <w:pPr>
              <w:spacing w:line="400" w:lineRule="exact"/>
              <w:ind w:firstLine="220" w:firstLineChars="100"/>
              <w:rPr>
                <w:rFonts w:hint="eastAsia" w:ascii="宋体" w:hAnsi="宋体" w:eastAsia="宋体" w:cs="宋体"/>
                <w:color w:val="auto"/>
                <w:sz w:val="22"/>
                <w:szCs w:val="22"/>
                <w:highlight w:val="none"/>
              </w:rPr>
            </w:pPr>
          </w:p>
        </w:tc>
        <w:tc>
          <w:tcPr>
            <w:tcW w:w="477" w:type="dxa"/>
            <w:vAlign w:val="center"/>
          </w:tcPr>
          <w:p w14:paraId="40E34E1E">
            <w:pPr>
              <w:spacing w:line="400" w:lineRule="exact"/>
              <w:ind w:firstLine="110" w:firstLineChars="50"/>
              <w:jc w:val="center"/>
              <w:rPr>
                <w:rFonts w:hint="eastAsia" w:ascii="宋体" w:hAnsi="宋体" w:eastAsia="宋体" w:cs="宋体"/>
                <w:color w:val="auto"/>
                <w:sz w:val="22"/>
                <w:szCs w:val="22"/>
                <w:highlight w:val="none"/>
              </w:rPr>
            </w:pPr>
          </w:p>
        </w:tc>
        <w:tc>
          <w:tcPr>
            <w:tcW w:w="1049" w:type="dxa"/>
            <w:vAlign w:val="center"/>
          </w:tcPr>
          <w:p w14:paraId="1BE8D03C">
            <w:pPr>
              <w:spacing w:line="400" w:lineRule="exact"/>
              <w:ind w:firstLine="220" w:firstLineChars="100"/>
              <w:rPr>
                <w:rFonts w:hint="eastAsia" w:ascii="宋体" w:hAnsi="宋体" w:eastAsia="宋体" w:cs="宋体"/>
                <w:color w:val="auto"/>
                <w:sz w:val="22"/>
                <w:szCs w:val="22"/>
                <w:highlight w:val="none"/>
              </w:rPr>
            </w:pPr>
          </w:p>
        </w:tc>
        <w:tc>
          <w:tcPr>
            <w:tcW w:w="855" w:type="dxa"/>
            <w:vAlign w:val="center"/>
          </w:tcPr>
          <w:p w14:paraId="44960562">
            <w:pPr>
              <w:spacing w:line="400" w:lineRule="exact"/>
              <w:jc w:val="center"/>
              <w:rPr>
                <w:rFonts w:hint="eastAsia" w:ascii="宋体" w:hAnsi="宋体" w:eastAsia="宋体" w:cs="宋体"/>
                <w:color w:val="auto"/>
                <w:sz w:val="22"/>
                <w:szCs w:val="22"/>
                <w:highlight w:val="none"/>
              </w:rPr>
            </w:pPr>
          </w:p>
        </w:tc>
        <w:tc>
          <w:tcPr>
            <w:tcW w:w="1755" w:type="dxa"/>
            <w:vAlign w:val="center"/>
          </w:tcPr>
          <w:p w14:paraId="518C67BF">
            <w:pPr>
              <w:spacing w:line="400" w:lineRule="exact"/>
              <w:ind w:firstLine="110" w:firstLineChars="50"/>
              <w:rPr>
                <w:rFonts w:hint="eastAsia" w:ascii="宋体" w:hAnsi="宋体" w:eastAsia="宋体" w:cs="宋体"/>
                <w:color w:val="auto"/>
                <w:sz w:val="22"/>
                <w:szCs w:val="22"/>
                <w:highlight w:val="none"/>
              </w:rPr>
            </w:pPr>
          </w:p>
        </w:tc>
        <w:tc>
          <w:tcPr>
            <w:tcW w:w="1812" w:type="dxa"/>
            <w:vAlign w:val="center"/>
          </w:tcPr>
          <w:p w14:paraId="456F333D">
            <w:pPr>
              <w:spacing w:line="400" w:lineRule="exact"/>
              <w:ind w:firstLine="110" w:firstLineChars="50"/>
              <w:jc w:val="center"/>
              <w:rPr>
                <w:rFonts w:hint="eastAsia" w:ascii="宋体" w:hAnsi="宋体" w:eastAsia="宋体" w:cs="宋体"/>
                <w:color w:val="auto"/>
                <w:sz w:val="22"/>
                <w:szCs w:val="22"/>
                <w:highlight w:val="none"/>
              </w:rPr>
            </w:pPr>
          </w:p>
        </w:tc>
      </w:tr>
      <w:tr w14:paraId="3374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929D4DA">
            <w:pPr>
              <w:spacing w:line="400" w:lineRule="exact"/>
              <w:jc w:val="center"/>
              <w:rPr>
                <w:rFonts w:hint="eastAsia" w:ascii="宋体" w:hAnsi="宋体" w:eastAsia="宋体" w:cs="宋体"/>
                <w:color w:val="auto"/>
                <w:sz w:val="22"/>
                <w:szCs w:val="22"/>
                <w:highlight w:val="none"/>
              </w:rPr>
            </w:pPr>
          </w:p>
        </w:tc>
        <w:tc>
          <w:tcPr>
            <w:tcW w:w="1167" w:type="dxa"/>
            <w:vAlign w:val="center"/>
          </w:tcPr>
          <w:p w14:paraId="2D05188E">
            <w:pPr>
              <w:spacing w:line="400" w:lineRule="exact"/>
              <w:jc w:val="center"/>
              <w:rPr>
                <w:rFonts w:hint="eastAsia" w:ascii="宋体" w:hAnsi="宋体" w:eastAsia="宋体" w:cs="宋体"/>
                <w:color w:val="auto"/>
                <w:sz w:val="22"/>
                <w:szCs w:val="22"/>
                <w:highlight w:val="none"/>
              </w:rPr>
            </w:pPr>
          </w:p>
        </w:tc>
        <w:tc>
          <w:tcPr>
            <w:tcW w:w="1941" w:type="dxa"/>
            <w:vAlign w:val="center"/>
          </w:tcPr>
          <w:p w14:paraId="0ED9D9A3">
            <w:pPr>
              <w:spacing w:line="400" w:lineRule="exact"/>
              <w:ind w:firstLine="220" w:firstLineChars="100"/>
              <w:rPr>
                <w:rFonts w:hint="eastAsia" w:ascii="宋体" w:hAnsi="宋体" w:eastAsia="宋体" w:cs="宋体"/>
                <w:color w:val="auto"/>
                <w:sz w:val="22"/>
                <w:szCs w:val="22"/>
                <w:highlight w:val="none"/>
              </w:rPr>
            </w:pPr>
          </w:p>
        </w:tc>
        <w:tc>
          <w:tcPr>
            <w:tcW w:w="477" w:type="dxa"/>
            <w:vAlign w:val="center"/>
          </w:tcPr>
          <w:p w14:paraId="141AD038">
            <w:pPr>
              <w:spacing w:line="400" w:lineRule="exact"/>
              <w:ind w:firstLine="110" w:firstLineChars="50"/>
              <w:jc w:val="center"/>
              <w:rPr>
                <w:rFonts w:hint="eastAsia" w:ascii="宋体" w:hAnsi="宋体" w:eastAsia="宋体" w:cs="宋体"/>
                <w:color w:val="auto"/>
                <w:sz w:val="22"/>
                <w:szCs w:val="22"/>
                <w:highlight w:val="none"/>
              </w:rPr>
            </w:pPr>
          </w:p>
        </w:tc>
        <w:tc>
          <w:tcPr>
            <w:tcW w:w="1049" w:type="dxa"/>
            <w:vAlign w:val="center"/>
          </w:tcPr>
          <w:p w14:paraId="3D1192E9">
            <w:pPr>
              <w:spacing w:line="400" w:lineRule="exact"/>
              <w:rPr>
                <w:rFonts w:hint="eastAsia" w:ascii="宋体" w:hAnsi="宋体" w:eastAsia="宋体" w:cs="宋体"/>
                <w:color w:val="auto"/>
                <w:sz w:val="22"/>
                <w:szCs w:val="22"/>
                <w:highlight w:val="none"/>
              </w:rPr>
            </w:pPr>
          </w:p>
        </w:tc>
        <w:tc>
          <w:tcPr>
            <w:tcW w:w="855" w:type="dxa"/>
            <w:vAlign w:val="center"/>
          </w:tcPr>
          <w:p w14:paraId="2080A7C9">
            <w:pPr>
              <w:spacing w:line="400" w:lineRule="exact"/>
              <w:jc w:val="center"/>
              <w:rPr>
                <w:rFonts w:hint="eastAsia" w:ascii="宋体" w:hAnsi="宋体" w:eastAsia="宋体" w:cs="宋体"/>
                <w:color w:val="auto"/>
                <w:sz w:val="22"/>
                <w:szCs w:val="22"/>
                <w:highlight w:val="none"/>
              </w:rPr>
            </w:pPr>
          </w:p>
        </w:tc>
        <w:tc>
          <w:tcPr>
            <w:tcW w:w="1755" w:type="dxa"/>
            <w:vAlign w:val="center"/>
          </w:tcPr>
          <w:p w14:paraId="3A141050">
            <w:pPr>
              <w:spacing w:line="400" w:lineRule="exact"/>
              <w:ind w:firstLine="110" w:firstLineChars="50"/>
              <w:rPr>
                <w:rFonts w:hint="eastAsia" w:ascii="宋体" w:hAnsi="宋体" w:eastAsia="宋体" w:cs="宋体"/>
                <w:color w:val="auto"/>
                <w:sz w:val="22"/>
                <w:szCs w:val="22"/>
                <w:highlight w:val="none"/>
              </w:rPr>
            </w:pPr>
          </w:p>
        </w:tc>
        <w:tc>
          <w:tcPr>
            <w:tcW w:w="1812" w:type="dxa"/>
            <w:vAlign w:val="center"/>
          </w:tcPr>
          <w:p w14:paraId="09F71BA0">
            <w:pPr>
              <w:spacing w:line="400" w:lineRule="exact"/>
              <w:ind w:firstLine="110" w:firstLineChars="50"/>
              <w:jc w:val="center"/>
              <w:rPr>
                <w:rFonts w:hint="eastAsia" w:ascii="宋体" w:hAnsi="宋体" w:eastAsia="宋体" w:cs="宋体"/>
                <w:color w:val="auto"/>
                <w:sz w:val="22"/>
                <w:szCs w:val="22"/>
                <w:highlight w:val="none"/>
              </w:rPr>
            </w:pPr>
          </w:p>
        </w:tc>
      </w:tr>
      <w:tr w14:paraId="5368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center"/>
          </w:tcPr>
          <w:p w14:paraId="14FAED3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合计：人民币           元整（￥          ）</w:t>
            </w:r>
          </w:p>
        </w:tc>
      </w:tr>
    </w:tbl>
    <w:p w14:paraId="6B7CF695">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w:t>
      </w:r>
      <w:r>
        <w:rPr>
          <w:rFonts w:hint="eastAsia" w:ascii="宋体" w:hAnsi="宋体" w:eastAsia="宋体" w:cs="宋体"/>
          <w:color w:val="auto"/>
          <w:spacing w:val="-6"/>
          <w:sz w:val="22"/>
          <w:szCs w:val="22"/>
          <w:highlight w:val="none"/>
        </w:rPr>
        <w:t>.</w:t>
      </w:r>
      <w:r>
        <w:rPr>
          <w:rFonts w:hint="eastAsia" w:ascii="宋体" w:hAnsi="宋体" w:eastAsia="宋体" w:cs="宋体"/>
          <w:color w:val="auto"/>
          <w:sz w:val="22"/>
          <w:szCs w:val="22"/>
          <w:highlight w:val="none"/>
        </w:rPr>
        <w:t>详细配置清单详见投标文件和承诺表。</w:t>
      </w:r>
    </w:p>
    <w:p w14:paraId="105D28D6">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pacing w:val="-6"/>
          <w:sz w:val="22"/>
          <w:szCs w:val="22"/>
          <w:highlight w:val="none"/>
        </w:rPr>
        <w:t>.</w:t>
      </w:r>
      <w:r>
        <w:rPr>
          <w:rFonts w:hint="eastAsia" w:ascii="宋体" w:hAnsi="宋体" w:eastAsia="宋体" w:cs="宋体"/>
          <w:color w:val="auto"/>
          <w:sz w:val="22"/>
          <w:szCs w:val="22"/>
          <w:highlight w:val="none"/>
        </w:rPr>
        <w:t>以上合同</w:t>
      </w:r>
      <w:r>
        <w:rPr>
          <w:rFonts w:hint="eastAsia" w:ascii="宋体" w:hAnsi="宋体" w:eastAsia="宋体" w:cs="宋体"/>
          <w:color w:val="auto"/>
          <w:sz w:val="22"/>
          <w:szCs w:val="22"/>
          <w:highlight w:val="none"/>
          <w:lang w:val="en-US" w:eastAsia="zh-CN"/>
        </w:rPr>
        <w:t>单价</w:t>
      </w:r>
      <w:r>
        <w:rPr>
          <w:rFonts w:hint="eastAsia" w:ascii="宋体" w:hAnsi="宋体" w:eastAsia="宋体" w:cs="宋体"/>
          <w:color w:val="auto"/>
          <w:sz w:val="22"/>
          <w:szCs w:val="22"/>
          <w:highlight w:val="none"/>
        </w:rPr>
        <w:t>包括将货物运抵浙江农林大学校区指定地点的运费及安装调试等一切费用。</w:t>
      </w:r>
    </w:p>
    <w:p w14:paraId="57B33422">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第三条：质量保证及售后服务</w:t>
      </w:r>
    </w:p>
    <w:p w14:paraId="495FB814">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1.乙方应按公开招标文件规定的货物性能、技术要求、质量标准向甲方提供未经使用的全新产品，符合国家法律规定和技术规格、质量标准的出厂原装合格产品。</w:t>
      </w:r>
    </w:p>
    <w:p w14:paraId="7568DAAE">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2.乙方提供的货物在质保期内因货物本身的质量问题发生故障，乙方应负责更换。对达不到技术要求者，根据实际情况，经双方协商，可按以下办法处理：</w:t>
      </w:r>
    </w:p>
    <w:p w14:paraId="780BCA91">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⑴更换：由乙方承担所发生的全部费用。</w:t>
      </w:r>
    </w:p>
    <w:p w14:paraId="5F6E6004">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⑵贬值处理：由甲乙双方合议定价。</w:t>
      </w:r>
    </w:p>
    <w:p w14:paraId="799C3F3D">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⑶退货处理：乙方应退还甲方支付的合同款，同时应承担该货物的直接费用（运输、保险、检验、货款利息及银行手续费等）。</w:t>
      </w:r>
    </w:p>
    <w:p w14:paraId="5E325D66">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3.在质保期内，乙方应对货物出现的质量及安全问题负责处理解决并承担一切费用。人为破坏因素、自然因素等不可抗拒因素除外。</w:t>
      </w:r>
    </w:p>
    <w:p w14:paraId="2D3C6277">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4.上述的货物中原厂售后质量保证期为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年，从交货验收合格之日起计算，且在质保期内每年对货物进行一次全面检查、维护，并出具正式报告，质保期内因不能排除的故障而影响工作的情况每发生一次，其质保期相应延长60天，质保期内因货物本身缺陷造成各种故障应由乙方免费予以更换。</w:t>
      </w:r>
    </w:p>
    <w:p w14:paraId="34B89D35">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在质保期内，当设备或软件遭到损坏或出现故障时，要在甲方报修之时起乙方应在1小时内响应并提出解决方案，2小时内到现场进行故障处理，维修过程中所需材料在接到通知后应及时提供，最多不超过4小时。若（设备）短期无法修复，应提供相应备件并负责安装调试。质保期内因设备设计、质量出现问题，均由乙方即时无偿解决（包括更换器件），易损件除外（仅收取合理成本费用）；因操作不当或不可抗拒的原因产生的问题，由乙方提供技术服务，如需收费，只收取成本费和差旅费。质保期过后，乙方仍有义务提供技术服务（包括提供设备维护、备件等）。</w:t>
      </w:r>
    </w:p>
    <w:p w14:paraId="6563F21E">
      <w:pPr>
        <w:snapToGrid w:val="0"/>
        <w:spacing w:line="400" w:lineRule="exact"/>
        <w:ind w:firstLine="440"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乙方应提供指定专人和专有联系方式，保证信息联系顺畅，为甲方提供方便。乙方须在售后服务过程中建立不同的工程组，有序的投入到项目之中，并在每个环节均实施质量控制，有售后服务文档记录，保证实施过程中所有的细节均有案可查，做到实施过程可追溯；乙方应制定项目回访制度，检查设备运行状况，解决使用者遇到的问题，对项目的实施提供参考意见和建议；当设备出现故障，需要到现场进行抢修处理时，将安排进行应急抢修，彻底解决排除故障。</w:t>
      </w:r>
      <w:r>
        <w:rPr>
          <w:rFonts w:hint="eastAsia" w:ascii="宋体" w:hAnsi="宋体" w:eastAsia="宋体" w:cs="宋体"/>
          <w:color w:val="auto"/>
          <w:spacing w:val="-6"/>
          <w:sz w:val="22"/>
          <w:szCs w:val="22"/>
          <w:highlight w:val="none"/>
        </w:rPr>
        <w:t>其余保修条款详见投标文件和承诺表。</w:t>
      </w:r>
    </w:p>
    <w:p w14:paraId="13AA4594">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w:t>
      </w:r>
      <w:r>
        <w:rPr>
          <w:rFonts w:hint="eastAsia" w:ascii="宋体" w:hAnsi="宋体" w:eastAsia="宋体" w:cs="宋体"/>
          <w:color w:val="auto"/>
          <w:sz w:val="22"/>
          <w:szCs w:val="22"/>
          <w:highlight w:val="none"/>
        </w:rPr>
        <w:t>乙方自货物交付并验收合格之日起5年内，须免费提供一次货物搬迁、安装及调试服务。</w:t>
      </w:r>
    </w:p>
    <w:p w14:paraId="7E830A66">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第四条：技术资料</w:t>
      </w:r>
    </w:p>
    <w:p w14:paraId="0CECDA5B">
      <w:pPr>
        <w:numPr>
          <w:ilvl w:val="0"/>
          <w:numId w:val="9"/>
        </w:num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乙方应按公开招标文件规定的时间向甲方提供使用货物的有关技术资料。</w:t>
      </w:r>
    </w:p>
    <w:p w14:paraId="3B85916F">
      <w:pPr>
        <w:numPr>
          <w:ilvl w:val="0"/>
          <w:numId w:val="9"/>
        </w:num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8A3C307">
      <w:pPr>
        <w:numPr>
          <w:ilvl w:val="0"/>
          <w:numId w:val="9"/>
        </w:num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乙方应保证所提供的货物或其任何一部分均不会侵犯任何第三方的知识产权。</w:t>
      </w:r>
    </w:p>
    <w:p w14:paraId="11803FCD">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第五条：交货时间、地点</w:t>
      </w:r>
    </w:p>
    <w:p w14:paraId="65524727">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乙</w:t>
      </w:r>
      <w:r>
        <w:rPr>
          <w:rFonts w:hint="eastAsia" w:ascii="宋体" w:hAnsi="宋体" w:eastAsia="宋体" w:cs="宋体"/>
          <w:color w:val="auto"/>
          <w:sz w:val="22"/>
          <w:szCs w:val="22"/>
          <w:highlight w:val="none"/>
        </w:rPr>
        <w:t>方应于签订合同后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天内完成供货、安装、调试。</w:t>
      </w:r>
    </w:p>
    <w:p w14:paraId="51EF0B00">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第六条：培训、安装调试与验收</w:t>
      </w:r>
    </w:p>
    <w:p w14:paraId="6FF20760">
      <w:pPr>
        <w:spacing w:line="400" w:lineRule="exact"/>
        <w:ind w:firstLine="440" w:firstLineChars="200"/>
        <w:rPr>
          <w:rFonts w:hint="eastAsia" w:ascii="宋体" w:hAnsi="宋体" w:eastAsia="宋体" w:cs="宋体"/>
          <w:color w:val="auto"/>
          <w:sz w:val="22"/>
          <w:szCs w:val="22"/>
          <w:highlight w:val="none"/>
        </w:rPr>
      </w:pPr>
      <w:bookmarkStart w:id="465" w:name="_Toc32593"/>
      <w:r>
        <w:rPr>
          <w:rFonts w:hint="eastAsia" w:ascii="宋体" w:hAnsi="宋体" w:eastAsia="宋体" w:cs="宋体"/>
          <w:color w:val="auto"/>
          <w:sz w:val="22"/>
          <w:szCs w:val="22"/>
          <w:highlight w:val="none"/>
        </w:rPr>
        <w:t>1.培训：</w:t>
      </w:r>
      <w:bookmarkEnd w:id="465"/>
    </w:p>
    <w:p w14:paraId="51403821">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货物安装调试验收过程中，乙方安装工程师现场免费对甲方的操作人员、维修人员进行基本培训，培训内容包括货物结构介绍、操作软件使用、货物操作使用、简单制样操作、智能附件及消耗品更换、日常保养及维护等。</w:t>
      </w:r>
    </w:p>
    <w:p w14:paraId="41B7B644">
      <w:pPr>
        <w:spacing w:line="400" w:lineRule="exact"/>
        <w:ind w:firstLine="440" w:firstLineChars="200"/>
        <w:rPr>
          <w:rFonts w:hint="eastAsia" w:ascii="宋体" w:hAnsi="宋体" w:eastAsia="宋体" w:cs="宋体"/>
          <w:color w:val="auto"/>
          <w:sz w:val="22"/>
          <w:szCs w:val="22"/>
          <w:highlight w:val="none"/>
        </w:rPr>
      </w:pPr>
      <w:bookmarkStart w:id="466" w:name="_Toc2023"/>
      <w:r>
        <w:rPr>
          <w:rFonts w:hint="eastAsia" w:ascii="宋体" w:hAnsi="宋体" w:eastAsia="宋体" w:cs="宋体"/>
          <w:color w:val="auto"/>
          <w:sz w:val="22"/>
          <w:szCs w:val="22"/>
          <w:highlight w:val="none"/>
        </w:rPr>
        <w:t>2.技术支持：</w:t>
      </w:r>
      <w:bookmarkEnd w:id="466"/>
    </w:p>
    <w:p w14:paraId="5F022766">
      <w:pPr>
        <w:spacing w:line="400" w:lineRule="exact"/>
        <w:ind w:firstLine="440" w:firstLineChars="200"/>
        <w:rPr>
          <w:rFonts w:hint="eastAsia" w:ascii="宋体" w:hAnsi="宋体" w:eastAsia="宋体" w:cs="宋体"/>
          <w:color w:val="auto"/>
          <w:sz w:val="22"/>
          <w:szCs w:val="22"/>
          <w:highlight w:val="none"/>
        </w:rPr>
      </w:pPr>
      <w:bookmarkStart w:id="467" w:name="_Toc27100"/>
      <w:r>
        <w:rPr>
          <w:rFonts w:hint="eastAsia" w:ascii="宋体" w:hAnsi="宋体" w:eastAsia="宋体" w:cs="宋体"/>
          <w:color w:val="auto"/>
          <w:sz w:val="22"/>
          <w:szCs w:val="22"/>
          <w:highlight w:val="none"/>
        </w:rPr>
        <w:t>乙方应及时免费提供合同货物软件的升级，免费提供合同货物新功能和应用的资料。</w:t>
      </w:r>
      <w:bookmarkEnd w:id="467"/>
    </w:p>
    <w:p w14:paraId="03E2262D">
      <w:pPr>
        <w:spacing w:line="400" w:lineRule="exact"/>
        <w:ind w:firstLine="440" w:firstLineChars="200"/>
        <w:rPr>
          <w:rFonts w:hint="eastAsia" w:ascii="宋体" w:hAnsi="宋体" w:eastAsia="宋体" w:cs="宋体"/>
          <w:color w:val="auto"/>
          <w:sz w:val="22"/>
          <w:szCs w:val="22"/>
          <w:highlight w:val="none"/>
        </w:rPr>
      </w:pPr>
      <w:bookmarkStart w:id="468" w:name="_Toc24015"/>
      <w:r>
        <w:rPr>
          <w:rFonts w:hint="eastAsia" w:ascii="宋体" w:hAnsi="宋体" w:eastAsia="宋体" w:cs="宋体"/>
          <w:color w:val="auto"/>
          <w:sz w:val="22"/>
          <w:szCs w:val="22"/>
          <w:highlight w:val="none"/>
        </w:rPr>
        <w:t>3.安装调试（若需要安装调试）：乙方在规定时间内安装、调试货物，费用由乙方承担。</w:t>
      </w:r>
      <w:bookmarkEnd w:id="468"/>
    </w:p>
    <w:p w14:paraId="09FEDA41">
      <w:pPr>
        <w:spacing w:line="400" w:lineRule="exact"/>
        <w:ind w:firstLine="440" w:firstLineChars="200"/>
        <w:rPr>
          <w:rFonts w:hint="eastAsia" w:ascii="宋体" w:hAnsi="宋体" w:eastAsia="宋体" w:cs="宋体"/>
          <w:color w:val="auto"/>
          <w:sz w:val="22"/>
          <w:szCs w:val="22"/>
          <w:highlight w:val="none"/>
        </w:rPr>
      </w:pPr>
      <w:bookmarkStart w:id="469" w:name="_Toc23154"/>
      <w:r>
        <w:rPr>
          <w:rFonts w:hint="eastAsia" w:ascii="宋体" w:hAnsi="宋体" w:eastAsia="宋体" w:cs="宋体"/>
          <w:color w:val="auto"/>
          <w:sz w:val="22"/>
          <w:szCs w:val="22"/>
          <w:highlight w:val="none"/>
        </w:rPr>
        <w:t>3.1 安装地点：甲方指定地点。</w:t>
      </w:r>
      <w:bookmarkEnd w:id="469"/>
    </w:p>
    <w:p w14:paraId="57DB4D88">
      <w:pPr>
        <w:spacing w:line="400" w:lineRule="exact"/>
        <w:ind w:firstLine="440" w:firstLineChars="200"/>
        <w:rPr>
          <w:rFonts w:hint="eastAsia" w:ascii="宋体" w:hAnsi="宋体" w:eastAsia="宋体" w:cs="宋体"/>
          <w:color w:val="auto"/>
          <w:sz w:val="22"/>
          <w:szCs w:val="22"/>
          <w:highlight w:val="none"/>
        </w:rPr>
      </w:pPr>
      <w:bookmarkStart w:id="470" w:name="_Toc10560"/>
      <w:r>
        <w:rPr>
          <w:rFonts w:hint="eastAsia" w:ascii="宋体" w:hAnsi="宋体" w:eastAsia="宋体" w:cs="宋体"/>
          <w:color w:val="auto"/>
          <w:sz w:val="22"/>
          <w:szCs w:val="22"/>
          <w:highlight w:val="none"/>
        </w:rPr>
        <w:t>3.2 安装完成时间：接到甲方通知后在7日内完成安装和调试，如在规定的时间内由于乙方的原因不能完成安装和调试，乙方应承担由此给甲方造成的损失。</w:t>
      </w:r>
      <w:bookmarkEnd w:id="470"/>
    </w:p>
    <w:p w14:paraId="4D986E8D">
      <w:pPr>
        <w:spacing w:line="400" w:lineRule="exact"/>
        <w:ind w:firstLine="440" w:firstLineChars="200"/>
        <w:rPr>
          <w:rFonts w:hint="eastAsia" w:ascii="宋体" w:hAnsi="宋体" w:eastAsia="宋体" w:cs="宋体"/>
          <w:color w:val="auto"/>
          <w:sz w:val="22"/>
          <w:szCs w:val="22"/>
          <w:highlight w:val="none"/>
        </w:rPr>
      </w:pPr>
      <w:bookmarkStart w:id="471" w:name="_Toc17444"/>
      <w:r>
        <w:rPr>
          <w:rFonts w:hint="eastAsia" w:ascii="宋体" w:hAnsi="宋体" w:eastAsia="宋体" w:cs="宋体"/>
          <w:color w:val="auto"/>
          <w:sz w:val="22"/>
          <w:szCs w:val="22"/>
          <w:highlight w:val="none"/>
        </w:rPr>
        <w:t>3.3 安装标准：符合我国国家有关技术规范要求和技术标准，所有的软件和硬件必须保证同时安装到位。</w:t>
      </w:r>
      <w:bookmarkEnd w:id="471"/>
    </w:p>
    <w:p w14:paraId="1296DCEF">
      <w:pPr>
        <w:spacing w:line="400" w:lineRule="exact"/>
        <w:ind w:firstLine="440" w:firstLineChars="200"/>
        <w:rPr>
          <w:rFonts w:hint="eastAsia" w:ascii="宋体" w:hAnsi="宋体" w:eastAsia="宋体" w:cs="宋体"/>
          <w:color w:val="auto"/>
          <w:sz w:val="22"/>
          <w:szCs w:val="22"/>
          <w:highlight w:val="none"/>
        </w:rPr>
      </w:pPr>
      <w:bookmarkStart w:id="472" w:name="_Toc7490"/>
      <w:r>
        <w:rPr>
          <w:rFonts w:hint="eastAsia" w:ascii="宋体" w:hAnsi="宋体" w:eastAsia="宋体" w:cs="宋体"/>
          <w:color w:val="auto"/>
          <w:sz w:val="22"/>
          <w:szCs w:val="22"/>
          <w:highlight w:val="none"/>
        </w:rPr>
        <w:t>3.4 乙方免费提供合同货物的安装服务。</w:t>
      </w:r>
      <w:bookmarkEnd w:id="472"/>
    </w:p>
    <w:p w14:paraId="6ED6E35C">
      <w:pPr>
        <w:spacing w:line="400" w:lineRule="exact"/>
        <w:ind w:firstLine="440" w:firstLineChars="200"/>
        <w:rPr>
          <w:rFonts w:hint="eastAsia" w:ascii="宋体" w:hAnsi="宋体" w:eastAsia="宋体" w:cs="宋体"/>
          <w:color w:val="auto"/>
          <w:sz w:val="22"/>
          <w:szCs w:val="22"/>
          <w:highlight w:val="none"/>
        </w:rPr>
      </w:pPr>
      <w:bookmarkStart w:id="473" w:name="_Toc5495"/>
      <w:r>
        <w:rPr>
          <w:rFonts w:hint="eastAsia" w:ascii="宋体" w:hAnsi="宋体" w:eastAsia="宋体" w:cs="宋体"/>
          <w:color w:val="auto"/>
          <w:sz w:val="22"/>
          <w:szCs w:val="22"/>
          <w:highlight w:val="none"/>
        </w:rPr>
        <w:t>3.5 乙方在投标文件中应提供安装调试计划、对安装场地和环境的要求。</w:t>
      </w:r>
      <w:bookmarkEnd w:id="473"/>
    </w:p>
    <w:p w14:paraId="47E83CF2">
      <w:pPr>
        <w:spacing w:line="400" w:lineRule="exact"/>
        <w:ind w:firstLine="440" w:firstLineChars="200"/>
        <w:rPr>
          <w:rFonts w:hint="eastAsia" w:ascii="宋体" w:hAnsi="宋体" w:eastAsia="宋体" w:cs="宋体"/>
          <w:color w:val="auto"/>
          <w:sz w:val="22"/>
          <w:szCs w:val="22"/>
          <w:highlight w:val="none"/>
        </w:rPr>
      </w:pPr>
      <w:bookmarkStart w:id="474" w:name="_Toc24415"/>
      <w:r>
        <w:rPr>
          <w:rFonts w:hint="eastAsia" w:ascii="宋体" w:hAnsi="宋体" w:eastAsia="宋体" w:cs="宋体"/>
          <w:color w:val="auto"/>
          <w:sz w:val="22"/>
          <w:szCs w:val="22"/>
          <w:highlight w:val="none"/>
        </w:rPr>
        <w:t>4.甲方对乙方提交的货物依据公开招标文件上的技术规格要求和国家有关质量标准进行现场初步验收，外观、说明书符合公开招标文件技术要求的，给予签收，初步验收不合格的不予签收。</w:t>
      </w:r>
      <w:bookmarkEnd w:id="474"/>
    </w:p>
    <w:p w14:paraId="661ED146">
      <w:pPr>
        <w:spacing w:line="400" w:lineRule="exact"/>
        <w:ind w:firstLine="440" w:firstLineChars="200"/>
        <w:rPr>
          <w:rFonts w:hint="eastAsia" w:ascii="宋体" w:hAnsi="宋体" w:eastAsia="宋体" w:cs="宋体"/>
          <w:color w:val="auto"/>
          <w:sz w:val="22"/>
          <w:szCs w:val="22"/>
          <w:highlight w:val="none"/>
        </w:rPr>
      </w:pPr>
      <w:bookmarkStart w:id="475" w:name="_Toc29311"/>
      <w:r>
        <w:rPr>
          <w:rFonts w:hint="eastAsia" w:ascii="宋体" w:hAnsi="宋体" w:eastAsia="宋体" w:cs="宋体"/>
          <w:color w:val="auto"/>
          <w:sz w:val="22"/>
          <w:szCs w:val="22"/>
          <w:highlight w:val="none"/>
        </w:rPr>
        <w:t>5.乙方应提供合同货物的有效检验文件，经甲方认可后，与合同的性能指标一起作为合同货物验收标准。甲方对样品（如有）验收合格后，双方共同签署验收样品合格证书，在合同期限内甲方将对乙方提供的货物进行抽检验收，验收中发现合同货物达不到样品验收标准或合同规定的性能指标，乙方必须更换合同货物，并负担由此给甲方造成的损失，直到验收合格为止。</w:t>
      </w:r>
      <w:bookmarkEnd w:id="475"/>
    </w:p>
    <w:p w14:paraId="58E396CC">
      <w:pPr>
        <w:spacing w:line="400" w:lineRule="exact"/>
        <w:ind w:firstLine="440" w:firstLineChars="200"/>
        <w:rPr>
          <w:rFonts w:hint="eastAsia" w:ascii="宋体" w:hAnsi="宋体" w:eastAsia="宋体" w:cs="宋体"/>
          <w:color w:val="auto"/>
          <w:sz w:val="22"/>
          <w:szCs w:val="22"/>
          <w:highlight w:val="none"/>
        </w:rPr>
      </w:pPr>
      <w:bookmarkStart w:id="476" w:name="_Toc3394"/>
      <w:r>
        <w:rPr>
          <w:rFonts w:hint="eastAsia" w:ascii="宋体" w:hAnsi="宋体" w:eastAsia="宋体" w:cs="宋体"/>
          <w:color w:val="auto"/>
          <w:sz w:val="22"/>
          <w:szCs w:val="22"/>
          <w:highlight w:val="none"/>
        </w:rPr>
        <w:t>6.乙方应于投标文件中提供合同货物的验收标准和检测办法，并在验收中提供甲方认可的相应检测手段，验收标准应符合中国有关的国家、地方、行业的标准，如若中标，经甲方确认后作为验收的依据，乙方交货前应对产品作出全面检查和对验收文件进行整理，并列出清单，作为甲方收货验收和使用的技术条件依据，检验的结果应随货物交甲方。</w:t>
      </w:r>
      <w:bookmarkEnd w:id="476"/>
    </w:p>
    <w:p w14:paraId="23BB89A8">
      <w:pPr>
        <w:spacing w:line="400" w:lineRule="exact"/>
        <w:ind w:firstLine="440" w:firstLineChars="200"/>
        <w:rPr>
          <w:rFonts w:hint="eastAsia" w:ascii="宋体" w:hAnsi="宋体" w:eastAsia="宋体" w:cs="宋体"/>
          <w:color w:val="auto"/>
          <w:sz w:val="22"/>
          <w:szCs w:val="22"/>
          <w:highlight w:val="none"/>
        </w:rPr>
      </w:pPr>
      <w:bookmarkStart w:id="477" w:name="_Toc3203"/>
      <w:r>
        <w:rPr>
          <w:rFonts w:hint="eastAsia" w:ascii="宋体" w:hAnsi="宋体" w:eastAsia="宋体" w:cs="宋体"/>
          <w:color w:val="auto"/>
          <w:sz w:val="22"/>
          <w:szCs w:val="22"/>
          <w:highlight w:val="none"/>
        </w:rPr>
        <w:t>7.如乙方委托国内代理（或其他机构）负责安装或配合安装，应在签约时指明，但乙方仍要对合同货物及其安装质量负全部责任。</w:t>
      </w:r>
      <w:bookmarkEnd w:id="477"/>
    </w:p>
    <w:p w14:paraId="72A1275F">
      <w:pPr>
        <w:spacing w:line="400" w:lineRule="exact"/>
        <w:ind w:firstLine="440" w:firstLineChars="200"/>
        <w:rPr>
          <w:rFonts w:hint="eastAsia" w:ascii="宋体" w:hAnsi="宋体" w:eastAsia="宋体" w:cs="宋体"/>
          <w:color w:val="auto"/>
          <w:sz w:val="22"/>
          <w:szCs w:val="22"/>
          <w:highlight w:val="none"/>
        </w:rPr>
      </w:pPr>
      <w:bookmarkStart w:id="478" w:name="_Toc31829"/>
      <w:r>
        <w:rPr>
          <w:rFonts w:hint="eastAsia" w:ascii="宋体" w:hAnsi="宋体" w:eastAsia="宋体" w:cs="宋体"/>
          <w:color w:val="auto"/>
          <w:sz w:val="22"/>
          <w:szCs w:val="22"/>
          <w:highlight w:val="none"/>
        </w:rPr>
        <w:t>8.甲方对乙方提供的货物在使用前进行调试时，乙方需负责安装并培训甲方的使用操作人员，并协助甲方一起调试，直到符合技术要求，甲方才做最终验收。</w:t>
      </w:r>
      <w:bookmarkEnd w:id="478"/>
    </w:p>
    <w:p w14:paraId="54892AD2">
      <w:pPr>
        <w:spacing w:line="400" w:lineRule="exact"/>
        <w:ind w:firstLine="440" w:firstLineChars="200"/>
        <w:rPr>
          <w:rFonts w:hint="eastAsia" w:ascii="宋体" w:hAnsi="宋体" w:eastAsia="宋体" w:cs="宋体"/>
          <w:color w:val="auto"/>
          <w:sz w:val="22"/>
          <w:szCs w:val="22"/>
          <w:highlight w:val="none"/>
        </w:rPr>
      </w:pPr>
      <w:bookmarkStart w:id="479" w:name="_Toc3987"/>
      <w:r>
        <w:rPr>
          <w:rFonts w:hint="eastAsia" w:ascii="宋体" w:hAnsi="宋体" w:eastAsia="宋体" w:cs="宋体"/>
          <w:color w:val="auto"/>
          <w:sz w:val="22"/>
          <w:szCs w:val="22"/>
          <w:highlight w:val="none"/>
        </w:rPr>
        <w:t>9.对技术复杂的货物，甲方应请国家认可的专业检测机构参与初步验收及最终验收，并由其出具质量检测报告。</w:t>
      </w:r>
      <w:bookmarkEnd w:id="479"/>
    </w:p>
    <w:p w14:paraId="6A51F720">
      <w:pPr>
        <w:spacing w:line="400" w:lineRule="exact"/>
        <w:ind w:firstLine="440" w:firstLineChars="200"/>
        <w:rPr>
          <w:rFonts w:hint="eastAsia" w:ascii="宋体" w:hAnsi="宋体" w:eastAsia="宋体" w:cs="宋体"/>
          <w:color w:val="auto"/>
          <w:sz w:val="22"/>
          <w:szCs w:val="22"/>
          <w:highlight w:val="none"/>
        </w:rPr>
      </w:pPr>
      <w:bookmarkStart w:id="480" w:name="_Toc27502"/>
      <w:r>
        <w:rPr>
          <w:rFonts w:hint="eastAsia" w:ascii="宋体" w:hAnsi="宋体" w:eastAsia="宋体" w:cs="宋体"/>
          <w:color w:val="auto"/>
          <w:sz w:val="22"/>
          <w:szCs w:val="22"/>
          <w:highlight w:val="none"/>
        </w:rPr>
        <w:t>10.验收时乙方必须在现场，验收完毕后作出验收结果报告。</w:t>
      </w:r>
      <w:bookmarkEnd w:id="480"/>
    </w:p>
    <w:p w14:paraId="4424EC74">
      <w:pPr>
        <w:spacing w:line="400" w:lineRule="exact"/>
        <w:ind w:firstLine="440" w:firstLineChars="200"/>
        <w:rPr>
          <w:rFonts w:hint="eastAsia" w:ascii="宋体" w:hAnsi="宋体" w:eastAsia="宋体" w:cs="宋体"/>
          <w:color w:val="auto"/>
          <w:sz w:val="22"/>
          <w:szCs w:val="22"/>
          <w:highlight w:val="none"/>
        </w:rPr>
      </w:pPr>
      <w:bookmarkStart w:id="481" w:name="_Toc7694"/>
      <w:r>
        <w:rPr>
          <w:rFonts w:hint="eastAsia" w:ascii="宋体" w:hAnsi="宋体" w:eastAsia="宋体" w:cs="宋体"/>
          <w:color w:val="auto"/>
          <w:sz w:val="22"/>
          <w:szCs w:val="22"/>
          <w:highlight w:val="none"/>
        </w:rPr>
        <w:t>11.如发现有重大的质量问题，甲乙双方均同意提请国家法定检测机构鉴定，如检测结果证明产品无质量问题，由甲方承担检测费用；如检测结果证明产品有质量问题，由乙方承担检测费用，同时乙方同意甲方无条件退货并支付给甲方货款总价10％的赔偿金。</w:t>
      </w:r>
      <w:bookmarkEnd w:id="481"/>
    </w:p>
    <w:p w14:paraId="5A8BEB95">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第七条：货款的支付</w:t>
      </w:r>
    </w:p>
    <w:p w14:paraId="0662CDE4">
      <w:pPr>
        <w:spacing w:line="400" w:lineRule="exact"/>
        <w:ind w:firstLine="418" w:firstLineChars="200"/>
        <w:rPr>
          <w:rFonts w:hint="eastAsia" w:ascii="宋体" w:hAnsi="宋体" w:eastAsia="宋体" w:cs="宋体"/>
          <w:b/>
          <w:color w:val="auto"/>
          <w:spacing w:val="-6"/>
          <w:sz w:val="22"/>
          <w:szCs w:val="22"/>
          <w:highlight w:val="none"/>
        </w:rPr>
      </w:pPr>
      <w:bookmarkStart w:id="482" w:name="_Toc24266"/>
      <w:r>
        <w:rPr>
          <w:rFonts w:hint="eastAsia" w:ascii="宋体" w:hAnsi="宋体" w:eastAsia="宋体" w:cs="宋体"/>
          <w:b/>
          <w:color w:val="auto"/>
          <w:spacing w:val="-6"/>
          <w:sz w:val="22"/>
          <w:szCs w:val="22"/>
          <w:highlight w:val="none"/>
        </w:rPr>
        <w:t>1.履约保证金：</w:t>
      </w:r>
      <w:bookmarkEnd w:id="482"/>
    </w:p>
    <w:p w14:paraId="378DFEB7">
      <w:pPr>
        <w:spacing w:line="400" w:lineRule="exact"/>
        <w:ind w:firstLine="416" w:firstLineChars="200"/>
        <w:rPr>
          <w:rFonts w:hint="eastAsia" w:ascii="宋体" w:hAnsi="宋体" w:eastAsia="宋体" w:cs="宋体"/>
          <w:color w:val="auto"/>
          <w:spacing w:val="-6"/>
          <w:sz w:val="22"/>
          <w:szCs w:val="22"/>
          <w:highlight w:val="none"/>
        </w:rPr>
      </w:pPr>
      <w:bookmarkStart w:id="483" w:name="_Toc20784"/>
      <w:r>
        <w:rPr>
          <w:rFonts w:hint="eastAsia" w:ascii="宋体" w:hAnsi="宋体" w:eastAsia="宋体" w:cs="宋体"/>
          <w:color w:val="auto"/>
          <w:spacing w:val="-6"/>
          <w:sz w:val="22"/>
          <w:szCs w:val="22"/>
          <w:highlight w:val="none"/>
        </w:rPr>
        <w:t>履约保证金金额：</w:t>
      </w:r>
      <w:r>
        <w:rPr>
          <w:rFonts w:hint="eastAsia" w:ascii="宋体" w:hAnsi="宋体" w:eastAsia="宋体" w:cs="宋体"/>
          <w:color w:val="auto"/>
          <w:kern w:val="0"/>
          <w:sz w:val="22"/>
          <w:szCs w:val="22"/>
          <w:highlight w:val="none"/>
        </w:rPr>
        <w:t>合同金额的</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spacing w:val="-6"/>
          <w:sz w:val="22"/>
          <w:szCs w:val="22"/>
          <w:highlight w:val="none"/>
          <w:lang w:eastAsia="zh-CN"/>
        </w:rPr>
        <w:t>（</w:t>
      </w:r>
      <w:r>
        <w:rPr>
          <w:rFonts w:hint="eastAsia" w:ascii="宋体" w:hAnsi="宋体" w:eastAsia="宋体" w:cs="宋体"/>
          <w:b/>
          <w:bCs/>
          <w:color w:val="auto"/>
          <w:spacing w:val="-6"/>
          <w:sz w:val="22"/>
          <w:szCs w:val="22"/>
          <w:highlight w:val="none"/>
          <w:lang w:val="en-US" w:eastAsia="zh-CN"/>
        </w:rPr>
        <w:t>被财政部门列入不良行为记录名单的供应商，参加本项目政府采购活动的向采购人提交合同金额10%的履约保证金；未被财政部门列入不良行为记录名单的供应商，参加本项目政府采购活动的向采购人提交合同金额1%的履约保证金。</w:t>
      </w:r>
      <w:r>
        <w:rPr>
          <w:rFonts w:hint="eastAsia" w:ascii="宋体" w:hAnsi="宋体" w:eastAsia="宋体" w:cs="宋体"/>
          <w:b/>
          <w:bCs/>
          <w:color w:val="auto"/>
          <w:spacing w:val="-6"/>
          <w:sz w:val="22"/>
          <w:szCs w:val="22"/>
          <w:highlight w:val="none"/>
          <w:lang w:eastAsia="zh-CN"/>
        </w:rPr>
        <w:t>）</w:t>
      </w:r>
      <w:r>
        <w:rPr>
          <w:rFonts w:hint="eastAsia" w:ascii="宋体" w:hAnsi="宋体" w:eastAsia="宋体" w:cs="宋体"/>
          <w:b/>
          <w:bCs/>
          <w:color w:val="auto"/>
          <w:spacing w:val="-6"/>
          <w:sz w:val="22"/>
          <w:szCs w:val="22"/>
          <w:highlight w:val="none"/>
        </w:rPr>
        <w:t>；</w:t>
      </w:r>
      <w:bookmarkEnd w:id="483"/>
    </w:p>
    <w:p w14:paraId="38D4FFC7">
      <w:pPr>
        <w:spacing w:line="400" w:lineRule="exact"/>
        <w:ind w:firstLine="440" w:firstLineChars="200"/>
        <w:rPr>
          <w:rFonts w:hint="eastAsia" w:ascii="宋体" w:hAnsi="宋体" w:eastAsia="宋体" w:cs="宋体"/>
          <w:b/>
          <w:bCs/>
          <w:color w:val="auto"/>
          <w:spacing w:val="-6"/>
          <w:sz w:val="22"/>
          <w:szCs w:val="22"/>
          <w:highlight w:val="none"/>
        </w:rPr>
      </w:pPr>
      <w:bookmarkStart w:id="484" w:name="_Toc24800"/>
      <w:r>
        <w:rPr>
          <w:rFonts w:hint="eastAsia" w:ascii="宋体" w:hAnsi="宋体" w:eastAsia="宋体" w:cs="宋体"/>
          <w:color w:val="auto"/>
          <w:kern w:val="0"/>
          <w:sz w:val="22"/>
          <w:szCs w:val="22"/>
          <w:highlight w:val="none"/>
        </w:rPr>
        <w:t>履约保证金支付方式：由乙方在</w:t>
      </w:r>
      <w:r>
        <w:rPr>
          <w:rFonts w:hint="eastAsia" w:ascii="宋体" w:hAnsi="宋体" w:eastAsia="宋体" w:cs="宋体"/>
          <w:color w:val="auto"/>
          <w:spacing w:val="-6"/>
          <w:sz w:val="22"/>
          <w:szCs w:val="22"/>
          <w:highlight w:val="none"/>
        </w:rPr>
        <w:t>合同签订后5个工作日内，</w:t>
      </w:r>
      <w:r>
        <w:rPr>
          <w:rFonts w:hint="eastAsia" w:ascii="宋体" w:hAnsi="宋体" w:eastAsia="宋体" w:cs="宋体"/>
          <w:color w:val="auto"/>
          <w:sz w:val="22"/>
          <w:szCs w:val="22"/>
          <w:highlight w:val="none"/>
        </w:rPr>
        <w:t>以支票、汇票、本票或者金融机构、担保机构出具的保函等非现金形式</w:t>
      </w:r>
      <w:r>
        <w:rPr>
          <w:rFonts w:hint="eastAsia" w:ascii="宋体" w:hAnsi="宋体" w:eastAsia="宋体" w:cs="宋体"/>
          <w:color w:val="auto"/>
          <w:kern w:val="0"/>
          <w:sz w:val="22"/>
          <w:szCs w:val="22"/>
          <w:highlight w:val="none"/>
        </w:rPr>
        <w:t>向甲方缴纳。</w:t>
      </w:r>
      <w:bookmarkEnd w:id="484"/>
    </w:p>
    <w:p w14:paraId="7ADE65AB">
      <w:pPr>
        <w:spacing w:line="400" w:lineRule="exact"/>
        <w:ind w:firstLine="416" w:firstLineChars="200"/>
        <w:rPr>
          <w:rFonts w:hint="eastAsia" w:ascii="宋体" w:hAnsi="宋体" w:eastAsia="宋体" w:cs="宋体"/>
          <w:color w:val="auto"/>
          <w:kern w:val="0"/>
          <w:sz w:val="22"/>
          <w:szCs w:val="22"/>
          <w:highlight w:val="none"/>
        </w:rPr>
      </w:pPr>
      <w:bookmarkStart w:id="485" w:name="_Toc12053"/>
      <w:r>
        <w:rPr>
          <w:rFonts w:hint="eastAsia" w:ascii="宋体" w:hAnsi="宋体" w:eastAsia="宋体" w:cs="宋体"/>
          <w:color w:val="auto"/>
          <w:spacing w:val="-6"/>
          <w:sz w:val="22"/>
          <w:szCs w:val="22"/>
          <w:highlight w:val="none"/>
        </w:rPr>
        <w:t>履约保证金退还：</w:t>
      </w:r>
      <w:r>
        <w:rPr>
          <w:rFonts w:hint="eastAsia" w:ascii="宋体" w:hAnsi="宋体" w:eastAsia="宋体" w:cs="宋体"/>
          <w:color w:val="auto"/>
          <w:kern w:val="0"/>
          <w:sz w:val="22"/>
          <w:szCs w:val="22"/>
          <w:highlight w:val="none"/>
        </w:rPr>
        <w:t>甲方在项目验收结束后及时退还履约保证金。甲方在项目通过验收之日起</w:t>
      </w:r>
      <w:r>
        <w:rPr>
          <w:rFonts w:hint="eastAsia" w:ascii="宋体" w:hAnsi="宋体" w:eastAsia="宋体" w:cs="宋体"/>
          <w:color w:val="auto"/>
          <w:kern w:val="0"/>
          <w:sz w:val="22"/>
          <w:szCs w:val="22"/>
          <w:highlight w:val="none"/>
          <w:u w:val="single"/>
        </w:rPr>
        <w:t xml:space="preserve"> 7 </w:t>
      </w:r>
      <w:r>
        <w:rPr>
          <w:rFonts w:hint="eastAsia" w:ascii="宋体" w:hAnsi="宋体" w:eastAsia="宋体" w:cs="宋体"/>
          <w:color w:val="auto"/>
          <w:kern w:val="0"/>
          <w:sz w:val="22"/>
          <w:szCs w:val="22"/>
          <w:highlight w:val="none"/>
        </w:rPr>
        <w:t>个工作日内将履约保证金无息退还乙方，逾期退还的，</w:t>
      </w:r>
      <w:r>
        <w:rPr>
          <w:rFonts w:hint="eastAsia" w:ascii="宋体" w:hAnsi="宋体" w:eastAsia="宋体" w:cs="宋体"/>
          <w:color w:val="auto"/>
          <w:sz w:val="22"/>
          <w:szCs w:val="22"/>
          <w:highlight w:val="none"/>
        </w:rPr>
        <w:t>乙方有权向甲方提出赔偿，赔偿金额按照中国人民银行规定的金融机构计收逾期利息的标准计算</w:t>
      </w:r>
      <w:r>
        <w:rPr>
          <w:rFonts w:hint="eastAsia" w:ascii="宋体" w:hAnsi="宋体" w:eastAsia="宋体" w:cs="宋体"/>
          <w:color w:val="auto"/>
          <w:kern w:val="0"/>
          <w:sz w:val="22"/>
          <w:szCs w:val="22"/>
          <w:highlight w:val="none"/>
        </w:rPr>
        <w:t>。</w:t>
      </w:r>
      <w:bookmarkEnd w:id="485"/>
    </w:p>
    <w:p w14:paraId="31CDD80E">
      <w:pPr>
        <w:tabs>
          <w:tab w:val="left" w:pos="0"/>
          <w:tab w:val="left" w:pos="432"/>
        </w:tabs>
        <w:spacing w:line="400" w:lineRule="exact"/>
        <w:ind w:firstLine="440" w:firstLineChars="200"/>
        <w:rPr>
          <w:rFonts w:hint="eastAsia" w:ascii="宋体" w:hAnsi="宋体" w:eastAsia="宋体" w:cs="宋体"/>
          <w:color w:val="auto"/>
          <w:sz w:val="22"/>
          <w:szCs w:val="22"/>
          <w:highlight w:val="none"/>
        </w:rPr>
      </w:pPr>
      <w:bookmarkStart w:id="486" w:name="_Toc30425"/>
      <w:r>
        <w:rPr>
          <w:rFonts w:hint="eastAsia" w:ascii="宋体" w:hAnsi="宋体" w:eastAsia="宋体" w:cs="宋体"/>
          <w:bCs/>
          <w:color w:val="auto"/>
          <w:sz w:val="22"/>
          <w:szCs w:val="22"/>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bookmarkEnd w:id="486"/>
    </w:p>
    <w:p w14:paraId="33A2AAA1">
      <w:pPr>
        <w:spacing w:line="400" w:lineRule="exact"/>
        <w:ind w:firstLine="418" w:firstLineChars="200"/>
        <w:rPr>
          <w:rFonts w:hint="eastAsia" w:ascii="宋体" w:hAnsi="宋体" w:eastAsia="宋体" w:cs="宋体"/>
          <w:color w:val="auto"/>
          <w:kern w:val="0"/>
          <w:sz w:val="22"/>
          <w:szCs w:val="22"/>
          <w:highlight w:val="none"/>
        </w:rPr>
      </w:pPr>
      <w:bookmarkStart w:id="487" w:name="_Toc18904"/>
      <w:r>
        <w:rPr>
          <w:rFonts w:hint="eastAsia" w:ascii="宋体" w:hAnsi="宋体" w:eastAsia="宋体" w:cs="宋体"/>
          <w:b/>
          <w:color w:val="auto"/>
          <w:spacing w:val="-6"/>
          <w:sz w:val="22"/>
          <w:szCs w:val="22"/>
          <w:highlight w:val="none"/>
        </w:rPr>
        <w:t>2.付款方式：</w:t>
      </w:r>
      <w:r>
        <w:rPr>
          <w:rFonts w:hint="eastAsia" w:ascii="宋体" w:hAnsi="宋体" w:eastAsia="宋体" w:cs="宋体"/>
          <w:color w:val="auto"/>
          <w:kern w:val="0"/>
          <w:sz w:val="22"/>
          <w:szCs w:val="22"/>
          <w:highlight w:val="none"/>
        </w:rPr>
        <w:t>合同生效以及具备实施条件后7个工作日内，甲方向乙方支付合同总价</w:t>
      </w:r>
      <w:r>
        <w:rPr>
          <w:rFonts w:hint="eastAsia" w:ascii="宋体" w:hAnsi="宋体" w:eastAsia="宋体" w:cs="宋体"/>
          <w:color w:val="auto"/>
          <w:kern w:val="0"/>
          <w:sz w:val="22"/>
          <w:szCs w:val="22"/>
          <w:highlight w:val="none"/>
          <w:lang w:val="en-US" w:eastAsia="zh-CN"/>
        </w:rPr>
        <w:t>30</w:t>
      </w:r>
      <w:r>
        <w:rPr>
          <w:rFonts w:hint="eastAsia" w:ascii="宋体" w:hAnsi="宋体" w:eastAsia="宋体" w:cs="宋体"/>
          <w:color w:val="auto"/>
          <w:kern w:val="0"/>
          <w:sz w:val="22"/>
          <w:szCs w:val="22"/>
          <w:highlight w:val="none"/>
        </w:rPr>
        <w:t>%的预付款，合同尾款在</w:t>
      </w:r>
      <w:r>
        <w:rPr>
          <w:rFonts w:hint="eastAsia" w:ascii="宋体" w:hAnsi="宋体" w:eastAsia="宋体" w:cs="宋体"/>
          <w:color w:val="auto"/>
          <w:kern w:val="0"/>
          <w:sz w:val="22"/>
          <w:szCs w:val="22"/>
          <w:highlight w:val="none"/>
          <w:lang w:val="zh-CN"/>
        </w:rPr>
        <w:t>乙方完成全部供货及安装、调试、培训</w:t>
      </w:r>
      <w:r>
        <w:rPr>
          <w:rFonts w:hint="eastAsia" w:ascii="宋体" w:hAnsi="宋体" w:eastAsia="宋体" w:cs="宋体"/>
          <w:color w:val="auto"/>
          <w:kern w:val="0"/>
          <w:sz w:val="22"/>
          <w:szCs w:val="22"/>
          <w:highlight w:val="none"/>
        </w:rPr>
        <w:t>且经甲方验收合格后支付</w:t>
      </w:r>
      <w:r>
        <w:rPr>
          <w:rFonts w:hint="eastAsia" w:ascii="宋体" w:hAnsi="宋体" w:eastAsia="宋体" w:cs="宋体"/>
          <w:color w:val="auto"/>
          <w:kern w:val="0"/>
          <w:sz w:val="22"/>
          <w:szCs w:val="22"/>
          <w:highlight w:val="none"/>
          <w:lang w:val="zh-CN"/>
        </w:rPr>
        <w:t>。</w:t>
      </w:r>
      <w:bookmarkEnd w:id="487"/>
    </w:p>
    <w:p w14:paraId="7283257B">
      <w:pPr>
        <w:spacing w:line="400" w:lineRule="exact"/>
        <w:ind w:firstLine="440" w:firstLineChars="200"/>
        <w:rPr>
          <w:rFonts w:hint="eastAsia" w:ascii="宋体" w:hAnsi="宋体" w:eastAsia="宋体" w:cs="宋体"/>
          <w:b/>
          <w:color w:val="auto"/>
          <w:spacing w:val="-6"/>
          <w:sz w:val="22"/>
          <w:szCs w:val="22"/>
          <w:highlight w:val="none"/>
        </w:rPr>
      </w:pPr>
      <w:bookmarkStart w:id="488" w:name="_Toc19880"/>
      <w:r>
        <w:rPr>
          <w:rFonts w:hint="eastAsia" w:ascii="宋体" w:hAnsi="宋体" w:eastAsia="宋体" w:cs="宋体"/>
          <w:color w:val="auto"/>
          <w:kern w:val="0"/>
          <w:sz w:val="22"/>
          <w:szCs w:val="22"/>
          <w:highlight w:val="none"/>
        </w:rPr>
        <w:t>注：在合同签订时，乙方明确表示无需预付款或者主动要求降低预付款比例的，按实际比例计。甲方对于满足合同约定支付条件的，自收到发票后7个工作日内将资金支付到合同约定的乙方账户。</w:t>
      </w:r>
      <w:bookmarkEnd w:id="488"/>
    </w:p>
    <w:p w14:paraId="49E6B24A">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第八条：违约责任</w:t>
      </w:r>
    </w:p>
    <w:p w14:paraId="06457C1C">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cs="宋体"/>
          <w:color w:val="auto"/>
          <w:spacing w:val="-6"/>
          <w:sz w:val="22"/>
          <w:szCs w:val="22"/>
          <w:highlight w:val="none"/>
          <w:lang w:eastAsia="zh-CN"/>
        </w:rPr>
        <w:t>1.</w:t>
      </w:r>
      <w:r>
        <w:rPr>
          <w:rFonts w:hint="eastAsia" w:ascii="宋体" w:hAnsi="宋体" w:eastAsia="宋体" w:cs="宋体"/>
          <w:color w:val="auto"/>
          <w:spacing w:val="-6"/>
          <w:sz w:val="22"/>
          <w:szCs w:val="22"/>
          <w:highlight w:val="none"/>
        </w:rPr>
        <w:t>乙方逾期履行合同的，自逾期之日起，向甲方每周偿付合同总价千分之五的滞纳金。</w:t>
      </w:r>
    </w:p>
    <w:p w14:paraId="32BDDDF8">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cs="宋体"/>
          <w:color w:val="auto"/>
          <w:spacing w:val="-6"/>
          <w:sz w:val="22"/>
          <w:szCs w:val="22"/>
          <w:highlight w:val="none"/>
          <w:lang w:eastAsia="zh-CN"/>
        </w:rPr>
        <w:t>2.</w:t>
      </w:r>
      <w:r>
        <w:rPr>
          <w:rFonts w:hint="eastAsia" w:ascii="宋体" w:hAnsi="宋体" w:eastAsia="宋体" w:cs="宋体"/>
          <w:color w:val="auto"/>
          <w:spacing w:val="-6"/>
          <w:sz w:val="22"/>
          <w:szCs w:val="22"/>
          <w:highlight w:val="none"/>
        </w:rPr>
        <w:t>甲方逾期支付货款的，自逾期之日起，向乙方每周偿付未付价款千分之五的滞纳金。</w:t>
      </w:r>
    </w:p>
    <w:p w14:paraId="4A4908E1">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3.如验收不能达到质量功能（性能）标准，应及时处理直至验收合格，所需费用由乙方承担。如二次验收不合格，甲方有权退货，甲方在此期间保留对乙方的索赔权利。</w:t>
      </w:r>
    </w:p>
    <w:p w14:paraId="69A10055">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乙方所交的货物品种、型号、规格、技术参数、质量不符合合同规定及公开招标文件规定标准的，甲方有权拒收该货物，乙方愿意更换货物但逾期交货的，按乙方逾期交货处理。乙方拒绝更换货物的，甲方可单方面解除合同。</w:t>
      </w:r>
    </w:p>
    <w:p w14:paraId="1E50F5FD">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第九条：不可抗力事件处理</w:t>
      </w:r>
    </w:p>
    <w:p w14:paraId="10365C1A">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1.在合同有效期内，任何一方因不可抗力事件导致不能履行合同，则合同履行期可延长，其延长期与不可抗力影响期相同。</w:t>
      </w:r>
    </w:p>
    <w:p w14:paraId="37864D02">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2.不可抗力事件发生后，应立即通知对方，并寄送有关权威机构出具的证明。</w:t>
      </w:r>
    </w:p>
    <w:p w14:paraId="1EF61FF6">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3.不可抗力事件延续120天以上，双方应通过友好协商，确定是否继续履行合同。</w:t>
      </w:r>
    </w:p>
    <w:p w14:paraId="3070668D">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第十条：争议解决</w:t>
      </w:r>
    </w:p>
    <w:p w14:paraId="272D2C96">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本合同未尽事宜由三方协商解决，如协商不成，三方同意将本合同引起的争议提交杭州仲裁委员会仲裁解决，仲裁为终局。</w:t>
      </w:r>
    </w:p>
    <w:p w14:paraId="0906A0C7">
      <w:pPr>
        <w:snapToGrid w:val="0"/>
        <w:spacing w:line="40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第十一条：合同生效</w:t>
      </w:r>
    </w:p>
    <w:p w14:paraId="1C0ECD92">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1.合同经双方法定代表人或授权代表签字并加盖单位公章后生效。</w:t>
      </w:r>
    </w:p>
    <w:p w14:paraId="29F2177D">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2.合同执行中涉及采购资金和采购内容修改或补充的，须经财政部门审批，并签订书面补充协议报政府采购监督管理部门备案，方可作为主合同不可分割的一部分。</w:t>
      </w:r>
    </w:p>
    <w:p w14:paraId="628E3435">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3.本合同未尽事宜，遵照《民法典》有关条文执行。</w:t>
      </w:r>
    </w:p>
    <w:p w14:paraId="164E39AE">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4.本合同一式柒份，乙方、</w:t>
      </w:r>
      <w:r>
        <w:rPr>
          <w:rFonts w:hint="eastAsia" w:ascii="宋体" w:hAnsi="宋体" w:eastAsia="宋体" w:cs="宋体"/>
          <w:color w:val="auto"/>
          <w:spacing w:val="-6"/>
          <w:sz w:val="22"/>
          <w:szCs w:val="22"/>
          <w:highlight w:val="none"/>
          <w:lang w:val="zh-CN"/>
        </w:rPr>
        <w:t>合同鉴证方</w:t>
      </w:r>
      <w:r>
        <w:rPr>
          <w:rFonts w:hint="eastAsia" w:ascii="宋体" w:hAnsi="宋体" w:eastAsia="宋体" w:cs="宋体"/>
          <w:color w:val="auto"/>
          <w:spacing w:val="-6"/>
          <w:sz w:val="22"/>
          <w:szCs w:val="22"/>
          <w:highlight w:val="none"/>
        </w:rPr>
        <w:t>各执壹份，甲方执伍份，经三方签字盖章后生效。</w:t>
      </w:r>
    </w:p>
    <w:p w14:paraId="263E8F4E">
      <w:pPr>
        <w:snapToGrid w:val="0"/>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5.相关招标文件、投标文件、询标承诺等与本合同具有同等法律效力。</w:t>
      </w:r>
    </w:p>
    <w:p w14:paraId="61BD6064">
      <w:pPr>
        <w:spacing w:line="400" w:lineRule="exact"/>
        <w:jc w:val="center"/>
        <w:rPr>
          <w:rFonts w:hint="eastAsia" w:ascii="宋体" w:hAnsi="宋体" w:eastAsia="宋体" w:cs="宋体"/>
          <w:b/>
          <w:color w:val="auto"/>
          <w:spacing w:val="20"/>
          <w:sz w:val="22"/>
          <w:szCs w:val="22"/>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382"/>
      </w:tblGrid>
      <w:tr w14:paraId="7AB1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78" w:type="dxa"/>
          </w:tcPr>
          <w:p w14:paraId="5EC53732">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b/>
                <w:bCs/>
                <w:color w:val="auto"/>
                <w:sz w:val="22"/>
                <w:szCs w:val="22"/>
                <w:highlight w:val="none"/>
                <w:lang w:val="zh-CN"/>
              </w:rPr>
              <w:t>甲方：浙江农林大学</w:t>
            </w:r>
          </w:p>
          <w:p w14:paraId="29AE52B2">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法定代表人或授权代表（签字）： </w:t>
            </w:r>
          </w:p>
          <w:p w14:paraId="0D70D46D">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地址：浙江省杭州市临安区武肃街</w:t>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66号</w:t>
            </w:r>
          </w:p>
          <w:p w14:paraId="6F106653">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邮政编码：311300 </w:t>
            </w:r>
          </w:p>
          <w:p w14:paraId="668DCFBB">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电话：0571-63740897</w:t>
            </w:r>
          </w:p>
          <w:p w14:paraId="01704869">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户名：浙江农林大学</w:t>
            </w:r>
          </w:p>
          <w:p w14:paraId="3E65408C">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开户银行：建行临安支行(行号：105331024007 )</w:t>
            </w:r>
          </w:p>
          <w:p w14:paraId="48CE009B">
            <w:pPr>
              <w:autoSpaceDE w:val="0"/>
              <w:autoSpaceDN w:val="0"/>
              <w:spacing w:line="400" w:lineRule="exact"/>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开户账号：3300 1617 3350 5001 8761      </w:t>
            </w:r>
          </w:p>
        </w:tc>
        <w:tc>
          <w:tcPr>
            <w:tcW w:w="4382" w:type="dxa"/>
          </w:tcPr>
          <w:p w14:paraId="0B9BA286">
            <w:pPr>
              <w:autoSpaceDE w:val="0"/>
              <w:autoSpaceDN w:val="0"/>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乙方：</w:t>
            </w:r>
          </w:p>
          <w:p w14:paraId="078153A0">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统一社会信用代码：</w:t>
            </w:r>
          </w:p>
          <w:p w14:paraId="613EC27A">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法定代表人或授权代表（签字）：</w:t>
            </w:r>
          </w:p>
          <w:p w14:paraId="50E63AEA">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地址：</w:t>
            </w:r>
          </w:p>
          <w:p w14:paraId="6BFF1C3E">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邮政编码：</w:t>
            </w:r>
          </w:p>
          <w:p w14:paraId="607A04AF">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联系人</w:t>
            </w:r>
            <w:r>
              <w:rPr>
                <w:rFonts w:hint="eastAsia" w:ascii="宋体" w:hAnsi="宋体" w:eastAsia="宋体" w:cs="宋体"/>
                <w:color w:val="auto"/>
                <w:sz w:val="22"/>
                <w:szCs w:val="22"/>
                <w:highlight w:val="none"/>
              </w:rPr>
              <w:t>及</w:t>
            </w:r>
            <w:r>
              <w:rPr>
                <w:rFonts w:hint="eastAsia" w:ascii="宋体" w:hAnsi="宋体" w:eastAsia="宋体" w:cs="宋体"/>
                <w:color w:val="auto"/>
                <w:sz w:val="22"/>
                <w:szCs w:val="22"/>
                <w:highlight w:val="none"/>
                <w:lang w:val="zh-CN"/>
              </w:rPr>
              <w:t>电话：</w:t>
            </w:r>
          </w:p>
          <w:p w14:paraId="307C91C4">
            <w:pPr>
              <w:autoSpaceDE w:val="0"/>
              <w:autoSpaceDN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户名：</w:t>
            </w:r>
          </w:p>
          <w:p w14:paraId="7187F906">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开户银行：</w:t>
            </w:r>
          </w:p>
          <w:p w14:paraId="6E19193F">
            <w:pPr>
              <w:autoSpaceDE w:val="0"/>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开户账号：</w:t>
            </w:r>
          </w:p>
        </w:tc>
      </w:tr>
      <w:tr w14:paraId="1EBF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260" w:type="dxa"/>
            <w:gridSpan w:val="2"/>
          </w:tcPr>
          <w:p w14:paraId="585B3363">
            <w:pPr>
              <w:autoSpaceDE w:val="0"/>
              <w:autoSpaceDN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合同鉴证方：浙江乐诚工程咨询有限公司</w:t>
            </w:r>
          </w:p>
          <w:p w14:paraId="04D46698">
            <w:pPr>
              <w:autoSpaceDE w:val="0"/>
              <w:autoSpaceDN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统一社会信用代码：91330103MA2AYJQP7X</w:t>
            </w:r>
          </w:p>
          <w:p w14:paraId="6616A420">
            <w:pPr>
              <w:autoSpaceDE w:val="0"/>
              <w:autoSpaceDN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法定代表人或授权代表（签字）： </w:t>
            </w:r>
          </w:p>
        </w:tc>
      </w:tr>
    </w:tbl>
    <w:p w14:paraId="56B5AF91">
      <w:pPr>
        <w:spacing w:line="400" w:lineRule="exact"/>
        <w:rPr>
          <w:rFonts w:hint="eastAsia" w:ascii="宋体" w:hAnsi="宋体" w:eastAsia="宋体" w:cs="宋体"/>
          <w:color w:val="auto"/>
          <w:sz w:val="22"/>
          <w:szCs w:val="22"/>
          <w:highlight w:val="none"/>
        </w:rPr>
      </w:pPr>
    </w:p>
    <w:p w14:paraId="295AEE5E">
      <w:pPr>
        <w:pStyle w:val="2"/>
        <w:tabs>
          <w:tab w:val="left" w:pos="432"/>
        </w:tabs>
        <w:spacing w:before="0" w:after="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489" w:name="_Toc12021"/>
      <w:bookmarkStart w:id="490" w:name="_Toc30076"/>
      <w:bookmarkStart w:id="491" w:name="_Toc30607"/>
      <w:r>
        <w:rPr>
          <w:rFonts w:hint="eastAsia" w:ascii="宋体" w:hAnsi="宋体" w:eastAsia="宋体" w:cs="宋体"/>
          <w:color w:val="auto"/>
          <w:sz w:val="32"/>
          <w:szCs w:val="32"/>
          <w:highlight w:val="none"/>
        </w:rPr>
        <w:t>第六部分</w:t>
      </w:r>
      <w:bookmarkEnd w:id="455"/>
      <w:r>
        <w:rPr>
          <w:rFonts w:hint="eastAsia" w:ascii="宋体" w:hAnsi="宋体" w:eastAsia="宋体" w:cs="宋体"/>
          <w:color w:val="auto"/>
          <w:sz w:val="32"/>
          <w:szCs w:val="32"/>
          <w:highlight w:val="none"/>
        </w:rPr>
        <w:t xml:space="preserve"> </w:t>
      </w:r>
      <w:bookmarkEnd w:id="456"/>
      <w:r>
        <w:rPr>
          <w:rFonts w:hint="eastAsia" w:ascii="宋体" w:hAnsi="宋体" w:eastAsia="宋体" w:cs="宋体"/>
          <w:color w:val="auto"/>
          <w:sz w:val="32"/>
          <w:szCs w:val="32"/>
          <w:highlight w:val="none"/>
        </w:rPr>
        <w:t>应提交的有关格式范例</w:t>
      </w:r>
      <w:bookmarkEnd w:id="489"/>
      <w:bookmarkEnd w:id="490"/>
      <w:bookmarkEnd w:id="491"/>
    </w:p>
    <w:p w14:paraId="4075376C">
      <w:pPr>
        <w:pStyle w:val="3"/>
        <w:ind w:left="0" w:firstLine="0"/>
        <w:jc w:val="center"/>
        <w:rPr>
          <w:rFonts w:hint="eastAsia" w:ascii="宋体" w:hAnsi="宋体" w:eastAsia="宋体" w:cs="宋体"/>
          <w:b w:val="0"/>
          <w:color w:val="auto"/>
          <w:szCs w:val="36"/>
          <w:highlight w:val="none"/>
        </w:rPr>
      </w:pPr>
      <w:bookmarkStart w:id="492" w:name="_Toc1699"/>
      <w:bookmarkStart w:id="493" w:name="_Toc14037"/>
      <w:bookmarkStart w:id="494" w:name="_Toc22669"/>
      <w:r>
        <w:rPr>
          <w:rFonts w:hint="eastAsia" w:ascii="宋体" w:hAnsi="宋体" w:eastAsia="宋体" w:cs="宋体"/>
          <w:color w:val="auto"/>
          <w:highlight w:val="none"/>
        </w:rPr>
        <w:t>资格文件部分</w:t>
      </w:r>
      <w:bookmarkEnd w:id="492"/>
      <w:bookmarkEnd w:id="493"/>
      <w:bookmarkEnd w:id="494"/>
    </w:p>
    <w:p w14:paraId="24CE445B">
      <w:pPr>
        <w:spacing w:line="360" w:lineRule="auto"/>
        <w:jc w:val="center"/>
        <w:rPr>
          <w:rFonts w:hint="eastAsia" w:ascii="宋体" w:hAnsi="宋体" w:eastAsia="宋体" w:cs="宋体"/>
          <w:b/>
          <w:color w:val="auto"/>
          <w:kern w:val="0"/>
          <w:sz w:val="36"/>
          <w:szCs w:val="36"/>
          <w:highlight w:val="none"/>
        </w:rPr>
      </w:pPr>
      <w:bookmarkStart w:id="495" w:name="_Toc22497"/>
      <w:bookmarkStart w:id="496" w:name="_Toc3652"/>
      <w:bookmarkStart w:id="497" w:name="_Toc19552"/>
      <w:r>
        <w:rPr>
          <w:rFonts w:hint="eastAsia" w:ascii="宋体" w:hAnsi="宋体" w:eastAsia="宋体" w:cs="宋体"/>
          <w:b/>
          <w:color w:val="auto"/>
          <w:kern w:val="0"/>
          <w:sz w:val="36"/>
          <w:szCs w:val="36"/>
          <w:highlight w:val="none"/>
        </w:rPr>
        <w:t>目录</w:t>
      </w:r>
      <w:bookmarkEnd w:id="495"/>
      <w:bookmarkEnd w:id="496"/>
      <w:bookmarkEnd w:id="497"/>
    </w:p>
    <w:p w14:paraId="1DECC5C5">
      <w:pPr>
        <w:pStyle w:val="24"/>
        <w:numPr>
          <w:ilvl w:val="0"/>
          <w:numId w:val="10"/>
        </w:num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提供符合参加政府采购活动应当具备的一般条件的承诺函</w:t>
      </w:r>
      <w:r>
        <w:rPr>
          <w:rFonts w:hint="eastAsia" w:ascii="宋体" w:hAnsi="宋体" w:eastAsia="宋体" w:cs="宋体"/>
          <w:b/>
          <w:bCs/>
          <w:color w:val="auto"/>
          <w:szCs w:val="24"/>
          <w:highlight w:val="none"/>
        </w:rPr>
        <w:t>（若联合体参加投标的，联合体各方分别提供、</w:t>
      </w:r>
      <w:r>
        <w:rPr>
          <w:rFonts w:hint="eastAsia" w:ascii="宋体" w:hAnsi="宋体" w:eastAsia="宋体" w:cs="宋体"/>
          <w:b/>
          <w:bCs/>
          <w:color w:val="auto"/>
          <w:szCs w:val="24"/>
          <w:highlight w:val="none"/>
          <w:lang w:eastAsia="zh-CN"/>
        </w:rPr>
        <w:t>分别加盖电子签名或公章</w:t>
      </w:r>
      <w:r>
        <w:rPr>
          <w:rFonts w:hint="eastAsia" w:ascii="宋体" w:hAnsi="宋体" w:eastAsia="宋体" w:cs="宋体"/>
          <w:b/>
          <w:bCs/>
          <w:color w:val="auto"/>
          <w:szCs w:val="24"/>
          <w:highlight w:val="none"/>
        </w:rPr>
        <w:t>）</w:t>
      </w:r>
    </w:p>
    <w:p w14:paraId="3CC7575B">
      <w:pPr>
        <w:pStyle w:val="24"/>
        <w:numPr>
          <w:ilvl w:val="0"/>
          <w:numId w:val="10"/>
        </w:num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有效的企业营业执照（或事业法人登记证书或其它工商等登记证明材料，自然人提供身份证)复制件（五选一）</w:t>
      </w:r>
      <w:r>
        <w:rPr>
          <w:rFonts w:hint="eastAsia" w:ascii="宋体" w:hAnsi="宋体" w:eastAsia="宋体" w:cs="宋体"/>
          <w:b/>
          <w:bCs/>
          <w:color w:val="auto"/>
          <w:szCs w:val="24"/>
          <w:highlight w:val="none"/>
        </w:rPr>
        <w:t>（若联合体参加投标的，联合体各方分别提供）</w:t>
      </w:r>
    </w:p>
    <w:p w14:paraId="395705C6">
      <w:pPr>
        <w:numPr>
          <w:ilvl w:val="0"/>
          <w:numId w:val="10"/>
        </w:num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落实政府采购政策需满足的资格要求</w:t>
      </w:r>
      <w:r>
        <w:rPr>
          <w:rFonts w:hint="eastAsia" w:ascii="宋体" w:hAnsi="宋体" w:eastAsia="宋体" w:cs="宋体"/>
          <w:color w:val="auto"/>
          <w:kern w:val="0"/>
          <w:sz w:val="24"/>
          <w:highlight w:val="none"/>
          <w:lang w:val="zh-CN"/>
        </w:rPr>
        <w:t>证明材料</w:t>
      </w:r>
      <w:r>
        <w:rPr>
          <w:rFonts w:hint="eastAsia" w:ascii="宋体" w:hAnsi="宋体" w:eastAsia="宋体" w:cs="宋体"/>
          <w:color w:val="auto"/>
          <w:kern w:val="0"/>
          <w:sz w:val="24"/>
          <w:highlight w:val="none"/>
        </w:rPr>
        <w:t>；</w:t>
      </w:r>
    </w:p>
    <w:p w14:paraId="270A85F1">
      <w:pPr>
        <w:numPr>
          <w:ilvl w:val="0"/>
          <w:numId w:val="10"/>
        </w:num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联合协议；</w:t>
      </w:r>
    </w:p>
    <w:p w14:paraId="7408D159">
      <w:pPr>
        <w:numPr>
          <w:ilvl w:val="0"/>
          <w:numId w:val="10"/>
        </w:num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分包意向协议；</w:t>
      </w:r>
    </w:p>
    <w:p w14:paraId="7BF00DBF">
      <w:pPr>
        <w:numPr>
          <w:ilvl w:val="0"/>
          <w:numId w:val="10"/>
        </w:num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本项目的特定资格</w:t>
      </w:r>
      <w:r>
        <w:rPr>
          <w:rFonts w:hint="eastAsia" w:ascii="宋体" w:hAnsi="宋体" w:eastAsia="宋体" w:cs="宋体"/>
          <w:color w:val="auto"/>
          <w:kern w:val="0"/>
          <w:sz w:val="24"/>
          <w:highlight w:val="none"/>
          <w:lang w:val="zh-CN"/>
        </w:rPr>
        <w:t>证明材料。</w:t>
      </w:r>
    </w:p>
    <w:p w14:paraId="0F64F082">
      <w:pPr>
        <w:shd w:val="clear" w:color="auto" w:fill="FFFFFF"/>
        <w:snapToGrid w:val="0"/>
        <w:spacing w:line="440" w:lineRule="exact"/>
        <w:jc w:val="center"/>
        <w:rPr>
          <w:rFonts w:hint="eastAsia" w:ascii="宋体" w:hAnsi="宋体" w:eastAsia="宋体" w:cs="宋体"/>
          <w:color w:val="auto"/>
          <w:sz w:val="28"/>
          <w:szCs w:val="36"/>
          <w:highlight w:val="none"/>
        </w:rPr>
      </w:pPr>
      <w:r>
        <w:rPr>
          <w:rFonts w:hint="eastAsia" w:ascii="宋体" w:hAnsi="宋体" w:eastAsia="宋体" w:cs="宋体"/>
          <w:color w:val="auto"/>
          <w:highlight w:val="none"/>
          <w:lang w:val="zh-CN"/>
        </w:rPr>
        <w:br w:type="page"/>
      </w:r>
      <w:r>
        <w:rPr>
          <w:rFonts w:hint="eastAsia" w:ascii="宋体" w:hAnsi="宋体" w:eastAsia="宋体" w:cs="宋体"/>
          <w:b/>
          <w:color w:val="auto"/>
          <w:sz w:val="32"/>
          <w:szCs w:val="32"/>
          <w:highlight w:val="none"/>
        </w:rPr>
        <w:t>一、</w:t>
      </w:r>
      <w:r>
        <w:rPr>
          <w:rFonts w:hint="eastAsia" w:ascii="宋体" w:hAnsi="宋体" w:eastAsia="宋体" w:cs="宋体"/>
          <w:b/>
          <w:color w:val="auto"/>
          <w:kern w:val="0"/>
          <w:sz w:val="32"/>
          <w:szCs w:val="32"/>
          <w:highlight w:val="none"/>
        </w:rPr>
        <w:t>符合参加政府采购活动应当具备的一般条件的承诺函</w:t>
      </w:r>
    </w:p>
    <w:p w14:paraId="5DF147B7">
      <w:pPr>
        <w:shd w:val="clear" w:color="auto" w:fill="FFFFFF"/>
        <w:snapToGrid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（若联合体参加投标的，联合体各方分别提供、</w:t>
      </w:r>
      <w:r>
        <w:rPr>
          <w:rFonts w:hint="eastAsia" w:ascii="宋体" w:hAnsi="宋体" w:eastAsia="宋体" w:cs="宋体"/>
          <w:b/>
          <w:bCs/>
          <w:color w:val="auto"/>
          <w:sz w:val="22"/>
          <w:szCs w:val="22"/>
          <w:highlight w:val="none"/>
          <w:lang w:eastAsia="zh-CN"/>
        </w:rPr>
        <w:t>分别加盖电子签名或公章</w:t>
      </w:r>
      <w:r>
        <w:rPr>
          <w:rFonts w:hint="eastAsia" w:ascii="宋体" w:hAnsi="宋体" w:eastAsia="宋体" w:cs="宋体"/>
          <w:b/>
          <w:bCs/>
          <w:color w:val="auto"/>
          <w:sz w:val="22"/>
          <w:szCs w:val="22"/>
          <w:highlight w:val="none"/>
        </w:rPr>
        <w:t>）</w:t>
      </w:r>
    </w:p>
    <w:p w14:paraId="365D66CB">
      <w:pPr>
        <w:shd w:val="clear" w:color="auto" w:fill="FFFFFF"/>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浙江农林大学</w:t>
      </w:r>
    </w:p>
    <w:p w14:paraId="66206275">
      <w:pPr>
        <w:shd w:val="clear" w:color="auto" w:fill="FFFFFF"/>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浙江乐诚工程咨询有限公司：</w:t>
      </w:r>
    </w:p>
    <w:p w14:paraId="3688ADE6">
      <w:pPr>
        <w:widowControl/>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（采购项目名称、编号）投标，现郑重承诺：</w:t>
      </w:r>
    </w:p>
    <w:p w14:paraId="44A9D738">
      <w:pPr>
        <w:widowControl/>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我方符合《中华人民共和国政府采购法》第22条规定的资格条件：</w:t>
      </w:r>
    </w:p>
    <w:p w14:paraId="553E9773">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7C28C73F">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55645A3B">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4EE2DECA">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3D3965D">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3B4D4F4C">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（6）我方具有法律、行政法规规定的其他条件。</w:t>
      </w:r>
    </w:p>
    <w:p w14:paraId="029F8970">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2.</w:t>
      </w:r>
      <w:r>
        <w:rPr>
          <w:rFonts w:hint="eastAsia" w:ascii="宋体" w:hAnsi="宋体" w:eastAsia="宋体" w:cs="宋体"/>
          <w:color w:val="auto"/>
          <w:kern w:val="0"/>
          <w:sz w:val="22"/>
          <w:szCs w:val="22"/>
          <w:highlight w:val="none"/>
        </w:rPr>
        <w:t>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ascii="宋体" w:hAnsi="宋体" w:eastAsia="宋体" w:cs="宋体"/>
          <w:color w:val="auto"/>
          <w:kern w:val="0"/>
          <w:sz w:val="22"/>
          <w:szCs w:val="22"/>
          <w:highlight w:val="none"/>
          <w:lang w:eastAsia="zh-CN"/>
        </w:rPr>
        <w:t>重大税收违法失信主体</w:t>
      </w:r>
      <w:r>
        <w:rPr>
          <w:rFonts w:hint="eastAsia" w:ascii="宋体" w:hAnsi="宋体" w:eastAsia="宋体" w:cs="宋体"/>
          <w:color w:val="auto"/>
          <w:kern w:val="0"/>
          <w:sz w:val="22"/>
          <w:szCs w:val="22"/>
          <w:highlight w:val="none"/>
        </w:rPr>
        <w:t>、政府采购严重违法失信行为记录名单。</w:t>
      </w:r>
    </w:p>
    <w:p w14:paraId="28B4DB65">
      <w:pPr>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kern w:val="0"/>
          <w:sz w:val="22"/>
          <w:szCs w:val="22"/>
          <w:highlight w:val="none"/>
        </w:rPr>
        <w:t>我方</w:t>
      </w:r>
      <w:r>
        <w:rPr>
          <w:rFonts w:hint="eastAsia" w:ascii="宋体" w:hAnsi="宋体" w:eastAsia="宋体" w:cs="宋体"/>
          <w:color w:val="auto"/>
          <w:sz w:val="22"/>
          <w:szCs w:val="22"/>
          <w:highlight w:val="none"/>
        </w:rPr>
        <w:t>不存在以下情况：</w:t>
      </w:r>
    </w:p>
    <w:p w14:paraId="24A56FD9">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（1）单位负责人为同一人或者存在直接控股、管理关系的不同供应商参加同一合同项下的政府采购活动的；</w:t>
      </w:r>
    </w:p>
    <w:p w14:paraId="07CBB290">
      <w:pPr>
        <w:widowControl/>
        <w:snapToGrid w:val="0"/>
        <w:spacing w:line="40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（2）为采购项目提供整体设计、规范编制或者项目管理、监理、检测等服务后再参加该采购项目的其他采购活动的。</w:t>
      </w:r>
    </w:p>
    <w:p w14:paraId="29E289EB">
      <w:pPr>
        <w:widowControl/>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本公司对上述承诺的</w:t>
      </w:r>
      <w:r>
        <w:rPr>
          <w:rStyle w:val="28"/>
          <w:rFonts w:hint="eastAsia" w:ascii="宋体" w:hAnsi="宋体" w:eastAsia="宋体" w:cs="宋体"/>
          <w:b/>
          <w:bCs/>
          <w:color w:val="auto"/>
          <w:sz w:val="22"/>
          <w:szCs w:val="22"/>
          <w:highlight w:val="none"/>
        </w:rPr>
        <w:t>真实性负责。</w:t>
      </w:r>
      <w:r>
        <w:rPr>
          <w:rFonts w:hint="eastAsia" w:ascii="宋体" w:hAnsi="宋体" w:eastAsia="宋体" w:cs="宋体"/>
          <w:color w:val="auto"/>
          <w:kern w:val="0"/>
          <w:sz w:val="22"/>
          <w:szCs w:val="22"/>
          <w:highlight w:val="none"/>
        </w:rPr>
        <w:t>以上承诺如有虚假，</w:t>
      </w:r>
      <w:r>
        <w:rPr>
          <w:rFonts w:hint="eastAsia" w:ascii="宋体" w:hAnsi="宋体" w:eastAsia="宋体" w:cs="宋体"/>
          <w:color w:val="auto"/>
          <w:sz w:val="22"/>
          <w:szCs w:val="22"/>
          <w:highlight w:val="none"/>
        </w:rPr>
        <w:t>愿接受取消</w:t>
      </w:r>
      <w:r>
        <w:rPr>
          <w:rFonts w:hint="eastAsia" w:ascii="宋体" w:hAnsi="宋体" w:eastAsia="宋体" w:cs="宋体"/>
          <w:color w:val="auto"/>
          <w:kern w:val="0"/>
          <w:sz w:val="22"/>
          <w:szCs w:val="22"/>
          <w:highlight w:val="none"/>
        </w:rPr>
        <w:t>我方任何资格（投标/中标/签订合同）</w:t>
      </w:r>
      <w:r>
        <w:rPr>
          <w:rFonts w:hint="eastAsia" w:ascii="宋体" w:hAnsi="宋体" w:eastAsia="宋体" w:cs="宋体"/>
          <w:color w:val="auto"/>
          <w:sz w:val="22"/>
          <w:szCs w:val="22"/>
          <w:highlight w:val="none"/>
        </w:rPr>
        <w:t>及其他任何形式的处理。</w:t>
      </w:r>
    </w:p>
    <w:p w14:paraId="531B10E6">
      <w:pPr>
        <w:widowControl/>
        <w:snapToGrid w:val="0"/>
        <w:spacing w:line="400" w:lineRule="exact"/>
        <w:ind w:firstLine="440" w:firstLineChars="200"/>
        <w:jc w:val="left"/>
        <w:rPr>
          <w:rStyle w:val="28"/>
          <w:rFonts w:hint="eastAsia" w:ascii="宋体" w:hAnsi="宋体" w:eastAsia="宋体" w:cs="宋体"/>
          <w:color w:val="auto"/>
          <w:sz w:val="22"/>
          <w:szCs w:val="22"/>
          <w:highlight w:val="none"/>
        </w:rPr>
      </w:pPr>
      <w:r>
        <w:rPr>
          <w:rStyle w:val="28"/>
          <w:rFonts w:hint="eastAsia" w:ascii="宋体" w:hAnsi="宋体" w:eastAsia="宋体" w:cs="宋体"/>
          <w:color w:val="auto"/>
          <w:sz w:val="22"/>
          <w:szCs w:val="22"/>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D6F3F0C">
      <w:pPr>
        <w:widowControl/>
        <w:snapToGrid w:val="0"/>
        <w:spacing w:line="400" w:lineRule="exact"/>
        <w:ind w:firstLine="440" w:firstLineChars="200"/>
        <w:jc w:val="left"/>
        <w:rPr>
          <w:rStyle w:val="28"/>
          <w:rFonts w:hint="eastAsia" w:ascii="宋体" w:hAnsi="宋体" w:eastAsia="宋体" w:cs="宋体"/>
          <w:color w:val="auto"/>
          <w:sz w:val="22"/>
          <w:szCs w:val="22"/>
          <w:highlight w:val="none"/>
        </w:rPr>
      </w:pPr>
      <w:r>
        <w:rPr>
          <w:rStyle w:val="28"/>
          <w:rFonts w:hint="eastAsia" w:ascii="宋体" w:hAnsi="宋体" w:eastAsia="宋体" w:cs="宋体"/>
          <w:color w:val="auto"/>
          <w:sz w:val="22"/>
          <w:szCs w:val="22"/>
          <w:highlight w:val="none"/>
        </w:rPr>
        <w:t>我单位已知晓前述法律规定，对此无任何异议。</w:t>
      </w:r>
    </w:p>
    <w:p w14:paraId="1A59A2B8">
      <w:pPr>
        <w:widowControl/>
        <w:snapToGrid w:val="0"/>
        <w:spacing w:line="400" w:lineRule="exact"/>
        <w:ind w:firstLine="440" w:firstLineChars="200"/>
        <w:jc w:val="left"/>
        <w:rPr>
          <w:rStyle w:val="28"/>
          <w:rFonts w:hint="eastAsia" w:ascii="宋体" w:hAnsi="宋体" w:eastAsia="宋体" w:cs="宋体"/>
          <w:color w:val="auto"/>
          <w:sz w:val="22"/>
          <w:szCs w:val="22"/>
          <w:highlight w:val="none"/>
        </w:rPr>
      </w:pPr>
      <w:r>
        <w:rPr>
          <w:rStyle w:val="28"/>
          <w:rFonts w:hint="eastAsia" w:ascii="宋体" w:hAnsi="宋体" w:eastAsia="宋体" w:cs="宋体"/>
          <w:color w:val="auto"/>
          <w:sz w:val="22"/>
          <w:szCs w:val="22"/>
          <w:highlight w:val="none"/>
        </w:rPr>
        <w:t>注：</w:t>
      </w:r>
      <w:r>
        <w:rPr>
          <w:rStyle w:val="28"/>
          <w:rFonts w:hint="eastAsia" w:ascii="宋体" w:hAnsi="宋体" w:eastAsia="宋体" w:cs="宋体"/>
          <w:color w:val="auto"/>
          <w:sz w:val="22"/>
          <w:szCs w:val="22"/>
          <w:highlight w:val="none"/>
          <w:u w:val="single"/>
        </w:rPr>
        <w:t>▲本承诺函必须提供。</w:t>
      </w:r>
    </w:p>
    <w:p w14:paraId="58BF27F4">
      <w:pPr>
        <w:snapToGrid w:val="0"/>
        <w:spacing w:line="400" w:lineRule="exact"/>
        <w:ind w:firstLine="5060" w:firstLineChars="2300"/>
        <w:rPr>
          <w:rFonts w:hint="eastAsia" w:ascii="宋体" w:hAnsi="宋体" w:eastAsia="宋体" w:cs="宋体"/>
          <w:color w:val="auto"/>
          <w:kern w:val="0"/>
          <w:sz w:val="22"/>
          <w:szCs w:val="22"/>
          <w:highlight w:val="none"/>
          <w:lang w:val="zh-CN"/>
        </w:rPr>
      </w:pPr>
    </w:p>
    <w:p w14:paraId="3E5FD9CA">
      <w:pPr>
        <w:tabs>
          <w:tab w:val="left" w:pos="5454"/>
        </w:tabs>
        <w:snapToGrid w:val="0"/>
        <w:spacing w:line="40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投标人</w:t>
      </w:r>
      <w:r>
        <w:rPr>
          <w:rFonts w:hint="eastAsia" w:ascii="宋体" w:hAnsi="宋体" w:eastAsia="宋体" w:cs="宋体"/>
          <w:color w:val="auto"/>
          <w:kern w:val="0"/>
          <w:sz w:val="22"/>
          <w:szCs w:val="22"/>
          <w:highlight w:val="none"/>
          <w:lang w:val="zh-CN"/>
        </w:rPr>
        <w:t>名称(电子签名或公章)：</w:t>
      </w:r>
    </w:p>
    <w:p w14:paraId="6F49E33D">
      <w:pPr>
        <w:tabs>
          <w:tab w:val="left" w:pos="5454"/>
        </w:tabs>
        <w:snapToGrid w:val="0"/>
        <w:spacing w:line="40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日期</w:t>
      </w:r>
      <w:r>
        <w:rPr>
          <w:rFonts w:hint="eastAsia" w:ascii="宋体" w:hAnsi="宋体" w:eastAsia="宋体" w:cs="宋体"/>
          <w:color w:val="auto"/>
          <w:kern w:val="0"/>
          <w:sz w:val="22"/>
          <w:szCs w:val="22"/>
          <w:highlight w:val="none"/>
        </w:rPr>
        <w:t xml:space="preserve">：  年  </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日</w:t>
      </w:r>
    </w:p>
    <w:p w14:paraId="1EF86EE3">
      <w:pPr>
        <w:tabs>
          <w:tab w:val="left" w:pos="5454"/>
        </w:tabs>
        <w:snapToGrid w:val="0"/>
        <w:spacing w:line="4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 xml:space="preserve"> </w:t>
      </w:r>
      <w:r>
        <w:rPr>
          <w:rFonts w:hint="eastAsia" w:ascii="宋体" w:hAnsi="宋体" w:eastAsia="宋体" w:cs="宋体"/>
          <w:b/>
          <w:color w:val="auto"/>
          <w:kern w:val="0"/>
          <w:sz w:val="32"/>
          <w:szCs w:val="32"/>
          <w:highlight w:val="none"/>
        </w:rPr>
        <w:t>二、有效的企业营业执照（或事业法人登记证书或其它工商等登记证明材料，自然人提供身份证)复制件（五选一）</w:t>
      </w:r>
    </w:p>
    <w:p w14:paraId="19B23D10">
      <w:pPr>
        <w:pStyle w:val="24"/>
        <w:spacing w:line="360" w:lineRule="auto"/>
        <w:ind w:firstLine="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（若联合体参加投标的，联合体各方分别提供）</w:t>
      </w:r>
    </w:p>
    <w:p w14:paraId="11A5F800">
      <w:pPr>
        <w:pStyle w:val="24"/>
        <w:spacing w:line="360" w:lineRule="auto"/>
        <w:ind w:firstLine="0"/>
        <w:jc w:val="center"/>
        <w:rPr>
          <w:rFonts w:hint="eastAsia" w:ascii="宋体" w:hAnsi="宋体" w:eastAsia="宋体" w:cs="宋体"/>
          <w:b/>
          <w:bCs/>
          <w:color w:val="auto"/>
          <w:sz w:val="22"/>
          <w:szCs w:val="22"/>
          <w:highlight w:val="none"/>
        </w:rPr>
      </w:pPr>
    </w:p>
    <w:p w14:paraId="7A396880">
      <w:pPr>
        <w:pStyle w:val="17"/>
        <w:numPr>
          <w:ilvl w:val="0"/>
          <w:numId w:val="11"/>
        </w:numPr>
        <w:tabs>
          <w:tab w:val="left" w:pos="312"/>
        </w:tabs>
        <w:snapToGrid w:val="0"/>
        <w:spacing w:before="0" w:beforeAutospacing="0" w:after="0" w:afterAutospacing="0"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如投标人是企业（包括合伙企业），提供在工商部门注册的有效“企业法人营业执照”或“营业执照”；</w:t>
      </w:r>
    </w:p>
    <w:p w14:paraId="202326DE">
      <w:pPr>
        <w:pStyle w:val="17"/>
        <w:numPr>
          <w:ilvl w:val="0"/>
          <w:numId w:val="11"/>
        </w:numPr>
        <w:tabs>
          <w:tab w:val="left" w:pos="312"/>
        </w:tabs>
        <w:snapToGrid w:val="0"/>
        <w:spacing w:before="0" w:beforeAutospacing="0" w:after="0" w:afterAutospacing="0"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如投标人是事业单位，提供有效的“事业单位法人证书”；</w:t>
      </w:r>
    </w:p>
    <w:p w14:paraId="218BC708">
      <w:pPr>
        <w:pStyle w:val="17"/>
        <w:numPr>
          <w:ilvl w:val="0"/>
          <w:numId w:val="11"/>
        </w:numPr>
        <w:tabs>
          <w:tab w:val="left" w:pos="312"/>
        </w:tabs>
        <w:snapToGrid w:val="0"/>
        <w:spacing w:before="0" w:beforeAutospacing="0" w:after="0" w:afterAutospacing="0"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如投标人是非企业专业服务机构的，提供执业许可证等证明文件；</w:t>
      </w:r>
    </w:p>
    <w:p w14:paraId="7832B9EC">
      <w:pPr>
        <w:pStyle w:val="17"/>
        <w:numPr>
          <w:ilvl w:val="0"/>
          <w:numId w:val="11"/>
        </w:numPr>
        <w:tabs>
          <w:tab w:val="left" w:pos="312"/>
        </w:tabs>
        <w:snapToGrid w:val="0"/>
        <w:spacing w:before="0" w:beforeAutospacing="0" w:after="0" w:afterAutospacing="0"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如投标人是个体工商户，提供有效的“个体工商户营业执照”；</w:t>
      </w:r>
    </w:p>
    <w:p w14:paraId="531380CA">
      <w:pPr>
        <w:pStyle w:val="17"/>
        <w:numPr>
          <w:ilvl w:val="0"/>
          <w:numId w:val="11"/>
        </w:numPr>
        <w:tabs>
          <w:tab w:val="left" w:pos="312"/>
        </w:tabs>
        <w:snapToGrid w:val="0"/>
        <w:spacing w:before="0" w:beforeAutospacing="0" w:after="0" w:afterAutospacing="0"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如投标人是自然人，提供有效的自然人身份证明（居民身份证正反面或公安机关出具的临时居民身份证正反面或港澳台胞证或护照）。</w:t>
      </w:r>
    </w:p>
    <w:p w14:paraId="6446D313">
      <w:pPr>
        <w:pStyle w:val="17"/>
        <w:tabs>
          <w:tab w:val="left" w:pos="312"/>
        </w:tabs>
        <w:snapToGrid w:val="0"/>
        <w:spacing w:before="0" w:beforeAutospacing="0" w:after="0" w:afterAutospacing="0" w:line="360" w:lineRule="auto"/>
        <w:rPr>
          <w:rFonts w:hint="eastAsia" w:ascii="宋体" w:hAnsi="宋体" w:eastAsia="宋体" w:cs="宋体"/>
          <w:bCs/>
          <w:color w:val="auto"/>
          <w:sz w:val="21"/>
          <w:szCs w:val="21"/>
          <w:highlight w:val="none"/>
        </w:rPr>
      </w:pPr>
    </w:p>
    <w:p w14:paraId="33F6CC32">
      <w:pPr>
        <w:pStyle w:val="24"/>
        <w:spacing w:line="360" w:lineRule="auto"/>
        <w:ind w:firstLine="420"/>
        <w:jc w:val="right"/>
        <w:rPr>
          <w:rFonts w:hint="eastAsia" w:ascii="宋体" w:hAnsi="宋体" w:eastAsia="宋体" w:cs="宋体"/>
          <w:color w:val="auto"/>
          <w:szCs w:val="21"/>
          <w:highlight w:val="none"/>
        </w:rPr>
      </w:pPr>
    </w:p>
    <w:p w14:paraId="43FC7D66">
      <w:pPr>
        <w:snapToGrid w:val="0"/>
        <w:spacing w:line="360" w:lineRule="auto"/>
        <w:jc w:val="left"/>
        <w:rPr>
          <w:rFonts w:hint="eastAsia" w:ascii="宋体" w:hAnsi="宋体" w:eastAsia="宋体" w:cs="宋体"/>
          <w:b/>
          <w:color w:val="auto"/>
          <w:kern w:val="0"/>
          <w:sz w:val="32"/>
          <w:szCs w:val="32"/>
          <w:highlight w:val="none"/>
        </w:rPr>
      </w:pPr>
    </w:p>
    <w:p w14:paraId="5060AE0E">
      <w:pPr>
        <w:snapToGrid w:val="0"/>
        <w:spacing w:line="360" w:lineRule="auto"/>
        <w:ind w:right="480"/>
        <w:jc w:val="center"/>
        <w:rPr>
          <w:rFonts w:hint="eastAsia" w:ascii="宋体" w:hAnsi="宋体" w:eastAsia="宋体" w:cs="宋体"/>
          <w:b/>
          <w:color w:val="auto"/>
          <w:kern w:val="0"/>
          <w:sz w:val="32"/>
          <w:szCs w:val="32"/>
          <w:highlight w:val="none"/>
        </w:rPr>
      </w:pPr>
    </w:p>
    <w:p w14:paraId="2125E7C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三、落实政府采购政策需满足的资格要求证明材料</w:t>
      </w:r>
    </w:p>
    <w:p w14:paraId="2DF1DCF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142C5CAB">
      <w:pPr>
        <w:widowControl/>
        <w:spacing w:line="360" w:lineRule="auto"/>
        <w:jc w:val="left"/>
        <w:rPr>
          <w:rFonts w:hint="eastAsia" w:ascii="宋体" w:hAnsi="宋体" w:eastAsia="宋体" w:cs="宋体"/>
          <w:color w:val="auto"/>
          <w:sz w:val="24"/>
          <w:highlight w:val="none"/>
        </w:rPr>
      </w:pPr>
    </w:p>
    <w:p w14:paraId="6B908F66">
      <w:pPr>
        <w:widowControl/>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A.专门面向中小企业，货物全部由符合政策要求的中小企业（或小微企业）制造的，提供相应的中小企业声明函（</w:t>
      </w:r>
      <w:r>
        <w:rPr>
          <w:rFonts w:hint="eastAsia" w:ascii="宋体" w:hAnsi="宋体" w:eastAsia="宋体" w:cs="宋体"/>
          <w:color w:val="auto"/>
          <w:sz w:val="22"/>
          <w:szCs w:val="22"/>
          <w:highlight w:val="none"/>
          <w:lang w:eastAsia="zh-CN"/>
        </w:rPr>
        <w:t>附件3</w:t>
      </w:r>
      <w:r>
        <w:rPr>
          <w:rFonts w:hint="eastAsia" w:ascii="宋体" w:hAnsi="宋体" w:eastAsia="宋体" w:cs="宋体"/>
          <w:color w:val="auto"/>
          <w:sz w:val="22"/>
          <w:szCs w:val="22"/>
          <w:highlight w:val="none"/>
        </w:rPr>
        <w:t xml:space="preserve">）。 </w:t>
      </w:r>
    </w:p>
    <w:p w14:paraId="3625469E">
      <w:pPr>
        <w:widowControl/>
        <w:spacing w:line="360" w:lineRule="auto"/>
        <w:ind w:firstLine="431" w:firstLineChars="196"/>
        <w:jc w:val="left"/>
        <w:rPr>
          <w:rFonts w:hint="eastAsia" w:ascii="宋体" w:hAnsi="宋体" w:eastAsia="宋体" w:cs="宋体"/>
          <w:color w:val="auto"/>
          <w:sz w:val="22"/>
          <w:szCs w:val="22"/>
          <w:highlight w:val="none"/>
        </w:rPr>
      </w:pPr>
    </w:p>
    <w:p w14:paraId="3B7DA27F">
      <w:pPr>
        <w:widowControl/>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B.要求以联合体形式参加的，提供联合协议（</w:t>
      </w:r>
      <w:r>
        <w:rPr>
          <w:rFonts w:hint="eastAsia" w:ascii="宋体" w:hAnsi="宋体" w:eastAsia="宋体" w:cs="宋体"/>
          <w:color w:val="auto"/>
          <w:sz w:val="22"/>
          <w:szCs w:val="22"/>
          <w:highlight w:val="none"/>
          <w:lang w:eastAsia="zh-CN"/>
        </w:rPr>
        <w:t>附件4</w:t>
      </w:r>
      <w:r>
        <w:rPr>
          <w:rFonts w:hint="eastAsia" w:ascii="宋体" w:hAnsi="宋体" w:eastAsia="宋体" w:cs="宋体"/>
          <w:color w:val="auto"/>
          <w:sz w:val="22"/>
          <w:szCs w:val="22"/>
          <w:highlight w:val="none"/>
        </w:rPr>
        <w:t>）和中小企业声明函（</w:t>
      </w:r>
      <w:r>
        <w:rPr>
          <w:rFonts w:hint="eastAsia" w:ascii="宋体" w:hAnsi="宋体" w:eastAsia="宋体" w:cs="宋体"/>
          <w:color w:val="auto"/>
          <w:sz w:val="22"/>
          <w:szCs w:val="22"/>
          <w:highlight w:val="none"/>
          <w:lang w:eastAsia="zh-CN"/>
        </w:rPr>
        <w:t>附件3</w:t>
      </w:r>
      <w:r>
        <w:rPr>
          <w:rFonts w:hint="eastAsia" w:ascii="宋体" w:hAnsi="宋体" w:eastAsia="宋体" w:cs="宋体"/>
          <w:color w:val="auto"/>
          <w:sz w:val="22"/>
          <w:szCs w:val="22"/>
          <w:highlight w:val="none"/>
        </w:rPr>
        <w:t>），联合协议中中小企业合同金额应当达到招标公告载明的比例；如果投标人本身提供所有标的均由中小企业制造的，并相应达到了前述比例要求，视同符合了资格条件，无需再与其他中小企业组成联合体参加政府采购活动，无需提供联合协议。</w:t>
      </w:r>
    </w:p>
    <w:p w14:paraId="234F2389">
      <w:pPr>
        <w:widowControl/>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8F3C299">
      <w:pPr>
        <w:widowControl/>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C、要求合同分包的，提供分包意向协议（</w:t>
      </w:r>
      <w:r>
        <w:rPr>
          <w:rFonts w:hint="eastAsia" w:ascii="宋体" w:hAnsi="宋体" w:eastAsia="宋体" w:cs="宋体"/>
          <w:color w:val="auto"/>
          <w:sz w:val="22"/>
          <w:szCs w:val="22"/>
          <w:highlight w:val="none"/>
          <w:lang w:eastAsia="zh-CN"/>
        </w:rPr>
        <w:t>附件5</w:t>
      </w:r>
      <w:r>
        <w:rPr>
          <w:rFonts w:hint="eastAsia" w:ascii="宋体" w:hAnsi="宋体" w:eastAsia="宋体" w:cs="宋体"/>
          <w:color w:val="auto"/>
          <w:sz w:val="22"/>
          <w:szCs w:val="22"/>
          <w:highlight w:val="none"/>
        </w:rPr>
        <w:t>）和中小企业声明函（</w:t>
      </w:r>
      <w:r>
        <w:rPr>
          <w:rFonts w:hint="eastAsia" w:ascii="宋体" w:hAnsi="宋体" w:eastAsia="宋体" w:cs="宋体"/>
          <w:color w:val="auto"/>
          <w:sz w:val="22"/>
          <w:szCs w:val="22"/>
          <w:highlight w:val="none"/>
          <w:lang w:eastAsia="zh-CN"/>
        </w:rPr>
        <w:t>附件3</w:t>
      </w:r>
      <w:r>
        <w:rPr>
          <w:rFonts w:hint="eastAsia" w:ascii="宋体" w:hAnsi="宋体" w:eastAsia="宋体" w:cs="宋体"/>
          <w:color w:val="auto"/>
          <w:sz w:val="22"/>
          <w:szCs w:val="22"/>
          <w:highlight w:val="none"/>
        </w:rPr>
        <w:t>），分包意向协议中中小企业合同金额应当达到招标公告载明的比例；如果投标人本身提供所有标的均由中小企业制造的，并相应达到了前述比例要求，视同符合了资格条件，无需再向中小企业分包，无需提供分包意向协议。</w:t>
      </w:r>
    </w:p>
    <w:p w14:paraId="74C73B70">
      <w:pPr>
        <w:snapToGrid w:val="0"/>
        <w:spacing w:before="50" w:after="5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14:paraId="41553705">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四、联合协议（如果有)；</w:t>
      </w:r>
    </w:p>
    <w:p w14:paraId="20719F2E">
      <w:pPr>
        <w:widowControl/>
        <w:spacing w:line="360" w:lineRule="auto"/>
        <w:ind w:firstLine="442" w:firstLineChars="2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[以联合体形式投标的，提供联合协议（</w:t>
      </w:r>
      <w:r>
        <w:rPr>
          <w:rFonts w:hint="eastAsia" w:ascii="宋体" w:hAnsi="宋体" w:eastAsia="宋体" w:cs="宋体"/>
          <w:b/>
          <w:color w:val="auto"/>
          <w:sz w:val="22"/>
          <w:szCs w:val="22"/>
          <w:highlight w:val="none"/>
          <w:lang w:eastAsia="zh-CN"/>
        </w:rPr>
        <w:t>附件4</w:t>
      </w:r>
      <w:r>
        <w:rPr>
          <w:rFonts w:hint="eastAsia" w:ascii="宋体" w:hAnsi="宋体" w:eastAsia="宋体" w:cs="宋体"/>
          <w:b/>
          <w:color w:val="auto"/>
          <w:sz w:val="22"/>
          <w:szCs w:val="22"/>
          <w:highlight w:val="none"/>
        </w:rPr>
        <w:t>）；本项目不接受联合体投标或者投标人不以联合体形式投标的，则不需要提供）]</w:t>
      </w:r>
    </w:p>
    <w:p w14:paraId="72C2BD8D">
      <w:pPr>
        <w:widowControl/>
        <w:spacing w:line="360" w:lineRule="auto"/>
        <w:ind w:left="150"/>
        <w:jc w:val="center"/>
        <w:rPr>
          <w:rFonts w:hint="eastAsia" w:ascii="宋体" w:hAnsi="宋体" w:eastAsia="宋体" w:cs="宋体"/>
          <w:b/>
          <w:color w:val="auto"/>
          <w:kern w:val="0"/>
          <w:sz w:val="32"/>
          <w:szCs w:val="32"/>
          <w:highlight w:val="none"/>
        </w:rPr>
      </w:pPr>
    </w:p>
    <w:p w14:paraId="60852B4A">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五、分包意向协议（如果有)；</w:t>
      </w:r>
    </w:p>
    <w:p w14:paraId="77412709">
      <w:pPr>
        <w:widowControl/>
        <w:spacing w:line="360" w:lineRule="auto"/>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中标后以分包方式履行合同的，提供分包意向协议(</w:t>
      </w:r>
      <w:r>
        <w:rPr>
          <w:rFonts w:hint="eastAsia" w:ascii="宋体" w:hAnsi="宋体" w:eastAsia="宋体" w:cs="宋体"/>
          <w:b/>
          <w:color w:val="auto"/>
          <w:sz w:val="22"/>
          <w:szCs w:val="22"/>
          <w:highlight w:val="none"/>
          <w:lang w:eastAsia="zh-CN"/>
        </w:rPr>
        <w:t>附件5</w:t>
      </w:r>
      <w:r>
        <w:rPr>
          <w:rFonts w:hint="eastAsia" w:ascii="宋体" w:hAnsi="宋体" w:eastAsia="宋体" w:cs="宋体"/>
          <w:b/>
          <w:color w:val="auto"/>
          <w:sz w:val="22"/>
          <w:szCs w:val="22"/>
          <w:highlight w:val="none"/>
        </w:rPr>
        <w:t>)；采购人不同意分包或者投标人中标后不以分包方式履行合同的，则不需要提供。</w:t>
      </w:r>
      <w:r>
        <w:rPr>
          <w:rFonts w:hint="eastAsia" w:ascii="宋体" w:hAnsi="宋体" w:eastAsia="宋体" w:cs="宋体"/>
          <w:color w:val="auto"/>
          <w:sz w:val="22"/>
          <w:szCs w:val="22"/>
          <w:highlight w:val="none"/>
        </w:rPr>
        <w:t>]</w:t>
      </w:r>
    </w:p>
    <w:p w14:paraId="12E8C5CC">
      <w:pPr>
        <w:widowControl/>
        <w:spacing w:line="360" w:lineRule="auto"/>
        <w:rPr>
          <w:rFonts w:hint="eastAsia" w:ascii="宋体" w:hAnsi="宋体" w:eastAsia="宋体" w:cs="宋体"/>
          <w:b/>
          <w:color w:val="auto"/>
          <w:kern w:val="0"/>
          <w:sz w:val="32"/>
          <w:szCs w:val="32"/>
          <w:highlight w:val="none"/>
        </w:rPr>
      </w:pPr>
    </w:p>
    <w:p w14:paraId="7D91AF0E">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六、本项目的特定资格要求</w:t>
      </w:r>
    </w:p>
    <w:p w14:paraId="102C904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3597361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D08020">
      <w:pPr>
        <w:spacing w:line="360" w:lineRule="auto"/>
        <w:jc w:val="center"/>
        <w:outlineLvl w:val="1"/>
        <w:rPr>
          <w:rFonts w:hint="eastAsia" w:ascii="宋体" w:hAnsi="宋体" w:eastAsia="宋体" w:cs="宋体"/>
          <w:b/>
          <w:color w:val="auto"/>
          <w:kern w:val="0"/>
          <w:sz w:val="36"/>
          <w:szCs w:val="36"/>
          <w:highlight w:val="none"/>
        </w:rPr>
      </w:pPr>
      <w:bookmarkStart w:id="498" w:name="_Toc14447"/>
      <w:bookmarkStart w:id="499" w:name="_Toc15776"/>
      <w:r>
        <w:rPr>
          <w:rStyle w:val="23"/>
          <w:rFonts w:hint="eastAsia" w:ascii="宋体" w:hAnsi="宋体" w:eastAsia="宋体" w:cs="宋体"/>
          <w:color w:val="auto"/>
          <w:highlight w:val="none"/>
        </w:rPr>
        <w:t>商务技术文件部分</w:t>
      </w:r>
      <w:bookmarkEnd w:id="498"/>
      <w:bookmarkEnd w:id="499"/>
    </w:p>
    <w:p w14:paraId="78D6F890">
      <w:pPr>
        <w:spacing w:line="360" w:lineRule="auto"/>
        <w:jc w:val="center"/>
        <w:rPr>
          <w:rFonts w:hint="eastAsia" w:ascii="宋体" w:hAnsi="宋体" w:eastAsia="宋体" w:cs="宋体"/>
          <w:b/>
          <w:color w:val="auto"/>
          <w:kern w:val="0"/>
          <w:sz w:val="28"/>
          <w:szCs w:val="28"/>
          <w:highlight w:val="none"/>
        </w:rPr>
      </w:pPr>
      <w:bookmarkStart w:id="500" w:name="_Toc23572"/>
      <w:bookmarkStart w:id="501" w:name="_Toc11049"/>
      <w:bookmarkStart w:id="502" w:name="_Toc23620"/>
      <w:r>
        <w:rPr>
          <w:rFonts w:hint="eastAsia" w:ascii="宋体" w:hAnsi="宋体" w:eastAsia="宋体" w:cs="宋体"/>
          <w:b/>
          <w:color w:val="auto"/>
          <w:kern w:val="0"/>
          <w:sz w:val="28"/>
          <w:szCs w:val="28"/>
          <w:highlight w:val="none"/>
        </w:rPr>
        <w:t>目录</w:t>
      </w:r>
      <w:bookmarkEnd w:id="500"/>
      <w:bookmarkEnd w:id="501"/>
      <w:bookmarkEnd w:id="502"/>
    </w:p>
    <w:p w14:paraId="4300318F">
      <w:pPr>
        <w:numPr>
          <w:ilvl w:val="0"/>
          <w:numId w:val="12"/>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评分索引表………………………………………………………………………（页码）</w:t>
      </w:r>
    </w:p>
    <w:p w14:paraId="359E4D7A">
      <w:pPr>
        <w:numPr>
          <w:ilvl w:val="0"/>
          <w:numId w:val="12"/>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16F8A0D2">
      <w:pPr>
        <w:numPr>
          <w:ilvl w:val="0"/>
          <w:numId w:val="12"/>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法定代表人（单位负责人、自然人本人）身份证明或授权委托书…………（页码）</w:t>
      </w:r>
    </w:p>
    <w:p w14:paraId="09C17272">
      <w:pPr>
        <w:numPr>
          <w:ilvl w:val="0"/>
          <w:numId w:val="12"/>
        </w:num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评标标准相应的商务技术资料…………………………………………………（页码）</w:t>
      </w:r>
    </w:p>
    <w:p w14:paraId="51CDBA88">
      <w:pPr>
        <w:numPr>
          <w:ilvl w:val="0"/>
          <w:numId w:val="12"/>
        </w:num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采购需求偏离表…………………………………………………………………（页码）</w:t>
      </w:r>
    </w:p>
    <w:p w14:paraId="3A58D54E">
      <w:pPr>
        <w:numPr>
          <w:ilvl w:val="0"/>
          <w:numId w:val="12"/>
        </w:num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投标标的清单……………………………………………………………………（页码）</w:t>
      </w:r>
    </w:p>
    <w:p w14:paraId="24838B02">
      <w:pPr>
        <w:numPr>
          <w:ilvl w:val="0"/>
          <w:numId w:val="12"/>
        </w:num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政府采购供应商廉洁自律承诺书………………………………………………（页码）</w:t>
      </w:r>
    </w:p>
    <w:p w14:paraId="2CE5BCD0">
      <w:pPr>
        <w:numPr>
          <w:ilvl w:val="0"/>
          <w:numId w:val="12"/>
        </w:num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投标产品技术支持材料…………………………………………………………（页码）</w:t>
      </w:r>
    </w:p>
    <w:p w14:paraId="2885D4B6">
      <w:pPr>
        <w:numPr>
          <w:ilvl w:val="0"/>
          <w:numId w:val="12"/>
        </w:num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投标人认为需要提供的其他材料………………………………………………（页码）</w:t>
      </w:r>
    </w:p>
    <w:p w14:paraId="70E43CD2">
      <w:pPr>
        <w:rPr>
          <w:rFonts w:hint="eastAsia" w:ascii="宋体" w:hAnsi="宋体" w:eastAsia="宋体" w:cs="宋体"/>
          <w:color w:val="auto"/>
          <w:highlight w:val="none"/>
        </w:rPr>
      </w:pPr>
    </w:p>
    <w:p w14:paraId="5D1EDD0A">
      <w:pPr>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color w:val="auto"/>
          <w:highlight w:val="none"/>
        </w:rPr>
        <w:br w:type="page"/>
      </w:r>
      <w:bookmarkStart w:id="503" w:name="_Toc26161"/>
      <w:bookmarkStart w:id="504" w:name="_Toc21536"/>
      <w:bookmarkStart w:id="505" w:name="_Toc25202"/>
      <w:r>
        <w:rPr>
          <w:rFonts w:hint="eastAsia" w:ascii="宋体" w:hAnsi="宋体" w:eastAsia="宋体" w:cs="宋体"/>
          <w:b/>
          <w:color w:val="auto"/>
          <w:sz w:val="28"/>
          <w:highlight w:val="none"/>
        </w:rPr>
        <w:t>评分索引表</w:t>
      </w:r>
    </w:p>
    <w:p w14:paraId="2B5073D3">
      <w:pPr>
        <w:spacing w:line="400" w:lineRule="exact"/>
        <w:jc w:val="center"/>
        <w:rPr>
          <w:rFonts w:hint="eastAsia" w:ascii="宋体" w:hAnsi="宋体" w:eastAsia="宋体" w:cs="宋体"/>
          <w:b/>
          <w:color w:val="auto"/>
          <w:sz w:val="28"/>
          <w:highlight w:val="none"/>
        </w:rPr>
      </w:pPr>
    </w:p>
    <w:p w14:paraId="197C700F">
      <w:pPr>
        <w:spacing w:line="40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为了方便专家评审投标文件，针对招标文件评分细则要求，投标人应制作投标文件索引，置于投标文件首页，格式如下：</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14:paraId="59A3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5CA63FF">
            <w:pPr>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序号</w:t>
            </w:r>
          </w:p>
        </w:tc>
        <w:tc>
          <w:tcPr>
            <w:tcW w:w="6956" w:type="dxa"/>
            <w:vAlign w:val="center"/>
          </w:tcPr>
          <w:p w14:paraId="3FDDDB1E">
            <w:pPr>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评分内容</w:t>
            </w:r>
          </w:p>
        </w:tc>
        <w:tc>
          <w:tcPr>
            <w:tcW w:w="1313" w:type="dxa"/>
            <w:vAlign w:val="center"/>
          </w:tcPr>
          <w:p w14:paraId="1EF5F99D">
            <w:pPr>
              <w:pStyle w:val="29"/>
              <w:spacing w:line="400" w:lineRule="exact"/>
              <w:ind w:firstLine="0" w:firstLineChars="0"/>
              <w:rPr>
                <w:rFonts w:hint="eastAsia" w:ascii="宋体" w:hAnsi="宋体" w:eastAsia="宋体" w:cs="宋体"/>
                <w:b/>
                <w:color w:val="auto"/>
                <w:spacing w:val="-6"/>
                <w:highlight w:val="none"/>
              </w:rPr>
            </w:pPr>
            <w:r>
              <w:rPr>
                <w:rFonts w:hint="eastAsia" w:ascii="宋体" w:hAnsi="宋体" w:eastAsia="宋体" w:cs="宋体"/>
                <w:b/>
                <w:color w:val="auto"/>
                <w:spacing w:val="-6"/>
                <w:highlight w:val="none"/>
              </w:rPr>
              <w:t>页码</w:t>
            </w:r>
          </w:p>
        </w:tc>
      </w:tr>
      <w:tr w14:paraId="648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1F6173A">
            <w:pPr>
              <w:spacing w:line="400" w:lineRule="exact"/>
              <w:jc w:val="center"/>
              <w:rPr>
                <w:rFonts w:hint="eastAsia" w:ascii="宋体" w:hAnsi="宋体" w:eastAsia="宋体" w:cs="宋体"/>
                <w:bCs/>
                <w:color w:val="auto"/>
                <w:kern w:val="0"/>
                <w:sz w:val="24"/>
                <w:highlight w:val="none"/>
              </w:rPr>
            </w:pPr>
          </w:p>
        </w:tc>
        <w:tc>
          <w:tcPr>
            <w:tcW w:w="6956" w:type="dxa"/>
            <w:vAlign w:val="center"/>
          </w:tcPr>
          <w:p w14:paraId="6A7C13C1">
            <w:pPr>
              <w:spacing w:line="400" w:lineRule="exact"/>
              <w:jc w:val="left"/>
              <w:rPr>
                <w:rFonts w:hint="eastAsia" w:ascii="宋体" w:hAnsi="宋体" w:eastAsia="宋体" w:cs="宋体"/>
                <w:color w:val="auto"/>
                <w:kern w:val="0"/>
                <w:sz w:val="24"/>
                <w:highlight w:val="none"/>
              </w:rPr>
            </w:pPr>
          </w:p>
        </w:tc>
        <w:tc>
          <w:tcPr>
            <w:tcW w:w="1313" w:type="dxa"/>
            <w:vAlign w:val="center"/>
          </w:tcPr>
          <w:p w14:paraId="49BB5747">
            <w:pPr>
              <w:pStyle w:val="8"/>
              <w:spacing w:line="400" w:lineRule="exact"/>
              <w:ind w:left="456" w:firstLine="456"/>
              <w:rPr>
                <w:rFonts w:hint="eastAsia" w:ascii="宋体" w:hAnsi="宋体" w:eastAsia="宋体" w:cs="宋体"/>
                <w:color w:val="auto"/>
                <w:spacing w:val="-6"/>
                <w:highlight w:val="none"/>
              </w:rPr>
            </w:pPr>
          </w:p>
        </w:tc>
      </w:tr>
      <w:tr w14:paraId="53FF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496FC2A">
            <w:pPr>
              <w:spacing w:line="400" w:lineRule="exact"/>
              <w:jc w:val="center"/>
              <w:rPr>
                <w:rFonts w:hint="eastAsia" w:ascii="宋体" w:hAnsi="宋体" w:eastAsia="宋体" w:cs="宋体"/>
                <w:bCs/>
                <w:color w:val="auto"/>
                <w:kern w:val="0"/>
                <w:sz w:val="24"/>
                <w:highlight w:val="none"/>
              </w:rPr>
            </w:pPr>
          </w:p>
        </w:tc>
        <w:tc>
          <w:tcPr>
            <w:tcW w:w="6956" w:type="dxa"/>
            <w:vAlign w:val="center"/>
          </w:tcPr>
          <w:p w14:paraId="21AEFFB2">
            <w:pPr>
              <w:spacing w:line="400" w:lineRule="exact"/>
              <w:jc w:val="left"/>
              <w:rPr>
                <w:rFonts w:hint="eastAsia" w:ascii="宋体" w:hAnsi="宋体" w:eastAsia="宋体" w:cs="宋体"/>
                <w:color w:val="auto"/>
                <w:kern w:val="0"/>
                <w:sz w:val="24"/>
                <w:highlight w:val="none"/>
              </w:rPr>
            </w:pPr>
          </w:p>
        </w:tc>
        <w:tc>
          <w:tcPr>
            <w:tcW w:w="1313" w:type="dxa"/>
            <w:vAlign w:val="center"/>
          </w:tcPr>
          <w:p w14:paraId="122C1809">
            <w:pPr>
              <w:pStyle w:val="8"/>
              <w:spacing w:line="400" w:lineRule="exact"/>
              <w:rPr>
                <w:rFonts w:hint="eastAsia" w:ascii="宋体" w:hAnsi="宋体" w:eastAsia="宋体" w:cs="宋体"/>
                <w:color w:val="auto"/>
                <w:highlight w:val="none"/>
              </w:rPr>
            </w:pPr>
          </w:p>
        </w:tc>
      </w:tr>
      <w:tr w14:paraId="05F2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80893E6">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67CFE258">
            <w:pPr>
              <w:spacing w:line="400" w:lineRule="exact"/>
              <w:rPr>
                <w:rFonts w:hint="eastAsia" w:ascii="宋体" w:hAnsi="宋体" w:eastAsia="宋体" w:cs="宋体"/>
                <w:color w:val="auto"/>
                <w:sz w:val="24"/>
                <w:highlight w:val="none"/>
              </w:rPr>
            </w:pPr>
          </w:p>
        </w:tc>
        <w:tc>
          <w:tcPr>
            <w:tcW w:w="1313" w:type="dxa"/>
          </w:tcPr>
          <w:p w14:paraId="5E3B849C">
            <w:pPr>
              <w:spacing w:line="400" w:lineRule="exact"/>
              <w:rPr>
                <w:rFonts w:hint="eastAsia" w:ascii="宋体" w:hAnsi="宋体" w:eastAsia="宋体" w:cs="宋体"/>
                <w:bCs/>
                <w:color w:val="auto"/>
                <w:sz w:val="24"/>
                <w:highlight w:val="none"/>
              </w:rPr>
            </w:pPr>
          </w:p>
        </w:tc>
      </w:tr>
      <w:tr w14:paraId="44F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19478DCF">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097A3C60">
            <w:pPr>
              <w:spacing w:line="400" w:lineRule="exact"/>
              <w:rPr>
                <w:rFonts w:hint="eastAsia" w:ascii="宋体" w:hAnsi="宋体" w:eastAsia="宋体" w:cs="宋体"/>
                <w:color w:val="auto"/>
                <w:sz w:val="24"/>
                <w:highlight w:val="none"/>
              </w:rPr>
            </w:pPr>
          </w:p>
        </w:tc>
        <w:tc>
          <w:tcPr>
            <w:tcW w:w="1313" w:type="dxa"/>
          </w:tcPr>
          <w:p w14:paraId="019C5383">
            <w:pPr>
              <w:spacing w:line="400" w:lineRule="exact"/>
              <w:rPr>
                <w:rFonts w:hint="eastAsia" w:ascii="宋体" w:hAnsi="宋体" w:eastAsia="宋体" w:cs="宋体"/>
                <w:bCs/>
                <w:color w:val="auto"/>
                <w:sz w:val="24"/>
                <w:highlight w:val="none"/>
              </w:rPr>
            </w:pPr>
          </w:p>
        </w:tc>
      </w:tr>
      <w:tr w14:paraId="1EA3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22967385">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6FEB0323">
            <w:pPr>
              <w:spacing w:line="400" w:lineRule="exact"/>
              <w:jc w:val="left"/>
              <w:rPr>
                <w:rFonts w:hint="eastAsia" w:ascii="宋体" w:hAnsi="宋体" w:eastAsia="宋体" w:cs="宋体"/>
                <w:color w:val="auto"/>
                <w:sz w:val="24"/>
                <w:highlight w:val="none"/>
              </w:rPr>
            </w:pPr>
          </w:p>
        </w:tc>
        <w:tc>
          <w:tcPr>
            <w:tcW w:w="1313" w:type="dxa"/>
          </w:tcPr>
          <w:p w14:paraId="29092372">
            <w:pPr>
              <w:spacing w:line="400" w:lineRule="exact"/>
              <w:rPr>
                <w:rFonts w:hint="eastAsia" w:ascii="宋体" w:hAnsi="宋体" w:eastAsia="宋体" w:cs="宋体"/>
                <w:bCs/>
                <w:color w:val="auto"/>
                <w:sz w:val="24"/>
                <w:highlight w:val="none"/>
              </w:rPr>
            </w:pPr>
          </w:p>
        </w:tc>
      </w:tr>
      <w:tr w14:paraId="68D1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04DE7D13">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2653B297">
            <w:pPr>
              <w:spacing w:line="400" w:lineRule="exact"/>
              <w:jc w:val="left"/>
              <w:rPr>
                <w:rFonts w:hint="eastAsia" w:ascii="宋体" w:hAnsi="宋体" w:eastAsia="宋体" w:cs="宋体"/>
                <w:color w:val="auto"/>
                <w:sz w:val="24"/>
                <w:highlight w:val="none"/>
              </w:rPr>
            </w:pPr>
          </w:p>
        </w:tc>
        <w:tc>
          <w:tcPr>
            <w:tcW w:w="1313" w:type="dxa"/>
          </w:tcPr>
          <w:p w14:paraId="19000145">
            <w:pPr>
              <w:spacing w:line="400" w:lineRule="exact"/>
              <w:rPr>
                <w:rFonts w:hint="eastAsia" w:ascii="宋体" w:hAnsi="宋体" w:eastAsia="宋体" w:cs="宋体"/>
                <w:bCs/>
                <w:color w:val="auto"/>
                <w:sz w:val="24"/>
                <w:highlight w:val="none"/>
              </w:rPr>
            </w:pPr>
          </w:p>
        </w:tc>
      </w:tr>
      <w:tr w14:paraId="594C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D892A4B">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08D4C8FB">
            <w:pPr>
              <w:spacing w:line="400" w:lineRule="exact"/>
              <w:jc w:val="left"/>
              <w:rPr>
                <w:rFonts w:hint="eastAsia" w:ascii="宋体" w:hAnsi="宋体" w:eastAsia="宋体" w:cs="宋体"/>
                <w:color w:val="auto"/>
                <w:sz w:val="24"/>
                <w:highlight w:val="none"/>
              </w:rPr>
            </w:pPr>
          </w:p>
        </w:tc>
        <w:tc>
          <w:tcPr>
            <w:tcW w:w="1313" w:type="dxa"/>
          </w:tcPr>
          <w:p w14:paraId="63076C13">
            <w:pPr>
              <w:spacing w:line="400" w:lineRule="exact"/>
              <w:rPr>
                <w:rFonts w:hint="eastAsia" w:ascii="宋体" w:hAnsi="宋体" w:eastAsia="宋体" w:cs="宋体"/>
                <w:bCs/>
                <w:color w:val="auto"/>
                <w:sz w:val="24"/>
                <w:highlight w:val="none"/>
              </w:rPr>
            </w:pPr>
          </w:p>
        </w:tc>
      </w:tr>
      <w:tr w14:paraId="382C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20608297">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0412EBAA">
            <w:pPr>
              <w:spacing w:line="400" w:lineRule="exact"/>
              <w:rPr>
                <w:rFonts w:hint="eastAsia" w:ascii="宋体" w:hAnsi="宋体" w:eastAsia="宋体" w:cs="宋体"/>
                <w:color w:val="auto"/>
                <w:sz w:val="24"/>
                <w:highlight w:val="none"/>
              </w:rPr>
            </w:pPr>
          </w:p>
        </w:tc>
        <w:tc>
          <w:tcPr>
            <w:tcW w:w="1313" w:type="dxa"/>
          </w:tcPr>
          <w:p w14:paraId="66AFBD38">
            <w:pPr>
              <w:spacing w:line="400" w:lineRule="exact"/>
              <w:rPr>
                <w:rFonts w:hint="eastAsia" w:ascii="宋体" w:hAnsi="宋体" w:eastAsia="宋体" w:cs="宋体"/>
                <w:bCs/>
                <w:color w:val="auto"/>
                <w:sz w:val="24"/>
                <w:highlight w:val="none"/>
              </w:rPr>
            </w:pPr>
          </w:p>
        </w:tc>
      </w:tr>
      <w:tr w14:paraId="6854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22B39C72">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296BB5C5">
            <w:pPr>
              <w:spacing w:line="400" w:lineRule="exact"/>
              <w:jc w:val="left"/>
              <w:rPr>
                <w:rFonts w:hint="eastAsia" w:ascii="宋体" w:hAnsi="宋体" w:eastAsia="宋体" w:cs="宋体"/>
                <w:color w:val="auto"/>
                <w:sz w:val="24"/>
                <w:highlight w:val="none"/>
              </w:rPr>
            </w:pPr>
          </w:p>
        </w:tc>
        <w:tc>
          <w:tcPr>
            <w:tcW w:w="1313" w:type="dxa"/>
          </w:tcPr>
          <w:p w14:paraId="5D8C4CD6">
            <w:pPr>
              <w:spacing w:line="400" w:lineRule="exact"/>
              <w:rPr>
                <w:rFonts w:hint="eastAsia" w:ascii="宋体" w:hAnsi="宋体" w:eastAsia="宋体" w:cs="宋体"/>
                <w:bCs/>
                <w:color w:val="auto"/>
                <w:sz w:val="24"/>
                <w:highlight w:val="none"/>
              </w:rPr>
            </w:pPr>
          </w:p>
        </w:tc>
      </w:tr>
      <w:tr w14:paraId="6B3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405A80D3">
            <w:pPr>
              <w:spacing w:line="400" w:lineRule="exact"/>
              <w:jc w:val="center"/>
              <w:rPr>
                <w:rFonts w:hint="eastAsia" w:ascii="宋体" w:hAnsi="宋体" w:eastAsia="宋体" w:cs="宋体"/>
                <w:color w:val="auto"/>
                <w:spacing w:val="-6"/>
                <w:sz w:val="24"/>
                <w:highlight w:val="none"/>
              </w:rPr>
            </w:pPr>
          </w:p>
        </w:tc>
        <w:tc>
          <w:tcPr>
            <w:tcW w:w="6956" w:type="dxa"/>
            <w:vAlign w:val="center"/>
          </w:tcPr>
          <w:p w14:paraId="71CD1999">
            <w:pPr>
              <w:spacing w:line="400" w:lineRule="exact"/>
              <w:jc w:val="left"/>
              <w:rPr>
                <w:rFonts w:hint="eastAsia" w:ascii="宋体" w:hAnsi="宋体" w:eastAsia="宋体" w:cs="宋体"/>
                <w:color w:val="auto"/>
                <w:sz w:val="24"/>
                <w:highlight w:val="none"/>
              </w:rPr>
            </w:pPr>
          </w:p>
        </w:tc>
        <w:tc>
          <w:tcPr>
            <w:tcW w:w="1313" w:type="dxa"/>
          </w:tcPr>
          <w:p w14:paraId="272895DE">
            <w:pPr>
              <w:spacing w:line="400" w:lineRule="exact"/>
              <w:rPr>
                <w:rFonts w:hint="eastAsia" w:ascii="宋体" w:hAnsi="宋体" w:eastAsia="宋体" w:cs="宋体"/>
                <w:bCs/>
                <w:color w:val="auto"/>
                <w:sz w:val="24"/>
                <w:highlight w:val="none"/>
              </w:rPr>
            </w:pPr>
          </w:p>
        </w:tc>
      </w:tr>
    </w:tbl>
    <w:p w14:paraId="58125E6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“评分内容”对应评审标准。</w:t>
      </w:r>
    </w:p>
    <w:p w14:paraId="4B96A994">
      <w:pPr>
        <w:spacing w:line="400" w:lineRule="exact"/>
        <w:ind w:firstLine="720" w:firstLineChars="3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二、</w:t>
      </w:r>
      <w:r>
        <w:rPr>
          <w:rFonts w:hint="eastAsia" w:ascii="宋体" w:hAnsi="宋体" w:eastAsia="宋体" w:cs="宋体"/>
          <w:color w:val="auto"/>
          <w:sz w:val="24"/>
          <w:highlight w:val="none"/>
        </w:rPr>
        <w:t>评标内容自行添加。本表可扩展。</w:t>
      </w:r>
    </w:p>
    <w:p w14:paraId="7D20F23D">
      <w:pPr>
        <w:spacing w:line="400" w:lineRule="exact"/>
        <w:ind w:firstLine="720" w:firstLineChars="300"/>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三、</w:t>
      </w:r>
      <w:r>
        <w:rPr>
          <w:rFonts w:hint="eastAsia" w:ascii="宋体" w:hAnsi="宋体" w:eastAsia="宋体" w:cs="宋体"/>
          <w:color w:val="auto"/>
          <w:sz w:val="24"/>
          <w:highlight w:val="none"/>
        </w:rPr>
        <w:t>各投标人在投标文件最前页根据本评标细则制作评分索引表，清楚标注响应内容及证明材料的所在页码。</w:t>
      </w:r>
    </w:p>
    <w:p w14:paraId="314ED0A5">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br w:type="page"/>
      </w:r>
      <w:bookmarkStart w:id="506" w:name="_Toc19439"/>
      <w:bookmarkStart w:id="507" w:name="_Toc17620"/>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bookmarkEnd w:id="503"/>
      <w:bookmarkEnd w:id="504"/>
      <w:bookmarkEnd w:id="505"/>
      <w:bookmarkEnd w:id="506"/>
      <w:bookmarkEnd w:id="507"/>
    </w:p>
    <w:p w14:paraId="52BE5805">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浙江农林大学、浙江乐诚工程咨询有限公司：</w:t>
      </w:r>
    </w:p>
    <w:p w14:paraId="7B7BC938">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我方参加你方组织的浙江农林大学</w:t>
      </w:r>
      <w:r>
        <w:rPr>
          <w:rFonts w:hint="eastAsia" w:ascii="宋体" w:hAnsi="宋体" w:eastAsia="宋体" w:cs="宋体"/>
          <w:color w:val="auto"/>
          <w:sz w:val="22"/>
          <w:szCs w:val="22"/>
          <w:highlight w:val="none"/>
          <w:lang w:eastAsia="zh-CN"/>
        </w:rPr>
        <w:t>细胞房</w:t>
      </w:r>
      <w:r>
        <w:rPr>
          <w:rFonts w:hint="eastAsia" w:ascii="宋体" w:hAnsi="宋体" w:eastAsia="宋体" w:cs="宋体"/>
          <w:color w:val="auto"/>
          <w:sz w:val="22"/>
          <w:szCs w:val="22"/>
          <w:highlight w:val="none"/>
        </w:rPr>
        <w:t>项目【项目编号：</w:t>
      </w:r>
      <w:r>
        <w:rPr>
          <w:rFonts w:hint="eastAsia" w:ascii="宋体" w:hAnsi="宋体" w:cs="宋体"/>
          <w:color w:val="auto"/>
          <w:sz w:val="22"/>
          <w:szCs w:val="22"/>
          <w:highlight w:val="none"/>
          <w:lang w:eastAsia="zh-CN"/>
        </w:rPr>
        <w:t>330000263030040000163-ZJYC2026060(GK)</w:t>
      </w:r>
      <w:r>
        <w:rPr>
          <w:rFonts w:hint="eastAsia" w:ascii="宋体" w:hAnsi="宋体" w:eastAsia="宋体" w:cs="宋体"/>
          <w:color w:val="auto"/>
          <w:sz w:val="22"/>
          <w:szCs w:val="22"/>
          <w:highlight w:val="none"/>
        </w:rPr>
        <w:t>】招标的有关活动，并对此项目进行投标。为此：</w:t>
      </w:r>
    </w:p>
    <w:p w14:paraId="5DF1977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我方承诺投标有效期从提交投标文件的截止之日起</w:t>
      </w:r>
      <w:r>
        <w:rPr>
          <w:rFonts w:hint="eastAsia" w:ascii="宋体" w:hAnsi="宋体" w:eastAsia="宋体" w:cs="宋体"/>
          <w:color w:val="auto"/>
          <w:sz w:val="22"/>
          <w:szCs w:val="22"/>
          <w:highlight w:val="none"/>
          <w:u w:val="single"/>
        </w:rPr>
        <w:t>90日历</w:t>
      </w:r>
      <w:r>
        <w:rPr>
          <w:rFonts w:hint="eastAsia" w:ascii="宋体" w:hAnsi="宋体" w:eastAsia="宋体" w:cs="宋体"/>
          <w:color w:val="auto"/>
          <w:sz w:val="22"/>
          <w:szCs w:val="22"/>
          <w:highlight w:val="none"/>
        </w:rPr>
        <w:t>天，本投标文件在投标有效期满之前均具有约束力。</w:t>
      </w:r>
    </w:p>
    <w:p w14:paraId="2DD3115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我方的投标文件包括以下内容：</w:t>
      </w:r>
    </w:p>
    <w:p w14:paraId="373BFD1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2.1资格文件：</w:t>
      </w:r>
    </w:p>
    <w:p w14:paraId="26EDC0AC">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2.1.1承诺函；</w:t>
      </w:r>
    </w:p>
    <w:p w14:paraId="4F91A920">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2.1.2有效的企业营业执照（或事业法人登记证书或其它工商等登记证明材料，自然人提供身份证)复制件（五选一）</w:t>
      </w:r>
    </w:p>
    <w:p w14:paraId="40C32F93">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2.1.3落实政府采购政策需满足的资格要求；</w:t>
      </w:r>
    </w:p>
    <w:p w14:paraId="3DC99771">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2.1.4联合协议（如果有）；</w:t>
      </w:r>
    </w:p>
    <w:p w14:paraId="42162EAD">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2.1.5分包意向协议（如果有）；</w:t>
      </w:r>
    </w:p>
    <w:p w14:paraId="4E3815B6">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2.1.6本项目的特定资格要求（如果有）。</w:t>
      </w:r>
    </w:p>
    <w:p w14:paraId="362679D2">
      <w:pPr>
        <w:snapToGrid w:val="0"/>
        <w:spacing w:line="36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rPr>
        <w:t>商务技术</w:t>
      </w:r>
      <w:r>
        <w:rPr>
          <w:rFonts w:hint="eastAsia" w:ascii="宋体" w:hAnsi="宋体" w:eastAsia="宋体" w:cs="宋体"/>
          <w:color w:val="auto"/>
          <w:sz w:val="22"/>
          <w:szCs w:val="22"/>
          <w:highlight w:val="none"/>
          <w:lang w:val="zh-CN"/>
        </w:rPr>
        <w:t>文件：</w:t>
      </w:r>
    </w:p>
    <w:p w14:paraId="2DD49BB7">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2.2.1投标函；</w:t>
      </w:r>
      <w:r>
        <w:rPr>
          <w:rFonts w:hint="eastAsia" w:ascii="宋体" w:hAnsi="宋体" w:eastAsia="宋体" w:cs="宋体"/>
          <w:color w:val="auto"/>
          <w:sz w:val="22"/>
          <w:szCs w:val="22"/>
          <w:highlight w:val="none"/>
          <w:lang w:val="zh-CN"/>
        </w:rPr>
        <w:t xml:space="preserve"> </w:t>
      </w:r>
    </w:p>
    <w:p w14:paraId="686A5FCE">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2.2.2授权委托书或法定代表人（单位负责人）身份证明；</w:t>
      </w:r>
    </w:p>
    <w:p w14:paraId="08601E20">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2.2.3评标标准相应的商务技术资料；</w:t>
      </w:r>
    </w:p>
    <w:p w14:paraId="2777A607">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2.2.4采购需求偏离表；</w:t>
      </w:r>
    </w:p>
    <w:p w14:paraId="3CACC7DE">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2.2.5投标标的清单；</w:t>
      </w:r>
    </w:p>
    <w:p w14:paraId="4931FD36">
      <w:pPr>
        <w:snapToGrid w:val="0"/>
        <w:spacing w:line="360" w:lineRule="auto"/>
        <w:ind w:firstLine="660" w:firstLineChars="3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.2.6政府采购供应商廉洁自律承诺书；</w:t>
      </w:r>
    </w:p>
    <w:p w14:paraId="6605A5E4">
      <w:pPr>
        <w:snapToGrid w:val="0"/>
        <w:spacing w:line="360" w:lineRule="auto"/>
        <w:ind w:firstLine="660" w:firstLineChars="3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2.2.7投标产品技术支持材料；</w:t>
      </w:r>
    </w:p>
    <w:p w14:paraId="4039CAB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3报价文件</w:t>
      </w:r>
    </w:p>
    <w:p w14:paraId="17B60BC8">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2.3.1开标一览表；</w:t>
      </w:r>
    </w:p>
    <w:p w14:paraId="1A758726">
      <w:pPr>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2.3.2投标报价明细表。</w:t>
      </w:r>
    </w:p>
    <w:p w14:paraId="442B845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3.</w:t>
      </w:r>
      <w:r>
        <w:rPr>
          <w:rFonts w:hint="eastAsia" w:ascii="宋体" w:hAnsi="宋体" w:eastAsia="宋体" w:cs="宋体"/>
          <w:color w:val="auto"/>
          <w:sz w:val="22"/>
          <w:szCs w:val="22"/>
          <w:highlight w:val="none"/>
        </w:rPr>
        <w:t>我方承诺除采购需求偏离表列出的偏离外，我方响应招标文件的全部要求。</w:t>
      </w:r>
    </w:p>
    <w:p w14:paraId="3960062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4.</w:t>
      </w:r>
      <w:r>
        <w:rPr>
          <w:rFonts w:hint="eastAsia" w:ascii="宋体" w:hAnsi="宋体" w:eastAsia="宋体" w:cs="宋体"/>
          <w:color w:val="auto"/>
          <w:sz w:val="22"/>
          <w:szCs w:val="22"/>
          <w:highlight w:val="none"/>
        </w:rPr>
        <w:t>如我方中标，我方承诺：</w:t>
      </w:r>
    </w:p>
    <w:p w14:paraId="02E1F51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4.1在收到中标通知书后，在中标通知书规定的期限内与你方签订合同； </w:t>
      </w:r>
    </w:p>
    <w:p w14:paraId="36A18CD2">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4.2在签订合同时不向你方提出附加条件； </w:t>
      </w:r>
    </w:p>
    <w:p w14:paraId="413C664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4.3按照招标文件要求提交履约保证金； </w:t>
      </w:r>
    </w:p>
    <w:p w14:paraId="0321CAA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4.4在合同约定的期限内完成合同规定的全部义务。 </w:t>
      </w:r>
    </w:p>
    <w:p w14:paraId="0D26F6B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5.</w:t>
      </w:r>
      <w:r>
        <w:rPr>
          <w:rFonts w:hint="eastAsia" w:ascii="宋体" w:hAnsi="宋体" w:eastAsia="宋体" w:cs="宋体"/>
          <w:color w:val="auto"/>
          <w:sz w:val="22"/>
          <w:szCs w:val="22"/>
          <w:highlight w:val="none"/>
        </w:rPr>
        <w:t>我方已详细阅读全部招标文件，包括招标文件“更正（延期）公告”（如果有）、参考资料及有关附件，确认无误。</w:t>
      </w:r>
    </w:p>
    <w:p w14:paraId="6CD5216D">
      <w:pPr>
        <w:spacing w:line="360" w:lineRule="auto"/>
        <w:rPr>
          <w:rFonts w:hint="eastAsia" w:ascii="宋体" w:hAnsi="宋体" w:eastAsia="宋体" w:cs="宋体"/>
          <w:color w:val="auto"/>
          <w:sz w:val="22"/>
          <w:szCs w:val="22"/>
          <w:highlight w:val="none"/>
        </w:rPr>
      </w:pPr>
    </w:p>
    <w:p w14:paraId="1DEC6A3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投标人名称（电子签名或公章）：                          </w:t>
      </w:r>
    </w:p>
    <w:p w14:paraId="5E3C275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59586C9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605DCFDF">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32"/>
          <w:szCs w:val="32"/>
          <w:highlight w:val="none"/>
          <w:lang w:val="zh-CN"/>
        </w:rPr>
        <w:t>二、法定代表人（单位负责人、自然人本人）身份证明或授权委托书</w:t>
      </w:r>
    </w:p>
    <w:p w14:paraId="7B87465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D097857">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1EAB00EE">
      <w:pPr>
        <w:pStyle w:val="3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3D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FA34650">
            <w:pPr>
              <w:pStyle w:val="30"/>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0E51C558">
            <w:pPr>
              <w:pStyle w:val="30"/>
              <w:adjustRightInd w:val="0"/>
              <w:spacing w:line="360" w:lineRule="auto"/>
              <w:rPr>
                <w:rFonts w:hint="eastAsia" w:ascii="宋体" w:hAnsi="宋体" w:eastAsia="宋体" w:cs="宋体"/>
                <w:bCs/>
                <w:color w:val="auto"/>
                <w:sz w:val="24"/>
                <w:highlight w:val="none"/>
              </w:rPr>
            </w:pPr>
          </w:p>
        </w:tc>
      </w:tr>
    </w:tbl>
    <w:p w14:paraId="597032CE">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8BCE8F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投标人名称(电子签名或公章)：                              </w:t>
      </w:r>
    </w:p>
    <w:p w14:paraId="40DA0F4B">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val="zh-CN"/>
        </w:rPr>
        <w:t xml:space="preserve">                   日期：  年  月  日</w:t>
      </w:r>
    </w:p>
    <w:p w14:paraId="5DBDC586">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32"/>
          <w:szCs w:val="32"/>
          <w:highlight w:val="none"/>
          <w:lang w:val="zh-CN"/>
        </w:rPr>
        <w:t>授权委托书（适用于非联合体投标）</w:t>
      </w:r>
      <w:r>
        <w:rPr>
          <w:rFonts w:hint="eastAsia" w:ascii="宋体" w:hAnsi="宋体" w:eastAsia="宋体" w:cs="宋体"/>
          <w:color w:val="auto"/>
          <w:highlight w:val="none"/>
        </w:rPr>
        <w:t xml:space="preserve">                               </w:t>
      </w:r>
    </w:p>
    <w:p w14:paraId="7831B38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浙江农林大学、浙江乐诚工程咨询有限公司</w:t>
      </w:r>
      <w:r>
        <w:rPr>
          <w:rFonts w:hint="eastAsia" w:ascii="宋体" w:hAnsi="宋体" w:eastAsia="宋体" w:cs="宋体"/>
          <w:color w:val="auto"/>
          <w:kern w:val="0"/>
          <w:sz w:val="24"/>
          <w:highlight w:val="none"/>
          <w:lang w:val="zh-CN"/>
        </w:rPr>
        <w:t>：</w:t>
      </w:r>
    </w:p>
    <w:p w14:paraId="3E79D1D0">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浙江农林大学</w:t>
      </w:r>
      <w:r>
        <w:rPr>
          <w:rFonts w:hint="eastAsia" w:ascii="宋体" w:hAnsi="宋体" w:eastAsia="宋体" w:cs="宋体"/>
          <w:color w:val="auto"/>
          <w:sz w:val="24"/>
          <w:highlight w:val="none"/>
          <w:lang w:eastAsia="zh-CN"/>
        </w:rPr>
        <w:t>细胞房</w:t>
      </w:r>
      <w:r>
        <w:rPr>
          <w:rFonts w:hint="eastAsia" w:ascii="宋体" w:hAnsi="宋体" w:eastAsia="宋体" w:cs="宋体"/>
          <w:color w:val="auto"/>
          <w:sz w:val="24"/>
          <w:highlight w:val="none"/>
        </w:rPr>
        <w:t>项目【项目编号：</w:t>
      </w:r>
      <w:r>
        <w:rPr>
          <w:rFonts w:hint="eastAsia" w:ascii="宋体" w:hAnsi="宋体" w:cs="宋体"/>
          <w:color w:val="auto"/>
          <w:sz w:val="24"/>
          <w:highlight w:val="none"/>
          <w:lang w:eastAsia="zh-CN"/>
        </w:rPr>
        <w:t>330000263030040000163-ZJYC2026060(GK)</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06179B7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773EEE7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76316FA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投标人名称(电子签名或公章)：</w:t>
      </w:r>
    </w:p>
    <w:p w14:paraId="1B078D12">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382316A4">
      <w:pPr>
        <w:snapToGrid w:val="0"/>
        <w:spacing w:line="360" w:lineRule="auto"/>
        <w:rPr>
          <w:rFonts w:hint="eastAsia" w:ascii="宋体" w:hAnsi="宋体" w:eastAsia="宋体" w:cs="宋体"/>
          <w:color w:val="auto"/>
          <w:sz w:val="24"/>
          <w:highlight w:val="none"/>
        </w:rPr>
      </w:pPr>
    </w:p>
    <w:p w14:paraId="1E1BCB29">
      <w:pPr>
        <w:pStyle w:val="3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授权代表身份证件扫描件：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B6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77AB76">
            <w:pPr>
              <w:pStyle w:val="30"/>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18C7AD0A">
            <w:pPr>
              <w:pStyle w:val="30"/>
              <w:adjustRightInd w:val="0"/>
              <w:spacing w:line="360" w:lineRule="auto"/>
              <w:rPr>
                <w:rFonts w:hint="eastAsia" w:ascii="宋体" w:hAnsi="宋体" w:eastAsia="宋体" w:cs="宋体"/>
                <w:bCs/>
                <w:color w:val="auto"/>
                <w:sz w:val="24"/>
                <w:highlight w:val="none"/>
              </w:rPr>
            </w:pPr>
          </w:p>
        </w:tc>
      </w:tr>
    </w:tbl>
    <w:p w14:paraId="52D4A831">
      <w:pPr>
        <w:snapToGrid w:val="0"/>
        <w:spacing w:line="360" w:lineRule="auto"/>
        <w:rPr>
          <w:rFonts w:hint="eastAsia" w:ascii="宋体" w:hAnsi="宋体" w:eastAsia="宋体" w:cs="宋体"/>
          <w:color w:val="auto"/>
          <w:sz w:val="24"/>
          <w:highlight w:val="none"/>
        </w:rPr>
      </w:pPr>
    </w:p>
    <w:p w14:paraId="2EF95717">
      <w:pPr>
        <w:snapToGrid w:val="0"/>
        <w:spacing w:line="360" w:lineRule="auto"/>
        <w:rPr>
          <w:rFonts w:hint="eastAsia" w:ascii="宋体" w:hAnsi="宋体" w:eastAsia="宋体" w:cs="宋体"/>
          <w:color w:val="auto"/>
          <w:sz w:val="24"/>
          <w:highlight w:val="none"/>
        </w:rPr>
      </w:pPr>
    </w:p>
    <w:p w14:paraId="45A15DA9">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p>
    <w:p w14:paraId="7F9CA0AB">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lang w:val="zh-CN"/>
        </w:rPr>
        <w:t>授权委托书（适用于联合体投标）</w:t>
      </w:r>
    </w:p>
    <w:p w14:paraId="3DA2B5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浙江农林大学、浙江乐诚工程咨询有限公司</w:t>
      </w:r>
      <w:r>
        <w:rPr>
          <w:rFonts w:hint="eastAsia" w:ascii="宋体" w:hAnsi="宋体" w:eastAsia="宋体" w:cs="宋体"/>
          <w:color w:val="auto"/>
          <w:kern w:val="0"/>
          <w:sz w:val="24"/>
          <w:highlight w:val="none"/>
          <w:lang w:val="zh-CN"/>
        </w:rPr>
        <w:t>：</w:t>
      </w:r>
    </w:p>
    <w:p w14:paraId="3C41A6EA">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浙江农林大学</w:t>
      </w:r>
      <w:r>
        <w:rPr>
          <w:rFonts w:hint="eastAsia" w:ascii="宋体" w:hAnsi="宋体" w:eastAsia="宋体" w:cs="宋体"/>
          <w:color w:val="auto"/>
          <w:sz w:val="24"/>
          <w:highlight w:val="none"/>
          <w:lang w:eastAsia="zh-CN"/>
        </w:rPr>
        <w:t>细胞房</w:t>
      </w:r>
      <w:r>
        <w:rPr>
          <w:rFonts w:hint="eastAsia" w:ascii="宋体" w:hAnsi="宋体" w:eastAsia="宋体" w:cs="宋体"/>
          <w:color w:val="auto"/>
          <w:sz w:val="24"/>
          <w:highlight w:val="none"/>
        </w:rPr>
        <w:t>项目【项目编号：</w:t>
      </w:r>
      <w:r>
        <w:rPr>
          <w:rFonts w:hint="eastAsia" w:ascii="宋体" w:hAnsi="宋体" w:cs="宋体"/>
          <w:color w:val="auto"/>
          <w:sz w:val="24"/>
          <w:highlight w:val="none"/>
          <w:lang w:eastAsia="zh-CN"/>
        </w:rPr>
        <w:t>330000263030040000163-ZJYC2026060(GK)</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7AA200F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7B9DEF4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6FD62EE3">
      <w:pPr>
        <w:jc w:val="center"/>
        <w:rPr>
          <w:rFonts w:hint="eastAsia" w:ascii="宋体" w:hAnsi="宋体" w:eastAsia="宋体" w:cs="宋体"/>
          <w:b/>
          <w:color w:val="auto"/>
          <w:kern w:val="0"/>
          <w:sz w:val="32"/>
          <w:szCs w:val="32"/>
          <w:highlight w:val="none"/>
        </w:rPr>
      </w:pPr>
    </w:p>
    <w:p w14:paraId="560B8681">
      <w:pPr>
        <w:jc w:val="center"/>
        <w:rPr>
          <w:rFonts w:hint="eastAsia" w:ascii="宋体" w:hAnsi="宋体" w:eastAsia="宋体" w:cs="宋体"/>
          <w:b/>
          <w:color w:val="auto"/>
          <w:kern w:val="0"/>
          <w:sz w:val="32"/>
          <w:szCs w:val="32"/>
          <w:highlight w:val="none"/>
        </w:rPr>
      </w:pPr>
    </w:p>
    <w:p w14:paraId="706964A5">
      <w:pPr>
        <w:jc w:val="center"/>
        <w:rPr>
          <w:rFonts w:hint="eastAsia" w:ascii="宋体" w:hAnsi="宋体" w:eastAsia="宋体" w:cs="宋体"/>
          <w:b/>
          <w:color w:val="auto"/>
          <w:kern w:val="0"/>
          <w:sz w:val="32"/>
          <w:szCs w:val="32"/>
          <w:highlight w:val="none"/>
        </w:rPr>
      </w:pPr>
    </w:p>
    <w:p w14:paraId="64CEEC84">
      <w:pPr>
        <w:rPr>
          <w:rFonts w:hint="eastAsia" w:ascii="宋体" w:hAnsi="宋体" w:eastAsia="宋体" w:cs="宋体"/>
          <w:color w:val="auto"/>
          <w:highlight w:val="none"/>
        </w:rPr>
      </w:pPr>
    </w:p>
    <w:p w14:paraId="4302976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联合体成员名称(电子签名或公章)：</w:t>
      </w:r>
    </w:p>
    <w:p w14:paraId="79D6B788">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联合体成员名称(电子签名或公章)：</w:t>
      </w:r>
    </w:p>
    <w:p w14:paraId="5C9EEACA">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198EE0D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C185B2C">
      <w:pPr>
        <w:pStyle w:val="3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授权代表身份证件扫描件：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2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5132E1">
            <w:pPr>
              <w:pStyle w:val="30"/>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28B8002B">
            <w:pPr>
              <w:pStyle w:val="30"/>
              <w:adjustRightInd w:val="0"/>
              <w:spacing w:line="360" w:lineRule="auto"/>
              <w:rPr>
                <w:rFonts w:hint="eastAsia" w:ascii="宋体" w:hAnsi="宋体" w:eastAsia="宋体" w:cs="宋体"/>
                <w:bCs/>
                <w:color w:val="auto"/>
                <w:sz w:val="24"/>
                <w:highlight w:val="none"/>
              </w:rPr>
            </w:pPr>
          </w:p>
        </w:tc>
      </w:tr>
    </w:tbl>
    <w:p w14:paraId="316BCB1C">
      <w:pPr>
        <w:spacing w:line="360" w:lineRule="auto"/>
        <w:jc w:val="center"/>
        <w:rPr>
          <w:rFonts w:hint="eastAsia" w:ascii="宋体" w:hAnsi="宋体" w:eastAsia="宋体" w:cs="宋体"/>
          <w:b/>
          <w:color w:val="auto"/>
          <w:kern w:val="0"/>
          <w:sz w:val="32"/>
          <w:szCs w:val="32"/>
          <w:highlight w:val="none"/>
        </w:rPr>
      </w:pPr>
    </w:p>
    <w:p w14:paraId="63766AFC">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三、评标标准相应的商务技术资料</w:t>
      </w:r>
    </w:p>
    <w:p w14:paraId="62DECA9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p w14:paraId="079EAF21">
      <w:pPr>
        <w:jc w:val="center"/>
        <w:rPr>
          <w:rFonts w:hint="eastAsia" w:ascii="宋体" w:hAnsi="宋体" w:eastAsia="宋体" w:cs="宋体"/>
          <w:b/>
          <w:color w:val="auto"/>
          <w:kern w:val="0"/>
          <w:sz w:val="32"/>
          <w:szCs w:val="32"/>
          <w:highlight w:val="none"/>
        </w:rPr>
      </w:pPr>
    </w:p>
    <w:p w14:paraId="4A81459D">
      <w:pPr>
        <w:jc w:val="center"/>
        <w:rPr>
          <w:rFonts w:hint="eastAsia" w:ascii="宋体" w:hAnsi="宋体" w:eastAsia="宋体" w:cs="宋体"/>
          <w:b/>
          <w:color w:val="auto"/>
          <w:kern w:val="0"/>
          <w:sz w:val="32"/>
          <w:szCs w:val="32"/>
          <w:highlight w:val="none"/>
        </w:rPr>
      </w:pPr>
    </w:p>
    <w:p w14:paraId="79230CB8">
      <w:pPr>
        <w:jc w:val="center"/>
        <w:rPr>
          <w:rFonts w:hint="eastAsia" w:ascii="宋体" w:hAnsi="宋体" w:eastAsia="宋体" w:cs="宋体"/>
          <w:b/>
          <w:color w:val="auto"/>
          <w:kern w:val="0"/>
          <w:sz w:val="32"/>
          <w:szCs w:val="32"/>
          <w:highlight w:val="none"/>
        </w:rPr>
      </w:pPr>
    </w:p>
    <w:p w14:paraId="0E400F32">
      <w:pPr>
        <w:jc w:val="center"/>
        <w:rPr>
          <w:rFonts w:hint="eastAsia" w:ascii="宋体" w:hAnsi="宋体" w:eastAsia="宋体" w:cs="宋体"/>
          <w:b/>
          <w:color w:val="auto"/>
          <w:kern w:val="0"/>
          <w:sz w:val="32"/>
          <w:szCs w:val="32"/>
          <w:highlight w:val="none"/>
        </w:rPr>
      </w:pPr>
    </w:p>
    <w:p w14:paraId="67C8C5B8">
      <w:pPr>
        <w:jc w:val="center"/>
        <w:rPr>
          <w:rFonts w:hint="eastAsia" w:ascii="宋体" w:hAnsi="宋体" w:eastAsia="宋体" w:cs="宋体"/>
          <w:b/>
          <w:color w:val="auto"/>
          <w:kern w:val="0"/>
          <w:sz w:val="32"/>
          <w:szCs w:val="32"/>
          <w:highlight w:val="none"/>
        </w:rPr>
      </w:pPr>
    </w:p>
    <w:p w14:paraId="7E109E75">
      <w:pPr>
        <w:jc w:val="center"/>
        <w:rPr>
          <w:rFonts w:hint="eastAsia" w:ascii="宋体" w:hAnsi="宋体" w:eastAsia="宋体" w:cs="宋体"/>
          <w:b/>
          <w:color w:val="auto"/>
          <w:kern w:val="0"/>
          <w:sz w:val="32"/>
          <w:szCs w:val="32"/>
          <w:highlight w:val="none"/>
        </w:rPr>
      </w:pPr>
    </w:p>
    <w:p w14:paraId="126BA557">
      <w:pPr>
        <w:jc w:val="center"/>
        <w:rPr>
          <w:rFonts w:hint="eastAsia" w:ascii="宋体" w:hAnsi="宋体" w:eastAsia="宋体" w:cs="宋体"/>
          <w:b/>
          <w:color w:val="auto"/>
          <w:kern w:val="0"/>
          <w:sz w:val="32"/>
          <w:szCs w:val="32"/>
          <w:highlight w:val="none"/>
        </w:rPr>
      </w:pPr>
    </w:p>
    <w:p w14:paraId="0A483DC7">
      <w:pPr>
        <w:jc w:val="center"/>
        <w:rPr>
          <w:rFonts w:hint="eastAsia" w:ascii="宋体" w:hAnsi="宋体" w:eastAsia="宋体" w:cs="宋体"/>
          <w:b/>
          <w:color w:val="auto"/>
          <w:kern w:val="0"/>
          <w:sz w:val="32"/>
          <w:szCs w:val="32"/>
          <w:highlight w:val="none"/>
        </w:rPr>
      </w:pPr>
    </w:p>
    <w:p w14:paraId="2484C14A">
      <w:pPr>
        <w:jc w:val="center"/>
        <w:rPr>
          <w:rFonts w:hint="eastAsia" w:ascii="宋体" w:hAnsi="宋体" w:eastAsia="宋体" w:cs="宋体"/>
          <w:b/>
          <w:color w:val="auto"/>
          <w:kern w:val="0"/>
          <w:sz w:val="32"/>
          <w:szCs w:val="32"/>
          <w:highlight w:val="none"/>
        </w:rPr>
      </w:pPr>
    </w:p>
    <w:p w14:paraId="2652941A">
      <w:pPr>
        <w:jc w:val="center"/>
        <w:rPr>
          <w:rFonts w:hint="eastAsia" w:ascii="宋体" w:hAnsi="宋体" w:eastAsia="宋体" w:cs="宋体"/>
          <w:b/>
          <w:color w:val="auto"/>
          <w:kern w:val="0"/>
          <w:sz w:val="32"/>
          <w:szCs w:val="32"/>
          <w:highlight w:val="none"/>
        </w:rPr>
      </w:pPr>
    </w:p>
    <w:p w14:paraId="5E797226">
      <w:pPr>
        <w:rPr>
          <w:rFonts w:hint="eastAsia" w:ascii="宋体" w:hAnsi="宋体" w:eastAsia="宋体" w:cs="宋体"/>
          <w:b/>
          <w:color w:val="auto"/>
          <w:kern w:val="0"/>
          <w:sz w:val="32"/>
          <w:szCs w:val="32"/>
          <w:highlight w:val="none"/>
        </w:rPr>
      </w:pPr>
    </w:p>
    <w:p w14:paraId="65FEDA83">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四、采购需求偏离表</w:t>
      </w:r>
    </w:p>
    <w:tbl>
      <w:tblPr>
        <w:tblStyle w:val="1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1735"/>
      </w:tblGrid>
      <w:tr w14:paraId="2B46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51669BB">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序号</w:t>
            </w:r>
          </w:p>
        </w:tc>
        <w:tc>
          <w:tcPr>
            <w:tcW w:w="1656" w:type="dxa"/>
            <w:vAlign w:val="center"/>
          </w:tcPr>
          <w:p w14:paraId="260980B8">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采购文件要求</w:t>
            </w:r>
          </w:p>
        </w:tc>
        <w:tc>
          <w:tcPr>
            <w:tcW w:w="3219" w:type="dxa"/>
            <w:vAlign w:val="center"/>
          </w:tcPr>
          <w:p w14:paraId="7927ECF1">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投标文件对应规范</w:t>
            </w:r>
          </w:p>
        </w:tc>
        <w:tc>
          <w:tcPr>
            <w:tcW w:w="1822" w:type="dxa"/>
            <w:vAlign w:val="center"/>
          </w:tcPr>
          <w:p w14:paraId="2D8CF013">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是否偏离</w:t>
            </w:r>
          </w:p>
          <w:p w14:paraId="50DA7278">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（提供说明）</w:t>
            </w:r>
          </w:p>
        </w:tc>
        <w:tc>
          <w:tcPr>
            <w:tcW w:w="1735" w:type="dxa"/>
            <w:vAlign w:val="center"/>
          </w:tcPr>
          <w:p w14:paraId="00A48679">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要求提供的证明材料页码</w:t>
            </w:r>
          </w:p>
        </w:tc>
      </w:tr>
      <w:tr w14:paraId="5E36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ED831AD">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0113E4B2">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08B6C464">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71A682FA">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52CACCD2">
            <w:pPr>
              <w:snapToGrid w:val="0"/>
              <w:spacing w:line="400" w:lineRule="exact"/>
              <w:jc w:val="center"/>
              <w:rPr>
                <w:rFonts w:hint="eastAsia" w:ascii="宋体" w:hAnsi="宋体" w:eastAsia="宋体" w:cs="宋体"/>
                <w:color w:val="auto"/>
                <w:spacing w:val="-6"/>
                <w:sz w:val="24"/>
                <w:highlight w:val="none"/>
              </w:rPr>
            </w:pPr>
          </w:p>
        </w:tc>
      </w:tr>
      <w:tr w14:paraId="46CC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1576292">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7311E01">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22031100">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3EAF1736">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0606194E">
            <w:pPr>
              <w:snapToGrid w:val="0"/>
              <w:spacing w:line="400" w:lineRule="exact"/>
              <w:jc w:val="center"/>
              <w:rPr>
                <w:rFonts w:hint="eastAsia" w:ascii="宋体" w:hAnsi="宋体" w:eastAsia="宋体" w:cs="宋体"/>
                <w:color w:val="auto"/>
                <w:spacing w:val="-6"/>
                <w:sz w:val="24"/>
                <w:highlight w:val="none"/>
              </w:rPr>
            </w:pPr>
          </w:p>
        </w:tc>
      </w:tr>
      <w:tr w14:paraId="14F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6894181">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3597FBD5">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448DC8B6">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3C8C03F8">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429B652E">
            <w:pPr>
              <w:snapToGrid w:val="0"/>
              <w:spacing w:line="400" w:lineRule="exact"/>
              <w:jc w:val="center"/>
              <w:rPr>
                <w:rFonts w:hint="eastAsia" w:ascii="宋体" w:hAnsi="宋体" w:eastAsia="宋体" w:cs="宋体"/>
                <w:color w:val="auto"/>
                <w:spacing w:val="-6"/>
                <w:sz w:val="24"/>
                <w:highlight w:val="none"/>
              </w:rPr>
            </w:pPr>
          </w:p>
        </w:tc>
      </w:tr>
      <w:tr w14:paraId="4D3D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3FC2986">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E7CE1D9">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3A073A26">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036A8119">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33E5587F">
            <w:pPr>
              <w:snapToGrid w:val="0"/>
              <w:spacing w:line="400" w:lineRule="exact"/>
              <w:jc w:val="center"/>
              <w:rPr>
                <w:rFonts w:hint="eastAsia" w:ascii="宋体" w:hAnsi="宋体" w:eastAsia="宋体" w:cs="宋体"/>
                <w:color w:val="auto"/>
                <w:spacing w:val="-6"/>
                <w:sz w:val="24"/>
                <w:highlight w:val="none"/>
              </w:rPr>
            </w:pPr>
          </w:p>
        </w:tc>
      </w:tr>
      <w:tr w14:paraId="202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1037A98">
            <w:pPr>
              <w:snapToGrid w:val="0"/>
              <w:spacing w:line="400" w:lineRule="exact"/>
              <w:rPr>
                <w:rFonts w:hint="eastAsia" w:ascii="宋体" w:hAnsi="宋体" w:eastAsia="宋体" w:cs="宋体"/>
                <w:color w:val="auto"/>
                <w:spacing w:val="-6"/>
                <w:sz w:val="24"/>
                <w:highlight w:val="none"/>
              </w:rPr>
            </w:pPr>
          </w:p>
        </w:tc>
        <w:tc>
          <w:tcPr>
            <w:tcW w:w="1656" w:type="dxa"/>
            <w:vAlign w:val="center"/>
          </w:tcPr>
          <w:p w14:paraId="29939944">
            <w:pPr>
              <w:snapToGrid w:val="0"/>
              <w:spacing w:line="400" w:lineRule="exact"/>
              <w:rPr>
                <w:rFonts w:hint="eastAsia" w:ascii="宋体" w:hAnsi="宋体" w:eastAsia="宋体" w:cs="宋体"/>
                <w:color w:val="auto"/>
                <w:spacing w:val="-6"/>
                <w:sz w:val="24"/>
                <w:highlight w:val="none"/>
              </w:rPr>
            </w:pPr>
          </w:p>
        </w:tc>
        <w:tc>
          <w:tcPr>
            <w:tcW w:w="3219" w:type="dxa"/>
            <w:vAlign w:val="center"/>
          </w:tcPr>
          <w:p w14:paraId="0E7FB139">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0C066557">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725E932F">
            <w:pPr>
              <w:snapToGrid w:val="0"/>
              <w:spacing w:line="400" w:lineRule="exact"/>
              <w:jc w:val="center"/>
              <w:rPr>
                <w:rFonts w:hint="eastAsia" w:ascii="宋体" w:hAnsi="宋体" w:eastAsia="宋体" w:cs="宋体"/>
                <w:color w:val="auto"/>
                <w:spacing w:val="-6"/>
                <w:sz w:val="24"/>
                <w:highlight w:val="none"/>
              </w:rPr>
            </w:pPr>
          </w:p>
        </w:tc>
      </w:tr>
      <w:tr w14:paraId="5C94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1" w:type="dxa"/>
            <w:vAlign w:val="center"/>
          </w:tcPr>
          <w:p w14:paraId="4E77DA01">
            <w:pPr>
              <w:snapToGrid w:val="0"/>
              <w:spacing w:line="400" w:lineRule="exact"/>
              <w:rPr>
                <w:rFonts w:hint="eastAsia" w:ascii="宋体" w:hAnsi="宋体" w:eastAsia="宋体" w:cs="宋体"/>
                <w:color w:val="auto"/>
                <w:spacing w:val="-6"/>
                <w:sz w:val="24"/>
                <w:highlight w:val="none"/>
              </w:rPr>
            </w:pPr>
          </w:p>
        </w:tc>
        <w:tc>
          <w:tcPr>
            <w:tcW w:w="1656" w:type="dxa"/>
            <w:vAlign w:val="center"/>
          </w:tcPr>
          <w:p w14:paraId="02A8D1F3">
            <w:pPr>
              <w:snapToGrid w:val="0"/>
              <w:spacing w:line="400" w:lineRule="exact"/>
              <w:rPr>
                <w:rFonts w:hint="eastAsia" w:ascii="宋体" w:hAnsi="宋体" w:eastAsia="宋体" w:cs="宋体"/>
                <w:color w:val="auto"/>
                <w:spacing w:val="-6"/>
                <w:sz w:val="24"/>
                <w:highlight w:val="none"/>
              </w:rPr>
            </w:pPr>
          </w:p>
        </w:tc>
        <w:tc>
          <w:tcPr>
            <w:tcW w:w="3219" w:type="dxa"/>
            <w:vAlign w:val="center"/>
          </w:tcPr>
          <w:p w14:paraId="225D15C5">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49F5A16E">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22AEA396">
            <w:pPr>
              <w:snapToGrid w:val="0"/>
              <w:spacing w:line="400" w:lineRule="exact"/>
              <w:jc w:val="center"/>
              <w:rPr>
                <w:rFonts w:hint="eastAsia" w:ascii="宋体" w:hAnsi="宋体" w:eastAsia="宋体" w:cs="宋体"/>
                <w:color w:val="auto"/>
                <w:spacing w:val="-6"/>
                <w:sz w:val="24"/>
                <w:highlight w:val="none"/>
              </w:rPr>
            </w:pPr>
          </w:p>
        </w:tc>
      </w:tr>
      <w:tr w14:paraId="40C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4EC026E">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3393096D">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4B906C26">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5DF65FCD">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343A6427">
            <w:pPr>
              <w:snapToGrid w:val="0"/>
              <w:spacing w:line="400" w:lineRule="exact"/>
              <w:jc w:val="center"/>
              <w:rPr>
                <w:rFonts w:hint="eastAsia" w:ascii="宋体" w:hAnsi="宋体" w:eastAsia="宋体" w:cs="宋体"/>
                <w:color w:val="auto"/>
                <w:spacing w:val="-6"/>
                <w:sz w:val="24"/>
                <w:highlight w:val="none"/>
              </w:rPr>
            </w:pPr>
          </w:p>
        </w:tc>
      </w:tr>
      <w:tr w14:paraId="628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7179FC9">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B2FF08B">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5CEA0BB4">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7993BC1A">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75D403A3">
            <w:pPr>
              <w:snapToGrid w:val="0"/>
              <w:spacing w:line="400" w:lineRule="exact"/>
              <w:jc w:val="center"/>
              <w:rPr>
                <w:rFonts w:hint="eastAsia" w:ascii="宋体" w:hAnsi="宋体" w:eastAsia="宋体" w:cs="宋体"/>
                <w:color w:val="auto"/>
                <w:spacing w:val="-6"/>
                <w:sz w:val="24"/>
                <w:highlight w:val="none"/>
              </w:rPr>
            </w:pPr>
          </w:p>
        </w:tc>
      </w:tr>
      <w:tr w14:paraId="6A0A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F4A8AE6">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0FDD7345">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645340C1">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7F829B05">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201363DB">
            <w:pPr>
              <w:snapToGrid w:val="0"/>
              <w:spacing w:line="400" w:lineRule="exact"/>
              <w:jc w:val="center"/>
              <w:rPr>
                <w:rFonts w:hint="eastAsia" w:ascii="宋体" w:hAnsi="宋体" w:eastAsia="宋体" w:cs="宋体"/>
                <w:color w:val="auto"/>
                <w:spacing w:val="-6"/>
                <w:sz w:val="24"/>
                <w:highlight w:val="none"/>
              </w:rPr>
            </w:pPr>
          </w:p>
        </w:tc>
      </w:tr>
      <w:tr w14:paraId="4D11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3315E14">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68858EC3">
            <w:pPr>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702D4106">
            <w:pPr>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104D8BDF">
            <w:pPr>
              <w:snapToGrid w:val="0"/>
              <w:spacing w:line="400" w:lineRule="exact"/>
              <w:jc w:val="center"/>
              <w:rPr>
                <w:rFonts w:hint="eastAsia" w:ascii="宋体" w:hAnsi="宋体" w:eastAsia="宋体" w:cs="宋体"/>
                <w:color w:val="auto"/>
                <w:spacing w:val="-6"/>
                <w:sz w:val="24"/>
                <w:highlight w:val="none"/>
              </w:rPr>
            </w:pPr>
          </w:p>
        </w:tc>
        <w:tc>
          <w:tcPr>
            <w:tcW w:w="1735" w:type="dxa"/>
            <w:vAlign w:val="center"/>
          </w:tcPr>
          <w:p w14:paraId="5ECB648F">
            <w:pPr>
              <w:snapToGrid w:val="0"/>
              <w:spacing w:line="400" w:lineRule="exact"/>
              <w:jc w:val="center"/>
              <w:rPr>
                <w:rFonts w:hint="eastAsia" w:ascii="宋体" w:hAnsi="宋体" w:eastAsia="宋体" w:cs="宋体"/>
                <w:color w:val="auto"/>
                <w:spacing w:val="-6"/>
                <w:sz w:val="24"/>
                <w:highlight w:val="none"/>
              </w:rPr>
            </w:pPr>
          </w:p>
        </w:tc>
      </w:tr>
    </w:tbl>
    <w:p w14:paraId="1F2C8030">
      <w:pPr>
        <w:jc w:val="left"/>
        <w:rPr>
          <w:rFonts w:hint="eastAsia" w:ascii="宋体" w:hAnsi="宋体" w:eastAsia="宋体" w:cs="宋体"/>
          <w:color w:val="auto"/>
          <w:kern w:val="0"/>
          <w:sz w:val="24"/>
          <w:highlight w:val="none"/>
        </w:rPr>
      </w:pPr>
    </w:p>
    <w:p w14:paraId="1C799C6F">
      <w:pPr>
        <w:snapToGrid w:val="0"/>
        <w:spacing w:line="400" w:lineRule="exact"/>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注意：1.逐项按照采购文件要求填写响应规格；如不填写或留空，则视为完全响应采购文件的要求</w:t>
      </w:r>
      <w:r>
        <w:rPr>
          <w:rFonts w:hint="eastAsia" w:ascii="宋体" w:hAnsi="宋体" w:eastAsia="宋体" w:cs="宋体"/>
          <w:b/>
          <w:color w:val="auto"/>
          <w:spacing w:val="-6"/>
          <w:sz w:val="24"/>
          <w:highlight w:val="none"/>
        </w:rPr>
        <w:t>，自行承担投标响应风险</w:t>
      </w:r>
      <w:r>
        <w:rPr>
          <w:rFonts w:hint="eastAsia" w:ascii="宋体" w:hAnsi="宋体" w:eastAsia="宋体" w:cs="宋体"/>
          <w:b/>
          <w:bCs/>
          <w:color w:val="auto"/>
          <w:spacing w:val="-6"/>
          <w:sz w:val="24"/>
          <w:szCs w:val="22"/>
          <w:highlight w:val="none"/>
        </w:rPr>
        <w:t>。</w:t>
      </w:r>
    </w:p>
    <w:p w14:paraId="6CDD3C61">
      <w:pPr>
        <w:snapToGrid w:val="0"/>
        <w:spacing w:line="400" w:lineRule="exact"/>
        <w:ind w:firstLine="687" w:firstLineChars="300"/>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2.偏离说明是指对采购文件要求存在不同之处的解释说明。偏离系指：正偏离（高于采购需求）、负偏离（低于采购需求或未按采购需求提供相应证明材料的）、无偏离（满足采购需求）；</w:t>
      </w:r>
    </w:p>
    <w:p w14:paraId="29BF35BF">
      <w:pPr>
        <w:snapToGrid w:val="0"/>
        <w:spacing w:line="400" w:lineRule="exact"/>
        <w:ind w:firstLine="687" w:firstLineChars="300"/>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3.建议投标人准备采购需求中要求的证明材料（如证书、检测报告等）条目索引，要求清晰提供的证明材料（如证书、检测报告等），由于不清晰或者模糊造成无法判断证明材料是否符合要求的风险由投标人自行承担。</w:t>
      </w:r>
    </w:p>
    <w:p w14:paraId="748D993F">
      <w:pPr>
        <w:snapToGrid w:val="0"/>
        <w:spacing w:line="400" w:lineRule="exact"/>
        <w:ind w:firstLine="687" w:firstLineChars="300"/>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4.投标人保证：除采购需求偏离表列出的偏离外，投标人响应招标文件的全部要求。</w:t>
      </w:r>
    </w:p>
    <w:p w14:paraId="1A2F9CC9">
      <w:pPr>
        <w:tabs>
          <w:tab w:val="left" w:pos="4860"/>
        </w:tabs>
        <w:spacing w:line="360" w:lineRule="auto"/>
        <w:ind w:right="1560"/>
        <w:jc w:val="left"/>
        <w:rPr>
          <w:rFonts w:hint="eastAsia" w:ascii="宋体" w:hAnsi="宋体" w:eastAsia="宋体" w:cs="宋体"/>
          <w:color w:val="auto"/>
          <w:kern w:val="0"/>
          <w:sz w:val="24"/>
          <w:highlight w:val="none"/>
          <w:lang w:val="zh-CN"/>
        </w:rPr>
      </w:pPr>
    </w:p>
    <w:p w14:paraId="4C542B5B">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74C539DD">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D7FCDA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601D1F44">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五、投标标的清单</w:t>
      </w:r>
    </w:p>
    <w:tbl>
      <w:tblPr>
        <w:tblStyle w:val="1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58"/>
        <w:gridCol w:w="1224"/>
        <w:gridCol w:w="840"/>
        <w:gridCol w:w="720"/>
        <w:gridCol w:w="1365"/>
        <w:gridCol w:w="915"/>
        <w:gridCol w:w="1005"/>
        <w:gridCol w:w="1215"/>
      </w:tblGrid>
      <w:tr w14:paraId="559C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A9FFA6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58" w:type="dxa"/>
            <w:tcBorders>
              <w:top w:val="single" w:color="auto" w:sz="4" w:space="0"/>
              <w:left w:val="single" w:color="auto" w:sz="4" w:space="0"/>
              <w:bottom w:val="single" w:color="auto" w:sz="4" w:space="0"/>
              <w:right w:val="single" w:color="auto" w:sz="4" w:space="0"/>
            </w:tcBorders>
            <w:vAlign w:val="center"/>
          </w:tcPr>
          <w:p w14:paraId="6278B75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货物名称</w:t>
            </w:r>
          </w:p>
        </w:tc>
        <w:tc>
          <w:tcPr>
            <w:tcW w:w="1224" w:type="dxa"/>
            <w:tcBorders>
              <w:top w:val="single" w:color="auto" w:sz="4" w:space="0"/>
              <w:left w:val="single" w:color="auto" w:sz="4" w:space="0"/>
              <w:bottom w:val="single" w:color="auto" w:sz="4" w:space="0"/>
              <w:right w:val="single" w:color="auto" w:sz="4" w:space="0"/>
            </w:tcBorders>
            <w:vAlign w:val="center"/>
          </w:tcPr>
          <w:p w14:paraId="4E42A44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制造商（全称）</w:t>
            </w:r>
          </w:p>
        </w:tc>
        <w:tc>
          <w:tcPr>
            <w:tcW w:w="840" w:type="dxa"/>
            <w:tcBorders>
              <w:top w:val="single" w:color="auto" w:sz="4" w:space="0"/>
              <w:left w:val="single" w:color="auto" w:sz="4" w:space="0"/>
              <w:bottom w:val="single" w:color="auto" w:sz="4" w:space="0"/>
              <w:right w:val="single" w:color="auto" w:sz="4" w:space="0"/>
            </w:tcBorders>
            <w:vAlign w:val="center"/>
          </w:tcPr>
          <w:p w14:paraId="1E04A53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720" w:type="dxa"/>
            <w:tcBorders>
              <w:top w:val="single" w:color="auto" w:sz="4" w:space="0"/>
              <w:left w:val="single" w:color="auto" w:sz="4" w:space="0"/>
              <w:bottom w:val="single" w:color="auto" w:sz="4" w:space="0"/>
              <w:right w:val="single" w:color="auto" w:sz="4" w:space="0"/>
            </w:tcBorders>
            <w:vAlign w:val="center"/>
          </w:tcPr>
          <w:p w14:paraId="6716527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365" w:type="dxa"/>
            <w:tcBorders>
              <w:top w:val="single" w:color="auto" w:sz="4" w:space="0"/>
              <w:left w:val="single" w:color="auto" w:sz="4" w:space="0"/>
              <w:bottom w:val="single" w:color="auto" w:sz="4" w:space="0"/>
              <w:right w:val="single" w:color="auto" w:sz="4" w:space="0"/>
            </w:tcBorders>
            <w:vAlign w:val="center"/>
          </w:tcPr>
          <w:p w14:paraId="27E0139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915" w:type="dxa"/>
            <w:tcBorders>
              <w:top w:val="single" w:color="auto" w:sz="4" w:space="0"/>
              <w:left w:val="single" w:color="auto" w:sz="4" w:space="0"/>
              <w:bottom w:val="single" w:color="auto" w:sz="4" w:space="0"/>
              <w:right w:val="single" w:color="auto" w:sz="4" w:space="0"/>
            </w:tcBorders>
            <w:vAlign w:val="center"/>
          </w:tcPr>
          <w:p w14:paraId="149F757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5" w:type="dxa"/>
            <w:tcBorders>
              <w:top w:val="single" w:color="auto" w:sz="4" w:space="0"/>
              <w:left w:val="single" w:color="auto" w:sz="4" w:space="0"/>
              <w:bottom w:val="single" w:color="auto" w:sz="4" w:space="0"/>
              <w:right w:val="single" w:color="auto" w:sz="4" w:space="0"/>
            </w:tcBorders>
            <w:vAlign w:val="center"/>
          </w:tcPr>
          <w:p w14:paraId="0DB1C9B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1215" w:type="dxa"/>
            <w:tcBorders>
              <w:top w:val="single" w:color="auto" w:sz="4" w:space="0"/>
              <w:left w:val="single" w:color="auto" w:sz="4" w:space="0"/>
              <w:bottom w:val="single" w:color="auto" w:sz="4" w:space="0"/>
              <w:right w:val="single" w:color="auto" w:sz="4" w:space="0"/>
            </w:tcBorders>
            <w:vAlign w:val="center"/>
          </w:tcPr>
          <w:p w14:paraId="2E8E4684">
            <w:pPr>
              <w:spacing w:line="360" w:lineRule="auto"/>
              <w:jc w:val="center"/>
              <w:rPr>
                <w:rFonts w:hint="eastAsia" w:ascii="宋体" w:hAnsi="宋体" w:eastAsia="宋体" w:cs="宋体"/>
                <w:b/>
                <w:color w:val="auto"/>
                <w:sz w:val="24"/>
                <w:highlight w:val="none"/>
              </w:rPr>
            </w:pPr>
          </w:p>
          <w:p w14:paraId="701CB9E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2C321548">
            <w:pPr>
              <w:spacing w:line="360" w:lineRule="auto"/>
              <w:jc w:val="center"/>
              <w:rPr>
                <w:rFonts w:hint="eastAsia" w:ascii="宋体" w:hAnsi="宋体" w:eastAsia="宋体" w:cs="宋体"/>
                <w:b/>
                <w:color w:val="auto"/>
                <w:sz w:val="24"/>
                <w:highlight w:val="none"/>
              </w:rPr>
            </w:pPr>
          </w:p>
        </w:tc>
      </w:tr>
      <w:tr w14:paraId="2A7C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3442FC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58" w:type="dxa"/>
            <w:tcBorders>
              <w:top w:val="single" w:color="auto" w:sz="4" w:space="0"/>
              <w:left w:val="single" w:color="auto" w:sz="4" w:space="0"/>
              <w:bottom w:val="single" w:color="auto" w:sz="4" w:space="0"/>
              <w:right w:val="single" w:color="auto" w:sz="4" w:space="0"/>
            </w:tcBorders>
          </w:tcPr>
          <w:p w14:paraId="418071B4">
            <w:pPr>
              <w:jc w:val="center"/>
              <w:rPr>
                <w:rFonts w:hint="eastAsia" w:ascii="宋体" w:hAnsi="宋体" w:eastAsia="宋体" w:cs="宋体"/>
                <w:color w:val="auto"/>
                <w:sz w:val="24"/>
                <w:highlight w:val="none"/>
              </w:rPr>
            </w:pPr>
            <w:r>
              <w:rPr>
                <w:rFonts w:hint="eastAsia" w:ascii="宋体" w:hAnsi="宋体" w:eastAsia="宋体" w:cs="宋体"/>
                <w:b/>
                <w:bCs/>
                <w:color w:val="auto"/>
                <w:sz w:val="22"/>
                <w:szCs w:val="22"/>
                <w:highlight w:val="none"/>
                <w:u w:val="single"/>
                <w:lang w:val="en-US" w:eastAsia="zh-CN"/>
              </w:rPr>
              <w:t>细胞房</w:t>
            </w:r>
          </w:p>
        </w:tc>
        <w:tc>
          <w:tcPr>
            <w:tcW w:w="1224" w:type="dxa"/>
            <w:tcBorders>
              <w:top w:val="single" w:color="auto" w:sz="4" w:space="0"/>
              <w:left w:val="single" w:color="auto" w:sz="4" w:space="0"/>
              <w:bottom w:val="single" w:color="auto" w:sz="4" w:space="0"/>
              <w:right w:val="single" w:color="auto" w:sz="4" w:space="0"/>
            </w:tcBorders>
          </w:tcPr>
          <w:p w14:paraId="6DA40260">
            <w:pP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5E4B95CB">
            <w:pPr>
              <w:rPr>
                <w:rFonts w:hint="eastAsia" w:ascii="宋体" w:hAnsi="宋体" w:eastAsia="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8F952FC">
            <w:pP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563AB06A">
            <w:pPr>
              <w:rPr>
                <w:rFonts w:hint="eastAsia" w:ascii="宋体" w:hAnsi="宋体" w:eastAsia="宋体" w:cs="宋体"/>
                <w:color w:val="auto"/>
                <w:sz w:val="24"/>
                <w:highlight w:val="none"/>
              </w:rPr>
            </w:pPr>
          </w:p>
        </w:tc>
        <w:tc>
          <w:tcPr>
            <w:tcW w:w="915" w:type="dxa"/>
            <w:tcBorders>
              <w:top w:val="single" w:color="auto" w:sz="4" w:space="0"/>
              <w:left w:val="single" w:color="auto" w:sz="4" w:space="0"/>
              <w:bottom w:val="single" w:color="auto" w:sz="4" w:space="0"/>
              <w:right w:val="single" w:color="auto" w:sz="4" w:space="0"/>
            </w:tcBorders>
          </w:tcPr>
          <w:p w14:paraId="506DA601">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005" w:type="dxa"/>
            <w:tcBorders>
              <w:top w:val="single" w:color="auto" w:sz="4" w:space="0"/>
              <w:left w:val="single" w:color="auto" w:sz="4" w:space="0"/>
              <w:bottom w:val="single" w:color="auto" w:sz="4" w:space="0"/>
              <w:right w:val="single" w:color="auto" w:sz="4" w:space="0"/>
            </w:tcBorders>
          </w:tcPr>
          <w:p w14:paraId="4E8937E0">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间</w:t>
            </w:r>
          </w:p>
        </w:tc>
        <w:tc>
          <w:tcPr>
            <w:tcW w:w="1215" w:type="dxa"/>
            <w:tcBorders>
              <w:top w:val="single" w:color="auto" w:sz="4" w:space="0"/>
              <w:left w:val="single" w:color="auto" w:sz="4" w:space="0"/>
              <w:bottom w:val="single" w:color="auto" w:sz="4" w:space="0"/>
              <w:right w:val="single" w:color="auto" w:sz="4" w:space="0"/>
            </w:tcBorders>
            <w:vAlign w:val="center"/>
          </w:tcPr>
          <w:p w14:paraId="3578D349">
            <w:pPr>
              <w:spacing w:line="360" w:lineRule="auto"/>
              <w:jc w:val="center"/>
              <w:rPr>
                <w:rFonts w:hint="eastAsia" w:ascii="宋体" w:hAnsi="宋体" w:eastAsia="宋体" w:cs="宋体"/>
                <w:color w:val="auto"/>
                <w:sz w:val="24"/>
                <w:highlight w:val="none"/>
              </w:rPr>
            </w:pPr>
          </w:p>
        </w:tc>
      </w:tr>
      <w:tr w14:paraId="04D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BABBA30">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1258" w:type="dxa"/>
            <w:tcBorders>
              <w:top w:val="single" w:color="auto" w:sz="4" w:space="0"/>
              <w:left w:val="single" w:color="auto" w:sz="4" w:space="0"/>
              <w:bottom w:val="single" w:color="auto" w:sz="4" w:space="0"/>
              <w:right w:val="single" w:color="auto" w:sz="4" w:space="0"/>
            </w:tcBorders>
          </w:tcPr>
          <w:p w14:paraId="5D17A133">
            <w:pPr>
              <w:rPr>
                <w:rFonts w:hint="eastAsia" w:ascii="宋体" w:hAnsi="宋体" w:eastAsia="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tcPr>
          <w:p w14:paraId="573022C5">
            <w:pP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56D44C25">
            <w:pPr>
              <w:rPr>
                <w:rFonts w:hint="eastAsia" w:ascii="宋体" w:hAnsi="宋体" w:eastAsia="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362A4CD8">
            <w:pP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3C2FE8F8">
            <w:pPr>
              <w:rPr>
                <w:rFonts w:hint="eastAsia" w:ascii="宋体" w:hAnsi="宋体" w:eastAsia="宋体" w:cs="宋体"/>
                <w:color w:val="auto"/>
                <w:sz w:val="24"/>
                <w:highlight w:val="none"/>
              </w:rPr>
            </w:pPr>
          </w:p>
        </w:tc>
        <w:tc>
          <w:tcPr>
            <w:tcW w:w="915" w:type="dxa"/>
            <w:tcBorders>
              <w:top w:val="single" w:color="auto" w:sz="4" w:space="0"/>
              <w:left w:val="single" w:color="auto" w:sz="4" w:space="0"/>
              <w:bottom w:val="single" w:color="auto" w:sz="4" w:space="0"/>
              <w:right w:val="single" w:color="auto" w:sz="4" w:space="0"/>
            </w:tcBorders>
          </w:tcPr>
          <w:p w14:paraId="7A9B21C9">
            <w:pPr>
              <w:rPr>
                <w:rFonts w:hint="eastAsia" w:ascii="宋体" w:hAnsi="宋体" w:eastAsia="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tcPr>
          <w:p w14:paraId="798B184C">
            <w:pPr>
              <w:rPr>
                <w:rFonts w:hint="eastAsia" w:ascii="宋体" w:hAnsi="宋体" w:eastAsia="宋体" w:cs="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1D9561C">
            <w:pPr>
              <w:spacing w:line="360" w:lineRule="auto"/>
              <w:jc w:val="center"/>
              <w:rPr>
                <w:rFonts w:hint="eastAsia" w:ascii="宋体" w:hAnsi="宋体" w:eastAsia="宋体" w:cs="宋体"/>
                <w:color w:val="auto"/>
                <w:sz w:val="24"/>
                <w:highlight w:val="none"/>
              </w:rPr>
            </w:pPr>
          </w:p>
        </w:tc>
      </w:tr>
      <w:tr w14:paraId="4D65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8ED5C21">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1258" w:type="dxa"/>
            <w:tcBorders>
              <w:top w:val="single" w:color="auto" w:sz="4" w:space="0"/>
              <w:left w:val="single" w:color="auto" w:sz="4" w:space="0"/>
              <w:bottom w:val="single" w:color="auto" w:sz="4" w:space="0"/>
              <w:right w:val="single" w:color="auto" w:sz="4" w:space="0"/>
            </w:tcBorders>
          </w:tcPr>
          <w:p w14:paraId="0FD3C182">
            <w:pPr>
              <w:rPr>
                <w:rFonts w:hint="eastAsia" w:ascii="宋体" w:hAnsi="宋体" w:eastAsia="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tcPr>
          <w:p w14:paraId="2C850E04">
            <w:pP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45A8823C">
            <w:pPr>
              <w:rPr>
                <w:rFonts w:hint="eastAsia" w:ascii="宋体" w:hAnsi="宋体" w:eastAsia="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081504">
            <w:pP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02B2BF69">
            <w:pPr>
              <w:rPr>
                <w:rFonts w:hint="eastAsia" w:ascii="宋体" w:hAnsi="宋体" w:eastAsia="宋体" w:cs="宋体"/>
                <w:color w:val="auto"/>
                <w:sz w:val="24"/>
                <w:highlight w:val="none"/>
              </w:rPr>
            </w:pPr>
          </w:p>
        </w:tc>
        <w:tc>
          <w:tcPr>
            <w:tcW w:w="915" w:type="dxa"/>
            <w:tcBorders>
              <w:top w:val="single" w:color="auto" w:sz="4" w:space="0"/>
              <w:left w:val="single" w:color="auto" w:sz="4" w:space="0"/>
              <w:bottom w:val="single" w:color="auto" w:sz="4" w:space="0"/>
              <w:right w:val="single" w:color="auto" w:sz="4" w:space="0"/>
            </w:tcBorders>
          </w:tcPr>
          <w:p w14:paraId="7CCE6FBD">
            <w:pPr>
              <w:rPr>
                <w:rFonts w:hint="eastAsia" w:ascii="宋体" w:hAnsi="宋体" w:eastAsia="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tcPr>
          <w:p w14:paraId="4F605B77">
            <w:pPr>
              <w:rPr>
                <w:rFonts w:hint="eastAsia" w:ascii="宋体" w:hAnsi="宋体" w:eastAsia="宋体" w:cs="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36A8F0D">
            <w:pPr>
              <w:spacing w:line="360" w:lineRule="auto"/>
              <w:jc w:val="center"/>
              <w:rPr>
                <w:rFonts w:hint="eastAsia" w:ascii="宋体" w:hAnsi="宋体" w:eastAsia="宋体" w:cs="宋体"/>
                <w:color w:val="auto"/>
                <w:sz w:val="24"/>
                <w:highlight w:val="none"/>
              </w:rPr>
            </w:pPr>
          </w:p>
        </w:tc>
      </w:tr>
      <w:tr w14:paraId="6393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9A422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58" w:type="dxa"/>
            <w:tcBorders>
              <w:top w:val="single" w:color="auto" w:sz="4" w:space="0"/>
              <w:left w:val="single" w:color="auto" w:sz="4" w:space="0"/>
              <w:bottom w:val="single" w:color="auto" w:sz="4" w:space="0"/>
              <w:right w:val="single" w:color="auto" w:sz="4" w:space="0"/>
            </w:tcBorders>
          </w:tcPr>
          <w:p w14:paraId="0DD8AD44">
            <w:pPr>
              <w:rPr>
                <w:rFonts w:hint="eastAsia" w:ascii="宋体" w:hAnsi="宋体" w:eastAsia="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tcPr>
          <w:p w14:paraId="6456B330">
            <w:pP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7051CA29">
            <w:pPr>
              <w:rPr>
                <w:rFonts w:hint="eastAsia" w:ascii="宋体" w:hAnsi="宋体" w:eastAsia="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B1BBA48">
            <w:pP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tcPr>
          <w:p w14:paraId="2B36A880">
            <w:pPr>
              <w:rPr>
                <w:rFonts w:hint="eastAsia" w:ascii="宋体" w:hAnsi="宋体" w:eastAsia="宋体" w:cs="宋体"/>
                <w:color w:val="auto"/>
                <w:sz w:val="24"/>
                <w:highlight w:val="none"/>
              </w:rPr>
            </w:pPr>
          </w:p>
        </w:tc>
        <w:tc>
          <w:tcPr>
            <w:tcW w:w="915" w:type="dxa"/>
            <w:tcBorders>
              <w:top w:val="single" w:color="auto" w:sz="4" w:space="0"/>
              <w:left w:val="single" w:color="auto" w:sz="4" w:space="0"/>
              <w:bottom w:val="single" w:color="auto" w:sz="4" w:space="0"/>
              <w:right w:val="single" w:color="auto" w:sz="4" w:space="0"/>
            </w:tcBorders>
          </w:tcPr>
          <w:p w14:paraId="7C0E9692">
            <w:pPr>
              <w:rPr>
                <w:rFonts w:hint="eastAsia" w:ascii="宋体" w:hAnsi="宋体" w:eastAsia="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tcPr>
          <w:p w14:paraId="33650EE7">
            <w:pPr>
              <w:rPr>
                <w:rFonts w:hint="eastAsia" w:ascii="宋体" w:hAnsi="宋体" w:eastAsia="宋体" w:cs="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7517A5E">
            <w:pPr>
              <w:spacing w:line="360" w:lineRule="auto"/>
              <w:jc w:val="center"/>
              <w:rPr>
                <w:rFonts w:hint="eastAsia" w:ascii="宋体" w:hAnsi="宋体" w:eastAsia="宋体" w:cs="宋体"/>
                <w:color w:val="auto"/>
                <w:sz w:val="24"/>
                <w:highlight w:val="none"/>
              </w:rPr>
            </w:pPr>
          </w:p>
        </w:tc>
      </w:tr>
    </w:tbl>
    <w:p w14:paraId="7F39155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1ED5749">
      <w:pPr>
        <w:snapToGrid w:val="0"/>
        <w:spacing w:line="400" w:lineRule="exact"/>
        <w:jc w:val="center"/>
        <w:rPr>
          <w:rFonts w:hint="eastAsia" w:ascii="宋体" w:hAnsi="宋体" w:eastAsia="宋体" w:cs="宋体"/>
          <w:b/>
          <w:color w:val="auto"/>
          <w:kern w:val="0"/>
          <w:sz w:val="32"/>
          <w:szCs w:val="32"/>
          <w:highlight w:val="none"/>
        </w:rPr>
      </w:pPr>
    </w:p>
    <w:p w14:paraId="2BFDECBF">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2DDDF91D">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170FEE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63660C81">
      <w:pPr>
        <w:snapToGrid w:val="0"/>
        <w:spacing w:line="4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六、</w:t>
      </w:r>
      <w:r>
        <w:rPr>
          <w:rFonts w:hint="eastAsia" w:ascii="宋体" w:hAnsi="宋体" w:eastAsia="宋体" w:cs="宋体"/>
          <w:b/>
          <w:color w:val="auto"/>
          <w:kern w:val="0"/>
          <w:sz w:val="32"/>
          <w:szCs w:val="32"/>
          <w:highlight w:val="none"/>
          <w:lang w:val="zh-CN"/>
        </w:rPr>
        <w:t>政府采购供应商廉洁自律承诺书</w:t>
      </w:r>
    </w:p>
    <w:p w14:paraId="3478BF2C">
      <w:pPr>
        <w:snapToGrid w:val="0"/>
        <w:spacing w:line="360" w:lineRule="auto"/>
        <w:rPr>
          <w:rFonts w:hint="eastAsia" w:ascii="宋体" w:hAnsi="宋体" w:eastAsia="宋体" w:cs="宋体"/>
          <w:color w:val="auto"/>
          <w:sz w:val="24"/>
          <w:highlight w:val="none"/>
        </w:rPr>
      </w:pPr>
    </w:p>
    <w:p w14:paraId="558D0BD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浙江农林大学、浙江乐诚工程咨询有限公司</w:t>
      </w:r>
      <w:r>
        <w:rPr>
          <w:rFonts w:hint="eastAsia" w:ascii="宋体" w:hAnsi="宋体" w:eastAsia="宋体" w:cs="宋体"/>
          <w:color w:val="auto"/>
          <w:kern w:val="0"/>
          <w:sz w:val="24"/>
          <w:highlight w:val="none"/>
          <w:lang w:val="zh-CN"/>
        </w:rPr>
        <w:t>：</w:t>
      </w:r>
    </w:p>
    <w:p w14:paraId="12F6F46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2806D0F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4F4149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641CAFA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1564859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4B740E2C">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五、不为项目有关人员个人装修住房、婚丧嫁娶、配偶子女工作安排等提供好处；</w:t>
      </w:r>
    </w:p>
    <w:p w14:paraId="2B0BFE6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559A57B2">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w:t>
      </w:r>
      <w:r>
        <w:rPr>
          <w:rFonts w:hint="eastAsia" w:ascii="宋体" w:hAnsi="宋体" w:eastAsia="宋体" w:cs="宋体"/>
          <w:color w:val="auto"/>
          <w:kern w:val="0"/>
          <w:sz w:val="24"/>
          <w:highlight w:val="none"/>
        </w:rPr>
        <w:t>省财政厅</w:t>
      </w:r>
      <w:r>
        <w:rPr>
          <w:rFonts w:hint="eastAsia" w:ascii="宋体" w:hAnsi="宋体" w:eastAsia="宋体" w:cs="宋体"/>
          <w:color w:val="auto"/>
          <w:kern w:val="0"/>
          <w:sz w:val="24"/>
          <w:highlight w:val="none"/>
          <w:lang w:val="zh-CN"/>
        </w:rPr>
        <w:t>。由此引起的相应损失均由我单位承担。</w:t>
      </w:r>
    </w:p>
    <w:p w14:paraId="077D29E2">
      <w:pPr>
        <w:autoSpaceDE w:val="0"/>
        <w:autoSpaceDN w:val="0"/>
        <w:spacing w:line="360" w:lineRule="auto"/>
        <w:jc w:val="left"/>
        <w:rPr>
          <w:rFonts w:hint="eastAsia" w:ascii="宋体" w:hAnsi="宋体" w:eastAsia="宋体" w:cs="宋体"/>
          <w:color w:val="auto"/>
          <w:kern w:val="0"/>
          <w:sz w:val="24"/>
          <w:highlight w:val="none"/>
          <w:lang w:val="zh-CN"/>
        </w:rPr>
      </w:pPr>
    </w:p>
    <w:p w14:paraId="3B8D052D">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0FADB410">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4AFD93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13CB87E4">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508" w:name="_Toc7747"/>
      <w:bookmarkStart w:id="509" w:name="_Toc27555"/>
      <w:r>
        <w:rPr>
          <w:rFonts w:hint="eastAsia" w:ascii="宋体" w:hAnsi="宋体" w:eastAsia="宋体" w:cs="宋体"/>
          <w:b/>
          <w:color w:val="auto"/>
          <w:kern w:val="0"/>
          <w:sz w:val="32"/>
          <w:szCs w:val="32"/>
          <w:highlight w:val="none"/>
          <w:lang w:val="zh-CN"/>
        </w:rPr>
        <w:t>七、投标产品技术支持材料</w:t>
      </w:r>
      <w:bookmarkEnd w:id="508"/>
      <w:bookmarkEnd w:id="509"/>
    </w:p>
    <w:p w14:paraId="0076F9E8">
      <w:pPr>
        <w:spacing w:line="400" w:lineRule="exact"/>
        <w:rPr>
          <w:rFonts w:hint="eastAsia" w:ascii="宋体" w:hAnsi="宋体" w:eastAsia="宋体" w:cs="宋体"/>
          <w:b/>
          <w:color w:val="auto"/>
          <w:spacing w:val="-6"/>
          <w:sz w:val="24"/>
          <w:highlight w:val="none"/>
        </w:rPr>
      </w:pPr>
    </w:p>
    <w:p w14:paraId="21A9E34B">
      <w:pPr>
        <w:spacing w:line="400" w:lineRule="exact"/>
        <w:rPr>
          <w:rFonts w:hint="eastAsia" w:ascii="宋体" w:hAnsi="宋体" w:eastAsia="宋体" w:cs="宋体"/>
          <w:b/>
          <w:color w:val="auto"/>
          <w:spacing w:val="-6"/>
          <w:sz w:val="24"/>
          <w:highlight w:val="none"/>
        </w:rPr>
      </w:pPr>
    </w:p>
    <w:p w14:paraId="2E7D96C4">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w:t>
      </w:r>
    </w:p>
    <w:p w14:paraId="2ABB3BBD">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1.投标人提供技术支持资料以证明其对技术指标的应答；</w:t>
      </w:r>
    </w:p>
    <w:p w14:paraId="1B07DCCF">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2.技术支持资料应是制造商公开发布的印刷资料（彩页、Datasheet）或由有关政府部门或检测机构合法出具的文件或报告；</w:t>
      </w:r>
    </w:p>
    <w:p w14:paraId="31CD1EB7">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3.不符合上述要求的资料，可被视为是无效的技术支持资料；</w:t>
      </w:r>
    </w:p>
    <w:p w14:paraId="66428EFD">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4.如上述资料之间存在不一致的，以有关政府部门或检测机构合法出具的文件或报告为准；</w:t>
      </w:r>
    </w:p>
    <w:p w14:paraId="55A6469F">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5.若对技术指标的应答无技术支持资料证明，评审小组可不予承认，并可认为该应答不符合招标文件要求，</w:t>
      </w:r>
      <w:r>
        <w:rPr>
          <w:rFonts w:hint="eastAsia" w:ascii="宋体" w:hAnsi="宋体" w:eastAsia="宋体" w:cs="宋体"/>
          <w:b/>
          <w:bCs/>
          <w:color w:val="auto"/>
          <w:spacing w:val="-6"/>
          <w:sz w:val="24"/>
          <w:highlight w:val="none"/>
        </w:rPr>
        <w:t>将作出不利于投标人的技术评审，其后果将由投标人自行承担</w:t>
      </w:r>
      <w:r>
        <w:rPr>
          <w:rFonts w:hint="eastAsia" w:ascii="宋体" w:hAnsi="宋体" w:eastAsia="宋体" w:cs="宋体"/>
          <w:b/>
          <w:color w:val="auto"/>
          <w:spacing w:val="-6"/>
          <w:sz w:val="24"/>
          <w:highlight w:val="none"/>
        </w:rPr>
        <w:t>；</w:t>
      </w:r>
    </w:p>
    <w:p w14:paraId="206801A8">
      <w:pPr>
        <w:spacing w:line="400" w:lineRule="exact"/>
        <w:ind w:firstLine="458" w:firstLineChars="200"/>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6.投标人可提供同等于或优于招标文件要求的产品和服务。</w:t>
      </w:r>
    </w:p>
    <w:p w14:paraId="4E5CD44E">
      <w:pPr>
        <w:spacing w:line="400" w:lineRule="exact"/>
        <w:ind w:firstLine="482" w:firstLineChars="200"/>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7.</w:t>
      </w:r>
      <w:r>
        <w:rPr>
          <w:rFonts w:hint="eastAsia" w:ascii="宋体" w:hAnsi="宋体" w:eastAsia="宋体" w:cs="宋体"/>
          <w:b/>
          <w:color w:val="auto"/>
          <w:spacing w:val="-6"/>
          <w:sz w:val="24"/>
          <w:highlight w:val="none"/>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14:paraId="24F85B42">
      <w:pPr>
        <w:pageBreakBefore w:val="0"/>
        <w:widowControl w:val="0"/>
        <w:kinsoku/>
        <w:wordWrap/>
        <w:overflowPunct/>
        <w:topLinePunct w:val="0"/>
        <w:autoSpaceDE/>
        <w:autoSpaceDN/>
        <w:bidi w:val="0"/>
        <w:snapToGrid/>
        <w:ind w:left="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71B49A2">
      <w:pPr>
        <w:pStyle w:val="3"/>
        <w:pageBreakBefore w:val="0"/>
        <w:widowControl w:val="0"/>
        <w:kinsoku/>
        <w:wordWrap/>
        <w:overflowPunct/>
        <w:topLinePunct w:val="0"/>
        <w:autoSpaceDE/>
        <w:autoSpaceDN/>
        <w:bidi w:val="0"/>
        <w:snapToGrid/>
        <w:ind w:left="0" w:firstLine="0"/>
        <w:jc w:val="center"/>
        <w:textAlignment w:val="auto"/>
        <w:rPr>
          <w:rFonts w:hint="eastAsia" w:ascii="宋体" w:hAnsi="宋体" w:eastAsia="宋体" w:cs="宋体"/>
          <w:b w:val="0"/>
          <w:color w:val="auto"/>
          <w:szCs w:val="36"/>
          <w:highlight w:val="none"/>
        </w:rPr>
      </w:pPr>
      <w:bookmarkStart w:id="510" w:name="_Toc11806"/>
      <w:bookmarkStart w:id="511" w:name="_Toc10287"/>
      <w:bookmarkStart w:id="512" w:name="_Toc198"/>
      <w:r>
        <w:rPr>
          <w:rFonts w:hint="eastAsia" w:ascii="宋体" w:hAnsi="宋体" w:eastAsia="宋体" w:cs="宋体"/>
          <w:color w:val="auto"/>
          <w:highlight w:val="none"/>
        </w:rPr>
        <w:t>报价文件部分</w:t>
      </w:r>
      <w:bookmarkEnd w:id="510"/>
      <w:bookmarkEnd w:id="511"/>
      <w:bookmarkEnd w:id="512"/>
    </w:p>
    <w:p w14:paraId="33D69237">
      <w:pPr>
        <w:pageBreakBefore w:val="0"/>
        <w:widowControl w:val="0"/>
        <w:kinsoku/>
        <w:wordWrap/>
        <w:overflowPunct/>
        <w:topLinePunct w:val="0"/>
        <w:autoSpaceDE/>
        <w:autoSpaceDN/>
        <w:bidi w:val="0"/>
        <w:snapToGrid/>
        <w:spacing w:line="360" w:lineRule="auto"/>
        <w:ind w:left="0" w:firstLine="0"/>
        <w:jc w:val="center"/>
        <w:textAlignment w:val="auto"/>
        <w:rPr>
          <w:rFonts w:hint="eastAsia" w:ascii="宋体" w:hAnsi="宋体" w:eastAsia="宋体" w:cs="宋体"/>
          <w:b/>
          <w:color w:val="auto"/>
          <w:kern w:val="0"/>
          <w:sz w:val="36"/>
          <w:szCs w:val="36"/>
          <w:highlight w:val="none"/>
        </w:rPr>
      </w:pPr>
      <w:bookmarkStart w:id="513" w:name="_Toc9713"/>
      <w:bookmarkStart w:id="514" w:name="_Toc14052"/>
      <w:bookmarkStart w:id="515" w:name="_Toc24830"/>
    </w:p>
    <w:p w14:paraId="4E973D1A">
      <w:pPr>
        <w:pageBreakBefore w:val="0"/>
        <w:widowControl w:val="0"/>
        <w:kinsoku/>
        <w:wordWrap/>
        <w:overflowPunct/>
        <w:topLinePunct w:val="0"/>
        <w:autoSpaceDE/>
        <w:autoSpaceDN/>
        <w:bidi w:val="0"/>
        <w:snapToGrid/>
        <w:spacing w:line="360" w:lineRule="auto"/>
        <w:ind w:left="0" w:firstLine="0"/>
        <w:jc w:val="center"/>
        <w:textAlignment w:val="auto"/>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bookmarkEnd w:id="513"/>
      <w:bookmarkEnd w:id="514"/>
      <w:bookmarkEnd w:id="515"/>
    </w:p>
    <w:p w14:paraId="799C0DA8">
      <w:pPr>
        <w:spacing w:line="360" w:lineRule="auto"/>
        <w:rPr>
          <w:rFonts w:hint="eastAsia" w:ascii="宋体" w:hAnsi="宋体" w:eastAsia="宋体" w:cs="宋体"/>
          <w:b/>
          <w:color w:val="auto"/>
          <w:kern w:val="0"/>
          <w:sz w:val="36"/>
          <w:szCs w:val="36"/>
          <w:highlight w:val="none"/>
        </w:rPr>
      </w:pPr>
    </w:p>
    <w:p w14:paraId="1B271405">
      <w:pPr>
        <w:numPr>
          <w:ilvl w:val="0"/>
          <w:numId w:val="1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开标一览表………………………………………………………………（页码）</w:t>
      </w:r>
    </w:p>
    <w:p w14:paraId="7DEC4BC5">
      <w:pPr>
        <w:numPr>
          <w:ilvl w:val="0"/>
          <w:numId w:val="1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p>
    <w:p w14:paraId="2DC6A7EC">
      <w:pPr>
        <w:snapToGrid w:val="0"/>
        <w:spacing w:line="360" w:lineRule="auto"/>
        <w:ind w:right="480"/>
        <w:rPr>
          <w:rFonts w:hint="eastAsia" w:ascii="宋体" w:hAnsi="宋体" w:eastAsia="宋体" w:cs="宋体"/>
          <w:b/>
          <w:color w:val="auto"/>
          <w:kern w:val="0"/>
          <w:sz w:val="32"/>
          <w:szCs w:val="32"/>
          <w:highlight w:val="none"/>
        </w:rPr>
      </w:pPr>
    </w:p>
    <w:p w14:paraId="68A49D1B">
      <w:pPr>
        <w:snapToGrid w:val="0"/>
        <w:spacing w:line="360" w:lineRule="auto"/>
        <w:ind w:right="480"/>
        <w:rPr>
          <w:rFonts w:hint="eastAsia" w:ascii="宋体" w:hAnsi="宋体" w:eastAsia="宋体" w:cs="宋体"/>
          <w:b/>
          <w:color w:val="auto"/>
          <w:kern w:val="0"/>
          <w:sz w:val="32"/>
          <w:szCs w:val="32"/>
          <w:highlight w:val="none"/>
        </w:rPr>
      </w:pPr>
    </w:p>
    <w:p w14:paraId="32DDBAA6">
      <w:pPr>
        <w:pStyle w:val="3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8" w:type="first"/>
          <w:footerReference r:id="rId10" w:type="first"/>
          <w:headerReference r:id="rId7" w:type="default"/>
          <w:footerReference r:id="rId9" w:type="default"/>
          <w:pgSz w:w="11906" w:h="16838"/>
          <w:pgMar w:top="1440" w:right="1083" w:bottom="1440" w:left="1083" w:header="851" w:footer="992" w:gutter="0"/>
          <w:cols w:space="720" w:num="1"/>
          <w:titlePg/>
          <w:docGrid w:linePitch="312" w:charSpace="0"/>
        </w:sectPr>
      </w:pPr>
    </w:p>
    <w:p w14:paraId="496831DB">
      <w:pPr>
        <w:pStyle w:val="3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bookmarkStart w:id="516" w:name="_Toc24274"/>
      <w:bookmarkStart w:id="517" w:name="_Toc23337"/>
      <w:bookmarkStart w:id="518" w:name="_Toc1058"/>
      <w:bookmarkStart w:id="519" w:name="_Toc17889"/>
      <w:r>
        <w:rPr>
          <w:rFonts w:hint="eastAsia" w:ascii="宋体" w:hAnsi="宋体" w:eastAsia="宋体" w:cs="宋体"/>
          <w:color w:val="auto"/>
          <w:kern w:val="2"/>
          <w:sz w:val="32"/>
          <w:szCs w:val="32"/>
          <w:highlight w:val="none"/>
        </w:rPr>
        <w:t>一、开标一览表</w:t>
      </w:r>
      <w:bookmarkEnd w:id="516"/>
      <w:bookmarkEnd w:id="517"/>
      <w:bookmarkEnd w:id="518"/>
      <w:bookmarkEnd w:id="519"/>
    </w:p>
    <w:p w14:paraId="2CE0207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浙江农林大学、浙江乐诚工程咨询有限公司</w:t>
      </w:r>
      <w:r>
        <w:rPr>
          <w:rFonts w:hint="eastAsia" w:ascii="宋体" w:hAnsi="宋体" w:eastAsia="宋体" w:cs="宋体"/>
          <w:color w:val="auto"/>
          <w:kern w:val="0"/>
          <w:sz w:val="24"/>
          <w:highlight w:val="none"/>
          <w:lang w:val="zh-CN"/>
        </w:rPr>
        <w:t>：</w:t>
      </w:r>
    </w:p>
    <w:p w14:paraId="03CB11FA">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按你方招标文件要求，我们，本投标文件签字方，谨此向你方发出要约如下：如你方接受本投标，我方承诺按照如下开标一览表的价格完成</w:t>
      </w:r>
      <w:r>
        <w:rPr>
          <w:rFonts w:hint="eastAsia" w:ascii="宋体" w:hAnsi="宋体" w:eastAsia="宋体" w:cs="宋体"/>
          <w:color w:val="auto"/>
          <w:sz w:val="24"/>
          <w:highlight w:val="none"/>
        </w:rPr>
        <w:t>浙江农林大学</w:t>
      </w:r>
      <w:r>
        <w:rPr>
          <w:rFonts w:hint="eastAsia" w:ascii="宋体" w:hAnsi="宋体" w:eastAsia="宋体" w:cs="宋体"/>
          <w:color w:val="auto"/>
          <w:sz w:val="24"/>
          <w:highlight w:val="none"/>
          <w:lang w:eastAsia="zh-CN"/>
        </w:rPr>
        <w:t>细胞房</w:t>
      </w:r>
      <w:r>
        <w:rPr>
          <w:rFonts w:hint="eastAsia" w:ascii="宋体" w:hAnsi="宋体" w:eastAsia="宋体" w:cs="宋体"/>
          <w:color w:val="auto"/>
          <w:sz w:val="24"/>
          <w:highlight w:val="none"/>
        </w:rPr>
        <w:t>项目</w:t>
      </w:r>
      <w:r>
        <w:rPr>
          <w:rFonts w:hint="eastAsia" w:ascii="宋体" w:hAnsi="宋体" w:eastAsia="宋体" w:cs="宋体"/>
          <w:color w:val="auto"/>
          <w:kern w:val="0"/>
          <w:sz w:val="24"/>
          <w:highlight w:val="none"/>
          <w:lang w:val="zh-CN"/>
        </w:rPr>
        <w:t>【项目编号：</w:t>
      </w:r>
      <w:r>
        <w:rPr>
          <w:rFonts w:hint="eastAsia" w:ascii="宋体" w:hAnsi="宋体" w:cs="宋体"/>
          <w:color w:val="auto"/>
          <w:sz w:val="24"/>
          <w:highlight w:val="none"/>
          <w:lang w:eastAsia="zh-CN"/>
        </w:rPr>
        <w:t>330000263030040000163-ZJYC2026060(GK)</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tbl>
      <w:tblPr>
        <w:tblStyle w:val="19"/>
        <w:tblW w:w="49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06"/>
        <w:gridCol w:w="4939"/>
        <w:gridCol w:w="7446"/>
      </w:tblGrid>
      <w:tr w14:paraId="255E5E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542" w:type="pct"/>
            <w:tcMar>
              <w:top w:w="0" w:type="dxa"/>
              <w:left w:w="108" w:type="dxa"/>
              <w:bottom w:w="0" w:type="dxa"/>
              <w:right w:w="108" w:type="dxa"/>
            </w:tcMar>
            <w:vAlign w:val="center"/>
          </w:tcPr>
          <w:p w14:paraId="0A5F22EB">
            <w:pPr>
              <w:widowControl/>
              <w:spacing w:before="60" w:after="60"/>
              <w:ind w:left="60" w:right="6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序号</w:t>
            </w:r>
          </w:p>
        </w:tc>
        <w:tc>
          <w:tcPr>
            <w:tcW w:w="1777" w:type="pct"/>
            <w:tcMar>
              <w:top w:w="0" w:type="dxa"/>
              <w:left w:w="108" w:type="dxa"/>
              <w:bottom w:w="0" w:type="dxa"/>
              <w:right w:w="108" w:type="dxa"/>
            </w:tcMar>
            <w:vAlign w:val="center"/>
          </w:tcPr>
          <w:p w14:paraId="6BF23ADA">
            <w:pPr>
              <w:widowControl/>
              <w:spacing w:before="60" w:after="60"/>
              <w:ind w:left="60" w:right="6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内容</w:t>
            </w:r>
          </w:p>
        </w:tc>
        <w:tc>
          <w:tcPr>
            <w:tcW w:w="2679" w:type="pct"/>
            <w:tcMar>
              <w:top w:w="0" w:type="dxa"/>
              <w:left w:w="108" w:type="dxa"/>
              <w:bottom w:w="0" w:type="dxa"/>
              <w:right w:w="108" w:type="dxa"/>
            </w:tcMar>
            <w:vAlign w:val="center"/>
          </w:tcPr>
          <w:p w14:paraId="224C9BA8">
            <w:pPr>
              <w:widowControl/>
              <w:spacing w:before="60" w:after="60"/>
              <w:ind w:left="60" w:right="6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投标总价</w:t>
            </w:r>
          </w:p>
        </w:tc>
      </w:tr>
      <w:tr w14:paraId="5E182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542" w:type="pct"/>
            <w:tcMar>
              <w:top w:w="0" w:type="dxa"/>
              <w:left w:w="108" w:type="dxa"/>
              <w:bottom w:w="0" w:type="dxa"/>
              <w:right w:w="108" w:type="dxa"/>
            </w:tcMar>
            <w:vAlign w:val="center"/>
          </w:tcPr>
          <w:p w14:paraId="46F5F652">
            <w:pPr>
              <w:widowControl/>
              <w:spacing w:before="6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77" w:type="pct"/>
            <w:tcMar>
              <w:top w:w="0" w:type="dxa"/>
              <w:left w:w="108" w:type="dxa"/>
              <w:bottom w:w="0" w:type="dxa"/>
              <w:right w:w="108" w:type="dxa"/>
            </w:tcMar>
            <w:vAlign w:val="center"/>
          </w:tcPr>
          <w:p w14:paraId="18432F7A">
            <w:pPr>
              <w:widowControl/>
              <w:spacing w:before="60" w:after="60"/>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 xml:space="preserve"> </w:t>
            </w:r>
          </w:p>
        </w:tc>
        <w:tc>
          <w:tcPr>
            <w:tcW w:w="2679" w:type="pct"/>
            <w:tcMar>
              <w:top w:w="0" w:type="dxa"/>
              <w:left w:w="108" w:type="dxa"/>
              <w:bottom w:w="0" w:type="dxa"/>
              <w:right w:w="108" w:type="dxa"/>
            </w:tcMar>
            <w:vAlign w:val="center"/>
          </w:tcPr>
          <w:p w14:paraId="5D69152F">
            <w:pPr>
              <w:autoSpaceDE w:val="0"/>
              <w:autoSpaceDN w:val="0"/>
              <w:spacing w:line="380" w:lineRule="atLeast"/>
              <w:ind w:right="349"/>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（大写）：</w:t>
            </w:r>
          </w:p>
          <w:p w14:paraId="650F51DB">
            <w:pPr>
              <w:autoSpaceDE w:val="0"/>
              <w:autoSpaceDN w:val="0"/>
              <w:spacing w:line="380" w:lineRule="atLeast"/>
              <w:ind w:right="349" w:firstLine="331"/>
              <w:jc w:val="left"/>
              <w:rPr>
                <w:rFonts w:hint="eastAsia" w:ascii="宋体" w:hAnsi="宋体" w:eastAsia="宋体" w:cs="宋体"/>
                <w:b/>
                <w:bCs/>
                <w:color w:val="auto"/>
                <w:kern w:val="0"/>
                <w:sz w:val="22"/>
                <w:szCs w:val="22"/>
                <w:highlight w:val="none"/>
              </w:rPr>
            </w:pPr>
          </w:p>
          <w:p w14:paraId="6E92B800">
            <w:pPr>
              <w:widowControl/>
              <w:spacing w:before="60" w:after="60"/>
              <w:rPr>
                <w:rFonts w:hint="eastAsia" w:ascii="宋体" w:hAnsi="宋体" w:eastAsia="宋体" w:cs="宋体"/>
                <w:bCs/>
                <w:color w:val="auto"/>
                <w:kern w:val="0"/>
                <w:sz w:val="22"/>
                <w:szCs w:val="22"/>
                <w:highlight w:val="none"/>
              </w:rPr>
            </w:pPr>
            <w:r>
              <w:rPr>
                <w:rFonts w:hint="eastAsia" w:ascii="宋体" w:hAnsi="宋体" w:eastAsia="宋体" w:cs="宋体"/>
                <w:b/>
                <w:bCs/>
                <w:color w:val="auto"/>
                <w:kern w:val="0"/>
                <w:sz w:val="22"/>
                <w:szCs w:val="22"/>
                <w:highlight w:val="none"/>
              </w:rPr>
              <w:t>（小写）：¥</w:t>
            </w:r>
          </w:p>
        </w:tc>
      </w:tr>
    </w:tbl>
    <w:p w14:paraId="4C876727">
      <w:pPr>
        <w:overflowPunct w:val="0"/>
        <w:spacing w:line="380" w:lineRule="exact"/>
        <w:rPr>
          <w:rFonts w:hint="eastAsia" w:ascii="宋体" w:hAnsi="宋体" w:eastAsia="宋体" w:cs="宋体"/>
          <w:bCs/>
          <w:color w:val="auto"/>
          <w:sz w:val="22"/>
          <w:szCs w:val="22"/>
          <w:highlight w:val="none"/>
        </w:rPr>
      </w:pPr>
    </w:p>
    <w:p w14:paraId="0EE3B57F">
      <w:pP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2AA30C92">
      <w:pPr>
        <w:spacing w:line="380" w:lineRule="exact"/>
        <w:ind w:left="12" w:hanging="12" w:hangingChars="5"/>
        <w:rPr>
          <w:rFonts w:hint="eastAsia" w:ascii="宋体" w:hAnsi="宋体" w:eastAsia="宋体" w:cs="宋体"/>
          <w:b/>
          <w:color w:val="auto"/>
          <w:sz w:val="22"/>
          <w:highlight w:val="none"/>
          <w:u w:val="thick"/>
        </w:rPr>
      </w:pPr>
      <w:r>
        <w:rPr>
          <w:rFonts w:hint="eastAsia" w:ascii="宋体" w:hAnsi="宋体" w:eastAsia="宋体" w:cs="宋体"/>
          <w:color w:val="auto"/>
          <w:sz w:val="24"/>
          <w:szCs w:val="20"/>
          <w:highlight w:val="none"/>
          <w:u w:val="thick"/>
        </w:rPr>
        <w:t>▲</w:t>
      </w:r>
      <w:r>
        <w:rPr>
          <w:rFonts w:hint="eastAsia" w:ascii="宋体" w:hAnsi="宋体" w:eastAsia="宋体" w:cs="宋体"/>
          <w:b/>
          <w:color w:val="auto"/>
          <w:sz w:val="22"/>
          <w:highlight w:val="none"/>
          <w:u w:val="thick"/>
        </w:rPr>
        <w:t>此栏内投标总价应与“投标报价明细表”中投标报价相一致。</w:t>
      </w:r>
    </w:p>
    <w:p w14:paraId="658B8E28">
      <w:pPr>
        <w:autoSpaceDE w:val="0"/>
        <w:autoSpaceDN w:val="0"/>
        <w:spacing w:line="360" w:lineRule="auto"/>
        <w:ind w:right="1120"/>
        <w:jc w:val="left"/>
        <w:rPr>
          <w:rFonts w:hint="eastAsia" w:ascii="宋体" w:hAnsi="宋体" w:eastAsia="宋体" w:cs="宋体"/>
          <w:color w:val="auto"/>
          <w:kern w:val="0"/>
          <w:sz w:val="24"/>
          <w:highlight w:val="none"/>
          <w:lang w:val="zh-CN"/>
        </w:rPr>
      </w:pPr>
    </w:p>
    <w:p w14:paraId="706C084D">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257918F4">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51594E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1706D766">
      <w:pPr>
        <w:autoSpaceDE w:val="0"/>
        <w:autoSpaceDN w:val="0"/>
        <w:spacing w:line="360" w:lineRule="auto"/>
        <w:ind w:right="112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73CAAC1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浙江农林大学、浙江乐诚工程咨询有限公司</w:t>
      </w:r>
      <w:r>
        <w:rPr>
          <w:rFonts w:hint="eastAsia" w:ascii="宋体" w:hAnsi="宋体" w:eastAsia="宋体" w:cs="宋体"/>
          <w:color w:val="auto"/>
          <w:kern w:val="0"/>
          <w:sz w:val="24"/>
          <w:highlight w:val="none"/>
          <w:lang w:val="zh-CN"/>
        </w:rPr>
        <w:t>：</w:t>
      </w:r>
    </w:p>
    <w:p w14:paraId="304626CB">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color w:val="auto"/>
          <w:sz w:val="32"/>
          <w:szCs w:val="32"/>
          <w:highlight w:val="none"/>
        </w:rPr>
        <w:t xml:space="preserve">投标报价明细表 </w:t>
      </w:r>
    </w:p>
    <w:tbl>
      <w:tblPr>
        <w:tblStyle w:val="19"/>
        <w:tblW w:w="14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375"/>
        <w:gridCol w:w="1065"/>
        <w:gridCol w:w="748"/>
        <w:gridCol w:w="927"/>
        <w:gridCol w:w="1487"/>
        <w:gridCol w:w="1096"/>
        <w:gridCol w:w="1035"/>
        <w:gridCol w:w="1325"/>
        <w:gridCol w:w="1283"/>
        <w:gridCol w:w="932"/>
      </w:tblGrid>
      <w:tr w14:paraId="329E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97" w:type="dxa"/>
            <w:vAlign w:val="center"/>
          </w:tcPr>
          <w:p w14:paraId="4925DD3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375" w:type="dxa"/>
            <w:vAlign w:val="center"/>
          </w:tcPr>
          <w:p w14:paraId="6EB23EC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货物名称</w:t>
            </w:r>
          </w:p>
        </w:tc>
        <w:tc>
          <w:tcPr>
            <w:tcW w:w="1065" w:type="dxa"/>
            <w:vAlign w:val="center"/>
          </w:tcPr>
          <w:p w14:paraId="5B812C3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制造商（全称）</w:t>
            </w:r>
          </w:p>
        </w:tc>
        <w:tc>
          <w:tcPr>
            <w:tcW w:w="748" w:type="dxa"/>
            <w:vAlign w:val="center"/>
          </w:tcPr>
          <w:p w14:paraId="2C31808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927" w:type="dxa"/>
            <w:vAlign w:val="center"/>
          </w:tcPr>
          <w:p w14:paraId="731BCF1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487" w:type="dxa"/>
            <w:vAlign w:val="center"/>
          </w:tcPr>
          <w:p w14:paraId="5B99BED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96" w:type="dxa"/>
            <w:vAlign w:val="center"/>
          </w:tcPr>
          <w:p w14:paraId="589B93C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35" w:type="dxa"/>
            <w:vAlign w:val="center"/>
          </w:tcPr>
          <w:p w14:paraId="0A25A69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1325" w:type="dxa"/>
            <w:vAlign w:val="center"/>
          </w:tcPr>
          <w:p w14:paraId="4ABBF82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1283" w:type="dxa"/>
            <w:vAlign w:val="center"/>
          </w:tcPr>
          <w:p w14:paraId="143918B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金额（元）</w:t>
            </w:r>
          </w:p>
        </w:tc>
        <w:tc>
          <w:tcPr>
            <w:tcW w:w="932" w:type="dxa"/>
            <w:vAlign w:val="center"/>
          </w:tcPr>
          <w:p w14:paraId="6D4AC40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6E2F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97" w:type="dxa"/>
            <w:shd w:val="clear" w:color="auto" w:fill="auto"/>
            <w:vAlign w:val="center"/>
          </w:tcPr>
          <w:p w14:paraId="079DE1D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w:t>
            </w:r>
          </w:p>
        </w:tc>
        <w:tc>
          <w:tcPr>
            <w:tcW w:w="3375" w:type="dxa"/>
            <w:shd w:val="clear" w:color="auto" w:fill="auto"/>
            <w:vAlign w:val="top"/>
          </w:tcPr>
          <w:p w14:paraId="4E7B591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2"/>
                <w:szCs w:val="22"/>
                <w:highlight w:val="none"/>
                <w:u w:val="single"/>
                <w:lang w:val="en-US" w:eastAsia="zh-CN"/>
              </w:rPr>
              <w:t>细胞房</w:t>
            </w:r>
          </w:p>
        </w:tc>
        <w:tc>
          <w:tcPr>
            <w:tcW w:w="1065" w:type="dxa"/>
            <w:shd w:val="clear" w:color="auto" w:fill="auto"/>
            <w:vAlign w:val="top"/>
          </w:tcPr>
          <w:p w14:paraId="689841D8">
            <w:pPr>
              <w:rPr>
                <w:rFonts w:hint="eastAsia" w:ascii="宋体" w:hAnsi="宋体" w:eastAsia="宋体" w:cs="宋体"/>
                <w:color w:val="auto"/>
                <w:kern w:val="2"/>
                <w:sz w:val="24"/>
                <w:szCs w:val="24"/>
                <w:highlight w:val="none"/>
                <w:lang w:val="en-US" w:eastAsia="zh-CN" w:bidi="ar-SA"/>
              </w:rPr>
            </w:pPr>
          </w:p>
        </w:tc>
        <w:tc>
          <w:tcPr>
            <w:tcW w:w="748" w:type="dxa"/>
            <w:shd w:val="clear" w:color="auto" w:fill="auto"/>
            <w:vAlign w:val="top"/>
          </w:tcPr>
          <w:p w14:paraId="145B8838">
            <w:pPr>
              <w:rPr>
                <w:rFonts w:hint="eastAsia" w:ascii="宋体" w:hAnsi="宋体" w:eastAsia="宋体" w:cs="宋体"/>
                <w:color w:val="auto"/>
                <w:kern w:val="2"/>
                <w:sz w:val="24"/>
                <w:szCs w:val="24"/>
                <w:highlight w:val="none"/>
                <w:lang w:val="en-US" w:eastAsia="zh-CN" w:bidi="ar-SA"/>
              </w:rPr>
            </w:pPr>
          </w:p>
        </w:tc>
        <w:tc>
          <w:tcPr>
            <w:tcW w:w="927" w:type="dxa"/>
            <w:shd w:val="clear" w:color="auto" w:fill="auto"/>
            <w:vAlign w:val="top"/>
          </w:tcPr>
          <w:p w14:paraId="3D52A98C">
            <w:pPr>
              <w:rPr>
                <w:rFonts w:hint="eastAsia" w:ascii="宋体" w:hAnsi="宋体" w:eastAsia="宋体" w:cs="宋体"/>
                <w:color w:val="auto"/>
                <w:kern w:val="2"/>
                <w:sz w:val="24"/>
                <w:szCs w:val="24"/>
                <w:highlight w:val="none"/>
                <w:lang w:val="en-US" w:eastAsia="zh-CN" w:bidi="ar-SA"/>
              </w:rPr>
            </w:pPr>
          </w:p>
        </w:tc>
        <w:tc>
          <w:tcPr>
            <w:tcW w:w="1487" w:type="dxa"/>
            <w:shd w:val="clear" w:color="auto" w:fill="auto"/>
            <w:vAlign w:val="top"/>
          </w:tcPr>
          <w:p w14:paraId="37E427A2">
            <w:pPr>
              <w:rPr>
                <w:rFonts w:hint="eastAsia" w:ascii="宋体" w:hAnsi="宋体" w:eastAsia="宋体" w:cs="宋体"/>
                <w:color w:val="auto"/>
                <w:kern w:val="2"/>
                <w:sz w:val="24"/>
                <w:szCs w:val="24"/>
                <w:highlight w:val="none"/>
                <w:lang w:val="en-US" w:eastAsia="zh-CN" w:bidi="ar-SA"/>
              </w:rPr>
            </w:pPr>
          </w:p>
        </w:tc>
        <w:tc>
          <w:tcPr>
            <w:tcW w:w="1096" w:type="dxa"/>
            <w:shd w:val="clear" w:color="auto" w:fill="auto"/>
            <w:vAlign w:val="top"/>
          </w:tcPr>
          <w:p w14:paraId="6A487AFA">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7</w:t>
            </w:r>
          </w:p>
        </w:tc>
        <w:tc>
          <w:tcPr>
            <w:tcW w:w="1035" w:type="dxa"/>
            <w:shd w:val="clear" w:color="auto" w:fill="auto"/>
            <w:vAlign w:val="top"/>
          </w:tcPr>
          <w:p w14:paraId="0B8E72FB">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间</w:t>
            </w:r>
          </w:p>
        </w:tc>
        <w:tc>
          <w:tcPr>
            <w:tcW w:w="1325" w:type="dxa"/>
            <w:vAlign w:val="center"/>
          </w:tcPr>
          <w:p w14:paraId="2B53D659">
            <w:pPr>
              <w:spacing w:line="360" w:lineRule="auto"/>
              <w:jc w:val="center"/>
              <w:rPr>
                <w:rFonts w:hint="eastAsia" w:ascii="宋体" w:hAnsi="宋体" w:eastAsia="宋体" w:cs="宋体"/>
                <w:color w:val="auto"/>
                <w:sz w:val="24"/>
                <w:highlight w:val="none"/>
              </w:rPr>
            </w:pPr>
          </w:p>
        </w:tc>
        <w:tc>
          <w:tcPr>
            <w:tcW w:w="1283" w:type="dxa"/>
            <w:vAlign w:val="center"/>
          </w:tcPr>
          <w:p w14:paraId="3C6005DA">
            <w:pPr>
              <w:spacing w:line="360" w:lineRule="auto"/>
              <w:jc w:val="center"/>
              <w:rPr>
                <w:rFonts w:hint="eastAsia" w:ascii="宋体" w:hAnsi="宋体" w:eastAsia="宋体" w:cs="宋体"/>
                <w:color w:val="auto"/>
                <w:sz w:val="24"/>
                <w:highlight w:val="none"/>
              </w:rPr>
            </w:pPr>
          </w:p>
        </w:tc>
        <w:tc>
          <w:tcPr>
            <w:tcW w:w="932" w:type="dxa"/>
            <w:vAlign w:val="center"/>
          </w:tcPr>
          <w:p w14:paraId="682C3F20">
            <w:pPr>
              <w:spacing w:line="360" w:lineRule="auto"/>
              <w:jc w:val="center"/>
              <w:rPr>
                <w:rFonts w:hint="eastAsia" w:ascii="宋体" w:hAnsi="宋体" w:eastAsia="宋体" w:cs="宋体"/>
                <w:color w:val="auto"/>
                <w:sz w:val="24"/>
                <w:highlight w:val="none"/>
              </w:rPr>
            </w:pPr>
          </w:p>
        </w:tc>
      </w:tr>
      <w:tr w14:paraId="2CD5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97" w:type="dxa"/>
            <w:shd w:val="clear" w:color="auto" w:fill="auto"/>
            <w:vAlign w:val="center"/>
          </w:tcPr>
          <w:p w14:paraId="4153F1B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1.1</w:t>
            </w:r>
          </w:p>
        </w:tc>
        <w:tc>
          <w:tcPr>
            <w:tcW w:w="3375" w:type="dxa"/>
            <w:shd w:val="clear" w:color="auto" w:fill="auto"/>
            <w:vAlign w:val="top"/>
          </w:tcPr>
          <w:p w14:paraId="0BA93EC2">
            <w:pPr>
              <w:rPr>
                <w:rFonts w:hint="eastAsia" w:ascii="宋体" w:hAnsi="宋体" w:eastAsia="宋体" w:cs="宋体"/>
                <w:color w:val="auto"/>
                <w:kern w:val="2"/>
                <w:sz w:val="24"/>
                <w:szCs w:val="24"/>
                <w:highlight w:val="none"/>
                <w:lang w:val="en-US" w:eastAsia="zh-CN" w:bidi="ar-SA"/>
              </w:rPr>
            </w:pPr>
          </w:p>
        </w:tc>
        <w:tc>
          <w:tcPr>
            <w:tcW w:w="1065" w:type="dxa"/>
            <w:shd w:val="clear" w:color="auto" w:fill="auto"/>
            <w:vAlign w:val="top"/>
          </w:tcPr>
          <w:p w14:paraId="4B906950">
            <w:pPr>
              <w:rPr>
                <w:rFonts w:hint="eastAsia" w:ascii="宋体" w:hAnsi="宋体" w:eastAsia="宋体" w:cs="宋体"/>
                <w:color w:val="auto"/>
                <w:kern w:val="2"/>
                <w:sz w:val="24"/>
                <w:szCs w:val="24"/>
                <w:highlight w:val="none"/>
                <w:lang w:val="en-US" w:eastAsia="zh-CN" w:bidi="ar-SA"/>
              </w:rPr>
            </w:pPr>
          </w:p>
        </w:tc>
        <w:tc>
          <w:tcPr>
            <w:tcW w:w="748" w:type="dxa"/>
            <w:shd w:val="clear" w:color="auto" w:fill="auto"/>
            <w:vAlign w:val="top"/>
          </w:tcPr>
          <w:p w14:paraId="533D841A">
            <w:pPr>
              <w:rPr>
                <w:rFonts w:hint="eastAsia" w:ascii="宋体" w:hAnsi="宋体" w:eastAsia="宋体" w:cs="宋体"/>
                <w:color w:val="auto"/>
                <w:kern w:val="2"/>
                <w:sz w:val="24"/>
                <w:szCs w:val="24"/>
                <w:highlight w:val="none"/>
                <w:lang w:val="en-US" w:eastAsia="zh-CN" w:bidi="ar-SA"/>
              </w:rPr>
            </w:pPr>
          </w:p>
        </w:tc>
        <w:tc>
          <w:tcPr>
            <w:tcW w:w="927" w:type="dxa"/>
            <w:shd w:val="clear" w:color="auto" w:fill="auto"/>
            <w:vAlign w:val="top"/>
          </w:tcPr>
          <w:p w14:paraId="216BC23F">
            <w:pPr>
              <w:rPr>
                <w:rFonts w:hint="eastAsia" w:ascii="宋体" w:hAnsi="宋体" w:eastAsia="宋体" w:cs="宋体"/>
                <w:color w:val="auto"/>
                <w:kern w:val="2"/>
                <w:sz w:val="24"/>
                <w:szCs w:val="24"/>
                <w:highlight w:val="none"/>
                <w:lang w:val="en-US" w:eastAsia="zh-CN" w:bidi="ar-SA"/>
              </w:rPr>
            </w:pPr>
          </w:p>
        </w:tc>
        <w:tc>
          <w:tcPr>
            <w:tcW w:w="1487" w:type="dxa"/>
            <w:shd w:val="clear" w:color="auto" w:fill="auto"/>
            <w:vAlign w:val="top"/>
          </w:tcPr>
          <w:p w14:paraId="04B53D1A">
            <w:pPr>
              <w:rPr>
                <w:rFonts w:hint="eastAsia" w:ascii="宋体" w:hAnsi="宋体" w:eastAsia="宋体" w:cs="宋体"/>
                <w:color w:val="auto"/>
                <w:kern w:val="2"/>
                <w:sz w:val="24"/>
                <w:szCs w:val="24"/>
                <w:highlight w:val="none"/>
                <w:lang w:val="en-US" w:eastAsia="zh-CN" w:bidi="ar-SA"/>
              </w:rPr>
            </w:pPr>
          </w:p>
        </w:tc>
        <w:tc>
          <w:tcPr>
            <w:tcW w:w="1096" w:type="dxa"/>
            <w:shd w:val="clear" w:color="auto" w:fill="auto"/>
            <w:vAlign w:val="top"/>
          </w:tcPr>
          <w:p w14:paraId="70BA5AA7">
            <w:pPr>
              <w:rPr>
                <w:rFonts w:hint="eastAsia" w:ascii="宋体" w:hAnsi="宋体" w:eastAsia="宋体" w:cs="宋体"/>
                <w:color w:val="auto"/>
                <w:kern w:val="2"/>
                <w:sz w:val="24"/>
                <w:szCs w:val="24"/>
                <w:highlight w:val="none"/>
                <w:lang w:val="en-US" w:eastAsia="zh-CN" w:bidi="ar-SA"/>
              </w:rPr>
            </w:pPr>
          </w:p>
        </w:tc>
        <w:tc>
          <w:tcPr>
            <w:tcW w:w="1035" w:type="dxa"/>
            <w:shd w:val="clear" w:color="auto" w:fill="auto"/>
            <w:vAlign w:val="top"/>
          </w:tcPr>
          <w:p w14:paraId="659F5FA5">
            <w:pPr>
              <w:rPr>
                <w:rFonts w:hint="eastAsia" w:ascii="宋体" w:hAnsi="宋体" w:eastAsia="宋体" w:cs="宋体"/>
                <w:color w:val="auto"/>
                <w:kern w:val="2"/>
                <w:sz w:val="24"/>
                <w:szCs w:val="24"/>
                <w:highlight w:val="none"/>
                <w:lang w:val="en-US" w:eastAsia="zh-CN" w:bidi="ar-SA"/>
              </w:rPr>
            </w:pPr>
          </w:p>
        </w:tc>
        <w:tc>
          <w:tcPr>
            <w:tcW w:w="1325" w:type="dxa"/>
            <w:vAlign w:val="center"/>
          </w:tcPr>
          <w:p w14:paraId="0F5AD0AF">
            <w:pPr>
              <w:spacing w:line="360" w:lineRule="auto"/>
              <w:jc w:val="center"/>
              <w:rPr>
                <w:rFonts w:hint="eastAsia" w:ascii="宋体" w:hAnsi="宋体" w:eastAsia="宋体" w:cs="宋体"/>
                <w:color w:val="auto"/>
                <w:sz w:val="24"/>
                <w:highlight w:val="none"/>
              </w:rPr>
            </w:pPr>
          </w:p>
        </w:tc>
        <w:tc>
          <w:tcPr>
            <w:tcW w:w="1283" w:type="dxa"/>
            <w:vAlign w:val="center"/>
          </w:tcPr>
          <w:p w14:paraId="23121C2E">
            <w:pPr>
              <w:spacing w:line="360" w:lineRule="auto"/>
              <w:jc w:val="center"/>
              <w:rPr>
                <w:rFonts w:hint="eastAsia" w:ascii="宋体" w:hAnsi="宋体" w:eastAsia="宋体" w:cs="宋体"/>
                <w:color w:val="auto"/>
                <w:sz w:val="24"/>
                <w:highlight w:val="none"/>
              </w:rPr>
            </w:pPr>
          </w:p>
        </w:tc>
        <w:tc>
          <w:tcPr>
            <w:tcW w:w="932" w:type="dxa"/>
            <w:vAlign w:val="center"/>
          </w:tcPr>
          <w:p w14:paraId="41D9D567">
            <w:pPr>
              <w:spacing w:line="360" w:lineRule="auto"/>
              <w:jc w:val="center"/>
              <w:rPr>
                <w:rFonts w:hint="eastAsia" w:ascii="宋体" w:hAnsi="宋体" w:eastAsia="宋体" w:cs="宋体"/>
                <w:color w:val="auto"/>
                <w:sz w:val="24"/>
                <w:highlight w:val="none"/>
              </w:rPr>
            </w:pPr>
          </w:p>
        </w:tc>
      </w:tr>
      <w:tr w14:paraId="2FA3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97" w:type="dxa"/>
            <w:shd w:val="clear" w:color="auto" w:fill="auto"/>
            <w:vAlign w:val="center"/>
          </w:tcPr>
          <w:p w14:paraId="18ED6F4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1.2</w:t>
            </w:r>
          </w:p>
        </w:tc>
        <w:tc>
          <w:tcPr>
            <w:tcW w:w="3375" w:type="dxa"/>
            <w:shd w:val="clear" w:color="auto" w:fill="auto"/>
            <w:vAlign w:val="top"/>
          </w:tcPr>
          <w:p w14:paraId="33800748">
            <w:pPr>
              <w:rPr>
                <w:rFonts w:hint="eastAsia" w:ascii="宋体" w:hAnsi="宋体" w:eastAsia="宋体" w:cs="宋体"/>
                <w:color w:val="auto"/>
                <w:kern w:val="2"/>
                <w:sz w:val="24"/>
                <w:szCs w:val="24"/>
                <w:highlight w:val="none"/>
                <w:lang w:val="en-US" w:eastAsia="zh-CN" w:bidi="ar-SA"/>
              </w:rPr>
            </w:pPr>
          </w:p>
        </w:tc>
        <w:tc>
          <w:tcPr>
            <w:tcW w:w="1065" w:type="dxa"/>
            <w:shd w:val="clear" w:color="auto" w:fill="auto"/>
            <w:vAlign w:val="top"/>
          </w:tcPr>
          <w:p w14:paraId="047E4089">
            <w:pPr>
              <w:rPr>
                <w:rFonts w:hint="eastAsia" w:ascii="宋体" w:hAnsi="宋体" w:eastAsia="宋体" w:cs="宋体"/>
                <w:color w:val="auto"/>
                <w:kern w:val="2"/>
                <w:sz w:val="24"/>
                <w:szCs w:val="24"/>
                <w:highlight w:val="none"/>
                <w:lang w:val="en-US" w:eastAsia="zh-CN" w:bidi="ar-SA"/>
              </w:rPr>
            </w:pPr>
          </w:p>
        </w:tc>
        <w:tc>
          <w:tcPr>
            <w:tcW w:w="748" w:type="dxa"/>
            <w:shd w:val="clear" w:color="auto" w:fill="auto"/>
            <w:vAlign w:val="top"/>
          </w:tcPr>
          <w:p w14:paraId="1F5FE4A8">
            <w:pPr>
              <w:rPr>
                <w:rFonts w:hint="eastAsia" w:ascii="宋体" w:hAnsi="宋体" w:eastAsia="宋体" w:cs="宋体"/>
                <w:color w:val="auto"/>
                <w:kern w:val="2"/>
                <w:sz w:val="24"/>
                <w:szCs w:val="24"/>
                <w:highlight w:val="none"/>
                <w:lang w:val="en-US" w:eastAsia="zh-CN" w:bidi="ar-SA"/>
              </w:rPr>
            </w:pPr>
          </w:p>
        </w:tc>
        <w:tc>
          <w:tcPr>
            <w:tcW w:w="927" w:type="dxa"/>
            <w:shd w:val="clear" w:color="auto" w:fill="auto"/>
            <w:vAlign w:val="top"/>
          </w:tcPr>
          <w:p w14:paraId="6DC2BB3C">
            <w:pPr>
              <w:rPr>
                <w:rFonts w:hint="eastAsia" w:ascii="宋体" w:hAnsi="宋体" w:eastAsia="宋体" w:cs="宋体"/>
                <w:color w:val="auto"/>
                <w:kern w:val="2"/>
                <w:sz w:val="24"/>
                <w:szCs w:val="24"/>
                <w:highlight w:val="none"/>
                <w:lang w:val="en-US" w:eastAsia="zh-CN" w:bidi="ar-SA"/>
              </w:rPr>
            </w:pPr>
          </w:p>
        </w:tc>
        <w:tc>
          <w:tcPr>
            <w:tcW w:w="1487" w:type="dxa"/>
            <w:shd w:val="clear" w:color="auto" w:fill="auto"/>
            <w:vAlign w:val="top"/>
          </w:tcPr>
          <w:p w14:paraId="7DA064DE">
            <w:pPr>
              <w:rPr>
                <w:rFonts w:hint="eastAsia" w:ascii="宋体" w:hAnsi="宋体" w:eastAsia="宋体" w:cs="宋体"/>
                <w:color w:val="auto"/>
                <w:kern w:val="2"/>
                <w:sz w:val="24"/>
                <w:szCs w:val="24"/>
                <w:highlight w:val="none"/>
                <w:lang w:val="en-US" w:eastAsia="zh-CN" w:bidi="ar-SA"/>
              </w:rPr>
            </w:pPr>
          </w:p>
        </w:tc>
        <w:tc>
          <w:tcPr>
            <w:tcW w:w="1096" w:type="dxa"/>
            <w:shd w:val="clear" w:color="auto" w:fill="auto"/>
            <w:vAlign w:val="top"/>
          </w:tcPr>
          <w:p w14:paraId="05F2DEBB">
            <w:pPr>
              <w:rPr>
                <w:rFonts w:hint="eastAsia" w:ascii="宋体" w:hAnsi="宋体" w:eastAsia="宋体" w:cs="宋体"/>
                <w:color w:val="auto"/>
                <w:kern w:val="2"/>
                <w:sz w:val="24"/>
                <w:szCs w:val="24"/>
                <w:highlight w:val="none"/>
                <w:lang w:val="en-US" w:eastAsia="zh-CN" w:bidi="ar-SA"/>
              </w:rPr>
            </w:pPr>
          </w:p>
        </w:tc>
        <w:tc>
          <w:tcPr>
            <w:tcW w:w="1035" w:type="dxa"/>
            <w:shd w:val="clear" w:color="auto" w:fill="auto"/>
            <w:vAlign w:val="top"/>
          </w:tcPr>
          <w:p w14:paraId="791D4E05">
            <w:pPr>
              <w:rPr>
                <w:rFonts w:hint="eastAsia" w:ascii="宋体" w:hAnsi="宋体" w:eastAsia="宋体" w:cs="宋体"/>
                <w:color w:val="auto"/>
                <w:kern w:val="2"/>
                <w:sz w:val="24"/>
                <w:szCs w:val="24"/>
                <w:highlight w:val="none"/>
                <w:lang w:val="en-US" w:eastAsia="zh-CN" w:bidi="ar-SA"/>
              </w:rPr>
            </w:pPr>
          </w:p>
        </w:tc>
        <w:tc>
          <w:tcPr>
            <w:tcW w:w="1325" w:type="dxa"/>
            <w:vAlign w:val="center"/>
          </w:tcPr>
          <w:p w14:paraId="0FF0EFEA">
            <w:pPr>
              <w:spacing w:line="360" w:lineRule="auto"/>
              <w:jc w:val="center"/>
              <w:rPr>
                <w:rFonts w:hint="eastAsia" w:ascii="宋体" w:hAnsi="宋体" w:eastAsia="宋体" w:cs="宋体"/>
                <w:color w:val="auto"/>
                <w:sz w:val="24"/>
                <w:highlight w:val="none"/>
              </w:rPr>
            </w:pPr>
          </w:p>
        </w:tc>
        <w:tc>
          <w:tcPr>
            <w:tcW w:w="1283" w:type="dxa"/>
            <w:vAlign w:val="center"/>
          </w:tcPr>
          <w:p w14:paraId="15BAC838">
            <w:pPr>
              <w:spacing w:line="360" w:lineRule="auto"/>
              <w:jc w:val="center"/>
              <w:rPr>
                <w:rFonts w:hint="eastAsia" w:ascii="宋体" w:hAnsi="宋体" w:eastAsia="宋体" w:cs="宋体"/>
                <w:color w:val="auto"/>
                <w:sz w:val="24"/>
                <w:highlight w:val="none"/>
              </w:rPr>
            </w:pPr>
          </w:p>
        </w:tc>
        <w:tc>
          <w:tcPr>
            <w:tcW w:w="932" w:type="dxa"/>
            <w:vAlign w:val="center"/>
          </w:tcPr>
          <w:p w14:paraId="1F022429">
            <w:pPr>
              <w:spacing w:line="360" w:lineRule="auto"/>
              <w:jc w:val="center"/>
              <w:rPr>
                <w:rFonts w:hint="eastAsia" w:ascii="宋体" w:hAnsi="宋体" w:eastAsia="宋体" w:cs="宋体"/>
                <w:color w:val="auto"/>
                <w:sz w:val="24"/>
                <w:highlight w:val="none"/>
              </w:rPr>
            </w:pPr>
          </w:p>
        </w:tc>
      </w:tr>
      <w:tr w14:paraId="661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5"/>
            <w:vAlign w:val="center"/>
          </w:tcPr>
          <w:p w14:paraId="764C326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7158" w:type="dxa"/>
            <w:gridSpan w:val="6"/>
            <w:vAlign w:val="center"/>
          </w:tcPr>
          <w:p w14:paraId="5DEC5234">
            <w:pPr>
              <w:spacing w:line="360" w:lineRule="auto"/>
              <w:jc w:val="center"/>
              <w:rPr>
                <w:rFonts w:hint="eastAsia" w:ascii="宋体" w:hAnsi="宋体" w:eastAsia="宋体" w:cs="宋体"/>
                <w:color w:val="auto"/>
                <w:sz w:val="24"/>
                <w:highlight w:val="none"/>
              </w:rPr>
            </w:pPr>
          </w:p>
        </w:tc>
      </w:tr>
      <w:tr w14:paraId="4B71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5"/>
            <w:vAlign w:val="center"/>
          </w:tcPr>
          <w:p w14:paraId="0D6C9F6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7158" w:type="dxa"/>
            <w:gridSpan w:val="6"/>
            <w:vAlign w:val="center"/>
          </w:tcPr>
          <w:p w14:paraId="4EA9A692">
            <w:pPr>
              <w:spacing w:line="360" w:lineRule="auto"/>
              <w:jc w:val="center"/>
              <w:rPr>
                <w:rFonts w:hint="eastAsia" w:ascii="宋体" w:hAnsi="宋体" w:eastAsia="宋体" w:cs="宋体"/>
                <w:color w:val="auto"/>
                <w:sz w:val="24"/>
                <w:highlight w:val="none"/>
              </w:rPr>
            </w:pPr>
          </w:p>
        </w:tc>
      </w:tr>
    </w:tbl>
    <w:p w14:paraId="73972308">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483C8665">
      <w:pPr>
        <w:snapToGrid w:val="0"/>
        <w:spacing w:line="360" w:lineRule="auto"/>
        <w:ind w:firstLine="480" w:firstLineChars="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single"/>
          <w:lang w:val="zh-CN"/>
        </w:rPr>
        <w:t>▲1</w:t>
      </w:r>
      <w:r>
        <w:rPr>
          <w:rFonts w:hint="eastAsia" w:ascii="宋体" w:hAnsi="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lang w:val="zh-CN"/>
        </w:rPr>
        <w:t>不提供此表的报价，视为没有实质性响应采购文件要求。</w:t>
      </w:r>
    </w:p>
    <w:p w14:paraId="5AD0013E">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eastAsia="宋体" w:cs="宋体"/>
          <w:color w:val="auto"/>
          <w:kern w:val="0"/>
          <w:sz w:val="24"/>
          <w:highlight w:val="none"/>
          <w:lang w:val="zh-CN"/>
        </w:rPr>
        <w:t>此表应按项目的明细情况列项填报，在填写时，如上表不适合本项目的实际情况，可在确保投标明细内容完整的情况下，根据上表格式自行划表填写。</w:t>
      </w:r>
    </w:p>
    <w:p w14:paraId="258E558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eastAsia="zh-CN"/>
        </w:rPr>
        <w:t>3.</w:t>
      </w:r>
      <w:r>
        <w:rPr>
          <w:rFonts w:hint="eastAsia" w:ascii="宋体" w:hAnsi="宋体" w:eastAsia="宋体" w:cs="宋体"/>
          <w:color w:val="auto"/>
          <w:kern w:val="0"/>
          <w:sz w:val="24"/>
          <w:highlight w:val="none"/>
          <w:lang w:val="zh-CN"/>
        </w:rPr>
        <w:t>开标时，招标方在电子交易平台公开投标人的报价信息，投标人对报价信息进行确认。投标人对报价信息不予确认的不影响后续评标过程。</w:t>
      </w:r>
    </w:p>
    <w:p w14:paraId="565BBED7">
      <w:pPr>
        <w:snapToGrid w:val="0"/>
        <w:spacing w:line="360" w:lineRule="auto"/>
        <w:ind w:firstLine="480" w:firstLineChars="200"/>
        <w:jc w:val="left"/>
        <w:rPr>
          <w:rFonts w:hint="eastAsia" w:ascii="宋体" w:hAnsi="宋体" w:eastAsia="宋体" w:cs="宋体"/>
          <w:color w:val="auto"/>
          <w:sz w:val="24"/>
          <w:szCs w:val="20"/>
          <w:highlight w:val="none"/>
          <w:u w:val="thick"/>
          <w:lang w:val="zh-CN"/>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lang w:val="zh-CN"/>
        </w:rPr>
        <w:t>本项目为总价合同，</w:t>
      </w:r>
      <w:r>
        <w:rPr>
          <w:rFonts w:hint="eastAsia" w:ascii="宋体" w:hAnsi="宋体" w:eastAsia="宋体" w:cs="宋体"/>
          <w:color w:val="auto"/>
          <w:kern w:val="0"/>
          <w:sz w:val="24"/>
          <w:highlight w:val="none"/>
          <w:lang w:val="zh-CN"/>
        </w:rPr>
        <w:t>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采购内容未包含在《报价明细表》名称栏中，投标人不能作出合理解释的，视为投标文件含有采购人不能接受的附加条件的，投标无效。</w:t>
      </w:r>
    </w:p>
    <w:p w14:paraId="6FAE178B">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eastAsia="zh-CN"/>
        </w:rPr>
        <w:t>5.</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zh-CN"/>
        </w:rPr>
        <w:t>名称、地址和中标金额，主要中标标的</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zh-CN"/>
        </w:rPr>
        <w:t>名称、品牌、规格型号、数量、单价等予以公示。</w:t>
      </w:r>
    </w:p>
    <w:p w14:paraId="705D7296">
      <w:pPr>
        <w:snapToGrid w:val="0"/>
        <w:spacing w:line="360" w:lineRule="auto"/>
        <w:jc w:val="left"/>
        <w:rPr>
          <w:rFonts w:hint="eastAsia" w:ascii="宋体" w:hAnsi="宋体" w:eastAsia="宋体" w:cs="宋体"/>
          <w:color w:val="auto"/>
          <w:kern w:val="0"/>
          <w:sz w:val="24"/>
          <w:highlight w:val="none"/>
          <w:lang w:val="zh-CN"/>
        </w:rPr>
      </w:pPr>
    </w:p>
    <w:p w14:paraId="6A5F61AB">
      <w:pPr>
        <w:autoSpaceDE w:val="0"/>
        <w:autoSpaceDN w:val="0"/>
        <w:spacing w:line="360" w:lineRule="auto"/>
        <w:ind w:right="1120"/>
        <w:jc w:val="left"/>
        <w:rPr>
          <w:rFonts w:hint="eastAsia" w:ascii="宋体" w:hAnsi="宋体" w:eastAsia="宋体" w:cs="宋体"/>
          <w:color w:val="auto"/>
          <w:kern w:val="0"/>
          <w:sz w:val="24"/>
          <w:highlight w:val="none"/>
          <w:lang w:val="zh-CN"/>
        </w:rPr>
      </w:pPr>
    </w:p>
    <w:p w14:paraId="62303530">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3850260A">
      <w:pPr>
        <w:tabs>
          <w:tab w:val="left" w:pos="4860"/>
        </w:tabs>
        <w:spacing w:line="360" w:lineRule="auto"/>
        <w:ind w:right="156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5A58F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3557104D">
      <w:pPr>
        <w:pStyle w:val="3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083" w:right="1440" w:bottom="1083" w:left="1440" w:header="851" w:footer="992" w:gutter="0"/>
          <w:cols w:space="720" w:num="1"/>
          <w:titlePg/>
          <w:docGrid w:linePitch="312" w:charSpace="0"/>
        </w:sectPr>
      </w:pPr>
    </w:p>
    <w:p w14:paraId="11169016">
      <w:pPr>
        <w:spacing w:line="360" w:lineRule="auto"/>
        <w:jc w:val="center"/>
        <w:outlineLvl w:val="1"/>
        <w:rPr>
          <w:rFonts w:hint="eastAsia" w:ascii="宋体" w:hAnsi="宋体" w:eastAsia="宋体" w:cs="宋体"/>
          <w:b/>
          <w:color w:val="auto"/>
          <w:spacing w:val="6"/>
          <w:sz w:val="32"/>
          <w:szCs w:val="32"/>
          <w:highlight w:val="none"/>
        </w:rPr>
      </w:pPr>
      <w:bookmarkStart w:id="520" w:name="_Toc19211"/>
      <w:bookmarkStart w:id="521" w:name="_Toc18597"/>
      <w:r>
        <w:rPr>
          <w:rFonts w:hint="eastAsia" w:ascii="宋体" w:hAnsi="宋体" w:eastAsia="宋体" w:cs="宋体"/>
          <w:b/>
          <w:color w:val="auto"/>
          <w:spacing w:val="6"/>
          <w:sz w:val="32"/>
          <w:szCs w:val="32"/>
          <w:highlight w:val="none"/>
        </w:rPr>
        <w:t>附件</w:t>
      </w:r>
      <w:bookmarkEnd w:id="520"/>
      <w:bookmarkEnd w:id="521"/>
    </w:p>
    <w:p w14:paraId="1BF656A9">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192AB493">
      <w:pPr>
        <w:spacing w:line="360" w:lineRule="auto"/>
        <w:jc w:val="center"/>
        <w:rPr>
          <w:rFonts w:hint="eastAsia" w:ascii="宋体" w:hAnsi="宋体" w:eastAsia="宋体" w:cs="宋体"/>
          <w:b/>
          <w:color w:val="auto"/>
          <w:spacing w:val="6"/>
          <w:sz w:val="32"/>
          <w:szCs w:val="32"/>
          <w:highlight w:val="none"/>
        </w:rPr>
      </w:pPr>
      <w:bookmarkStart w:id="522" w:name="OLE_LINK13"/>
      <w:bookmarkStart w:id="523" w:name="OLE_LINK14"/>
      <w:r>
        <w:rPr>
          <w:rFonts w:hint="eastAsia" w:ascii="宋体" w:hAnsi="宋体" w:eastAsia="宋体" w:cs="宋体"/>
          <w:b/>
          <w:color w:val="auto"/>
          <w:spacing w:val="6"/>
          <w:sz w:val="32"/>
          <w:szCs w:val="32"/>
          <w:highlight w:val="none"/>
        </w:rPr>
        <w:t>残疾人福利性单位声明函</w:t>
      </w:r>
    </w:p>
    <w:bookmarkEnd w:id="522"/>
    <w:bookmarkEnd w:id="523"/>
    <w:p w14:paraId="539A6E90">
      <w:pPr>
        <w:tabs>
          <w:tab w:val="left" w:pos="5502"/>
        </w:tabs>
        <w:spacing w:line="360" w:lineRule="auto"/>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ab/>
      </w:r>
    </w:p>
    <w:p w14:paraId="695C18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553B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9583FE5">
      <w:pPr>
        <w:spacing w:line="360" w:lineRule="auto"/>
        <w:ind w:firstLine="480" w:firstLineChars="200"/>
        <w:rPr>
          <w:rFonts w:hint="eastAsia" w:ascii="宋体" w:hAnsi="宋体" w:eastAsia="宋体" w:cs="宋体"/>
          <w:color w:val="auto"/>
          <w:sz w:val="24"/>
          <w:highlight w:val="none"/>
        </w:rPr>
      </w:pPr>
    </w:p>
    <w:p w14:paraId="41852A57">
      <w:pPr>
        <w:spacing w:line="360" w:lineRule="auto"/>
        <w:ind w:firstLine="480" w:firstLineChars="200"/>
        <w:rPr>
          <w:rFonts w:hint="eastAsia" w:ascii="宋体" w:hAnsi="宋体" w:eastAsia="宋体" w:cs="宋体"/>
          <w:color w:val="auto"/>
          <w:sz w:val="24"/>
          <w:highlight w:val="none"/>
        </w:rPr>
      </w:pPr>
    </w:p>
    <w:p w14:paraId="008B32FE">
      <w:pPr>
        <w:tabs>
          <w:tab w:val="left" w:pos="4860"/>
        </w:tabs>
        <w:spacing w:line="360" w:lineRule="auto"/>
        <w:ind w:right="156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投标人名称（电子签名或公章）</w:t>
      </w:r>
      <w:r>
        <w:rPr>
          <w:rFonts w:hint="eastAsia" w:ascii="宋体" w:hAnsi="宋体" w:eastAsia="宋体" w:cs="宋体"/>
          <w:color w:val="auto"/>
          <w:sz w:val="24"/>
          <w:highlight w:val="none"/>
        </w:rPr>
        <w:t>：</w:t>
      </w:r>
    </w:p>
    <w:p w14:paraId="442DCE36">
      <w:pPr>
        <w:tabs>
          <w:tab w:val="left" w:pos="4860"/>
        </w:tabs>
        <w:spacing w:line="360" w:lineRule="auto"/>
        <w:ind w:right="156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8D3BD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若联合体参加投标的，由联合体牵头单位</w:t>
      </w:r>
      <w:r>
        <w:rPr>
          <w:rFonts w:hint="eastAsia" w:ascii="宋体" w:hAnsi="宋体" w:eastAsia="宋体" w:cs="宋体"/>
          <w:color w:val="auto"/>
          <w:sz w:val="22"/>
          <w:szCs w:val="22"/>
          <w:highlight w:val="none"/>
        </w:rPr>
        <w:t>提供且加盖电子签名或公章）</w:t>
      </w:r>
    </w:p>
    <w:p w14:paraId="2465DB18">
      <w:pPr>
        <w:spacing w:line="360" w:lineRule="auto"/>
        <w:ind w:firstLine="480" w:firstLineChars="200"/>
        <w:rPr>
          <w:rFonts w:hint="eastAsia" w:ascii="宋体" w:hAnsi="宋体" w:eastAsia="宋体" w:cs="宋体"/>
          <w:color w:val="auto"/>
          <w:sz w:val="24"/>
          <w:highlight w:val="none"/>
        </w:rPr>
      </w:pPr>
    </w:p>
    <w:p w14:paraId="3661CBA5">
      <w:pPr>
        <w:spacing w:line="360" w:lineRule="auto"/>
        <w:ind w:firstLine="420" w:firstLineChars="200"/>
        <w:rPr>
          <w:rFonts w:hint="eastAsia" w:ascii="宋体" w:hAnsi="宋体" w:eastAsia="宋体" w:cs="宋体"/>
          <w:color w:val="auto"/>
          <w:highlight w:val="none"/>
        </w:rPr>
      </w:pPr>
    </w:p>
    <w:p w14:paraId="59AF43CF">
      <w:pPr>
        <w:spacing w:line="360" w:lineRule="auto"/>
        <w:ind w:firstLine="420" w:firstLineChars="200"/>
        <w:rPr>
          <w:rFonts w:hint="eastAsia" w:ascii="宋体" w:hAnsi="宋体" w:eastAsia="宋体" w:cs="宋体"/>
          <w:color w:val="auto"/>
          <w:highlight w:val="none"/>
        </w:rPr>
      </w:pPr>
    </w:p>
    <w:p w14:paraId="38B8B9C4">
      <w:pPr>
        <w:spacing w:line="360" w:lineRule="auto"/>
        <w:ind w:firstLine="420" w:firstLineChars="200"/>
        <w:rPr>
          <w:rFonts w:hint="eastAsia" w:ascii="宋体" w:hAnsi="宋体" w:eastAsia="宋体" w:cs="宋体"/>
          <w:color w:val="auto"/>
          <w:highlight w:val="none"/>
        </w:rPr>
      </w:pPr>
    </w:p>
    <w:p w14:paraId="13347CB3">
      <w:pPr>
        <w:spacing w:line="360" w:lineRule="auto"/>
        <w:ind w:firstLine="420" w:firstLineChars="200"/>
        <w:rPr>
          <w:rFonts w:hint="eastAsia" w:ascii="宋体" w:hAnsi="宋体" w:eastAsia="宋体" w:cs="宋体"/>
          <w:color w:val="auto"/>
          <w:highlight w:val="none"/>
        </w:rPr>
      </w:pPr>
    </w:p>
    <w:p w14:paraId="4B72D903">
      <w:pPr>
        <w:spacing w:line="360" w:lineRule="auto"/>
        <w:rPr>
          <w:rFonts w:hint="eastAsia" w:ascii="宋体" w:hAnsi="宋体" w:eastAsia="宋体" w:cs="宋体"/>
          <w:b/>
          <w:color w:val="auto"/>
          <w:sz w:val="24"/>
          <w:highlight w:val="none"/>
        </w:rPr>
      </w:pPr>
    </w:p>
    <w:p w14:paraId="604FE215">
      <w:pPr>
        <w:spacing w:line="360" w:lineRule="auto"/>
        <w:rPr>
          <w:rFonts w:hint="eastAsia" w:ascii="宋体" w:hAnsi="宋体" w:eastAsia="宋体" w:cs="宋体"/>
          <w:b/>
          <w:color w:val="auto"/>
          <w:sz w:val="24"/>
          <w:highlight w:val="none"/>
        </w:rPr>
      </w:pPr>
    </w:p>
    <w:p w14:paraId="1FBC0BDD">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br w:type="page"/>
      </w:r>
      <w:r>
        <w:rPr>
          <w:rFonts w:hint="eastAsia" w:ascii="宋体" w:hAnsi="宋体" w:eastAsia="宋体" w:cs="宋体"/>
          <w:b/>
          <w:color w:val="auto"/>
          <w:spacing w:val="6"/>
          <w:sz w:val="32"/>
          <w:szCs w:val="32"/>
          <w:highlight w:val="none"/>
          <w:lang w:eastAsia="zh-CN"/>
        </w:rPr>
        <w:t>附件2</w:t>
      </w:r>
      <w:r>
        <w:rPr>
          <w:rFonts w:hint="eastAsia" w:ascii="宋体" w:hAnsi="宋体" w:eastAsia="宋体" w:cs="宋体"/>
          <w:b/>
          <w:color w:val="auto"/>
          <w:spacing w:val="6"/>
          <w:sz w:val="32"/>
          <w:szCs w:val="32"/>
          <w:highlight w:val="none"/>
        </w:rPr>
        <w:t>：</w:t>
      </w:r>
      <w:r>
        <w:rPr>
          <w:rFonts w:hint="eastAsia" w:ascii="宋体" w:hAnsi="宋体" w:eastAsia="宋体" w:cs="宋体"/>
          <w:b/>
          <w:bCs/>
          <w:color w:val="auto"/>
          <w:sz w:val="32"/>
          <w:szCs w:val="32"/>
          <w:highlight w:val="none"/>
        </w:rPr>
        <w:t>业务专用章使用说明函</w:t>
      </w:r>
    </w:p>
    <w:p w14:paraId="2BFC4538">
      <w:pPr>
        <w:spacing w:line="360" w:lineRule="auto"/>
        <w:rPr>
          <w:rFonts w:hint="eastAsia" w:ascii="宋体" w:hAnsi="宋体" w:eastAsia="宋体" w:cs="宋体"/>
          <w:color w:val="auto"/>
          <w:sz w:val="24"/>
          <w:highlight w:val="none"/>
          <w:u w:val="single"/>
        </w:rPr>
      </w:pPr>
    </w:p>
    <w:p w14:paraId="641CF5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浙江农林大学、浙江乐诚工程咨询有限公司</w:t>
      </w:r>
    </w:p>
    <w:p w14:paraId="757B19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你方组织的浙江农林大学</w:t>
      </w:r>
      <w:r>
        <w:rPr>
          <w:rFonts w:hint="eastAsia" w:ascii="宋体" w:hAnsi="宋体" w:eastAsia="宋体" w:cs="宋体"/>
          <w:color w:val="auto"/>
          <w:sz w:val="24"/>
          <w:highlight w:val="none"/>
          <w:lang w:eastAsia="zh-CN"/>
        </w:rPr>
        <w:t>细胞房</w:t>
      </w:r>
      <w:r>
        <w:rPr>
          <w:rFonts w:hint="eastAsia" w:ascii="宋体" w:hAnsi="宋体" w:eastAsia="宋体" w:cs="宋体"/>
          <w:color w:val="auto"/>
          <w:sz w:val="24"/>
          <w:highlight w:val="none"/>
        </w:rPr>
        <w:t>项目项目【项目编号：</w:t>
      </w:r>
      <w:r>
        <w:rPr>
          <w:rFonts w:hint="eastAsia" w:ascii="宋体" w:hAnsi="宋体" w:cs="宋体"/>
          <w:color w:val="auto"/>
          <w:sz w:val="24"/>
          <w:highlight w:val="none"/>
          <w:lang w:eastAsia="zh-CN"/>
        </w:rPr>
        <w:t>330000263030040000163-ZJYC2026060(GK)</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02226F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6E157C38">
      <w:pPr>
        <w:spacing w:line="360" w:lineRule="auto"/>
        <w:ind w:firstLine="494"/>
        <w:rPr>
          <w:rFonts w:hint="eastAsia" w:ascii="宋体" w:hAnsi="宋体" w:eastAsia="宋体" w:cs="宋体"/>
          <w:color w:val="auto"/>
          <w:sz w:val="24"/>
          <w:highlight w:val="none"/>
        </w:rPr>
      </w:pPr>
    </w:p>
    <w:p w14:paraId="5CFC2EFB">
      <w:pPr>
        <w:spacing w:line="360" w:lineRule="auto"/>
        <w:ind w:firstLine="494"/>
        <w:rPr>
          <w:rFonts w:hint="eastAsia" w:ascii="宋体" w:hAnsi="宋体" w:eastAsia="宋体" w:cs="宋体"/>
          <w:color w:val="auto"/>
          <w:sz w:val="24"/>
          <w:highlight w:val="none"/>
        </w:rPr>
      </w:pPr>
    </w:p>
    <w:p w14:paraId="0FCA91C8">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06B7382F">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8E02DA7">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1F09EBA4">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026" name="矩形 3"/>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矩形 3"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z/jB2AAAAAoBAAAPAAAAAAAAAAEAIAAAACIAAABkcnMvZG93bnJldi54bWxQSwEC&#10;FAAUAAAACACHTuJA36JxFvQBAAAWBAAADgAAAAAAAAABACAAAAAnAQAAZHJzL2Uyb0RvYy54bWxQ&#10;SwUGAAAAAAYABgBZAQAAjQUAAAAA&#10;">
                <v:fill on="t" focussize="0,0"/>
                <v:stroke color="#000000"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027" name="矩形 4"/>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矩形 4"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dOwWNgAAAAKAQAADwAAAAAAAAABACAAAAAiAAAAZHJzL2Rvd25yZXYueG1sUEsB&#10;AhQAFAAAAAgAh07iQBPX3AX1AQAAFgQAAA4AAAAAAAAAAQAgAAAAJwEAAGRycy9lMm9Eb2MueG1s&#10;UEsFBgAAAAAGAAYAWQEAAI4FAAAAAA==&#10;">
                <v:fill on="t" focussize="0,0"/>
                <v:stroke color="#000000"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29F247E9">
      <w:pPr>
        <w:autoSpaceDE w:val="0"/>
        <w:autoSpaceDN w:val="0"/>
        <w:jc w:val="center"/>
        <w:rPr>
          <w:rFonts w:hint="eastAsia" w:ascii="宋体" w:hAnsi="宋体" w:eastAsia="宋体" w:cs="宋体"/>
          <w:b/>
          <w:color w:val="auto"/>
          <w:spacing w:val="6"/>
          <w:sz w:val="32"/>
          <w:szCs w:val="32"/>
          <w:highlight w:val="none"/>
        </w:rPr>
      </w:pPr>
    </w:p>
    <w:p w14:paraId="5DA2ADE2">
      <w:pPr>
        <w:autoSpaceDE w:val="0"/>
        <w:autoSpaceDN w:val="0"/>
        <w:jc w:val="center"/>
        <w:rPr>
          <w:rFonts w:hint="eastAsia" w:ascii="宋体" w:hAnsi="宋体" w:eastAsia="宋体" w:cs="宋体"/>
          <w:b/>
          <w:color w:val="auto"/>
          <w:spacing w:val="6"/>
          <w:sz w:val="32"/>
          <w:szCs w:val="32"/>
          <w:highlight w:val="none"/>
        </w:rPr>
      </w:pPr>
    </w:p>
    <w:p w14:paraId="21A24575">
      <w:pPr>
        <w:autoSpaceDE w:val="0"/>
        <w:autoSpaceDN w:val="0"/>
        <w:jc w:val="center"/>
        <w:rPr>
          <w:rFonts w:hint="eastAsia" w:ascii="宋体" w:hAnsi="宋体" w:eastAsia="宋体" w:cs="宋体"/>
          <w:b/>
          <w:color w:val="auto"/>
          <w:spacing w:val="6"/>
          <w:sz w:val="32"/>
          <w:szCs w:val="32"/>
          <w:highlight w:val="none"/>
        </w:rPr>
      </w:pPr>
    </w:p>
    <w:p w14:paraId="4C285696">
      <w:pPr>
        <w:autoSpaceDE w:val="0"/>
        <w:autoSpaceDN w:val="0"/>
        <w:jc w:val="center"/>
        <w:rPr>
          <w:rFonts w:hint="eastAsia" w:ascii="宋体" w:hAnsi="宋体" w:eastAsia="宋体" w:cs="宋体"/>
          <w:b/>
          <w:color w:val="auto"/>
          <w:spacing w:val="6"/>
          <w:sz w:val="32"/>
          <w:szCs w:val="32"/>
          <w:highlight w:val="none"/>
        </w:rPr>
      </w:pPr>
    </w:p>
    <w:p w14:paraId="506B8C54">
      <w:pPr>
        <w:autoSpaceDE w:val="0"/>
        <w:autoSpaceDN w:val="0"/>
        <w:jc w:val="center"/>
        <w:rPr>
          <w:rFonts w:hint="eastAsia" w:ascii="宋体" w:hAnsi="宋体" w:eastAsia="宋体" w:cs="宋体"/>
          <w:b/>
          <w:color w:val="auto"/>
          <w:spacing w:val="6"/>
          <w:sz w:val="32"/>
          <w:szCs w:val="32"/>
          <w:highlight w:val="none"/>
        </w:rPr>
      </w:pPr>
    </w:p>
    <w:p w14:paraId="1AEDB5D8">
      <w:pPr>
        <w:autoSpaceDE w:val="0"/>
        <w:autoSpaceDN w:val="0"/>
        <w:jc w:val="center"/>
        <w:rPr>
          <w:rFonts w:hint="eastAsia" w:ascii="宋体" w:hAnsi="宋体" w:eastAsia="宋体" w:cs="宋体"/>
          <w:b/>
          <w:color w:val="auto"/>
          <w:spacing w:val="6"/>
          <w:sz w:val="32"/>
          <w:szCs w:val="32"/>
          <w:highlight w:val="none"/>
        </w:rPr>
      </w:pPr>
    </w:p>
    <w:p w14:paraId="6E3A3EBD">
      <w:pPr>
        <w:autoSpaceDE w:val="0"/>
        <w:autoSpaceDN w:val="0"/>
        <w:jc w:val="center"/>
        <w:rPr>
          <w:rFonts w:hint="eastAsia" w:ascii="宋体" w:hAnsi="宋体" w:eastAsia="宋体" w:cs="宋体"/>
          <w:b/>
          <w:color w:val="auto"/>
          <w:spacing w:val="6"/>
          <w:sz w:val="32"/>
          <w:szCs w:val="32"/>
          <w:highlight w:val="none"/>
        </w:rPr>
      </w:pPr>
    </w:p>
    <w:p w14:paraId="10863561">
      <w:pPr>
        <w:autoSpaceDE w:val="0"/>
        <w:autoSpaceDN w:val="0"/>
        <w:rPr>
          <w:rFonts w:hint="eastAsia" w:ascii="宋体" w:hAnsi="宋体" w:eastAsia="宋体" w:cs="宋体"/>
          <w:b/>
          <w:color w:val="auto"/>
          <w:spacing w:val="6"/>
          <w:sz w:val="32"/>
          <w:szCs w:val="32"/>
          <w:highlight w:val="none"/>
        </w:rPr>
      </w:pPr>
    </w:p>
    <w:p w14:paraId="3297B105">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br w:type="page"/>
      </w:r>
      <w:r>
        <w:rPr>
          <w:rFonts w:hint="eastAsia" w:ascii="宋体" w:hAnsi="宋体" w:eastAsia="宋体" w:cs="宋体"/>
          <w:b/>
          <w:color w:val="auto"/>
          <w:spacing w:val="6"/>
          <w:sz w:val="32"/>
          <w:szCs w:val="32"/>
          <w:highlight w:val="none"/>
          <w:lang w:eastAsia="zh-CN"/>
        </w:rPr>
        <w:t>附件3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sz w:val="32"/>
          <w:szCs w:val="32"/>
          <w:highlight w:val="none"/>
        </w:rPr>
        <w:t>中小企业声明函</w:t>
      </w:r>
    </w:p>
    <w:p w14:paraId="09D62EA6">
      <w:pPr>
        <w:spacing w:line="360" w:lineRule="auto"/>
        <w:jc w:val="center"/>
        <w:rPr>
          <w:rFonts w:hint="eastAsia" w:ascii="宋体" w:hAnsi="宋体" w:eastAsia="宋体" w:cs="宋体"/>
          <w:color w:val="auto"/>
          <w:sz w:val="24"/>
          <w:highlight w:val="none"/>
          <w:u w:val="single"/>
        </w:rPr>
      </w:pPr>
    </w:p>
    <w:p w14:paraId="07C42D1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4FF13E4D">
      <w:pPr>
        <w:pStyle w:val="33"/>
        <w:keepNext w:val="0"/>
        <w:keepLines w:val="0"/>
        <w:pageBreakBefore w:val="0"/>
        <w:widowControl w:val="0"/>
        <w:kinsoku/>
        <w:wordWrap w:val="0"/>
        <w:overflowPunct/>
        <w:topLinePunct w:val="0"/>
        <w:autoSpaceDE/>
        <w:autoSpaceDN/>
        <w:bidi w:val="0"/>
        <w:adjustRightInd w:val="0"/>
        <w:snapToGrid/>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 xml:space="preserve"> 浙江农林大学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单</w:t>
      </w:r>
      <w:r>
        <w:rPr>
          <w:rFonts w:hint="eastAsia" w:ascii="宋体" w:hAnsi="宋体" w:eastAsia="宋体" w:cs="宋体"/>
          <w:color w:val="auto"/>
          <w:sz w:val="24"/>
          <w:szCs w:val="24"/>
          <w:highlight w:val="none"/>
          <w:u w:val="single"/>
          <w:lang w:eastAsia="zh-CN"/>
        </w:rPr>
        <w:t>位名称）</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val="en-US" w:eastAsia="zh-CN"/>
        </w:rPr>
        <w:t>细胞房（项目名称）</w:t>
      </w:r>
      <w:r>
        <w:rPr>
          <w:rFonts w:hint="eastAsia" w:ascii="宋体" w:hAnsi="宋体" w:eastAsia="宋体" w:cs="宋体"/>
          <w:color w:val="auto"/>
          <w:sz w:val="24"/>
          <w:highlight w:val="none"/>
          <w:lang w:eastAsia="zh-CN"/>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24"/>
          <w:szCs w:val="24"/>
          <w:highlight w:val="none"/>
          <w:lang w:eastAsia="zh-CN"/>
        </w:rPr>
        <w:t>：</w:t>
      </w:r>
    </w:p>
    <w:p w14:paraId="1F6EBB79">
      <w:pPr>
        <w:pStyle w:val="33"/>
        <w:keepNext w:val="0"/>
        <w:keepLines w:val="0"/>
        <w:pageBreakBefore w:val="0"/>
        <w:widowControl w:val="0"/>
        <w:numPr>
          <w:ilvl w:val="0"/>
          <w:numId w:val="14"/>
        </w:numPr>
        <w:tabs>
          <w:tab w:val="left" w:pos="879"/>
        </w:tabs>
        <w:kinsoku/>
        <w:wordWrap w:val="0"/>
        <w:overflowPunct/>
        <w:topLinePunct w:val="0"/>
        <w:autoSpaceDE/>
        <w:autoSpaceDN/>
        <w:bidi w:val="0"/>
        <w:adjustRightInd w:val="0"/>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浙江农林大学教8地下室7个细胞房</w:t>
      </w:r>
      <w:r>
        <w:rPr>
          <w:rFonts w:hint="eastAsia" w:ascii="宋体" w:hAnsi="宋体" w:eastAsia="宋体" w:cs="宋体"/>
          <w:color w:val="auto"/>
          <w:sz w:val="24"/>
          <w:szCs w:val="24"/>
          <w:highlight w:val="none"/>
          <w:u w:val="single"/>
          <w:lang w:eastAsia="zh-CN"/>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属于</w:t>
      </w:r>
      <w:r>
        <w:rPr>
          <w:rFonts w:hint="eastAsia" w:ascii="宋体" w:hAnsi="宋体" w:eastAsia="宋体" w:cs="宋体"/>
          <w:color w:val="auto"/>
          <w:sz w:val="24"/>
          <w:highlight w:val="none"/>
          <w:u w:val="single"/>
          <w:lang w:val="en-US" w:eastAsia="zh-CN"/>
        </w:rPr>
        <w:t>工业</w:t>
      </w:r>
      <w:r>
        <w:rPr>
          <w:rFonts w:hint="eastAsia" w:ascii="宋体" w:hAnsi="宋体" w:eastAsia="宋体" w:cs="宋体"/>
          <w:color w:val="auto"/>
          <w:sz w:val="24"/>
          <w:highlight w:val="none"/>
          <w:u w:val="single"/>
          <w:lang w:eastAsia="zh-CN"/>
        </w:rPr>
        <w:t>（采购文件中明确的所属行业）</w:t>
      </w:r>
      <w:r>
        <w:rPr>
          <w:rFonts w:hint="eastAsia" w:ascii="宋体" w:hAnsi="宋体" w:eastAsia="宋体" w:cs="宋体"/>
          <w:color w:val="auto"/>
          <w:sz w:val="24"/>
          <w:highlight w:val="none"/>
          <w:lang w:eastAsia="zh-CN"/>
        </w:rPr>
        <w:t>行业 ；制造商为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（企业名称）</w:t>
      </w:r>
      <w:r>
        <w:rPr>
          <w:rFonts w:hint="eastAsia" w:ascii="宋体" w:hAnsi="宋体" w:eastAsia="宋体" w:cs="宋体"/>
          <w:color w:val="auto"/>
          <w:sz w:val="24"/>
          <w:highlight w:val="none"/>
          <w:lang w:eastAsia="zh-CN"/>
        </w:rPr>
        <w:t xml:space="preserve"> ，从业人员</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人，营业收入为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万元，资产总额为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万元，属于</w:t>
      </w:r>
      <w:r>
        <w:rPr>
          <w:rFonts w:hint="eastAsia" w:ascii="宋体" w:hAnsi="宋体" w:eastAsia="宋体" w:cs="宋体"/>
          <w:color w:val="auto"/>
          <w:sz w:val="24"/>
          <w:highlight w:val="none"/>
          <w:u w:val="single"/>
          <w:lang w:eastAsia="zh-CN"/>
        </w:rPr>
        <w:t xml:space="preserve">   （中型企业、小型企业、微型企业）</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szCs w:val="24"/>
          <w:highlight w:val="none"/>
          <w:lang w:eastAsia="zh-CN"/>
        </w:rPr>
        <w:t>；</w:t>
      </w:r>
    </w:p>
    <w:p w14:paraId="23FF3C8C">
      <w:pPr>
        <w:pStyle w:val="33"/>
        <w:keepNext w:val="0"/>
        <w:keepLines w:val="0"/>
        <w:pageBreakBefore w:val="0"/>
        <w:widowControl w:val="0"/>
        <w:numPr>
          <w:ilvl w:val="0"/>
          <w:numId w:val="14"/>
        </w:numPr>
        <w:tabs>
          <w:tab w:val="left" w:pos="879"/>
        </w:tabs>
        <w:kinsoku/>
        <w:wordWrap w:val="0"/>
        <w:overflowPunct/>
        <w:topLinePunct w:val="0"/>
        <w:autoSpaceDE/>
        <w:autoSpaceDN/>
        <w:bidi w:val="0"/>
        <w:adjustRightInd w:val="0"/>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属于</w:t>
      </w:r>
      <w:r>
        <w:rPr>
          <w:rFonts w:hint="eastAsia" w:ascii="宋体" w:hAnsi="宋体" w:eastAsia="宋体" w:cs="宋体"/>
          <w:color w:val="auto"/>
          <w:sz w:val="24"/>
          <w:highlight w:val="none"/>
          <w:u w:val="single"/>
          <w:lang w:val="en-US" w:eastAsia="zh-CN"/>
        </w:rPr>
        <w:t>工业</w:t>
      </w:r>
      <w:r>
        <w:rPr>
          <w:rFonts w:hint="eastAsia" w:ascii="宋体" w:hAnsi="宋体" w:eastAsia="宋体" w:cs="宋体"/>
          <w:color w:val="auto"/>
          <w:sz w:val="24"/>
          <w:highlight w:val="none"/>
          <w:u w:val="single"/>
          <w:lang w:eastAsia="zh-CN"/>
        </w:rPr>
        <w:t>（采购文件中明确的所属行业）</w:t>
      </w:r>
      <w:r>
        <w:rPr>
          <w:rFonts w:hint="eastAsia" w:ascii="宋体" w:hAnsi="宋体" w:eastAsia="宋体" w:cs="宋体"/>
          <w:color w:val="auto"/>
          <w:sz w:val="24"/>
          <w:highlight w:val="none"/>
          <w:lang w:eastAsia="zh-CN"/>
        </w:rPr>
        <w:t>行业 ；制造商为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（企业名称）</w:t>
      </w:r>
      <w:r>
        <w:rPr>
          <w:rFonts w:hint="eastAsia" w:ascii="宋体" w:hAnsi="宋体" w:eastAsia="宋体" w:cs="宋体"/>
          <w:color w:val="auto"/>
          <w:sz w:val="24"/>
          <w:highlight w:val="none"/>
          <w:lang w:eastAsia="zh-CN"/>
        </w:rPr>
        <w:t xml:space="preserve"> ，从业人员</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人，营业收入为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万元，资产总额为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万元，属于</w:t>
      </w:r>
      <w:r>
        <w:rPr>
          <w:rFonts w:hint="eastAsia" w:ascii="宋体" w:hAnsi="宋体" w:eastAsia="宋体" w:cs="宋体"/>
          <w:color w:val="auto"/>
          <w:sz w:val="24"/>
          <w:highlight w:val="none"/>
          <w:u w:val="single"/>
          <w:lang w:eastAsia="zh-CN"/>
        </w:rPr>
        <w:t xml:space="preserve">   （中型企业、小型企业、微型企业）</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szCs w:val="24"/>
          <w:highlight w:val="none"/>
          <w:lang w:eastAsia="zh-CN"/>
        </w:rPr>
        <w:t>；</w:t>
      </w:r>
    </w:p>
    <w:p w14:paraId="0D0C7407">
      <w:pPr>
        <w:pStyle w:val="33"/>
        <w:numPr>
          <w:ilvl w:val="0"/>
          <w:numId w:val="14"/>
        </w:numPr>
        <w:tabs>
          <w:tab w:val="left" w:pos="879"/>
        </w:tabs>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0F17D5C">
      <w:pPr>
        <w:pStyle w:val="33"/>
        <w:tabs>
          <w:tab w:val="left" w:leader="dot" w:pos="-4890"/>
        </w:tabs>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7ECC762F">
      <w:pPr>
        <w:pStyle w:val="33"/>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EE71ECC">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投标人名称(电子签名或公章)：</w:t>
      </w:r>
    </w:p>
    <w:p w14:paraId="5506E538">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840931B">
      <w:pPr>
        <w:numPr>
          <w:ilvl w:val="0"/>
          <w:numId w:val="15"/>
        </w:num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填写要求：</w:t>
      </w:r>
    </w:p>
    <w:p w14:paraId="4F074B88">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①从业人员、营业收入、资产总额填报上一年度数据，无上一年度数据的新成立企业可不填报。（无上一年度数据的新成立企业需提供相关证明材料）</w:t>
      </w:r>
    </w:p>
    <w:p w14:paraId="117C94A0">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②“标的名称”、“采购文件中明确的所属行业”依据采购文件第二部分投标人须知前附表“标的名称及其对应的中小企业划分标准所属行业”填写，不得缺漏。</w:t>
      </w:r>
    </w:p>
    <w:p w14:paraId="6B3AE557">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企业类型（包括新成立企业），按照《中小企业划型标准规定》（工信部联企业〔2011〕300号）规定和【招标文件】中明确的所属行业及划分标准，选择“中型企业、小型企业、微型企业”其中之一填写，不得缺漏。</w:t>
      </w:r>
    </w:p>
    <w:p w14:paraId="6B42B69D">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④制造商，货物由中小企业制造，即货物由中小企业生产且使用该中小企业商号或者注册商标；</w:t>
      </w:r>
    </w:p>
    <w:p w14:paraId="0612CFA8">
      <w:pPr>
        <w:numPr>
          <w:ilvl w:val="0"/>
          <w:numId w:val="15"/>
        </w:num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投标人为联合体形式的，投标人名称填写所有联合体成员名称，盖章可只需联合体牵头人盖章。</w:t>
      </w:r>
    </w:p>
    <w:p w14:paraId="49B3BF67">
      <w:pPr>
        <w:snapToGrid w:val="0"/>
        <w:spacing w:after="50"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color w:val="auto"/>
          <w:sz w:val="22"/>
          <w:szCs w:val="22"/>
          <w:highlight w:val="none"/>
        </w:rPr>
        <w:br w:type="page"/>
      </w:r>
      <w:r>
        <w:rPr>
          <w:rFonts w:hint="eastAsia" w:ascii="宋体" w:hAnsi="宋体" w:eastAsia="宋体" w:cs="宋体"/>
          <w:b/>
          <w:color w:val="auto"/>
          <w:spacing w:val="6"/>
          <w:sz w:val="32"/>
          <w:szCs w:val="32"/>
          <w:highlight w:val="none"/>
          <w:lang w:eastAsia="zh-CN"/>
        </w:rPr>
        <w:t>附件4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1647F651">
      <w:pPr>
        <w:snapToGrid w:val="0"/>
        <w:spacing w:before="50" w:after="5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（以联合体形式投标的，提供联合协议；本项目不接受联合体投标或者投标人不以联合体形式投标的，则不需要提供）</w:t>
      </w:r>
    </w:p>
    <w:p w14:paraId="4B7D9016">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（联合体所有成员名称）</w:t>
      </w:r>
      <w:r>
        <w:rPr>
          <w:rFonts w:hint="eastAsia" w:ascii="宋体" w:hAnsi="宋体" w:eastAsia="宋体" w:cs="宋体"/>
          <w:color w:val="auto"/>
          <w:kern w:val="0"/>
          <w:sz w:val="22"/>
          <w:szCs w:val="22"/>
          <w:highlight w:val="none"/>
        </w:rPr>
        <w:t>自愿</w:t>
      </w:r>
      <w:r>
        <w:rPr>
          <w:rFonts w:hint="eastAsia" w:ascii="宋体" w:hAnsi="宋体" w:eastAsia="宋体" w:cs="宋体"/>
          <w:color w:val="auto"/>
          <w:kern w:val="0"/>
          <w:sz w:val="22"/>
          <w:szCs w:val="22"/>
          <w:highlight w:val="none"/>
          <w:lang w:val="zh-CN"/>
        </w:rPr>
        <w:t>组成一个联合体，以一个投标人的身份</w:t>
      </w:r>
      <w:r>
        <w:rPr>
          <w:rFonts w:hint="eastAsia" w:ascii="宋体" w:hAnsi="宋体" w:eastAsia="宋体" w:cs="宋体"/>
          <w:color w:val="auto"/>
          <w:kern w:val="0"/>
          <w:sz w:val="22"/>
          <w:szCs w:val="22"/>
          <w:highlight w:val="none"/>
        </w:rPr>
        <w:t>参加</w:t>
      </w:r>
      <w:r>
        <w:rPr>
          <w:rFonts w:hint="eastAsia" w:ascii="宋体" w:hAnsi="宋体" w:eastAsia="宋体" w:cs="宋体"/>
          <w:color w:val="auto"/>
          <w:sz w:val="22"/>
          <w:szCs w:val="22"/>
          <w:highlight w:val="none"/>
        </w:rPr>
        <w:t>（项目名称）（项目编号）</w:t>
      </w:r>
      <w:r>
        <w:rPr>
          <w:rFonts w:hint="eastAsia" w:ascii="宋体" w:hAnsi="宋体" w:eastAsia="宋体" w:cs="宋体"/>
          <w:color w:val="auto"/>
          <w:kern w:val="0"/>
          <w:sz w:val="22"/>
          <w:szCs w:val="22"/>
          <w:highlight w:val="none"/>
          <w:lang w:val="zh-CN"/>
        </w:rPr>
        <w:t xml:space="preserve">投标。 </w:t>
      </w:r>
    </w:p>
    <w:p w14:paraId="30DB22E1">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一、各方一致决定，</w:t>
      </w:r>
      <w:r>
        <w:rPr>
          <w:rFonts w:hint="eastAsia" w:ascii="宋体" w:hAnsi="宋体" w:eastAsia="宋体" w:cs="宋体"/>
          <w:color w:val="auto"/>
          <w:kern w:val="0"/>
          <w:sz w:val="22"/>
          <w:szCs w:val="22"/>
          <w:highlight w:val="none"/>
          <w:u w:val="single"/>
        </w:rPr>
        <w:t>（某联合体成员名称）</w:t>
      </w:r>
      <w:r>
        <w:rPr>
          <w:rFonts w:hint="eastAsia" w:ascii="宋体" w:hAnsi="宋体" w:eastAsia="宋体" w:cs="宋体"/>
          <w:color w:val="auto"/>
          <w:kern w:val="0"/>
          <w:sz w:val="22"/>
          <w:szCs w:val="22"/>
          <w:highlight w:val="none"/>
        </w:rPr>
        <w:t>为联合体</w:t>
      </w:r>
      <w:r>
        <w:rPr>
          <w:rFonts w:hint="eastAsia" w:ascii="宋体" w:hAnsi="宋体" w:eastAsia="宋体" w:cs="宋体"/>
          <w:color w:val="auto"/>
          <w:kern w:val="0"/>
          <w:sz w:val="22"/>
          <w:szCs w:val="22"/>
          <w:highlight w:val="none"/>
          <w:lang w:val="zh-CN"/>
        </w:rPr>
        <w:t>牵头人</w:t>
      </w:r>
      <w:r>
        <w:rPr>
          <w:rFonts w:hint="eastAsia" w:ascii="宋体" w:hAnsi="宋体" w:eastAsia="宋体" w:cs="宋体"/>
          <w:color w:val="auto"/>
          <w:sz w:val="22"/>
          <w:szCs w:val="22"/>
          <w:highlight w:val="none"/>
        </w:rPr>
        <w:t>，代表所有联合体成员负责投标和合同实施阶段的主办、协调工作</w:t>
      </w:r>
      <w:r>
        <w:rPr>
          <w:rFonts w:hint="eastAsia" w:ascii="宋体" w:hAnsi="宋体" w:eastAsia="宋体" w:cs="宋体"/>
          <w:color w:val="auto"/>
          <w:kern w:val="0"/>
          <w:sz w:val="22"/>
          <w:szCs w:val="22"/>
          <w:highlight w:val="none"/>
          <w:lang w:val="zh-CN"/>
        </w:rPr>
        <w:t>。</w:t>
      </w:r>
    </w:p>
    <w:p w14:paraId="0695A850">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二、</w:t>
      </w:r>
      <w:r>
        <w:rPr>
          <w:rFonts w:hint="eastAsia" w:ascii="宋体" w:hAnsi="宋体" w:eastAsia="宋体" w:cs="宋体"/>
          <w:color w:val="auto"/>
          <w:sz w:val="22"/>
          <w:szCs w:val="22"/>
          <w:highlight w:val="none"/>
        </w:rPr>
        <w:t>所有联合体成员各方签署授权书，授权书载明的</w:t>
      </w:r>
      <w:r>
        <w:rPr>
          <w:rFonts w:hint="eastAsia" w:ascii="宋体" w:hAnsi="宋体" w:eastAsia="宋体" w:cs="宋体"/>
          <w:color w:val="auto"/>
          <w:kern w:val="0"/>
          <w:sz w:val="22"/>
          <w:szCs w:val="22"/>
          <w:highlight w:val="none"/>
          <w:lang w:val="zh-CN"/>
        </w:rPr>
        <w:t>授权代表根据招标文件规定及投标内容而对采购人、采购代理机构所作的任何合法承诺，包括书面澄清及</w:t>
      </w:r>
      <w:r>
        <w:rPr>
          <w:rFonts w:hint="eastAsia" w:ascii="宋体" w:hAnsi="宋体" w:eastAsia="宋体" w:cs="宋体"/>
          <w:color w:val="auto"/>
          <w:kern w:val="0"/>
          <w:sz w:val="22"/>
          <w:szCs w:val="22"/>
          <w:highlight w:val="none"/>
        </w:rPr>
        <w:t>响应</w:t>
      </w:r>
      <w:r>
        <w:rPr>
          <w:rFonts w:hint="eastAsia" w:ascii="宋体" w:hAnsi="宋体" w:eastAsia="宋体" w:cs="宋体"/>
          <w:color w:val="auto"/>
          <w:kern w:val="0"/>
          <w:sz w:val="22"/>
          <w:szCs w:val="22"/>
          <w:highlight w:val="none"/>
          <w:lang w:val="zh-CN"/>
        </w:rPr>
        <w:t>等均对联合投标各方产生约束力。</w:t>
      </w:r>
    </w:p>
    <w:p w14:paraId="7C3DB9A5">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三、本次联合投标中，分工如下：</w:t>
      </w:r>
    </w:p>
    <w:p w14:paraId="28D33EFF">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（联合体成员1）</w:t>
      </w:r>
      <w:r>
        <w:rPr>
          <w:rFonts w:hint="eastAsia" w:ascii="宋体" w:hAnsi="宋体" w:eastAsia="宋体" w:cs="宋体"/>
          <w:color w:val="auto"/>
          <w:kern w:val="0"/>
          <w:sz w:val="22"/>
          <w:szCs w:val="22"/>
          <w:highlight w:val="none"/>
          <w:lang w:val="zh-CN"/>
        </w:rPr>
        <w:t>承担的工作和义务为：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lang w:val="zh-CN"/>
        </w:rPr>
        <w:t>；</w:t>
      </w:r>
    </w:p>
    <w:p w14:paraId="2106329F">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（联合体成员2）</w:t>
      </w:r>
      <w:r>
        <w:rPr>
          <w:rFonts w:hint="eastAsia" w:ascii="宋体" w:hAnsi="宋体" w:eastAsia="宋体" w:cs="宋体"/>
          <w:color w:val="auto"/>
          <w:kern w:val="0"/>
          <w:sz w:val="22"/>
          <w:szCs w:val="22"/>
          <w:highlight w:val="none"/>
          <w:lang w:val="zh-CN"/>
        </w:rPr>
        <w:t>承担的工作和义务为：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lang w:val="zh-CN"/>
        </w:rPr>
        <w:t>；</w:t>
      </w:r>
    </w:p>
    <w:p w14:paraId="4D7080BB">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p>
    <w:p w14:paraId="52059DA5">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四、联合体成员中小企业合同份额。</w:t>
      </w:r>
    </w:p>
    <w:p w14:paraId="3238A69E">
      <w:pPr>
        <w:snapToGrid w:val="0"/>
        <w:spacing w:line="360" w:lineRule="exact"/>
        <w:ind w:firstLine="576"/>
        <w:rPr>
          <w:rFonts w:hint="eastAsia" w:ascii="宋体" w:hAnsi="宋体" w:eastAsia="宋体" w:cs="宋体"/>
          <w:b/>
          <w:color w:val="auto"/>
          <w:kern w:val="0"/>
          <w:sz w:val="22"/>
          <w:szCs w:val="22"/>
          <w:highlight w:val="none"/>
          <w:lang w:val="zh-CN"/>
        </w:rPr>
      </w:pPr>
      <w:r>
        <w:rPr>
          <w:rFonts w:hint="eastAsia" w:ascii="宋体" w:hAnsi="宋体" w:cs="宋体"/>
          <w:color w:val="auto"/>
          <w:kern w:val="0"/>
          <w:sz w:val="22"/>
          <w:szCs w:val="22"/>
          <w:highlight w:val="none"/>
          <w:lang w:val="zh-CN"/>
        </w:rPr>
        <w:t>1.</w:t>
      </w:r>
      <w:r>
        <w:rPr>
          <w:rFonts w:hint="eastAsia" w:ascii="宋体" w:hAnsi="宋体" w:eastAsia="宋体" w:cs="宋体"/>
          <w:color w:val="auto"/>
          <w:kern w:val="0"/>
          <w:sz w:val="22"/>
          <w:szCs w:val="22"/>
          <w:highlight w:val="none"/>
          <w:u w:val="single"/>
        </w:rPr>
        <w:t>（</w:t>
      </w:r>
      <w:bookmarkStart w:id="524" w:name="_Hlk101131882"/>
      <w:r>
        <w:rPr>
          <w:rFonts w:hint="eastAsia" w:ascii="宋体" w:hAnsi="宋体" w:eastAsia="宋体" w:cs="宋体"/>
          <w:color w:val="auto"/>
          <w:kern w:val="0"/>
          <w:sz w:val="22"/>
          <w:szCs w:val="22"/>
          <w:highlight w:val="none"/>
          <w:u w:val="single"/>
        </w:rPr>
        <w:t>联合体成员X，……</w:t>
      </w:r>
      <w:bookmarkEnd w:id="524"/>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提供的货物由小微企业制造，其合同份额占到合同总金额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%以上</w:t>
      </w:r>
      <w:r>
        <w:rPr>
          <w:rFonts w:hint="eastAsia" w:ascii="宋体" w:hAnsi="宋体" w:eastAsia="宋体" w:cs="宋体"/>
          <w:color w:val="auto"/>
          <w:kern w:val="0"/>
          <w:sz w:val="22"/>
          <w:szCs w:val="22"/>
          <w:highlight w:val="none"/>
          <w:lang w:val="zh-CN"/>
        </w:rPr>
        <w:t>。</w:t>
      </w:r>
      <w:r>
        <w:rPr>
          <w:rFonts w:hint="eastAsia" w:ascii="宋体" w:hAnsi="宋体" w:eastAsia="宋体" w:cs="宋体"/>
          <w:b/>
          <w:color w:val="auto"/>
          <w:kern w:val="0"/>
          <w:sz w:val="22"/>
          <w:szCs w:val="22"/>
          <w:highlight w:val="none"/>
          <w:lang w:val="zh-CN"/>
        </w:rPr>
        <w:t>（</w:t>
      </w:r>
      <w:bookmarkStart w:id="525" w:name="_Hlk101133598"/>
      <w:r>
        <w:rPr>
          <w:rFonts w:hint="eastAsia" w:ascii="宋体" w:hAnsi="宋体" w:eastAsia="宋体" w:cs="宋体"/>
          <w:b/>
          <w:color w:val="auto"/>
          <w:kern w:val="0"/>
          <w:sz w:val="22"/>
          <w:szCs w:val="22"/>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2"/>
          <w:szCs w:val="22"/>
          <w:highlight w:val="none"/>
        </w:rPr>
        <w:t>拟享受以上价格扣除政策的，填写有关内容。</w:t>
      </w:r>
      <w:bookmarkEnd w:id="525"/>
      <w:r>
        <w:rPr>
          <w:rFonts w:hint="eastAsia" w:ascii="宋体" w:hAnsi="宋体" w:eastAsia="宋体" w:cs="宋体"/>
          <w:b/>
          <w:color w:val="auto"/>
          <w:kern w:val="0"/>
          <w:sz w:val="22"/>
          <w:szCs w:val="22"/>
          <w:highlight w:val="none"/>
          <w:lang w:val="zh-CN"/>
        </w:rPr>
        <w:t>）</w:t>
      </w:r>
    </w:p>
    <w:p w14:paraId="11446146">
      <w:pPr>
        <w:spacing w:line="360" w:lineRule="exact"/>
        <w:ind w:firstLine="440" w:firstLineChars="200"/>
        <w:rPr>
          <w:rFonts w:hint="eastAsia" w:ascii="宋体" w:hAnsi="宋体" w:eastAsia="宋体" w:cs="宋体"/>
          <w:b/>
          <w:bCs/>
          <w:color w:val="auto"/>
          <w:kern w:val="0"/>
          <w:sz w:val="22"/>
          <w:szCs w:val="22"/>
          <w:highlight w:val="none"/>
          <w:lang w:val="zh-CN"/>
        </w:rPr>
      </w:pPr>
      <w:r>
        <w:rPr>
          <w:rFonts w:hint="eastAsia" w:ascii="宋体" w:hAnsi="宋体" w:cs="宋体"/>
          <w:color w:val="auto"/>
          <w:sz w:val="22"/>
          <w:szCs w:val="22"/>
          <w:highlight w:val="none"/>
          <w:lang w:eastAsia="zh-CN"/>
        </w:rPr>
        <w:t>2.</w:t>
      </w:r>
      <w:bookmarkStart w:id="526" w:name="_Hlk101133173"/>
      <w:r>
        <w:rPr>
          <w:rFonts w:hint="eastAsia" w:ascii="宋体" w:hAnsi="宋体" w:eastAsia="宋体" w:cs="宋体"/>
          <w:color w:val="auto"/>
          <w:sz w:val="22"/>
          <w:szCs w:val="22"/>
          <w:highlight w:val="none"/>
        </w:rPr>
        <w:t>中小企业合同金额达到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%，小微企业合同金额达到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lang w:val="zh-CN"/>
        </w:rPr>
        <w:t>（</w:t>
      </w:r>
      <w:r>
        <w:rPr>
          <w:rFonts w:hint="eastAsia" w:ascii="宋体" w:hAnsi="宋体" w:eastAsia="宋体" w:cs="宋体"/>
          <w:b/>
          <w:bCs/>
          <w:color w:val="auto"/>
          <w:sz w:val="22"/>
          <w:szCs w:val="22"/>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2"/>
          <w:szCs w:val="22"/>
          <w:highlight w:val="none"/>
          <w:lang w:val="zh-CN"/>
        </w:rPr>
        <w:t>）</w:t>
      </w:r>
      <w:bookmarkEnd w:id="526"/>
    </w:p>
    <w:p w14:paraId="3A0A2558">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五、如果中标，</w:t>
      </w:r>
      <w:r>
        <w:rPr>
          <w:rFonts w:hint="eastAsia" w:ascii="宋体" w:hAnsi="宋体" w:eastAsia="宋体" w:cs="宋体"/>
          <w:color w:val="auto"/>
          <w:sz w:val="22"/>
          <w:szCs w:val="22"/>
          <w:highlight w:val="none"/>
        </w:rPr>
        <w:t>联合体各成员方共同与采购人签订合同，并就采购合同约定的事项对采购人承担连带责任。</w:t>
      </w:r>
    </w:p>
    <w:p w14:paraId="3BF4E33D">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六、有关本次联合投标的其他事宜：</w:t>
      </w:r>
    </w:p>
    <w:p w14:paraId="40611692">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zh-CN"/>
        </w:rPr>
        <w:t>1.</w:t>
      </w:r>
      <w:r>
        <w:rPr>
          <w:rFonts w:hint="eastAsia" w:ascii="宋体" w:hAnsi="宋体" w:eastAsia="宋体" w:cs="宋体"/>
          <w:color w:val="auto"/>
          <w:kern w:val="0"/>
          <w:sz w:val="22"/>
          <w:szCs w:val="22"/>
          <w:highlight w:val="none"/>
          <w:lang w:val="zh-CN"/>
        </w:rPr>
        <w:t>联合体各方不再单独参加或者与其他供应商另外组成联合体参加同一合同项下的政府采购活动。</w:t>
      </w:r>
    </w:p>
    <w:p w14:paraId="31DA929F">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zh-CN"/>
        </w:rPr>
        <w:t>2.</w:t>
      </w:r>
      <w:r>
        <w:rPr>
          <w:rFonts w:hint="eastAsia" w:ascii="宋体" w:hAnsi="宋体" w:eastAsia="宋体" w:cs="宋体"/>
          <w:color w:val="auto"/>
          <w:kern w:val="0"/>
          <w:sz w:val="22"/>
          <w:szCs w:val="22"/>
          <w:highlight w:val="none"/>
          <w:lang w:val="zh-CN"/>
        </w:rPr>
        <w:t>联合体中有同类资质的各方按照联合体分工承担相同工作的，按照资质等级较低的供应商确定资质等级。</w:t>
      </w:r>
    </w:p>
    <w:p w14:paraId="4BEC3A46">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zh-CN"/>
        </w:rPr>
        <w:t>3.</w:t>
      </w:r>
      <w:r>
        <w:rPr>
          <w:rFonts w:hint="eastAsia" w:ascii="宋体" w:hAnsi="宋体" w:eastAsia="宋体" w:cs="宋体"/>
          <w:color w:val="auto"/>
          <w:kern w:val="0"/>
          <w:sz w:val="22"/>
          <w:szCs w:val="22"/>
          <w:highlight w:val="none"/>
          <w:lang w:val="zh-CN"/>
        </w:rPr>
        <w:t>本协议提交采购人、采购代理机构后，联合体各方不得以任何形式对上述内容进行修改或撤销。</w:t>
      </w:r>
    </w:p>
    <w:p w14:paraId="764A64A2">
      <w:pPr>
        <w:snapToGrid w:val="0"/>
        <w:spacing w:line="360" w:lineRule="exact"/>
        <w:ind w:firstLine="576"/>
        <w:rPr>
          <w:rFonts w:hint="eastAsia" w:ascii="宋体" w:hAnsi="宋体" w:eastAsia="宋体" w:cs="宋体"/>
          <w:color w:val="auto"/>
          <w:sz w:val="22"/>
          <w:highlight w:val="none"/>
        </w:rPr>
      </w:pPr>
      <w:r>
        <w:rPr>
          <w:rFonts w:hint="eastAsia" w:ascii="宋体" w:hAnsi="宋体" w:cs="宋体"/>
          <w:color w:val="auto"/>
          <w:kern w:val="0"/>
          <w:sz w:val="22"/>
          <w:highlight w:val="none"/>
          <w:lang w:eastAsia="zh-CN"/>
        </w:rPr>
        <w:t>4.</w:t>
      </w:r>
      <w:r>
        <w:rPr>
          <w:rFonts w:hint="eastAsia" w:ascii="宋体" w:hAnsi="宋体" w:eastAsia="宋体" w:cs="宋体"/>
          <w:color w:val="auto"/>
          <w:sz w:val="22"/>
          <w:highlight w:val="none"/>
          <w:u w:val="single"/>
        </w:rPr>
        <w:t xml:space="preserve">      </w:t>
      </w:r>
      <w:r>
        <w:rPr>
          <w:rFonts w:hint="eastAsia" w:ascii="宋体" w:hAnsi="宋体" w:eastAsia="宋体" w:cs="宋体"/>
          <w:color w:val="auto"/>
          <w:kern w:val="0"/>
          <w:sz w:val="22"/>
          <w:highlight w:val="none"/>
          <w:u w:val="single"/>
          <w:lang w:val="zh-CN"/>
        </w:rPr>
        <w:t>（联</w:t>
      </w:r>
      <w:r>
        <w:rPr>
          <w:rFonts w:hint="eastAsia" w:ascii="宋体" w:hAnsi="宋体" w:eastAsia="宋体" w:cs="宋体"/>
          <w:color w:val="auto"/>
          <w:sz w:val="22"/>
          <w:highlight w:val="none"/>
          <w:u w:val="single"/>
        </w:rPr>
        <w:t>合体牵头人</w:t>
      </w:r>
      <w:r>
        <w:rPr>
          <w:rFonts w:hint="eastAsia" w:ascii="宋体" w:hAnsi="宋体" w:eastAsia="宋体" w:cs="宋体"/>
          <w:color w:val="auto"/>
          <w:kern w:val="0"/>
          <w:sz w:val="22"/>
          <w:highlight w:val="none"/>
          <w:u w:val="single"/>
          <w:lang w:val="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kern w:val="0"/>
          <w:sz w:val="22"/>
          <w:highlight w:val="none"/>
          <w:u w:val="single"/>
        </w:rPr>
        <w:t>联合体的成员方</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rPr>
        <w:t xml:space="preserve">        （填写是或者否）</w:t>
      </w:r>
      <w:r>
        <w:rPr>
          <w:rFonts w:hint="eastAsia" w:ascii="宋体" w:hAnsi="宋体" w:eastAsia="宋体" w:cs="宋体"/>
          <w:color w:val="auto"/>
          <w:sz w:val="22"/>
          <w:highlight w:val="none"/>
        </w:rPr>
        <w:t>存在直接控股、管理关系。</w:t>
      </w:r>
    </w:p>
    <w:p w14:paraId="72C62712">
      <w:pPr>
        <w:snapToGrid w:val="0"/>
        <w:spacing w:line="360" w:lineRule="exact"/>
        <w:ind w:firstLine="4620" w:firstLineChars="21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联合体成员名称(电子签名或公章)：</w:t>
      </w:r>
    </w:p>
    <w:p w14:paraId="29C4725F">
      <w:pPr>
        <w:snapToGrid w:val="0"/>
        <w:spacing w:line="360" w:lineRule="exact"/>
        <w:ind w:firstLine="4620" w:firstLineChars="21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联合体成员名称(电子签名或公章)：</w:t>
      </w:r>
    </w:p>
    <w:p w14:paraId="65D30AC3">
      <w:pP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 xml:space="preserve">                   ……</w:t>
      </w:r>
    </w:p>
    <w:p w14:paraId="5C6D2527">
      <w:pPr>
        <w:snapToGrid w:val="0"/>
        <w:spacing w:line="360" w:lineRule="exact"/>
        <w:jc w:val="righ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日期：  年  月   日</w:t>
      </w:r>
    </w:p>
    <w:p w14:paraId="4EDC2098">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注：按本格式和要求提供。</w:t>
      </w:r>
    </w:p>
    <w:p w14:paraId="0DEBC8B2">
      <w:pPr>
        <w:widowControl/>
        <w:spacing w:after="50" w:line="360" w:lineRule="exact"/>
        <w:ind w:firstLine="161" w:firstLineChars="5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spacing w:val="6"/>
          <w:sz w:val="32"/>
          <w:szCs w:val="32"/>
          <w:highlight w:val="none"/>
          <w:lang w:eastAsia="zh-CN"/>
        </w:rPr>
        <w:t>附件5</w:t>
      </w:r>
      <w:r>
        <w:rPr>
          <w:rFonts w:hint="eastAsia" w:ascii="宋体" w:hAnsi="宋体" w:eastAsia="宋体" w:cs="宋体"/>
          <w:b/>
          <w:color w:val="auto"/>
          <w:spacing w:val="6"/>
          <w:sz w:val="32"/>
          <w:szCs w:val="32"/>
          <w:highlight w:val="none"/>
        </w:rPr>
        <w:t>：分包</w:t>
      </w:r>
      <w:r>
        <w:rPr>
          <w:rFonts w:hint="eastAsia" w:ascii="宋体" w:hAnsi="宋体" w:eastAsia="宋体" w:cs="宋体"/>
          <w:b/>
          <w:color w:val="auto"/>
          <w:spacing w:val="6"/>
          <w:sz w:val="32"/>
          <w:szCs w:val="32"/>
          <w:highlight w:val="none"/>
          <w:lang w:val="zh-CN"/>
        </w:rPr>
        <w:t>协议</w:t>
      </w:r>
    </w:p>
    <w:p w14:paraId="5C3C105B">
      <w:pPr>
        <w:widowControl/>
        <w:spacing w:line="360" w:lineRule="exact"/>
        <w:ind w:firstLine="110" w:firstLine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2"/>
          <w:szCs w:val="22"/>
          <w:highlight w:val="none"/>
        </w:rPr>
        <w:t>）</w:t>
      </w:r>
    </w:p>
    <w:p w14:paraId="64D17FD8">
      <w:pPr>
        <w:snapToGrid w:val="0"/>
        <w:spacing w:line="360" w:lineRule="exact"/>
        <w:ind w:firstLine="576"/>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lang w:val="zh-CN"/>
        </w:rPr>
        <w:t>若成为</w:t>
      </w:r>
      <w:r>
        <w:rPr>
          <w:rFonts w:hint="eastAsia" w:ascii="宋体" w:hAnsi="宋体" w:eastAsia="宋体" w:cs="宋体"/>
          <w:color w:val="auto"/>
          <w:sz w:val="22"/>
          <w:szCs w:val="22"/>
          <w:highlight w:val="none"/>
        </w:rPr>
        <w:t>（项目名称）（项目编号）</w:t>
      </w:r>
      <w:r>
        <w:rPr>
          <w:rFonts w:hint="eastAsia" w:ascii="宋体" w:hAnsi="宋体" w:eastAsia="宋体" w:cs="宋体"/>
          <w:color w:val="auto"/>
          <w:kern w:val="0"/>
          <w:sz w:val="22"/>
          <w:szCs w:val="22"/>
          <w:highlight w:val="none"/>
          <w:lang w:val="zh-CN"/>
        </w:rPr>
        <w:t>的中标供应商，将依法采取分包方式履行合同。</w:t>
      </w: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rPr>
        <w:t>与</w:t>
      </w:r>
      <w:r>
        <w:rPr>
          <w:rFonts w:hint="eastAsia" w:ascii="宋体" w:hAnsi="宋体" w:eastAsia="宋体" w:cs="宋体"/>
          <w:color w:val="auto"/>
          <w:kern w:val="0"/>
          <w:sz w:val="22"/>
          <w:szCs w:val="22"/>
          <w:highlight w:val="none"/>
          <w:u w:val="single"/>
        </w:rPr>
        <w:t>（所有分包供应商名称）</w:t>
      </w:r>
      <w:r>
        <w:rPr>
          <w:rFonts w:hint="eastAsia" w:ascii="宋体" w:hAnsi="宋体" w:eastAsia="宋体" w:cs="宋体"/>
          <w:color w:val="auto"/>
          <w:kern w:val="0"/>
          <w:sz w:val="22"/>
          <w:szCs w:val="22"/>
          <w:highlight w:val="none"/>
        </w:rPr>
        <w:t>达成分包意向协议</w:t>
      </w:r>
      <w:r>
        <w:rPr>
          <w:rFonts w:hint="eastAsia" w:ascii="宋体" w:hAnsi="宋体" w:eastAsia="宋体" w:cs="宋体"/>
          <w:color w:val="auto"/>
          <w:kern w:val="0"/>
          <w:sz w:val="22"/>
          <w:szCs w:val="22"/>
          <w:highlight w:val="none"/>
          <w:lang w:val="zh-CN"/>
        </w:rPr>
        <w:t xml:space="preserve">。 </w:t>
      </w:r>
    </w:p>
    <w:p w14:paraId="5ABD6F45">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一、分包标的及数量</w:t>
      </w:r>
    </w:p>
    <w:p w14:paraId="1EB4D840">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u w:val="single"/>
        </w:rPr>
        <w:t>（投标人名称）</w:t>
      </w:r>
      <w:r>
        <w:rPr>
          <w:rFonts w:hint="eastAsia" w:ascii="宋体" w:hAnsi="宋体" w:eastAsia="宋体" w:cs="宋体"/>
          <w:color w:val="auto"/>
          <w:kern w:val="0"/>
          <w:sz w:val="22"/>
          <w:szCs w:val="22"/>
          <w:highlight w:val="none"/>
          <w:lang w:val="zh-CN"/>
        </w:rPr>
        <w:t>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u w:val="single"/>
        </w:rPr>
        <w:t xml:space="preserve"> XX工作内容   </w:t>
      </w:r>
      <w:r>
        <w:rPr>
          <w:rFonts w:hint="eastAsia" w:ascii="宋体" w:hAnsi="宋体" w:eastAsia="宋体" w:cs="宋体"/>
          <w:color w:val="auto"/>
          <w:sz w:val="22"/>
          <w:szCs w:val="22"/>
          <w:highlight w:val="none"/>
        </w:rPr>
        <w:t>分包给</w:t>
      </w:r>
      <w:r>
        <w:rPr>
          <w:rFonts w:hint="eastAsia" w:ascii="宋体" w:hAnsi="宋体" w:eastAsia="宋体" w:cs="宋体"/>
          <w:color w:val="auto"/>
          <w:kern w:val="0"/>
          <w:sz w:val="22"/>
          <w:szCs w:val="22"/>
          <w:highlight w:val="none"/>
          <w:u w:val="single"/>
        </w:rPr>
        <w:t>（分包供应商1名称）</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u w:val="single"/>
        </w:rPr>
        <w:t>（分包供应商2名称），</w:t>
      </w:r>
      <w:r>
        <w:rPr>
          <w:rFonts w:hint="eastAsia" w:ascii="宋体" w:hAnsi="宋体" w:eastAsia="宋体" w:cs="宋体"/>
          <w:color w:val="auto"/>
          <w:kern w:val="0"/>
          <w:sz w:val="22"/>
          <w:szCs w:val="22"/>
          <w:highlight w:val="none"/>
          <w:lang w:val="zh-CN"/>
        </w:rPr>
        <w:t>具备承</w:t>
      </w:r>
      <w:r>
        <w:rPr>
          <w:rFonts w:hint="eastAsia" w:ascii="宋体" w:hAnsi="宋体" w:eastAsia="宋体" w:cs="宋体"/>
          <w:color w:val="auto"/>
          <w:kern w:val="0"/>
          <w:sz w:val="22"/>
          <w:szCs w:val="22"/>
          <w:highlight w:val="none"/>
        </w:rPr>
        <w:t>担</w:t>
      </w:r>
      <w:r>
        <w:rPr>
          <w:rFonts w:hint="eastAsia" w:ascii="宋体" w:hAnsi="宋体" w:eastAsia="宋体" w:cs="宋体"/>
          <w:color w:val="auto"/>
          <w:kern w:val="0"/>
          <w:sz w:val="22"/>
          <w:szCs w:val="22"/>
          <w:highlight w:val="none"/>
          <w:u w:val="single"/>
          <w:lang w:val="zh-CN"/>
        </w:rPr>
        <w:t>XX工作内容</w:t>
      </w:r>
      <w:r>
        <w:rPr>
          <w:rFonts w:hint="eastAsia" w:ascii="宋体" w:hAnsi="宋体" w:eastAsia="宋体" w:cs="宋体"/>
          <w:color w:val="auto"/>
          <w:kern w:val="0"/>
          <w:sz w:val="22"/>
          <w:szCs w:val="22"/>
          <w:highlight w:val="none"/>
          <w:lang w:val="zh-CN"/>
        </w:rPr>
        <w:t>相应资质条件且不得再次分包；</w:t>
      </w:r>
    </w:p>
    <w:p w14:paraId="4804BC8E">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二、分包供应商中小企业合同份额</w:t>
      </w:r>
    </w:p>
    <w:p w14:paraId="49884ED2">
      <w:pPr>
        <w:snapToGrid w:val="0"/>
        <w:spacing w:line="360" w:lineRule="exact"/>
        <w:ind w:firstLine="440" w:firstLineChars="200"/>
        <w:rPr>
          <w:rFonts w:hint="eastAsia" w:ascii="宋体" w:hAnsi="宋体" w:eastAsia="宋体" w:cs="宋体"/>
          <w:b/>
          <w:color w:val="auto"/>
          <w:kern w:val="0"/>
          <w:sz w:val="22"/>
          <w:szCs w:val="22"/>
          <w:highlight w:val="none"/>
          <w:lang w:val="zh-CN"/>
        </w:rPr>
      </w:pPr>
      <w:r>
        <w:rPr>
          <w:rFonts w:hint="eastAsia" w:ascii="宋体" w:hAnsi="宋体" w:cs="宋体"/>
          <w:color w:val="auto"/>
          <w:kern w:val="0"/>
          <w:sz w:val="22"/>
          <w:szCs w:val="22"/>
          <w:highlight w:val="none"/>
          <w:lang w:eastAsia="zh-CN"/>
        </w:rPr>
        <w:t>1.</w:t>
      </w:r>
      <w:r>
        <w:rPr>
          <w:rFonts w:hint="eastAsia" w:ascii="宋体" w:hAnsi="宋体" w:eastAsia="宋体" w:cs="宋体"/>
          <w:color w:val="auto"/>
          <w:kern w:val="0"/>
          <w:sz w:val="22"/>
          <w:szCs w:val="22"/>
          <w:highlight w:val="none"/>
          <w:u w:val="single"/>
        </w:rPr>
        <w:t>（分包供应商X，……）提供的货物全部由小微企业制造，</w:t>
      </w:r>
      <w:r>
        <w:rPr>
          <w:rFonts w:hint="eastAsia" w:ascii="宋体" w:hAnsi="宋体" w:eastAsia="宋体" w:cs="宋体"/>
          <w:color w:val="auto"/>
          <w:kern w:val="0"/>
          <w:sz w:val="22"/>
          <w:szCs w:val="22"/>
          <w:highlight w:val="none"/>
        </w:rPr>
        <w:t>其合同份额占到合同总金额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%以上</w:t>
      </w:r>
      <w:r>
        <w:rPr>
          <w:rFonts w:hint="eastAsia" w:ascii="宋体" w:hAnsi="宋体" w:eastAsia="宋体" w:cs="宋体"/>
          <w:color w:val="auto"/>
          <w:sz w:val="22"/>
          <w:szCs w:val="22"/>
          <w:highlight w:val="none"/>
        </w:rPr>
        <w:t>。</w:t>
      </w:r>
      <w:r>
        <w:rPr>
          <w:rFonts w:hint="eastAsia" w:ascii="宋体" w:hAnsi="宋体" w:eastAsia="宋体" w:cs="宋体"/>
          <w:b/>
          <w:color w:val="auto"/>
          <w:kern w:val="0"/>
          <w:sz w:val="22"/>
          <w:szCs w:val="22"/>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2"/>
          <w:szCs w:val="22"/>
          <w:highlight w:val="none"/>
        </w:rPr>
        <w:t>拟享受以上价格扣除政策的，填写有关内容。</w:t>
      </w:r>
      <w:r>
        <w:rPr>
          <w:rFonts w:hint="eastAsia" w:ascii="宋体" w:hAnsi="宋体" w:eastAsia="宋体" w:cs="宋体"/>
          <w:b/>
          <w:color w:val="auto"/>
          <w:kern w:val="0"/>
          <w:sz w:val="22"/>
          <w:szCs w:val="22"/>
          <w:highlight w:val="none"/>
          <w:lang w:val="zh-CN"/>
        </w:rPr>
        <w:t>）</w:t>
      </w:r>
    </w:p>
    <w:p w14:paraId="22D399FE">
      <w:pPr>
        <w:spacing w:line="360" w:lineRule="exact"/>
        <w:ind w:firstLine="440" w:firstLineChars="200"/>
        <w:rPr>
          <w:rFonts w:hint="eastAsia" w:ascii="宋体" w:hAnsi="宋体" w:eastAsia="宋体" w:cs="宋体"/>
          <w:b/>
          <w:bCs/>
          <w:color w:val="auto"/>
          <w:kern w:val="0"/>
          <w:sz w:val="22"/>
          <w:szCs w:val="22"/>
          <w:highlight w:val="none"/>
          <w:lang w:val="zh-CN"/>
        </w:rPr>
      </w:pPr>
      <w:r>
        <w:rPr>
          <w:rFonts w:hint="eastAsia" w:ascii="宋体" w:hAnsi="宋体" w:cs="宋体"/>
          <w:color w:val="auto"/>
          <w:sz w:val="22"/>
          <w:szCs w:val="22"/>
          <w:highlight w:val="none"/>
          <w:lang w:eastAsia="zh-CN"/>
        </w:rPr>
        <w:t>2.</w:t>
      </w:r>
      <w:r>
        <w:rPr>
          <w:rFonts w:hint="eastAsia" w:ascii="宋体" w:hAnsi="宋体" w:eastAsia="宋体" w:cs="宋体"/>
          <w:color w:val="auto"/>
          <w:sz w:val="22"/>
          <w:szCs w:val="22"/>
          <w:highlight w:val="none"/>
        </w:rPr>
        <w:t>中小企业合同金额达到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%，小微企业合同金额达到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lang w:val="zh-CN"/>
        </w:rPr>
        <w:t>（</w:t>
      </w:r>
      <w:r>
        <w:rPr>
          <w:rFonts w:hint="eastAsia" w:ascii="宋体" w:hAnsi="宋体" w:eastAsia="宋体" w:cs="宋体"/>
          <w:b/>
          <w:bCs/>
          <w:color w:val="auto"/>
          <w:sz w:val="22"/>
          <w:szCs w:val="22"/>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2"/>
          <w:szCs w:val="22"/>
          <w:highlight w:val="none"/>
          <w:lang w:val="zh-CN"/>
        </w:rPr>
        <w:t>分包意向协议</w:t>
      </w:r>
      <w:r>
        <w:rPr>
          <w:rFonts w:hint="eastAsia" w:ascii="宋体" w:hAnsi="宋体" w:eastAsia="宋体" w:cs="宋体"/>
          <w:b/>
          <w:bCs/>
          <w:color w:val="auto"/>
          <w:sz w:val="22"/>
          <w:szCs w:val="22"/>
          <w:highlight w:val="none"/>
        </w:rPr>
        <w:t>中中小企业、小微企业合同金额应当达到的比例要求填写。</w:t>
      </w:r>
      <w:r>
        <w:rPr>
          <w:rFonts w:hint="eastAsia" w:ascii="宋体" w:hAnsi="宋体" w:eastAsia="宋体" w:cs="宋体"/>
          <w:b/>
          <w:bCs/>
          <w:color w:val="auto"/>
          <w:kern w:val="0"/>
          <w:sz w:val="22"/>
          <w:szCs w:val="22"/>
          <w:highlight w:val="none"/>
          <w:lang w:val="zh-CN"/>
        </w:rPr>
        <w:t>）</w:t>
      </w:r>
    </w:p>
    <w:p w14:paraId="7F2002DC">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三、分包工作履行期限、地点、方式</w:t>
      </w:r>
    </w:p>
    <w:p w14:paraId="0D4BA7E1">
      <w:pPr>
        <w:snapToGrid w:val="0"/>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 xml:space="preserve">                                                                                  </w:t>
      </w:r>
    </w:p>
    <w:p w14:paraId="0681AACA">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四、质量</w:t>
      </w:r>
    </w:p>
    <w:p w14:paraId="36A46571">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u w:val="single"/>
        </w:rPr>
        <w:t xml:space="preserve">                                                                                       </w:t>
      </w:r>
    </w:p>
    <w:p w14:paraId="01CB4FCC">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五、价款或者报酬</w:t>
      </w:r>
    </w:p>
    <w:p w14:paraId="6F981432">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u w:val="single"/>
        </w:rPr>
        <w:t xml:space="preserve">                                                                                     </w:t>
      </w:r>
    </w:p>
    <w:p w14:paraId="392CDB74">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六、违约责任</w:t>
      </w:r>
    </w:p>
    <w:p w14:paraId="23F22B90">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u w:val="single"/>
        </w:rPr>
        <w:t xml:space="preserve">                                                                                     </w:t>
      </w:r>
    </w:p>
    <w:p w14:paraId="78E6AF8A">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七、争议解决的办法</w:t>
      </w:r>
    </w:p>
    <w:p w14:paraId="25622062">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u w:val="single"/>
        </w:rPr>
        <w:t xml:space="preserve">                                                                                  </w:t>
      </w:r>
    </w:p>
    <w:p w14:paraId="382CBC39">
      <w:pPr>
        <w:numPr>
          <w:ilvl w:val="0"/>
          <w:numId w:val="16"/>
        </w:num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其他</w:t>
      </w:r>
    </w:p>
    <w:p w14:paraId="3E7BA5EC">
      <w:pPr>
        <w:snapToGrid w:val="0"/>
        <w:spacing w:line="3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中小企业合同金额达到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%，小微企业合同金额达到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zh-CN"/>
        </w:rPr>
        <w:t>。</w:t>
      </w:r>
    </w:p>
    <w:p w14:paraId="27BAE75A">
      <w:pPr>
        <w:snapToGrid w:val="0"/>
        <w:spacing w:line="360" w:lineRule="exact"/>
        <w:ind w:firstLine="440" w:firstLineChars="200"/>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highlight w:val="none"/>
        </w:rPr>
        <w:t>九、</w:t>
      </w:r>
      <w:r>
        <w:rPr>
          <w:rFonts w:hint="eastAsia" w:ascii="宋体" w:hAnsi="宋体" w:eastAsia="宋体" w:cs="宋体"/>
          <w:color w:val="auto"/>
          <w:sz w:val="22"/>
          <w:highlight w:val="none"/>
          <w:u w:val="single"/>
        </w:rPr>
        <w:t xml:space="preserve">      </w:t>
      </w:r>
      <w:r>
        <w:rPr>
          <w:rFonts w:hint="eastAsia" w:ascii="宋体" w:hAnsi="宋体" w:eastAsia="宋体" w:cs="宋体"/>
          <w:color w:val="auto"/>
          <w:kern w:val="0"/>
          <w:sz w:val="22"/>
          <w:highlight w:val="none"/>
          <w:u w:val="single"/>
          <w:lang w:val="zh-CN"/>
        </w:rPr>
        <w:t>（</w:t>
      </w:r>
      <w:r>
        <w:rPr>
          <w:rFonts w:hint="eastAsia" w:ascii="宋体" w:hAnsi="宋体" w:eastAsia="宋体" w:cs="宋体"/>
          <w:color w:val="auto"/>
          <w:kern w:val="0"/>
          <w:sz w:val="22"/>
          <w:highlight w:val="none"/>
          <w:u w:val="single"/>
        </w:rPr>
        <w:t>投标人</w:t>
      </w:r>
      <w:r>
        <w:rPr>
          <w:rFonts w:hint="eastAsia" w:ascii="宋体" w:hAnsi="宋体" w:eastAsia="宋体" w:cs="宋体"/>
          <w:color w:val="auto"/>
          <w:kern w:val="0"/>
          <w:sz w:val="22"/>
          <w:highlight w:val="none"/>
          <w:u w:val="single"/>
          <w:lang w:val="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kern w:val="0"/>
          <w:sz w:val="22"/>
          <w:highlight w:val="none"/>
          <w:u w:val="single"/>
        </w:rPr>
        <w:t>分包企业</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rPr>
        <w:t xml:space="preserve">        （填写是或者否）</w:t>
      </w:r>
      <w:r>
        <w:rPr>
          <w:rFonts w:hint="eastAsia" w:ascii="宋体" w:hAnsi="宋体" w:eastAsia="宋体" w:cs="宋体"/>
          <w:color w:val="auto"/>
          <w:sz w:val="22"/>
          <w:highlight w:val="none"/>
        </w:rPr>
        <w:t>存在直接控股、管理关系。</w:t>
      </w:r>
    </w:p>
    <w:p w14:paraId="6C2EDF14">
      <w:pPr>
        <w:snapToGrid w:val="0"/>
        <w:spacing w:line="360" w:lineRule="exact"/>
        <w:ind w:firstLine="440" w:firstLineChars="200"/>
        <w:jc w:val="righ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投标人名称(电子签名或公章)：</w:t>
      </w:r>
    </w:p>
    <w:p w14:paraId="15E62FF6">
      <w:pPr>
        <w:snapToGrid w:val="0"/>
        <w:spacing w:line="360" w:lineRule="exact"/>
        <w:ind w:left="4620" w:hanging="4620" w:hangingChars="2100"/>
        <w:jc w:val="righ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分包供应商名称(电子签名或公章)：</w:t>
      </w:r>
    </w:p>
    <w:p w14:paraId="74202715">
      <w:pPr>
        <w:snapToGrid w:val="0"/>
        <w:spacing w:line="360" w:lineRule="exact"/>
        <w:ind w:firstLine="5280" w:firstLineChars="24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w:t>
      </w:r>
    </w:p>
    <w:p w14:paraId="36926CAF">
      <w:pPr>
        <w:snapToGrid w:val="0"/>
        <w:spacing w:line="360" w:lineRule="exact"/>
        <w:ind w:left="4620" w:hanging="4620" w:hangingChars="21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 xml:space="preserve">                                        日期：  年  月   日</w:t>
      </w:r>
    </w:p>
    <w:p w14:paraId="7B7F9949">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注：按本格式和要求提供。</w:t>
      </w:r>
    </w:p>
    <w:p w14:paraId="611323C2">
      <w:pPr>
        <w:spacing w:line="520" w:lineRule="exact"/>
        <w:rPr>
          <w:rFonts w:hint="eastAsia" w:ascii="宋体" w:hAnsi="宋体" w:eastAsia="宋体" w:cs="宋体"/>
          <w:b/>
          <w:color w:val="auto"/>
          <w:spacing w:val="6"/>
          <w:sz w:val="32"/>
          <w:szCs w:val="3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pacing w:val="6"/>
          <w:sz w:val="32"/>
          <w:szCs w:val="32"/>
          <w:highlight w:val="none"/>
        </w:rPr>
        <w:t>附件6：</w:t>
      </w:r>
    </w:p>
    <w:p w14:paraId="4450719F">
      <w:pPr>
        <w:spacing w:line="5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关于符合本国产品标准的声明函</w:t>
      </w:r>
    </w:p>
    <w:p w14:paraId="104B270A">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514A58D2">
      <w:pPr>
        <w:spacing w:line="5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379F8FAF">
      <w:pPr>
        <w:spacing w:line="520" w:lineRule="exact"/>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lang w:bidi="ar"/>
        </w:rPr>
        <w:t>1.</w:t>
      </w:r>
      <w:r>
        <w:rPr>
          <w:rFonts w:hint="eastAsia" w:ascii="宋体" w:hAnsi="宋体" w:eastAsia="宋体" w:cs="宋体"/>
          <w:i w:val="0"/>
          <w:iCs w:val="0"/>
          <w:color w:val="auto"/>
          <w:sz w:val="22"/>
          <w:szCs w:val="22"/>
          <w:highlight w:val="none"/>
          <w:u w:val="single"/>
          <w:lang w:bidi="ar"/>
        </w:rPr>
        <w:t>（产品名称1）</w:t>
      </w:r>
      <w:r>
        <w:rPr>
          <w:rFonts w:hint="eastAsia" w:ascii="宋体" w:hAnsi="宋体" w:eastAsia="宋体" w:cs="宋体"/>
          <w:i w:val="0"/>
          <w:iCs w:val="0"/>
          <w:color w:val="auto"/>
          <w:sz w:val="22"/>
          <w:szCs w:val="22"/>
          <w:highlight w:val="none"/>
          <w:vertAlign w:val="superscript"/>
          <w:lang w:bidi="ar"/>
        </w:rPr>
        <w:t>1</w:t>
      </w:r>
      <w:r>
        <w:rPr>
          <w:rFonts w:hint="eastAsia" w:ascii="宋体" w:hAnsi="宋体" w:eastAsia="宋体" w:cs="宋体"/>
          <w:i w:val="0"/>
          <w:iCs w:val="0"/>
          <w:color w:val="auto"/>
          <w:sz w:val="22"/>
          <w:szCs w:val="22"/>
          <w:highlight w:val="none"/>
          <w:lang w:bidi="ar"/>
        </w:rPr>
        <w:t>，生产厂为</w:t>
      </w:r>
      <w:r>
        <w:rPr>
          <w:rFonts w:hint="eastAsia" w:ascii="宋体" w:hAnsi="宋体" w:eastAsia="宋体" w:cs="宋体"/>
          <w:i w:val="0"/>
          <w:iCs w:val="0"/>
          <w:color w:val="auto"/>
          <w:sz w:val="22"/>
          <w:szCs w:val="22"/>
          <w:highlight w:val="none"/>
          <w:u w:val="single"/>
          <w:lang w:bidi="ar"/>
        </w:rPr>
        <w:t>（厂名）</w:t>
      </w:r>
      <w:r>
        <w:rPr>
          <w:rFonts w:hint="eastAsia" w:ascii="宋体" w:hAnsi="宋体" w:eastAsia="宋体" w:cs="宋体"/>
          <w:i w:val="0"/>
          <w:iCs w:val="0"/>
          <w:color w:val="auto"/>
          <w:sz w:val="22"/>
          <w:szCs w:val="22"/>
          <w:highlight w:val="none"/>
          <w:vertAlign w:val="superscript"/>
          <w:lang w:bidi="ar"/>
        </w:rPr>
        <w:t>2</w:t>
      </w:r>
      <w:r>
        <w:rPr>
          <w:rFonts w:hint="eastAsia" w:ascii="宋体" w:hAnsi="宋体" w:eastAsia="宋体" w:cs="宋体"/>
          <w:i w:val="0"/>
          <w:iCs w:val="0"/>
          <w:color w:val="auto"/>
          <w:sz w:val="22"/>
          <w:szCs w:val="22"/>
          <w:highlight w:val="none"/>
          <w:lang w:bidi="ar"/>
        </w:rPr>
        <w:t>，厂址为</w:t>
      </w:r>
      <w:r>
        <w:rPr>
          <w:rFonts w:hint="eastAsia" w:ascii="宋体" w:hAnsi="宋体" w:eastAsia="宋体" w:cs="宋体"/>
          <w:i w:val="0"/>
          <w:iCs w:val="0"/>
          <w:color w:val="auto"/>
          <w:sz w:val="22"/>
          <w:szCs w:val="22"/>
          <w:highlight w:val="none"/>
          <w:u w:val="single"/>
          <w:lang w:bidi="ar"/>
        </w:rPr>
        <w:t>（生产厂址）</w:t>
      </w:r>
      <w:r>
        <w:rPr>
          <w:rFonts w:hint="eastAsia" w:ascii="宋体" w:hAnsi="宋体" w:eastAsia="宋体" w:cs="宋体"/>
          <w:i w:val="0"/>
          <w:iCs w:val="0"/>
          <w:color w:val="auto"/>
          <w:sz w:val="22"/>
          <w:szCs w:val="22"/>
          <w:highlight w:val="none"/>
          <w:lang w:bidi="ar"/>
        </w:rPr>
        <w:t>。</w:t>
      </w:r>
      <w:r>
        <w:rPr>
          <w:rFonts w:hint="eastAsia" w:ascii="宋体" w:hAnsi="宋体" w:eastAsia="宋体" w:cs="宋体"/>
          <w:i w:val="0"/>
          <w:iCs w:val="0"/>
          <w:color w:val="auto"/>
          <w:sz w:val="22"/>
          <w:szCs w:val="22"/>
          <w:highlight w:val="none"/>
          <w:u w:val="single"/>
          <w:lang w:bidi="ar"/>
        </w:rPr>
        <w:t>（产品名称1）</w:t>
      </w:r>
      <w:r>
        <w:rPr>
          <w:rFonts w:hint="eastAsia" w:ascii="宋体" w:hAnsi="宋体" w:eastAsia="宋体" w:cs="宋体"/>
          <w:i w:val="0"/>
          <w:iCs w:val="0"/>
          <w:color w:val="auto"/>
          <w:sz w:val="22"/>
          <w:szCs w:val="22"/>
          <w:highlight w:val="none"/>
          <w:lang w:bidi="ar"/>
        </w:rPr>
        <w:t>的中国境内生产的组件成本占比≥</w:t>
      </w:r>
      <w:r>
        <w:rPr>
          <w:rFonts w:hint="eastAsia" w:ascii="宋体" w:hAnsi="宋体" w:eastAsia="宋体" w:cs="宋体"/>
          <w:i w:val="0"/>
          <w:iCs w:val="0"/>
          <w:color w:val="auto"/>
          <w:sz w:val="22"/>
          <w:szCs w:val="22"/>
          <w:highlight w:val="none"/>
          <w:u w:val="single"/>
          <w:lang w:bidi="ar"/>
        </w:rPr>
        <w:t>（规定比例）</w:t>
      </w:r>
      <w:r>
        <w:rPr>
          <w:rFonts w:hint="eastAsia" w:ascii="宋体" w:hAnsi="宋体" w:eastAsia="宋体" w:cs="宋体"/>
          <w:i w:val="0"/>
          <w:iCs w:val="0"/>
          <w:color w:val="auto"/>
          <w:sz w:val="22"/>
          <w:szCs w:val="22"/>
          <w:highlight w:val="none"/>
          <w:vertAlign w:val="superscript"/>
          <w:lang w:bidi="ar"/>
        </w:rPr>
        <w:t>3</w:t>
      </w:r>
      <w:r>
        <w:rPr>
          <w:rFonts w:hint="eastAsia" w:ascii="宋体" w:hAnsi="宋体" w:eastAsia="宋体" w:cs="宋体"/>
          <w:i w:val="0"/>
          <w:iCs w:val="0"/>
          <w:color w:val="auto"/>
          <w:sz w:val="22"/>
          <w:szCs w:val="22"/>
          <w:highlight w:val="none"/>
          <w:lang w:bidi="ar"/>
        </w:rPr>
        <w:t>。</w:t>
      </w:r>
      <w:r>
        <w:rPr>
          <w:rFonts w:hint="eastAsia" w:ascii="宋体" w:hAnsi="宋体" w:eastAsia="宋体" w:cs="宋体"/>
          <w:i w:val="0"/>
          <w:iCs w:val="0"/>
          <w:color w:val="auto"/>
          <w:sz w:val="22"/>
          <w:szCs w:val="22"/>
          <w:highlight w:val="none"/>
          <w:u w:val="single"/>
          <w:lang w:bidi="ar"/>
        </w:rPr>
        <w:t>（产品名称1）</w:t>
      </w:r>
      <w:r>
        <w:rPr>
          <w:rFonts w:hint="eastAsia" w:ascii="宋体" w:hAnsi="宋体" w:eastAsia="宋体" w:cs="宋体"/>
          <w:i w:val="0"/>
          <w:iCs w:val="0"/>
          <w:color w:val="auto"/>
          <w:sz w:val="22"/>
          <w:szCs w:val="22"/>
          <w:highlight w:val="none"/>
          <w:lang w:bidi="ar"/>
        </w:rPr>
        <w:t>的</w:t>
      </w:r>
      <w:r>
        <w:rPr>
          <w:rFonts w:hint="eastAsia" w:ascii="宋体" w:hAnsi="宋体" w:eastAsia="宋体" w:cs="宋体"/>
          <w:i w:val="0"/>
          <w:iCs w:val="0"/>
          <w:color w:val="auto"/>
          <w:sz w:val="22"/>
          <w:szCs w:val="22"/>
          <w:highlight w:val="none"/>
          <w:u w:val="single"/>
          <w:lang w:bidi="ar"/>
        </w:rPr>
        <w:t>（关键组件）</w:t>
      </w:r>
      <w:r>
        <w:rPr>
          <w:rFonts w:hint="eastAsia" w:ascii="宋体" w:hAnsi="宋体" w:eastAsia="宋体" w:cs="宋体"/>
          <w:i w:val="0"/>
          <w:iCs w:val="0"/>
          <w:color w:val="auto"/>
          <w:sz w:val="22"/>
          <w:szCs w:val="22"/>
          <w:highlight w:val="none"/>
          <w:vertAlign w:val="superscript"/>
          <w:lang w:bidi="ar"/>
        </w:rPr>
        <w:t>4</w:t>
      </w:r>
      <w:r>
        <w:rPr>
          <w:rFonts w:hint="eastAsia" w:ascii="宋体" w:hAnsi="宋体" w:eastAsia="宋体" w:cs="宋体"/>
          <w:i w:val="0"/>
          <w:iCs w:val="0"/>
          <w:color w:val="auto"/>
          <w:sz w:val="22"/>
          <w:szCs w:val="22"/>
          <w:highlight w:val="none"/>
          <w:lang w:bidi="ar"/>
        </w:rPr>
        <w:t>在中国境内生产。</w:t>
      </w:r>
      <w:r>
        <w:rPr>
          <w:rFonts w:hint="eastAsia" w:ascii="宋体" w:hAnsi="宋体" w:eastAsia="宋体" w:cs="宋体"/>
          <w:i w:val="0"/>
          <w:iCs w:val="0"/>
          <w:color w:val="auto"/>
          <w:sz w:val="22"/>
          <w:szCs w:val="22"/>
          <w:highlight w:val="none"/>
          <w:u w:val="single"/>
          <w:lang w:bidi="ar"/>
        </w:rPr>
        <w:t>（产品名称1）</w:t>
      </w:r>
      <w:r>
        <w:rPr>
          <w:rFonts w:hint="eastAsia" w:ascii="宋体" w:hAnsi="宋体" w:eastAsia="宋体" w:cs="宋体"/>
          <w:i w:val="0"/>
          <w:iCs w:val="0"/>
          <w:color w:val="auto"/>
          <w:sz w:val="22"/>
          <w:szCs w:val="22"/>
          <w:highlight w:val="none"/>
          <w:lang w:bidi="ar"/>
        </w:rPr>
        <w:t>的</w:t>
      </w:r>
      <w:r>
        <w:rPr>
          <w:rFonts w:hint="eastAsia" w:ascii="宋体" w:hAnsi="宋体" w:eastAsia="宋体" w:cs="宋体"/>
          <w:i w:val="0"/>
          <w:iCs w:val="0"/>
          <w:color w:val="auto"/>
          <w:sz w:val="22"/>
          <w:szCs w:val="22"/>
          <w:highlight w:val="none"/>
          <w:u w:val="single"/>
          <w:lang w:bidi="ar"/>
        </w:rPr>
        <w:t>（关键工序）</w:t>
      </w:r>
      <w:r>
        <w:rPr>
          <w:rFonts w:hint="eastAsia" w:ascii="宋体" w:hAnsi="宋体" w:eastAsia="宋体" w:cs="宋体"/>
          <w:i w:val="0"/>
          <w:iCs w:val="0"/>
          <w:color w:val="auto"/>
          <w:sz w:val="22"/>
          <w:szCs w:val="22"/>
          <w:highlight w:val="none"/>
          <w:vertAlign w:val="superscript"/>
          <w:lang w:bidi="ar"/>
        </w:rPr>
        <w:t>5</w:t>
      </w:r>
      <w:r>
        <w:rPr>
          <w:rFonts w:hint="eastAsia" w:ascii="宋体" w:hAnsi="宋体" w:eastAsia="宋体" w:cs="宋体"/>
          <w:i w:val="0"/>
          <w:iCs w:val="0"/>
          <w:color w:val="auto"/>
          <w:sz w:val="22"/>
          <w:szCs w:val="22"/>
          <w:highlight w:val="none"/>
          <w:lang w:bidi="ar"/>
        </w:rPr>
        <w:t>在中国境内完成。</w:t>
      </w:r>
    </w:p>
    <w:p w14:paraId="7239AD4E">
      <w:pPr>
        <w:spacing w:line="520" w:lineRule="exact"/>
        <w:ind w:firstLine="440" w:firstLineChars="200"/>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lang w:bidi="ar"/>
        </w:rPr>
        <w:t>2.</w:t>
      </w:r>
      <w:r>
        <w:rPr>
          <w:rFonts w:hint="eastAsia" w:ascii="宋体" w:hAnsi="宋体" w:eastAsia="宋体" w:cs="宋体"/>
          <w:i w:val="0"/>
          <w:iCs w:val="0"/>
          <w:color w:val="auto"/>
          <w:sz w:val="22"/>
          <w:szCs w:val="22"/>
          <w:highlight w:val="none"/>
          <w:u w:val="single"/>
          <w:lang w:bidi="ar"/>
        </w:rPr>
        <w:t>（产品名称2）</w:t>
      </w:r>
      <w:r>
        <w:rPr>
          <w:rFonts w:hint="eastAsia" w:ascii="宋体" w:hAnsi="宋体" w:eastAsia="宋体" w:cs="宋体"/>
          <w:i w:val="0"/>
          <w:iCs w:val="0"/>
          <w:color w:val="auto"/>
          <w:sz w:val="22"/>
          <w:szCs w:val="22"/>
          <w:highlight w:val="none"/>
          <w:lang w:bidi="ar"/>
        </w:rPr>
        <w:t>，生产厂为</w:t>
      </w:r>
      <w:r>
        <w:rPr>
          <w:rFonts w:hint="eastAsia" w:ascii="宋体" w:hAnsi="宋体" w:eastAsia="宋体" w:cs="宋体"/>
          <w:i w:val="0"/>
          <w:iCs w:val="0"/>
          <w:color w:val="auto"/>
          <w:sz w:val="22"/>
          <w:szCs w:val="22"/>
          <w:highlight w:val="none"/>
          <w:u w:val="single"/>
          <w:lang w:bidi="ar"/>
        </w:rPr>
        <w:t>（厂名）</w:t>
      </w:r>
      <w:r>
        <w:rPr>
          <w:rFonts w:hint="eastAsia" w:ascii="宋体" w:hAnsi="宋体" w:eastAsia="宋体" w:cs="宋体"/>
          <w:i w:val="0"/>
          <w:iCs w:val="0"/>
          <w:color w:val="auto"/>
          <w:sz w:val="22"/>
          <w:szCs w:val="22"/>
          <w:highlight w:val="none"/>
          <w:lang w:bidi="ar"/>
        </w:rPr>
        <w:t>，厂址为</w:t>
      </w:r>
      <w:r>
        <w:rPr>
          <w:rFonts w:hint="eastAsia" w:ascii="宋体" w:hAnsi="宋体" w:eastAsia="宋体" w:cs="宋体"/>
          <w:i w:val="0"/>
          <w:iCs w:val="0"/>
          <w:color w:val="auto"/>
          <w:sz w:val="22"/>
          <w:szCs w:val="22"/>
          <w:highlight w:val="none"/>
          <w:u w:val="single"/>
          <w:lang w:bidi="ar"/>
        </w:rPr>
        <w:t>（生产厂址）</w:t>
      </w:r>
      <w:r>
        <w:rPr>
          <w:rFonts w:hint="eastAsia" w:ascii="宋体" w:hAnsi="宋体" w:eastAsia="宋体" w:cs="宋体"/>
          <w:i w:val="0"/>
          <w:iCs w:val="0"/>
          <w:color w:val="auto"/>
          <w:sz w:val="22"/>
          <w:szCs w:val="22"/>
          <w:highlight w:val="none"/>
          <w:lang w:bidi="ar"/>
        </w:rPr>
        <w:t>。</w:t>
      </w:r>
      <w:r>
        <w:rPr>
          <w:rFonts w:hint="eastAsia" w:ascii="宋体" w:hAnsi="宋体" w:eastAsia="宋体" w:cs="宋体"/>
          <w:i w:val="0"/>
          <w:iCs w:val="0"/>
          <w:color w:val="auto"/>
          <w:sz w:val="22"/>
          <w:szCs w:val="22"/>
          <w:highlight w:val="none"/>
          <w:u w:val="single"/>
          <w:lang w:bidi="ar"/>
        </w:rPr>
        <w:t>（产品名称2）</w:t>
      </w:r>
      <w:r>
        <w:rPr>
          <w:rFonts w:hint="eastAsia" w:ascii="宋体" w:hAnsi="宋体" w:eastAsia="宋体" w:cs="宋体"/>
          <w:i w:val="0"/>
          <w:iCs w:val="0"/>
          <w:color w:val="auto"/>
          <w:sz w:val="22"/>
          <w:szCs w:val="22"/>
          <w:highlight w:val="none"/>
          <w:lang w:bidi="ar"/>
        </w:rPr>
        <w:t>的中国境内生产的组件成本占比≥</w:t>
      </w:r>
      <w:r>
        <w:rPr>
          <w:rFonts w:hint="eastAsia" w:ascii="宋体" w:hAnsi="宋体" w:eastAsia="宋体" w:cs="宋体"/>
          <w:i w:val="0"/>
          <w:iCs w:val="0"/>
          <w:color w:val="auto"/>
          <w:sz w:val="22"/>
          <w:szCs w:val="22"/>
          <w:highlight w:val="none"/>
          <w:u w:val="single"/>
          <w:lang w:bidi="ar"/>
        </w:rPr>
        <w:t>（规定比例）</w:t>
      </w:r>
      <w:r>
        <w:rPr>
          <w:rFonts w:hint="eastAsia" w:ascii="宋体" w:hAnsi="宋体" w:eastAsia="宋体" w:cs="宋体"/>
          <w:i w:val="0"/>
          <w:iCs w:val="0"/>
          <w:color w:val="auto"/>
          <w:sz w:val="22"/>
          <w:szCs w:val="22"/>
          <w:highlight w:val="none"/>
          <w:lang w:bidi="ar"/>
        </w:rPr>
        <w:t>。</w:t>
      </w:r>
      <w:r>
        <w:rPr>
          <w:rFonts w:hint="eastAsia" w:ascii="宋体" w:hAnsi="宋体" w:eastAsia="宋体" w:cs="宋体"/>
          <w:i w:val="0"/>
          <w:iCs w:val="0"/>
          <w:color w:val="auto"/>
          <w:sz w:val="22"/>
          <w:szCs w:val="22"/>
          <w:highlight w:val="none"/>
          <w:u w:val="single"/>
          <w:lang w:bidi="ar"/>
        </w:rPr>
        <w:t>（产品名称2）</w:t>
      </w:r>
      <w:r>
        <w:rPr>
          <w:rFonts w:hint="eastAsia" w:ascii="宋体" w:hAnsi="宋体" w:eastAsia="宋体" w:cs="宋体"/>
          <w:i w:val="0"/>
          <w:iCs w:val="0"/>
          <w:color w:val="auto"/>
          <w:sz w:val="22"/>
          <w:szCs w:val="22"/>
          <w:highlight w:val="none"/>
          <w:lang w:bidi="ar"/>
        </w:rPr>
        <w:t>的</w:t>
      </w:r>
      <w:r>
        <w:rPr>
          <w:rFonts w:hint="eastAsia" w:ascii="宋体" w:hAnsi="宋体" w:eastAsia="宋体" w:cs="宋体"/>
          <w:i w:val="0"/>
          <w:iCs w:val="0"/>
          <w:color w:val="auto"/>
          <w:sz w:val="22"/>
          <w:szCs w:val="22"/>
          <w:highlight w:val="none"/>
          <w:u w:val="single"/>
          <w:lang w:bidi="ar"/>
        </w:rPr>
        <w:t>（关键组件）</w:t>
      </w:r>
      <w:r>
        <w:rPr>
          <w:rFonts w:hint="eastAsia" w:ascii="宋体" w:hAnsi="宋体" w:eastAsia="宋体" w:cs="宋体"/>
          <w:i w:val="0"/>
          <w:iCs w:val="0"/>
          <w:color w:val="auto"/>
          <w:sz w:val="22"/>
          <w:szCs w:val="22"/>
          <w:highlight w:val="none"/>
          <w:lang w:bidi="ar"/>
        </w:rPr>
        <w:t>在中国境内生产。</w:t>
      </w:r>
      <w:r>
        <w:rPr>
          <w:rFonts w:hint="eastAsia" w:ascii="宋体" w:hAnsi="宋体" w:eastAsia="宋体" w:cs="宋体"/>
          <w:i w:val="0"/>
          <w:iCs w:val="0"/>
          <w:color w:val="auto"/>
          <w:sz w:val="22"/>
          <w:szCs w:val="22"/>
          <w:highlight w:val="none"/>
          <w:u w:val="single"/>
          <w:lang w:bidi="ar"/>
        </w:rPr>
        <w:t>（产品名称2）</w:t>
      </w:r>
      <w:r>
        <w:rPr>
          <w:rFonts w:hint="eastAsia" w:ascii="宋体" w:hAnsi="宋体" w:eastAsia="宋体" w:cs="宋体"/>
          <w:i w:val="0"/>
          <w:iCs w:val="0"/>
          <w:color w:val="auto"/>
          <w:sz w:val="22"/>
          <w:szCs w:val="22"/>
          <w:highlight w:val="none"/>
          <w:lang w:bidi="ar"/>
        </w:rPr>
        <w:t>的</w:t>
      </w:r>
      <w:r>
        <w:rPr>
          <w:rFonts w:hint="eastAsia" w:ascii="宋体" w:hAnsi="宋体" w:eastAsia="宋体" w:cs="宋体"/>
          <w:i w:val="0"/>
          <w:iCs w:val="0"/>
          <w:color w:val="auto"/>
          <w:sz w:val="22"/>
          <w:szCs w:val="22"/>
          <w:highlight w:val="none"/>
          <w:u w:val="single"/>
          <w:lang w:bidi="ar"/>
        </w:rPr>
        <w:t>（关键工序）</w:t>
      </w:r>
      <w:r>
        <w:rPr>
          <w:rFonts w:hint="eastAsia" w:ascii="宋体" w:hAnsi="宋体" w:eastAsia="宋体" w:cs="宋体"/>
          <w:i w:val="0"/>
          <w:iCs w:val="0"/>
          <w:color w:val="auto"/>
          <w:sz w:val="22"/>
          <w:szCs w:val="22"/>
          <w:highlight w:val="none"/>
          <w:lang w:bidi="ar"/>
        </w:rPr>
        <w:t>在中国境内完成。</w:t>
      </w:r>
    </w:p>
    <w:p w14:paraId="5067812B">
      <w:pPr>
        <w:spacing w:line="5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w:t>
      </w:r>
    </w:p>
    <w:p w14:paraId="1D186F1F">
      <w:pPr>
        <w:spacing w:line="5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本公司（单位）对上述声明内容的真实性负责。如有虚假，愿承担相应法律责任。</w:t>
      </w:r>
    </w:p>
    <w:p w14:paraId="487D4B7A">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 xml:space="preserve"> </w:t>
      </w:r>
    </w:p>
    <w:p w14:paraId="0F87848E">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 xml:space="preserve"> </w:t>
      </w:r>
    </w:p>
    <w:p w14:paraId="592B34F8">
      <w:pPr>
        <w:spacing w:line="520" w:lineRule="exact"/>
        <w:ind w:left="294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公司（单位）名称（盖章）：         </w:t>
      </w:r>
    </w:p>
    <w:p w14:paraId="48E350AD">
      <w:pPr>
        <w:spacing w:line="520" w:lineRule="exact"/>
        <w:ind w:left="294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日期：      年   月   日    </w:t>
      </w:r>
    </w:p>
    <w:p w14:paraId="6A6B835D">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 xml:space="preserve"> </w:t>
      </w:r>
    </w:p>
    <w:p w14:paraId="7D051861">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__________________</w:t>
      </w:r>
    </w:p>
    <w:p w14:paraId="4EF1369F">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1.产品如有型号，请在“产品名称”栏一并填写。</w:t>
      </w:r>
    </w:p>
    <w:p w14:paraId="031906E3">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2.生产厂名与厂址应与生产厂营业执照载明的相关信息保持一致。</w:t>
      </w:r>
    </w:p>
    <w:p w14:paraId="2A24E633">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3.该产品的中国境内生产的组件成本占比相关要求实施前，“规定比例”栏可不填，下同。</w:t>
      </w:r>
    </w:p>
    <w:p w14:paraId="475A951D">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4.该产品的关键组件要求实施前，“关键组件”栏可不填，下同。</w:t>
      </w:r>
    </w:p>
    <w:p w14:paraId="05C9B9F3">
      <w:pPr>
        <w:spacing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5.该产品的关键工序要求实施前，“关键工序”栏可不填，下同。</w:t>
      </w:r>
    </w:p>
    <w:p w14:paraId="29622028">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0B31B77F">
      <w:pPr>
        <w:pStyle w:val="34"/>
        <w:snapToGrid w:val="0"/>
        <w:spacing w:line="6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lang w:eastAsia="zh-CN"/>
        </w:rPr>
        <w:t>附件7</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政府采购活动现场确认声明书</w:t>
      </w:r>
    </w:p>
    <w:p w14:paraId="3EC67E67">
      <w:pPr>
        <w:pStyle w:val="34"/>
        <w:snapToGrid w:val="0"/>
        <w:spacing w:line="400" w:lineRule="exact"/>
        <w:rPr>
          <w:rFonts w:hint="eastAsia" w:ascii="宋体" w:hAnsi="宋体" w:eastAsia="宋体" w:cs="宋体"/>
          <w:color w:val="auto"/>
          <w:kern w:val="0"/>
          <w:sz w:val="24"/>
          <w:szCs w:val="24"/>
          <w:highlight w:val="none"/>
          <w:u w:val="single"/>
        </w:rPr>
      </w:pPr>
    </w:p>
    <w:p w14:paraId="020AA89F">
      <w:pPr>
        <w:pStyle w:val="34"/>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14:paraId="0AA5AE4A">
      <w:pPr>
        <w:pStyle w:val="34"/>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w:t>
      </w:r>
      <w:r>
        <w:rPr>
          <w:rFonts w:hint="eastAsia" w:ascii="宋体" w:hAnsi="宋体" w:eastAsia="宋体" w:cs="宋体"/>
          <w:color w:val="auto"/>
          <w:spacing w:val="6"/>
          <w:sz w:val="24"/>
          <w:szCs w:val="24"/>
          <w:highlight w:val="none"/>
          <w:u w:val="single"/>
        </w:rPr>
        <w:t xml:space="preserve">        （授权代表姓名）</w:t>
      </w:r>
      <w:r>
        <w:rPr>
          <w:rFonts w:hint="eastAsia" w:ascii="宋体" w:hAnsi="宋体" w:eastAsia="宋体" w:cs="宋体"/>
          <w:color w:val="auto"/>
          <w:spacing w:val="6"/>
          <w:sz w:val="24"/>
          <w:szCs w:val="24"/>
          <w:highlight w:val="none"/>
        </w:rPr>
        <w:t>，经由</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单位）</w:t>
      </w:r>
      <w:r>
        <w:rPr>
          <w:rFonts w:hint="eastAsia" w:ascii="宋体" w:hAnsi="宋体" w:eastAsia="宋体" w:cs="宋体"/>
          <w:color w:val="auto"/>
          <w:spacing w:val="6"/>
          <w:sz w:val="24"/>
          <w:szCs w:val="24"/>
          <w:highlight w:val="none"/>
        </w:rPr>
        <w:t>法定代表人（负责人）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（项目名称）（项目编号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）政府采购活动，经与本单位法定代表人（负责人）联系确认，现就有关公平竞争事项郑重声明如下： </w:t>
      </w:r>
    </w:p>
    <w:p w14:paraId="4D4FE5A0">
      <w:pPr>
        <w:pStyle w:val="34"/>
        <w:numPr>
          <w:ilvl w:val="0"/>
          <w:numId w:val="17"/>
        </w:numPr>
        <w:snapToGrid w:val="0"/>
        <w:spacing w:line="400" w:lineRule="exact"/>
        <w:ind w:firstLine="24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kern w:val="0"/>
          <w:sz w:val="24"/>
          <w:szCs w:val="24"/>
          <w:highlight w:val="none"/>
        </w:rPr>
        <w:t>：</w:t>
      </w:r>
    </w:p>
    <w:p w14:paraId="1534DDE6">
      <w:pPr>
        <w:pStyle w:val="34"/>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14:paraId="1881BF33">
      <w:pPr>
        <w:pStyle w:val="34"/>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14:paraId="297CFAA6">
      <w:pPr>
        <w:pStyle w:val="35"/>
        <w:widowControl/>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3F3CC98">
      <w:pPr>
        <w:pStyle w:val="3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14:paraId="77B899E4">
      <w:pPr>
        <w:pStyle w:val="3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14:paraId="5402C304">
      <w:pPr>
        <w:pStyle w:val="3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14:paraId="5B0A1188">
      <w:pPr>
        <w:pStyle w:val="3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14:paraId="65DA7558">
      <w:pPr>
        <w:pStyle w:val="3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14:paraId="2CCBAE1E">
      <w:pPr>
        <w:pStyle w:val="3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14:paraId="38A6F82F">
      <w:pPr>
        <w:pStyle w:val="34"/>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14:paraId="59E0475B">
      <w:pPr>
        <w:pStyle w:val="34"/>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14:paraId="2188EA87">
      <w:pPr>
        <w:pStyle w:val="34"/>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kern w:val="0"/>
          <w:sz w:val="24"/>
          <w:szCs w:val="24"/>
          <w:highlight w:val="none"/>
        </w:rPr>
        <w:t>。</w:t>
      </w:r>
    </w:p>
    <w:p w14:paraId="78E7F74D">
      <w:pPr>
        <w:pStyle w:val="35"/>
        <w:widowControl/>
        <w:numPr>
          <w:ilvl w:val="0"/>
          <w:numId w:val="18"/>
        </w:numPr>
        <w:snapToGrid w:val="0"/>
        <w:spacing w:line="400" w:lineRule="exact"/>
        <w:ind w:firstLine="453" w:firstLineChars="18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14:paraId="77E88CCE">
      <w:pPr>
        <w:pStyle w:val="35"/>
        <w:widowControl/>
        <w:numPr>
          <w:ilvl w:val="0"/>
          <w:numId w:val="18"/>
        </w:numPr>
        <w:snapToGrid w:val="0"/>
        <w:spacing w:line="400" w:lineRule="exact"/>
        <w:ind w:firstLine="453" w:firstLineChars="18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kern w:val="0"/>
          <w:sz w:val="24"/>
          <w:szCs w:val="24"/>
          <w:highlight w:val="none"/>
        </w:rPr>
        <w:t>供应商之间存在或可能存在上述第二条第</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kern w:val="0"/>
          <w:sz w:val="24"/>
          <w:szCs w:val="24"/>
          <w:highlight w:val="none"/>
        </w:rPr>
        <w:t>项利害关系。</w:t>
      </w:r>
    </w:p>
    <w:p w14:paraId="7D49E332">
      <w:pPr>
        <w:pStyle w:val="34"/>
        <w:snapToGrid w:val="0"/>
        <w:spacing w:line="400" w:lineRule="exact"/>
        <w:ind w:firstLine="480" w:firstLineChars="200"/>
        <w:rPr>
          <w:rFonts w:hint="eastAsia" w:ascii="宋体" w:hAnsi="宋体" w:eastAsia="宋体" w:cs="宋体"/>
          <w:color w:val="auto"/>
          <w:sz w:val="24"/>
          <w:szCs w:val="24"/>
          <w:highlight w:val="none"/>
        </w:rPr>
      </w:pPr>
    </w:p>
    <w:p w14:paraId="5F33A0FB">
      <w:pPr>
        <w:pStyle w:val="34"/>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投标人授权代表签名：</w:t>
      </w:r>
    </w:p>
    <w:p w14:paraId="21A0B14D">
      <w:pPr>
        <w:pStyle w:val="34"/>
        <w:snapToGrid w:val="0"/>
        <w:spacing w:line="6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202X年X月X日  </w:t>
      </w:r>
    </w:p>
    <w:p w14:paraId="135D501D">
      <w:pPr>
        <w:pStyle w:val="10"/>
        <w:ind w:right="-512" w:firstLine="526"/>
        <w:rPr>
          <w:rFonts w:hint="eastAsia" w:ascii="宋体" w:hAnsi="宋体" w:eastAsia="宋体" w:cs="宋体"/>
          <w:color w:val="auto"/>
          <w:sz w:val="22"/>
          <w:highlight w:val="none"/>
        </w:rPr>
      </w:pPr>
    </w:p>
    <w:p w14:paraId="45939CF9">
      <w:pPr>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备注：投标人在投标文件解密后，通过电子邮件形式，向邮箱地址（58000634@qq.com）发送《政府采购活动现场确认声明书》（上表）。</w:t>
      </w:r>
    </w:p>
    <w:p w14:paraId="7E1C3649">
      <w:pPr>
        <w:spacing w:line="360" w:lineRule="auto"/>
        <w:jc w:val="left"/>
        <w:rPr>
          <w:rFonts w:hint="eastAsia" w:ascii="宋体" w:hAnsi="宋体" w:eastAsia="宋体" w:cs="宋体"/>
          <w:color w:val="auto"/>
          <w:sz w:val="22"/>
          <w:szCs w:val="22"/>
          <w:highlight w:val="none"/>
        </w:rPr>
      </w:pPr>
    </w:p>
    <w:p w14:paraId="6532FF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C5585C">
      <w:pPr>
        <w:adjustRightInd/>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8</w:t>
      </w:r>
      <w:r>
        <w:rPr>
          <w:rFonts w:hint="eastAsia" w:ascii="宋体" w:hAnsi="宋体" w:eastAsia="宋体" w:cs="宋体"/>
          <w:b/>
          <w:color w:val="auto"/>
          <w:spacing w:val="6"/>
          <w:sz w:val="32"/>
          <w:szCs w:val="32"/>
          <w:highlight w:val="none"/>
        </w:rPr>
        <w:t>：供应商告知单</w:t>
      </w:r>
    </w:p>
    <w:p w14:paraId="77AB7247">
      <w:pPr>
        <w:tabs>
          <w:tab w:val="left" w:pos="4860"/>
        </w:tabs>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各供应商须仔细阅读并充分理解本项目招标文件全部内容。为确保涉及客观分评审的各项材料真实有效，现作如下重点告知：</w:t>
      </w:r>
    </w:p>
    <w:p w14:paraId="5441B243">
      <w:pPr>
        <w:tabs>
          <w:tab w:val="left" w:pos="4860"/>
        </w:tabs>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一、各供应商须对投标文件中所有涉及客观分评审的材料（包括但不限于检测报告、认证证书等）进行严格自查，确保其真实、准确、有效，并处于法定有效状态。</w:t>
      </w:r>
    </w:p>
    <w:p w14:paraId="15B5F245">
      <w:pPr>
        <w:tabs>
          <w:tab w:val="left" w:pos="4860"/>
        </w:tabs>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二、如中标（成交），供应商应于评审结束后1个工作日内，主动将前述材料原件或可公开核验的官方查询链接提交至采购人、采购代理机构，并积极配合完成后续复核工作。</w:t>
      </w:r>
    </w:p>
    <w:p w14:paraId="787FAC67">
      <w:pPr>
        <w:tabs>
          <w:tab w:val="left" w:pos="4860"/>
        </w:tabs>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三、供应商应明确知悉：如经核实存在提供虚假材料或弄虚作假的情形，将自愿放弃中标（成交）资格，并无条件承担招标文件及相关法律法规所规定的全部责任与处理后果。</w:t>
      </w:r>
    </w:p>
    <w:p w14:paraId="09D8BDA6">
      <w:pPr>
        <w:tabs>
          <w:tab w:val="left" w:pos="4860"/>
        </w:tabs>
        <w:spacing w:line="3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四、如因供应商自身原因，未能在约定时间内配合完成核查工作，且经采购人或采购代理机构书面催告后仍未能完成的，视为自动放弃中标（成交）资格，由此产生的一切法律后果与风险均由该供应商自行承担。</w:t>
      </w:r>
    </w:p>
    <w:p w14:paraId="1923BEBA">
      <w:pPr>
        <w:spacing w:line="360" w:lineRule="exact"/>
        <w:ind w:firstLine="881" w:firstLineChars="399"/>
        <w:rPr>
          <w:rFonts w:hint="eastAsia" w:ascii="宋体" w:hAnsi="宋体" w:eastAsia="宋体" w:cs="宋体"/>
          <w:b/>
          <w:color w:val="auto"/>
          <w:sz w:val="22"/>
          <w:szCs w:val="22"/>
          <w:highlight w:val="none"/>
        </w:rPr>
      </w:pPr>
    </w:p>
    <w:p w14:paraId="71E3577C">
      <w:pPr>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sz w:val="28"/>
          <w:szCs w:val="28"/>
          <w:highlight w:val="none"/>
        </w:rPr>
        <w:t>投标文件中关于客观分评审供应商所提供的</w:t>
      </w:r>
      <w:r>
        <w:rPr>
          <w:rFonts w:hint="eastAsia" w:ascii="宋体" w:hAnsi="宋体" w:eastAsia="宋体" w:cs="宋体"/>
          <w:b/>
          <w:color w:val="auto"/>
          <w:kern w:val="0"/>
          <w:sz w:val="28"/>
          <w:szCs w:val="28"/>
          <w:highlight w:val="none"/>
        </w:rPr>
        <w:t>证明材料清单（此表为范本，无需在投标文件中体现）</w:t>
      </w:r>
    </w:p>
    <w:tbl>
      <w:tblPr>
        <w:tblStyle w:val="19"/>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0"/>
        <w:gridCol w:w="1533"/>
        <w:gridCol w:w="1914"/>
        <w:gridCol w:w="1918"/>
        <w:gridCol w:w="2225"/>
      </w:tblGrid>
      <w:tr w14:paraId="2C6C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14:paraId="2952C4CC">
            <w:pPr>
              <w:jc w:val="center"/>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项目名称</w:t>
            </w:r>
          </w:p>
        </w:tc>
        <w:tc>
          <w:tcPr>
            <w:tcW w:w="3447" w:type="dxa"/>
            <w:gridSpan w:val="2"/>
          </w:tcPr>
          <w:p w14:paraId="4F86BA3A">
            <w:pPr>
              <w:jc w:val="center"/>
              <w:rPr>
                <w:rFonts w:hint="eastAsia" w:ascii="宋体" w:hAnsi="宋体" w:eastAsia="宋体" w:cs="宋体"/>
                <w:b/>
                <w:color w:val="auto"/>
                <w:szCs w:val="22"/>
                <w:highlight w:val="none"/>
              </w:rPr>
            </w:pPr>
          </w:p>
        </w:tc>
        <w:tc>
          <w:tcPr>
            <w:tcW w:w="1918" w:type="dxa"/>
          </w:tcPr>
          <w:p w14:paraId="2C156526">
            <w:pPr>
              <w:jc w:val="center"/>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项目编号</w:t>
            </w:r>
          </w:p>
        </w:tc>
        <w:tc>
          <w:tcPr>
            <w:tcW w:w="2225" w:type="dxa"/>
          </w:tcPr>
          <w:p w14:paraId="189578C9">
            <w:pPr>
              <w:jc w:val="center"/>
              <w:rPr>
                <w:rFonts w:hint="eastAsia" w:ascii="宋体" w:hAnsi="宋体" w:eastAsia="宋体" w:cs="宋体"/>
                <w:b/>
                <w:color w:val="auto"/>
                <w:szCs w:val="22"/>
                <w:highlight w:val="none"/>
              </w:rPr>
            </w:pPr>
          </w:p>
        </w:tc>
      </w:tr>
      <w:tr w14:paraId="03AE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Pr>
          <w:p w14:paraId="3F3BEC9C">
            <w:pPr>
              <w:jc w:val="center"/>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供应商联系人</w:t>
            </w:r>
          </w:p>
        </w:tc>
        <w:tc>
          <w:tcPr>
            <w:tcW w:w="3447" w:type="dxa"/>
            <w:gridSpan w:val="2"/>
          </w:tcPr>
          <w:p w14:paraId="5DD5A459">
            <w:pPr>
              <w:jc w:val="center"/>
              <w:rPr>
                <w:rFonts w:hint="eastAsia" w:ascii="宋体" w:hAnsi="宋体" w:eastAsia="宋体" w:cs="宋体"/>
                <w:b/>
                <w:color w:val="auto"/>
                <w:szCs w:val="22"/>
                <w:highlight w:val="none"/>
              </w:rPr>
            </w:pPr>
          </w:p>
        </w:tc>
        <w:tc>
          <w:tcPr>
            <w:tcW w:w="1918" w:type="dxa"/>
          </w:tcPr>
          <w:p w14:paraId="1BFFA63A">
            <w:pPr>
              <w:jc w:val="center"/>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联系电话</w:t>
            </w:r>
          </w:p>
        </w:tc>
        <w:tc>
          <w:tcPr>
            <w:tcW w:w="2225" w:type="dxa"/>
          </w:tcPr>
          <w:p w14:paraId="122E2C90">
            <w:pPr>
              <w:jc w:val="center"/>
              <w:rPr>
                <w:rFonts w:hint="eastAsia" w:ascii="宋体" w:hAnsi="宋体" w:eastAsia="宋体" w:cs="宋体"/>
                <w:b/>
                <w:color w:val="auto"/>
                <w:szCs w:val="22"/>
                <w:highlight w:val="none"/>
              </w:rPr>
            </w:pPr>
          </w:p>
        </w:tc>
      </w:tr>
      <w:tr w14:paraId="6C48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9940" w:type="dxa"/>
            <w:gridSpan w:val="5"/>
          </w:tcPr>
          <w:p w14:paraId="31613107">
            <w:pPr>
              <w:rPr>
                <w:rFonts w:hint="eastAsia" w:ascii="宋体" w:hAnsi="宋体" w:eastAsia="宋体" w:cs="宋体"/>
                <w:color w:val="auto"/>
                <w:szCs w:val="22"/>
                <w:highlight w:val="none"/>
              </w:rPr>
            </w:pPr>
          </w:p>
        </w:tc>
      </w:tr>
      <w:tr w14:paraId="5541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vAlign w:val="center"/>
          </w:tcPr>
          <w:p w14:paraId="7E85C866">
            <w:pPr>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客观分评分内容</w:t>
            </w:r>
          </w:p>
        </w:tc>
        <w:tc>
          <w:tcPr>
            <w:tcW w:w="1533" w:type="dxa"/>
            <w:tcBorders>
              <w:left w:val="single" w:color="auto" w:sz="4" w:space="0"/>
            </w:tcBorders>
            <w:vAlign w:val="center"/>
          </w:tcPr>
          <w:p w14:paraId="0C3A0F8A">
            <w:pPr>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供应商提供的证明材料</w:t>
            </w:r>
          </w:p>
        </w:tc>
        <w:tc>
          <w:tcPr>
            <w:tcW w:w="1914" w:type="dxa"/>
            <w:vAlign w:val="center"/>
          </w:tcPr>
          <w:p w14:paraId="5AF7264C">
            <w:pPr>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复核方式（原件复核/公开官网查询）</w:t>
            </w:r>
          </w:p>
        </w:tc>
        <w:tc>
          <w:tcPr>
            <w:tcW w:w="4143" w:type="dxa"/>
            <w:gridSpan w:val="2"/>
            <w:vAlign w:val="center"/>
          </w:tcPr>
          <w:p w14:paraId="5756AC2D">
            <w:pPr>
              <w:jc w:val="cente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备注（明确是原件复核或公开官网查询，如公开官网查询，提供具体网址）</w:t>
            </w:r>
          </w:p>
        </w:tc>
      </w:tr>
      <w:tr w14:paraId="48D6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310F392B">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一、认证证书</w:t>
            </w:r>
          </w:p>
        </w:tc>
        <w:tc>
          <w:tcPr>
            <w:tcW w:w="1533" w:type="dxa"/>
            <w:tcBorders>
              <w:left w:val="single" w:color="auto" w:sz="4" w:space="0"/>
            </w:tcBorders>
          </w:tcPr>
          <w:p w14:paraId="3CA376F3">
            <w:pPr>
              <w:jc w:val="left"/>
              <w:rPr>
                <w:rFonts w:hint="eastAsia" w:ascii="宋体" w:hAnsi="宋体" w:eastAsia="宋体" w:cs="宋体"/>
                <w:color w:val="auto"/>
                <w:szCs w:val="22"/>
                <w:highlight w:val="none"/>
              </w:rPr>
            </w:pPr>
          </w:p>
        </w:tc>
        <w:tc>
          <w:tcPr>
            <w:tcW w:w="1914" w:type="dxa"/>
          </w:tcPr>
          <w:p w14:paraId="593F8434">
            <w:pPr>
              <w:jc w:val="center"/>
              <w:rPr>
                <w:rFonts w:hint="eastAsia" w:ascii="宋体" w:hAnsi="宋体" w:eastAsia="宋体" w:cs="宋体"/>
                <w:color w:val="auto"/>
                <w:szCs w:val="22"/>
                <w:highlight w:val="none"/>
              </w:rPr>
            </w:pPr>
          </w:p>
        </w:tc>
        <w:tc>
          <w:tcPr>
            <w:tcW w:w="4143" w:type="dxa"/>
            <w:gridSpan w:val="2"/>
          </w:tcPr>
          <w:p w14:paraId="67EC41CA">
            <w:pPr>
              <w:jc w:val="center"/>
              <w:rPr>
                <w:rFonts w:hint="eastAsia" w:ascii="宋体" w:hAnsi="宋体" w:eastAsia="宋体" w:cs="宋体"/>
                <w:color w:val="auto"/>
                <w:szCs w:val="22"/>
                <w:highlight w:val="none"/>
              </w:rPr>
            </w:pPr>
          </w:p>
        </w:tc>
      </w:tr>
      <w:tr w14:paraId="7667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030A6D24">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1.</w:t>
            </w:r>
          </w:p>
        </w:tc>
        <w:tc>
          <w:tcPr>
            <w:tcW w:w="1533" w:type="dxa"/>
            <w:tcBorders>
              <w:left w:val="single" w:color="auto" w:sz="4" w:space="0"/>
            </w:tcBorders>
          </w:tcPr>
          <w:p w14:paraId="06BF5783">
            <w:pPr>
              <w:jc w:val="left"/>
              <w:rPr>
                <w:rFonts w:hint="eastAsia" w:ascii="宋体" w:hAnsi="宋体" w:eastAsia="宋体" w:cs="宋体"/>
                <w:color w:val="auto"/>
                <w:szCs w:val="22"/>
                <w:highlight w:val="none"/>
              </w:rPr>
            </w:pPr>
          </w:p>
        </w:tc>
        <w:tc>
          <w:tcPr>
            <w:tcW w:w="1914" w:type="dxa"/>
          </w:tcPr>
          <w:p w14:paraId="7592BBA8">
            <w:pPr>
              <w:jc w:val="center"/>
              <w:rPr>
                <w:rFonts w:hint="eastAsia" w:ascii="宋体" w:hAnsi="宋体" w:eastAsia="宋体" w:cs="宋体"/>
                <w:color w:val="auto"/>
                <w:szCs w:val="22"/>
                <w:highlight w:val="none"/>
              </w:rPr>
            </w:pPr>
          </w:p>
        </w:tc>
        <w:tc>
          <w:tcPr>
            <w:tcW w:w="4143" w:type="dxa"/>
            <w:gridSpan w:val="2"/>
            <w:tcBorders>
              <w:bottom w:val="single" w:color="auto" w:sz="4" w:space="0"/>
            </w:tcBorders>
          </w:tcPr>
          <w:p w14:paraId="2DDAE111">
            <w:pPr>
              <w:jc w:val="center"/>
              <w:rPr>
                <w:rFonts w:hint="eastAsia" w:ascii="宋体" w:hAnsi="宋体" w:eastAsia="宋体" w:cs="宋体"/>
                <w:color w:val="auto"/>
                <w:szCs w:val="22"/>
                <w:highlight w:val="none"/>
              </w:rPr>
            </w:pPr>
          </w:p>
        </w:tc>
      </w:tr>
      <w:tr w14:paraId="120E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08B42985">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w:t>
            </w:r>
          </w:p>
        </w:tc>
        <w:tc>
          <w:tcPr>
            <w:tcW w:w="1533" w:type="dxa"/>
            <w:tcBorders>
              <w:left w:val="single" w:color="auto" w:sz="4" w:space="0"/>
            </w:tcBorders>
          </w:tcPr>
          <w:p w14:paraId="41789B0A">
            <w:pPr>
              <w:jc w:val="left"/>
              <w:rPr>
                <w:rFonts w:hint="eastAsia" w:ascii="宋体" w:hAnsi="宋体" w:eastAsia="宋体" w:cs="宋体"/>
                <w:color w:val="auto"/>
                <w:szCs w:val="22"/>
                <w:highlight w:val="none"/>
              </w:rPr>
            </w:pPr>
          </w:p>
        </w:tc>
        <w:tc>
          <w:tcPr>
            <w:tcW w:w="1914" w:type="dxa"/>
          </w:tcPr>
          <w:p w14:paraId="1C9742EA">
            <w:pPr>
              <w:jc w:val="center"/>
              <w:rPr>
                <w:rFonts w:hint="eastAsia" w:ascii="宋体" w:hAnsi="宋体" w:eastAsia="宋体" w:cs="宋体"/>
                <w:color w:val="auto"/>
                <w:szCs w:val="22"/>
                <w:highlight w:val="none"/>
              </w:rPr>
            </w:pPr>
          </w:p>
        </w:tc>
        <w:tc>
          <w:tcPr>
            <w:tcW w:w="4143" w:type="dxa"/>
            <w:gridSpan w:val="2"/>
            <w:tcBorders>
              <w:top w:val="single" w:color="auto" w:sz="4" w:space="0"/>
            </w:tcBorders>
          </w:tcPr>
          <w:p w14:paraId="5822F9F5">
            <w:pPr>
              <w:jc w:val="center"/>
              <w:rPr>
                <w:rFonts w:hint="eastAsia" w:ascii="宋体" w:hAnsi="宋体" w:eastAsia="宋体" w:cs="宋体"/>
                <w:color w:val="auto"/>
                <w:szCs w:val="22"/>
                <w:highlight w:val="none"/>
              </w:rPr>
            </w:pPr>
          </w:p>
        </w:tc>
      </w:tr>
      <w:tr w14:paraId="18A6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BD2BCED">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二、业绩合同</w:t>
            </w:r>
          </w:p>
        </w:tc>
        <w:tc>
          <w:tcPr>
            <w:tcW w:w="1533" w:type="dxa"/>
            <w:tcBorders>
              <w:left w:val="single" w:color="auto" w:sz="4" w:space="0"/>
            </w:tcBorders>
          </w:tcPr>
          <w:p w14:paraId="0E039310">
            <w:pPr>
              <w:jc w:val="left"/>
              <w:rPr>
                <w:rFonts w:hint="eastAsia" w:ascii="宋体" w:hAnsi="宋体" w:eastAsia="宋体" w:cs="宋体"/>
                <w:color w:val="auto"/>
                <w:szCs w:val="22"/>
                <w:highlight w:val="none"/>
              </w:rPr>
            </w:pPr>
          </w:p>
        </w:tc>
        <w:tc>
          <w:tcPr>
            <w:tcW w:w="1914" w:type="dxa"/>
          </w:tcPr>
          <w:p w14:paraId="7867CE76">
            <w:pPr>
              <w:jc w:val="center"/>
              <w:rPr>
                <w:rFonts w:hint="eastAsia" w:ascii="宋体" w:hAnsi="宋体" w:eastAsia="宋体" w:cs="宋体"/>
                <w:color w:val="auto"/>
                <w:szCs w:val="22"/>
                <w:highlight w:val="none"/>
              </w:rPr>
            </w:pPr>
          </w:p>
        </w:tc>
        <w:tc>
          <w:tcPr>
            <w:tcW w:w="4143" w:type="dxa"/>
            <w:gridSpan w:val="2"/>
          </w:tcPr>
          <w:p w14:paraId="3A3CA0AF">
            <w:pPr>
              <w:jc w:val="center"/>
              <w:rPr>
                <w:rFonts w:hint="eastAsia" w:ascii="宋体" w:hAnsi="宋体" w:eastAsia="宋体" w:cs="宋体"/>
                <w:color w:val="auto"/>
                <w:szCs w:val="22"/>
                <w:highlight w:val="none"/>
              </w:rPr>
            </w:pPr>
          </w:p>
        </w:tc>
      </w:tr>
      <w:tr w14:paraId="06BB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84DECE5">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1.</w:t>
            </w:r>
          </w:p>
        </w:tc>
        <w:tc>
          <w:tcPr>
            <w:tcW w:w="1533" w:type="dxa"/>
            <w:tcBorders>
              <w:left w:val="single" w:color="auto" w:sz="4" w:space="0"/>
            </w:tcBorders>
          </w:tcPr>
          <w:p w14:paraId="099C7A97">
            <w:pPr>
              <w:jc w:val="left"/>
              <w:rPr>
                <w:rFonts w:hint="eastAsia" w:ascii="宋体" w:hAnsi="宋体" w:eastAsia="宋体" w:cs="宋体"/>
                <w:color w:val="auto"/>
                <w:szCs w:val="22"/>
                <w:highlight w:val="none"/>
              </w:rPr>
            </w:pPr>
          </w:p>
        </w:tc>
        <w:tc>
          <w:tcPr>
            <w:tcW w:w="1914" w:type="dxa"/>
          </w:tcPr>
          <w:p w14:paraId="36E5BC75">
            <w:pPr>
              <w:jc w:val="center"/>
              <w:rPr>
                <w:rFonts w:hint="eastAsia" w:ascii="宋体" w:hAnsi="宋体" w:eastAsia="宋体" w:cs="宋体"/>
                <w:color w:val="auto"/>
                <w:szCs w:val="22"/>
                <w:highlight w:val="none"/>
              </w:rPr>
            </w:pPr>
          </w:p>
        </w:tc>
        <w:tc>
          <w:tcPr>
            <w:tcW w:w="4143" w:type="dxa"/>
            <w:gridSpan w:val="2"/>
          </w:tcPr>
          <w:p w14:paraId="60E3E2CC">
            <w:pPr>
              <w:jc w:val="center"/>
              <w:rPr>
                <w:rFonts w:hint="eastAsia" w:ascii="宋体" w:hAnsi="宋体" w:eastAsia="宋体" w:cs="宋体"/>
                <w:color w:val="auto"/>
                <w:szCs w:val="22"/>
                <w:highlight w:val="none"/>
              </w:rPr>
            </w:pPr>
          </w:p>
        </w:tc>
      </w:tr>
      <w:tr w14:paraId="32DF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2546F41D">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w:t>
            </w:r>
          </w:p>
        </w:tc>
        <w:tc>
          <w:tcPr>
            <w:tcW w:w="1533" w:type="dxa"/>
            <w:tcBorders>
              <w:left w:val="single" w:color="auto" w:sz="4" w:space="0"/>
            </w:tcBorders>
          </w:tcPr>
          <w:p w14:paraId="223A3812">
            <w:pPr>
              <w:jc w:val="left"/>
              <w:rPr>
                <w:rFonts w:hint="eastAsia" w:ascii="宋体" w:hAnsi="宋体" w:eastAsia="宋体" w:cs="宋体"/>
                <w:color w:val="auto"/>
                <w:szCs w:val="22"/>
                <w:highlight w:val="none"/>
              </w:rPr>
            </w:pPr>
          </w:p>
        </w:tc>
        <w:tc>
          <w:tcPr>
            <w:tcW w:w="1914" w:type="dxa"/>
          </w:tcPr>
          <w:p w14:paraId="3D6F95C7">
            <w:pPr>
              <w:jc w:val="center"/>
              <w:rPr>
                <w:rFonts w:hint="eastAsia" w:ascii="宋体" w:hAnsi="宋体" w:eastAsia="宋体" w:cs="宋体"/>
                <w:color w:val="auto"/>
                <w:szCs w:val="22"/>
                <w:highlight w:val="none"/>
              </w:rPr>
            </w:pPr>
          </w:p>
        </w:tc>
        <w:tc>
          <w:tcPr>
            <w:tcW w:w="4143" w:type="dxa"/>
            <w:gridSpan w:val="2"/>
          </w:tcPr>
          <w:p w14:paraId="204566DE">
            <w:pPr>
              <w:jc w:val="center"/>
              <w:rPr>
                <w:rFonts w:hint="eastAsia" w:ascii="宋体" w:hAnsi="宋体" w:eastAsia="宋体" w:cs="宋体"/>
                <w:color w:val="auto"/>
                <w:szCs w:val="22"/>
                <w:highlight w:val="none"/>
              </w:rPr>
            </w:pPr>
          </w:p>
        </w:tc>
      </w:tr>
      <w:tr w14:paraId="08ED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CAB5543">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三、各类人员证书</w:t>
            </w:r>
          </w:p>
        </w:tc>
        <w:tc>
          <w:tcPr>
            <w:tcW w:w="1533" w:type="dxa"/>
            <w:tcBorders>
              <w:left w:val="single" w:color="auto" w:sz="4" w:space="0"/>
            </w:tcBorders>
          </w:tcPr>
          <w:p w14:paraId="590EBA93">
            <w:pPr>
              <w:jc w:val="left"/>
              <w:rPr>
                <w:rFonts w:hint="eastAsia" w:ascii="宋体" w:hAnsi="宋体" w:eastAsia="宋体" w:cs="宋体"/>
                <w:color w:val="auto"/>
                <w:szCs w:val="22"/>
                <w:highlight w:val="none"/>
              </w:rPr>
            </w:pPr>
          </w:p>
        </w:tc>
        <w:tc>
          <w:tcPr>
            <w:tcW w:w="1914" w:type="dxa"/>
          </w:tcPr>
          <w:p w14:paraId="6E2225D0">
            <w:pPr>
              <w:jc w:val="center"/>
              <w:rPr>
                <w:rFonts w:hint="eastAsia" w:ascii="宋体" w:hAnsi="宋体" w:eastAsia="宋体" w:cs="宋体"/>
                <w:color w:val="auto"/>
                <w:szCs w:val="22"/>
                <w:highlight w:val="none"/>
              </w:rPr>
            </w:pPr>
          </w:p>
        </w:tc>
        <w:tc>
          <w:tcPr>
            <w:tcW w:w="4143" w:type="dxa"/>
            <w:gridSpan w:val="2"/>
          </w:tcPr>
          <w:p w14:paraId="3266C370">
            <w:pPr>
              <w:jc w:val="center"/>
              <w:rPr>
                <w:rFonts w:hint="eastAsia" w:ascii="宋体" w:hAnsi="宋体" w:eastAsia="宋体" w:cs="宋体"/>
                <w:color w:val="auto"/>
                <w:szCs w:val="22"/>
                <w:highlight w:val="none"/>
              </w:rPr>
            </w:pPr>
          </w:p>
        </w:tc>
      </w:tr>
      <w:tr w14:paraId="39C4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6B828514">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1.</w:t>
            </w:r>
          </w:p>
        </w:tc>
        <w:tc>
          <w:tcPr>
            <w:tcW w:w="1533" w:type="dxa"/>
            <w:tcBorders>
              <w:left w:val="single" w:color="auto" w:sz="4" w:space="0"/>
            </w:tcBorders>
          </w:tcPr>
          <w:p w14:paraId="7C21899F">
            <w:pPr>
              <w:jc w:val="left"/>
              <w:rPr>
                <w:rFonts w:hint="eastAsia" w:ascii="宋体" w:hAnsi="宋体" w:eastAsia="宋体" w:cs="宋体"/>
                <w:color w:val="auto"/>
                <w:szCs w:val="22"/>
                <w:highlight w:val="none"/>
              </w:rPr>
            </w:pPr>
          </w:p>
        </w:tc>
        <w:tc>
          <w:tcPr>
            <w:tcW w:w="1914" w:type="dxa"/>
          </w:tcPr>
          <w:p w14:paraId="078FEDBD">
            <w:pPr>
              <w:jc w:val="center"/>
              <w:rPr>
                <w:rFonts w:hint="eastAsia" w:ascii="宋体" w:hAnsi="宋体" w:eastAsia="宋体" w:cs="宋体"/>
                <w:color w:val="auto"/>
                <w:szCs w:val="22"/>
                <w:highlight w:val="none"/>
              </w:rPr>
            </w:pPr>
          </w:p>
        </w:tc>
        <w:tc>
          <w:tcPr>
            <w:tcW w:w="4143" w:type="dxa"/>
            <w:gridSpan w:val="2"/>
          </w:tcPr>
          <w:p w14:paraId="39A056AA">
            <w:pPr>
              <w:jc w:val="center"/>
              <w:rPr>
                <w:rFonts w:hint="eastAsia" w:ascii="宋体" w:hAnsi="宋体" w:eastAsia="宋体" w:cs="宋体"/>
                <w:color w:val="auto"/>
                <w:szCs w:val="22"/>
                <w:highlight w:val="none"/>
              </w:rPr>
            </w:pPr>
          </w:p>
        </w:tc>
      </w:tr>
      <w:tr w14:paraId="4E3E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77C370F0">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w:t>
            </w:r>
          </w:p>
        </w:tc>
        <w:tc>
          <w:tcPr>
            <w:tcW w:w="1533" w:type="dxa"/>
            <w:tcBorders>
              <w:left w:val="single" w:color="auto" w:sz="4" w:space="0"/>
            </w:tcBorders>
          </w:tcPr>
          <w:p w14:paraId="6B11E36E">
            <w:pPr>
              <w:jc w:val="left"/>
              <w:rPr>
                <w:rFonts w:hint="eastAsia" w:ascii="宋体" w:hAnsi="宋体" w:eastAsia="宋体" w:cs="宋体"/>
                <w:color w:val="auto"/>
                <w:szCs w:val="22"/>
                <w:highlight w:val="none"/>
              </w:rPr>
            </w:pPr>
          </w:p>
        </w:tc>
        <w:tc>
          <w:tcPr>
            <w:tcW w:w="1914" w:type="dxa"/>
          </w:tcPr>
          <w:p w14:paraId="3762B2F1">
            <w:pPr>
              <w:jc w:val="center"/>
              <w:rPr>
                <w:rFonts w:hint="eastAsia" w:ascii="宋体" w:hAnsi="宋体" w:eastAsia="宋体" w:cs="宋体"/>
                <w:color w:val="auto"/>
                <w:szCs w:val="22"/>
                <w:highlight w:val="none"/>
              </w:rPr>
            </w:pPr>
          </w:p>
        </w:tc>
        <w:tc>
          <w:tcPr>
            <w:tcW w:w="4143" w:type="dxa"/>
            <w:gridSpan w:val="2"/>
          </w:tcPr>
          <w:p w14:paraId="1D5C9FB1">
            <w:pPr>
              <w:jc w:val="center"/>
              <w:rPr>
                <w:rFonts w:hint="eastAsia" w:ascii="宋体" w:hAnsi="宋体" w:eastAsia="宋体" w:cs="宋体"/>
                <w:color w:val="auto"/>
                <w:szCs w:val="22"/>
                <w:highlight w:val="none"/>
              </w:rPr>
            </w:pPr>
          </w:p>
        </w:tc>
      </w:tr>
      <w:tr w14:paraId="5137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25D3E641">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四、产品检测报告</w:t>
            </w:r>
          </w:p>
        </w:tc>
        <w:tc>
          <w:tcPr>
            <w:tcW w:w="1533" w:type="dxa"/>
            <w:tcBorders>
              <w:left w:val="single" w:color="auto" w:sz="4" w:space="0"/>
            </w:tcBorders>
          </w:tcPr>
          <w:p w14:paraId="122B4079">
            <w:pPr>
              <w:jc w:val="left"/>
              <w:rPr>
                <w:rFonts w:hint="eastAsia" w:ascii="宋体" w:hAnsi="宋体" w:eastAsia="宋体" w:cs="宋体"/>
                <w:color w:val="auto"/>
                <w:szCs w:val="22"/>
                <w:highlight w:val="none"/>
              </w:rPr>
            </w:pPr>
          </w:p>
        </w:tc>
        <w:tc>
          <w:tcPr>
            <w:tcW w:w="1914" w:type="dxa"/>
          </w:tcPr>
          <w:p w14:paraId="5B91DE39">
            <w:pPr>
              <w:jc w:val="center"/>
              <w:rPr>
                <w:rFonts w:hint="eastAsia" w:ascii="宋体" w:hAnsi="宋体" w:eastAsia="宋体" w:cs="宋体"/>
                <w:color w:val="auto"/>
                <w:szCs w:val="22"/>
                <w:highlight w:val="none"/>
              </w:rPr>
            </w:pPr>
          </w:p>
        </w:tc>
        <w:tc>
          <w:tcPr>
            <w:tcW w:w="4143" w:type="dxa"/>
            <w:gridSpan w:val="2"/>
          </w:tcPr>
          <w:p w14:paraId="76ADC909">
            <w:pPr>
              <w:jc w:val="center"/>
              <w:rPr>
                <w:rFonts w:hint="eastAsia" w:ascii="宋体" w:hAnsi="宋体" w:eastAsia="宋体" w:cs="宋体"/>
                <w:color w:val="auto"/>
                <w:szCs w:val="22"/>
                <w:highlight w:val="none"/>
              </w:rPr>
            </w:pPr>
          </w:p>
        </w:tc>
      </w:tr>
      <w:tr w14:paraId="66F2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49F3577">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1.</w:t>
            </w:r>
          </w:p>
        </w:tc>
        <w:tc>
          <w:tcPr>
            <w:tcW w:w="1533" w:type="dxa"/>
            <w:tcBorders>
              <w:left w:val="single" w:color="auto" w:sz="4" w:space="0"/>
            </w:tcBorders>
          </w:tcPr>
          <w:p w14:paraId="51B2508E">
            <w:pPr>
              <w:jc w:val="left"/>
              <w:rPr>
                <w:rFonts w:hint="eastAsia" w:ascii="宋体" w:hAnsi="宋体" w:eastAsia="宋体" w:cs="宋体"/>
                <w:color w:val="auto"/>
                <w:szCs w:val="22"/>
                <w:highlight w:val="none"/>
              </w:rPr>
            </w:pPr>
          </w:p>
        </w:tc>
        <w:tc>
          <w:tcPr>
            <w:tcW w:w="1914" w:type="dxa"/>
          </w:tcPr>
          <w:p w14:paraId="7B047DE3">
            <w:pPr>
              <w:jc w:val="center"/>
              <w:rPr>
                <w:rFonts w:hint="eastAsia" w:ascii="宋体" w:hAnsi="宋体" w:eastAsia="宋体" w:cs="宋体"/>
                <w:color w:val="auto"/>
                <w:szCs w:val="22"/>
                <w:highlight w:val="none"/>
              </w:rPr>
            </w:pPr>
          </w:p>
        </w:tc>
        <w:tc>
          <w:tcPr>
            <w:tcW w:w="4143" w:type="dxa"/>
            <w:gridSpan w:val="2"/>
          </w:tcPr>
          <w:p w14:paraId="2CEF1E6C">
            <w:pPr>
              <w:jc w:val="center"/>
              <w:rPr>
                <w:rFonts w:hint="eastAsia" w:ascii="宋体" w:hAnsi="宋体" w:eastAsia="宋体" w:cs="宋体"/>
                <w:color w:val="auto"/>
                <w:szCs w:val="22"/>
                <w:highlight w:val="none"/>
              </w:rPr>
            </w:pPr>
          </w:p>
        </w:tc>
      </w:tr>
      <w:tr w14:paraId="6A32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F8E49ED">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w:t>
            </w:r>
          </w:p>
        </w:tc>
        <w:tc>
          <w:tcPr>
            <w:tcW w:w="1533" w:type="dxa"/>
            <w:tcBorders>
              <w:left w:val="single" w:color="auto" w:sz="4" w:space="0"/>
            </w:tcBorders>
          </w:tcPr>
          <w:p w14:paraId="6B1D9D17">
            <w:pPr>
              <w:jc w:val="left"/>
              <w:rPr>
                <w:rFonts w:hint="eastAsia" w:ascii="宋体" w:hAnsi="宋体" w:eastAsia="宋体" w:cs="宋体"/>
                <w:color w:val="auto"/>
                <w:szCs w:val="22"/>
                <w:highlight w:val="none"/>
              </w:rPr>
            </w:pPr>
          </w:p>
        </w:tc>
        <w:tc>
          <w:tcPr>
            <w:tcW w:w="1914" w:type="dxa"/>
          </w:tcPr>
          <w:p w14:paraId="2B4C7CCB">
            <w:pPr>
              <w:jc w:val="center"/>
              <w:rPr>
                <w:rFonts w:hint="eastAsia" w:ascii="宋体" w:hAnsi="宋体" w:eastAsia="宋体" w:cs="宋体"/>
                <w:color w:val="auto"/>
                <w:szCs w:val="22"/>
                <w:highlight w:val="none"/>
              </w:rPr>
            </w:pPr>
          </w:p>
        </w:tc>
        <w:tc>
          <w:tcPr>
            <w:tcW w:w="4143" w:type="dxa"/>
            <w:gridSpan w:val="2"/>
          </w:tcPr>
          <w:p w14:paraId="29C5F6C6">
            <w:pPr>
              <w:jc w:val="center"/>
              <w:rPr>
                <w:rFonts w:hint="eastAsia" w:ascii="宋体" w:hAnsi="宋体" w:eastAsia="宋体" w:cs="宋体"/>
                <w:color w:val="auto"/>
                <w:szCs w:val="22"/>
                <w:highlight w:val="none"/>
              </w:rPr>
            </w:pPr>
          </w:p>
        </w:tc>
      </w:tr>
      <w:tr w14:paraId="2F34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12145200">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五、其他客观分评审内容（如有）</w:t>
            </w:r>
          </w:p>
        </w:tc>
        <w:tc>
          <w:tcPr>
            <w:tcW w:w="1533" w:type="dxa"/>
            <w:tcBorders>
              <w:left w:val="single" w:color="auto" w:sz="4" w:space="0"/>
            </w:tcBorders>
          </w:tcPr>
          <w:p w14:paraId="20113451">
            <w:pPr>
              <w:jc w:val="left"/>
              <w:rPr>
                <w:rFonts w:hint="eastAsia" w:ascii="宋体" w:hAnsi="宋体" w:eastAsia="宋体" w:cs="宋体"/>
                <w:color w:val="auto"/>
                <w:szCs w:val="22"/>
                <w:highlight w:val="none"/>
              </w:rPr>
            </w:pPr>
          </w:p>
        </w:tc>
        <w:tc>
          <w:tcPr>
            <w:tcW w:w="1914" w:type="dxa"/>
          </w:tcPr>
          <w:p w14:paraId="731984DA">
            <w:pPr>
              <w:jc w:val="center"/>
              <w:rPr>
                <w:rFonts w:hint="eastAsia" w:ascii="宋体" w:hAnsi="宋体" w:eastAsia="宋体" w:cs="宋体"/>
                <w:color w:val="auto"/>
                <w:szCs w:val="22"/>
                <w:highlight w:val="none"/>
              </w:rPr>
            </w:pPr>
          </w:p>
        </w:tc>
        <w:tc>
          <w:tcPr>
            <w:tcW w:w="4143" w:type="dxa"/>
            <w:gridSpan w:val="2"/>
          </w:tcPr>
          <w:p w14:paraId="0BCCF1F9">
            <w:pPr>
              <w:jc w:val="center"/>
              <w:rPr>
                <w:rFonts w:hint="eastAsia" w:ascii="宋体" w:hAnsi="宋体" w:eastAsia="宋体" w:cs="宋体"/>
                <w:color w:val="auto"/>
                <w:szCs w:val="22"/>
                <w:highlight w:val="none"/>
              </w:rPr>
            </w:pPr>
          </w:p>
        </w:tc>
      </w:tr>
      <w:tr w14:paraId="3AFDE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3DCA1CF2">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1.</w:t>
            </w:r>
          </w:p>
        </w:tc>
        <w:tc>
          <w:tcPr>
            <w:tcW w:w="1533" w:type="dxa"/>
            <w:tcBorders>
              <w:left w:val="single" w:color="auto" w:sz="4" w:space="0"/>
            </w:tcBorders>
          </w:tcPr>
          <w:p w14:paraId="12D0AE02">
            <w:pPr>
              <w:jc w:val="left"/>
              <w:rPr>
                <w:rFonts w:hint="eastAsia" w:ascii="宋体" w:hAnsi="宋体" w:eastAsia="宋体" w:cs="宋体"/>
                <w:color w:val="auto"/>
                <w:szCs w:val="22"/>
                <w:highlight w:val="none"/>
              </w:rPr>
            </w:pPr>
          </w:p>
        </w:tc>
        <w:tc>
          <w:tcPr>
            <w:tcW w:w="1914" w:type="dxa"/>
          </w:tcPr>
          <w:p w14:paraId="361B828D">
            <w:pPr>
              <w:jc w:val="center"/>
              <w:rPr>
                <w:rFonts w:hint="eastAsia" w:ascii="宋体" w:hAnsi="宋体" w:eastAsia="宋体" w:cs="宋体"/>
                <w:color w:val="auto"/>
                <w:szCs w:val="22"/>
                <w:highlight w:val="none"/>
              </w:rPr>
            </w:pPr>
          </w:p>
        </w:tc>
        <w:tc>
          <w:tcPr>
            <w:tcW w:w="4143" w:type="dxa"/>
            <w:gridSpan w:val="2"/>
          </w:tcPr>
          <w:p w14:paraId="07EBDF21">
            <w:pPr>
              <w:jc w:val="center"/>
              <w:rPr>
                <w:rFonts w:hint="eastAsia" w:ascii="宋体" w:hAnsi="宋体" w:eastAsia="宋体" w:cs="宋体"/>
                <w:color w:val="auto"/>
                <w:szCs w:val="22"/>
                <w:highlight w:val="none"/>
              </w:rPr>
            </w:pPr>
          </w:p>
        </w:tc>
      </w:tr>
      <w:tr w14:paraId="3B5C7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0" w:type="dxa"/>
            <w:tcBorders>
              <w:right w:val="single" w:color="auto" w:sz="4" w:space="0"/>
            </w:tcBorders>
          </w:tcPr>
          <w:p w14:paraId="53F6D06A">
            <w:pPr>
              <w:jc w:val="left"/>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2.</w:t>
            </w:r>
          </w:p>
        </w:tc>
        <w:tc>
          <w:tcPr>
            <w:tcW w:w="1533" w:type="dxa"/>
            <w:tcBorders>
              <w:left w:val="single" w:color="auto" w:sz="4" w:space="0"/>
            </w:tcBorders>
          </w:tcPr>
          <w:p w14:paraId="4F0DE099">
            <w:pPr>
              <w:jc w:val="left"/>
              <w:rPr>
                <w:rFonts w:hint="eastAsia" w:ascii="宋体" w:hAnsi="宋体" w:eastAsia="宋体" w:cs="宋体"/>
                <w:color w:val="auto"/>
                <w:szCs w:val="22"/>
                <w:highlight w:val="none"/>
              </w:rPr>
            </w:pPr>
          </w:p>
        </w:tc>
        <w:tc>
          <w:tcPr>
            <w:tcW w:w="1914" w:type="dxa"/>
          </w:tcPr>
          <w:p w14:paraId="181409F8">
            <w:pPr>
              <w:jc w:val="center"/>
              <w:rPr>
                <w:rFonts w:hint="eastAsia" w:ascii="宋体" w:hAnsi="宋体" w:eastAsia="宋体" w:cs="宋体"/>
                <w:color w:val="auto"/>
                <w:szCs w:val="22"/>
                <w:highlight w:val="none"/>
              </w:rPr>
            </w:pPr>
          </w:p>
        </w:tc>
        <w:tc>
          <w:tcPr>
            <w:tcW w:w="4143" w:type="dxa"/>
            <w:gridSpan w:val="2"/>
          </w:tcPr>
          <w:p w14:paraId="4CC0F1E5">
            <w:pPr>
              <w:jc w:val="center"/>
              <w:rPr>
                <w:rFonts w:hint="eastAsia" w:ascii="宋体" w:hAnsi="宋体" w:eastAsia="宋体" w:cs="宋体"/>
                <w:color w:val="auto"/>
                <w:szCs w:val="22"/>
                <w:highlight w:val="none"/>
              </w:rPr>
            </w:pPr>
          </w:p>
        </w:tc>
      </w:tr>
    </w:tbl>
    <w:p w14:paraId="4000C187">
      <w:pPr>
        <w:rPr>
          <w:rFonts w:hint="eastAsia" w:ascii="宋体" w:hAnsi="宋体" w:eastAsia="宋体" w:cs="宋体"/>
          <w:color w:val="auto"/>
          <w:highlight w:val="none"/>
          <w:lang w:eastAsia="zh-CN"/>
        </w:rPr>
      </w:pPr>
      <w:r>
        <w:rPr>
          <w:rFonts w:hint="eastAsia" w:ascii="宋体" w:hAnsi="宋体" w:eastAsia="宋体" w:cs="宋体"/>
          <w:b/>
          <w:bCs/>
          <w:color w:val="auto"/>
          <w:highlight w:val="none"/>
        </w:rPr>
        <w:t>注：对照招标文件中的评分办法，如供应商针对客观分评审内容提供了对应的证明材料，请根据自身的投标文件将各项材料一一列明，并明确假设中标（成交）后可通过什么方式进行核验</w:t>
      </w:r>
      <w:r>
        <w:rPr>
          <w:rFonts w:hint="eastAsia" w:ascii="宋体" w:hAnsi="宋体" w:eastAsia="宋体" w:cs="宋体"/>
          <w:b/>
          <w:bCs/>
          <w:color w:val="auto"/>
          <w:highlight w:val="none"/>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E2F5">
    <w:pPr>
      <w:pStyle w:val="12"/>
      <w:jc w:val="center"/>
      <w:rPr>
        <w:rFonts w:asci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6F0438">
                          <w:pPr>
                            <w:pStyle w:val="1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ods8AvAEAAHsDAAAOAAAAAAAAAAEAIAAAAB8BAABkcnMvZTJvRG9jLnhtbFBLBQYAAAAA&#10;BgAGAFkBAABNBQAAAAA=&#10;">
              <v:fill on="f" focussize="0,0"/>
              <v:stroke on="f"/>
              <v:imagedata o:title=""/>
              <o:lock v:ext="edit" aspectratio="f"/>
              <v:textbox inset="0mm,0mm,0mm,0mm" style="mso-fit-shape-to-text:t;">
                <w:txbxContent>
                  <w:p w14:paraId="786F0438">
                    <w:pPr>
                      <w:pStyle w:val="12"/>
                    </w:pPr>
                    <w:r>
                      <w:fldChar w:fldCharType="begin"/>
                    </w:r>
                    <w:r>
                      <w:instrText xml:space="preserve"> PAGE  \* MERGEFORMAT </w:instrText>
                    </w:r>
                    <w:r>
                      <w:fldChar w:fldCharType="separate"/>
                    </w:r>
                    <w:r>
                      <w:t>23</w:t>
                    </w:r>
                    <w:r>
                      <w:fldChar w:fldCharType="end"/>
                    </w:r>
                  </w:p>
                </w:txbxContent>
              </v:textbox>
            </v:rect>
          </w:pict>
        </mc:Fallback>
      </mc:AlternateContent>
    </w:r>
  </w:p>
  <w:p w14:paraId="290EB2B0">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A906">
    <w:pPr>
      <w:pStyle w:val="12"/>
      <w:jc w:val="center"/>
      <w:rPr>
        <w:rFonts w:asci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AC4575">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9p2cUvAEAAHsDAAAOAAAAAAAAAAEAIAAAAB8BAABkcnMvZTJvRG9jLnhtbFBLBQYAAAAA&#10;BgAGAFkBAABNBQAAAAA=&#10;">
              <v:fill on="f" focussize="0,0"/>
              <v:stroke on="f"/>
              <v:imagedata o:title=""/>
              <o:lock v:ext="edit" aspectratio="f"/>
              <v:textbox inset="0mm,0mm,0mm,0mm" style="mso-fit-shape-to-text:t;">
                <w:txbxContent>
                  <w:p w14:paraId="2BAC4575">
                    <w:pPr>
                      <w:pStyle w:val="12"/>
                    </w:pPr>
                    <w:r>
                      <w:fldChar w:fldCharType="begin"/>
                    </w:r>
                    <w:r>
                      <w:instrText xml:space="preserve"> PAGE  \* MERGEFORMAT </w:instrText>
                    </w:r>
                    <w:r>
                      <w:fldChar w:fldCharType="separate"/>
                    </w:r>
                    <w:r>
                      <w:t>1</w:t>
                    </w:r>
                    <w:r>
                      <w:fldChar w:fldCharType="end"/>
                    </w:r>
                  </w:p>
                </w:txbxContent>
              </v:textbox>
            </v:rect>
          </w:pict>
        </mc:Fallback>
      </mc:AlternateContent>
    </w:r>
  </w:p>
  <w:p w14:paraId="4B189EFC">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F1EA">
    <w:pPr>
      <w:pStyle w:val="12"/>
      <w:jc w:val="center"/>
      <w:rPr>
        <w:rFonts w:asci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D26E22">
                          <w:pPr>
                            <w:pStyle w:val="12"/>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dblS0AAAAAUBAAAPAAAAAAAAAAEAIAAAACIAAABkcnMvZG93bnJldi54bWxQSwECFAAUAAAACACH&#10;TuJA/1QxBLoBAAB7AwAADgAAAAAAAAABACAAAAAfAQAAZHJzL2Uyb0RvYy54bWxQSwUGAAAAAAYA&#10;BgBZAQAASwUAAAAA&#10;">
              <v:fill on="f" focussize="0,0"/>
              <v:stroke on="f"/>
              <v:imagedata o:title=""/>
              <o:lock v:ext="edit" aspectratio="f"/>
              <v:textbox inset="0mm,0mm,0mm,0mm" style="mso-fit-shape-to-text:t;">
                <w:txbxContent>
                  <w:p w14:paraId="3CD26E22">
                    <w:pPr>
                      <w:pStyle w:val="12"/>
                    </w:pPr>
                    <w:r>
                      <w:fldChar w:fldCharType="begin"/>
                    </w:r>
                    <w:r>
                      <w:instrText xml:space="preserve"> PAGE  \* MERGEFORMAT </w:instrText>
                    </w:r>
                    <w:r>
                      <w:fldChar w:fldCharType="separate"/>
                    </w:r>
                    <w:r>
                      <w:t>31</w:t>
                    </w:r>
                    <w:r>
                      <w:fldChar w:fldCharType="end"/>
                    </w:r>
                  </w:p>
                </w:txbxContent>
              </v:textbox>
            </v:rect>
          </w:pict>
        </mc:Fallback>
      </mc:AlternateContent>
    </w:r>
  </w:p>
  <w:p w14:paraId="4E7F03A3">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3C2A">
    <w:pPr>
      <w:pStyle w:val="12"/>
      <w:jc w:val="center"/>
      <w:rPr>
        <w:rFonts w:asci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BA85FF">
                          <w:pPr>
                            <w:pStyle w:val="12"/>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xm+mhvAEAAHsDAAAOAAAAAAAAAAEAIAAAAB8BAABkcnMvZTJvRG9jLnhtbFBLBQYAAAAA&#10;BgAGAFkBAABNBQAAAAA=&#10;">
              <v:fill on="f" focussize="0,0"/>
              <v:stroke on="f"/>
              <v:imagedata o:title=""/>
              <o:lock v:ext="edit" aspectratio="f"/>
              <v:textbox inset="0mm,0mm,0mm,0mm" style="mso-fit-shape-to-text:t;">
                <w:txbxContent>
                  <w:p w14:paraId="0DBA85FF">
                    <w:pPr>
                      <w:pStyle w:val="12"/>
                    </w:pPr>
                    <w:r>
                      <w:fldChar w:fldCharType="begin"/>
                    </w:r>
                    <w:r>
                      <w:instrText xml:space="preserve"> PAGE  \* MERGEFORMAT </w:instrText>
                    </w:r>
                    <w:r>
                      <w:fldChar w:fldCharType="separate"/>
                    </w:r>
                    <w:r>
                      <w:t>24</w:t>
                    </w:r>
                    <w:r>
                      <w:fldChar w:fldCharType="end"/>
                    </w:r>
                  </w:p>
                </w:txbxContent>
              </v:textbox>
            </v:rect>
          </w:pict>
        </mc:Fallback>
      </mc:AlternateContent>
    </w:r>
  </w:p>
  <w:p w14:paraId="3492BC9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67C5">
    <w:pPr>
      <w:widowControl/>
      <w:pBdr>
        <w:bottom w:val="single" w:color="auto" w:sz="4" w:space="0"/>
      </w:pBdr>
      <w:adjustRightInd/>
      <w:spacing w:line="240" w:lineRule="atLeast"/>
      <w:jc w:val="right"/>
      <w:rPr>
        <w:rFonts w:ascii="仿宋_GB2312" w:eastAsia="仿宋_GB2312"/>
        <w:b/>
        <w:i/>
        <w:sz w:val="18"/>
        <w:u w:val="single"/>
      </w:rPr>
    </w:pPr>
    <w:r>
      <w:rPr>
        <w:rFonts w:hint="eastAsia"/>
        <w:szCs w:val="22"/>
      </w:rPr>
      <w:t>浙江乐诚工程咨询有限公司招标文件</w:t>
    </w:r>
    <w:r>
      <w:rPr>
        <w:rFonts w:hint="eastAsia" w:ascii="Arial" w:hAnsi="宋体" w:cs="Arial"/>
        <w:b/>
        <w:szCs w:val="21"/>
      </w:rPr>
      <w:drawing>
        <wp:inline distT="0" distB="0" distL="0" distR="0">
          <wp:extent cx="381000" cy="34290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381000" cy="342900"/>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77C1">
    <w:pPr>
      <w:pStyle w:val="13"/>
      <w:pBdr>
        <w:bottom w:val="none" w:color="auto" w:sz="0" w:space="1"/>
      </w:pBdr>
    </w:pPr>
    <w:r>
      <w:t></w:t>
    </w:r>
    <w:r>
      <w:rPr>
        <w:rFonts w:hint="eastAsia"/>
      </w:rPr>
      <w:t xml:space="preserve">         </w:t>
    </w:r>
  </w:p>
  <w:p w14:paraId="5BE2CCD4">
    <w:pPr>
      <w:pStyle w:val="1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DF83">
    <w:pPr>
      <w:widowControl/>
      <w:pBdr>
        <w:bottom w:val="single" w:color="auto" w:sz="4" w:space="0"/>
      </w:pBdr>
      <w:adjustRightInd/>
      <w:spacing w:line="240" w:lineRule="atLeast"/>
      <w:jc w:val="right"/>
      <w:rPr>
        <w:rFonts w:ascii="仿宋_GB2312" w:eastAsia="仿宋_GB2312"/>
        <w:b/>
        <w:i/>
        <w:sz w:val="18"/>
        <w:u w:val="single"/>
      </w:rPr>
    </w:pPr>
    <w:r>
      <w:rPr>
        <w:rFonts w:hint="eastAsia"/>
        <w:szCs w:val="22"/>
      </w:rPr>
      <w:t>浙江乐诚工程咨询有限公司招标文件</w:t>
    </w:r>
    <w:r>
      <w:rPr>
        <w:rFonts w:hint="eastAsia" w:ascii="Arial" w:hAnsi="宋体" w:cs="Arial"/>
        <w:b/>
        <w:szCs w:val="21"/>
      </w:rPr>
      <w:drawing>
        <wp:inline distT="0" distB="0" distL="0" distR="0">
          <wp:extent cx="381000" cy="3429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cstate="print"/>
                  <a:srcRect/>
                  <a:stretch>
                    <a:fillRect/>
                  </a:stretch>
                </pic:blipFill>
                <pic:spPr>
                  <a:xfrm>
                    <a:off x="0" y="0"/>
                    <a:ext cx="381000" cy="342900"/>
                  </a:xfrm>
                  <a:prstGeom prst="rect">
                    <a:avLst/>
                  </a:prstGeom>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10CB">
    <w:pPr>
      <w:widowControl/>
      <w:adjustRightInd/>
      <w:spacing w:line="240" w:lineRule="atLeast"/>
      <w:ind w:left="4620" w:hanging="4620" w:hangingChars="220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D6315"/>
    <w:multiLevelType w:val="singleLevel"/>
    <w:tmpl w:val="8FED6315"/>
    <w:lvl w:ilvl="0" w:tentative="0">
      <w:start w:val="1"/>
      <w:numFmt w:val="decimalEnclosedCircleChinese"/>
      <w:suff w:val="nothing"/>
      <w:lvlText w:val="%1　"/>
      <w:lvlJc w:val="left"/>
      <w:pPr>
        <w:ind w:left="0" w:firstLine="400"/>
      </w:pPr>
      <w:rPr>
        <w:rFonts w:hint="eastAsia"/>
      </w:rPr>
    </w:lvl>
  </w:abstractNum>
  <w:abstractNum w:abstractNumId="1">
    <w:nsid w:val="9D58DB32"/>
    <w:multiLevelType w:val="singleLevel"/>
    <w:tmpl w:val="9D58DB32"/>
    <w:lvl w:ilvl="0" w:tentative="0">
      <w:start w:val="1"/>
      <w:numFmt w:val="decimal"/>
      <w:suff w:val="nothing"/>
      <w:lvlText w:val="%1."/>
      <w:lvlJc w:val="left"/>
    </w:lvl>
  </w:abstractNum>
  <w:abstractNum w:abstractNumId="2">
    <w:nsid w:val="AE3C3135"/>
    <w:multiLevelType w:val="singleLevel"/>
    <w:tmpl w:val="AE3C3135"/>
    <w:lvl w:ilvl="0" w:tentative="0">
      <w:start w:val="1"/>
      <w:numFmt w:val="decimalEnclosedCircleChinese"/>
      <w:suff w:val="nothing"/>
      <w:lvlText w:val="%1　"/>
      <w:lvlJc w:val="left"/>
      <w:pPr>
        <w:ind w:left="0" w:firstLine="400"/>
      </w:pPr>
      <w:rPr>
        <w:rFonts w:hint="eastAsia"/>
      </w:rPr>
    </w:lvl>
  </w:abstractNum>
  <w:abstractNum w:abstractNumId="3">
    <w:nsid w:val="AE66D7C5"/>
    <w:multiLevelType w:val="singleLevel"/>
    <w:tmpl w:val="AE66D7C5"/>
    <w:lvl w:ilvl="0" w:tentative="0">
      <w:start w:val="1"/>
      <w:numFmt w:val="decimal"/>
      <w:lvlText w:val="(%1)"/>
      <w:lvlJc w:val="left"/>
      <w:pPr>
        <w:ind w:left="425" w:hanging="425"/>
      </w:pPr>
      <w:rPr>
        <w:rFonts w:hint="default"/>
      </w:rPr>
    </w:lvl>
  </w:abstractNum>
  <w:abstractNum w:abstractNumId="4">
    <w:nsid w:val="BD2672B3"/>
    <w:multiLevelType w:val="singleLevel"/>
    <w:tmpl w:val="BD2672B3"/>
    <w:lvl w:ilvl="0" w:tentative="0">
      <w:start w:val="1"/>
      <w:numFmt w:val="decimal"/>
      <w:suff w:val="nothing"/>
      <w:lvlText w:val="(%1)"/>
      <w:lvlJc w:val="left"/>
      <w:pPr>
        <w:ind w:left="425" w:hanging="425"/>
      </w:pPr>
      <w:rPr>
        <w:rFonts w:hint="default"/>
        <w:u w:val="single"/>
      </w:rPr>
    </w:lvl>
  </w:abstractNum>
  <w:abstractNum w:abstractNumId="5">
    <w:nsid w:val="F8A81885"/>
    <w:multiLevelType w:val="singleLevel"/>
    <w:tmpl w:val="F8A81885"/>
    <w:lvl w:ilvl="0" w:tentative="0">
      <w:start w:val="1"/>
      <w:numFmt w:val="decimal"/>
      <w:suff w:val="space"/>
      <w:lvlText w:val="%1."/>
      <w:lvlJc w:val="left"/>
    </w:lvl>
  </w:abstractNum>
  <w:abstractNum w:abstractNumId="6">
    <w:nsid w:val="00000000"/>
    <w:multiLevelType w:val="singleLevel"/>
    <w:tmpl w:val="00000000"/>
    <w:lvl w:ilvl="0" w:tentative="0">
      <w:start w:val="1"/>
      <w:numFmt w:val="decimal"/>
      <w:suff w:val="nothing"/>
      <w:lvlText w:val="%1．"/>
      <w:lvlJc w:val="left"/>
      <w:pPr>
        <w:ind w:left="0" w:firstLine="400"/>
      </w:pPr>
      <w:rPr>
        <w:rFonts w:hint="default"/>
      </w:rPr>
    </w:lvl>
  </w:abstractNum>
  <w:abstractNum w:abstractNumId="7">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8">
    <w:nsid w:val="00000002"/>
    <w:multiLevelType w:val="singleLevel"/>
    <w:tmpl w:val="00000002"/>
    <w:lvl w:ilvl="0" w:tentative="0">
      <w:start w:val="8"/>
      <w:numFmt w:val="chineseCounting"/>
      <w:suff w:val="nothing"/>
      <w:lvlText w:val="%1、"/>
      <w:lvlJc w:val="left"/>
      <w:rPr>
        <w:rFonts w:hint="eastAsia"/>
      </w:rPr>
    </w:lvl>
  </w:abstractNum>
  <w:abstractNum w:abstractNumId="9">
    <w:nsid w:val="00000004"/>
    <w:multiLevelType w:val="singleLevel"/>
    <w:tmpl w:val="00000004"/>
    <w:lvl w:ilvl="0" w:tentative="0">
      <w:start w:val="1"/>
      <w:numFmt w:val="chineseCounting"/>
      <w:suff w:val="nothing"/>
      <w:lvlText w:val="%1、"/>
      <w:lvlJc w:val="left"/>
      <w:pPr>
        <w:ind w:left="-11"/>
      </w:pPr>
      <w:rPr>
        <w:rFonts w:hint="eastAsia"/>
      </w:rPr>
    </w:lvl>
  </w:abstractNum>
  <w:abstractNum w:abstractNumId="10">
    <w:nsid w:val="00000007"/>
    <w:multiLevelType w:val="singleLevel"/>
    <w:tmpl w:val="00000007"/>
    <w:lvl w:ilvl="0" w:tentative="0">
      <w:start w:val="1"/>
      <w:numFmt w:val="decimalEnclosedCircleChinese"/>
      <w:suff w:val="nothing"/>
      <w:lvlText w:val="%1　"/>
      <w:lvlJc w:val="left"/>
      <w:pPr>
        <w:ind w:left="0" w:firstLine="400"/>
      </w:pPr>
      <w:rPr>
        <w:rFonts w:hint="eastAsia"/>
      </w:rPr>
    </w:lvl>
  </w:abstractNum>
  <w:abstractNum w:abstractNumId="11">
    <w:nsid w:val="00000009"/>
    <w:multiLevelType w:val="singleLevel"/>
    <w:tmpl w:val="00000009"/>
    <w:lvl w:ilvl="0" w:tentative="0">
      <w:start w:val="1"/>
      <w:numFmt w:val="decimal"/>
      <w:suff w:val="nothing"/>
      <w:lvlText w:val="（%1）"/>
      <w:lvlJc w:val="left"/>
    </w:lvl>
  </w:abstractNum>
  <w:abstractNum w:abstractNumId="12">
    <w:nsid w:val="0000000A"/>
    <w:multiLevelType w:val="singleLevel"/>
    <w:tmpl w:val="0000000A"/>
    <w:lvl w:ilvl="0" w:tentative="0">
      <w:start w:val="3"/>
      <w:numFmt w:val="chineseCounting"/>
      <w:suff w:val="nothing"/>
      <w:lvlText w:val="%1、"/>
      <w:lvlJc w:val="left"/>
      <w:rPr>
        <w:rFonts w:cs="Times New Roman"/>
      </w:rPr>
    </w:lvl>
  </w:abstractNum>
  <w:abstractNum w:abstractNumId="13">
    <w:nsid w:val="0000000B"/>
    <w:multiLevelType w:val="singleLevel"/>
    <w:tmpl w:val="0000000B"/>
    <w:lvl w:ilvl="0" w:tentative="0">
      <w:start w:val="1"/>
      <w:numFmt w:val="decimal"/>
      <w:suff w:val="nothing"/>
      <w:lvlText w:val="（%1）"/>
      <w:lvlJc w:val="left"/>
    </w:lvl>
  </w:abstractNum>
  <w:abstractNum w:abstractNumId="14">
    <w:nsid w:val="0000000C"/>
    <w:multiLevelType w:val="multilevel"/>
    <w:tmpl w:val="0000000C"/>
    <w:lvl w:ilvl="0" w:tentative="0">
      <w:start w:val="1"/>
      <w:numFmt w:val="decimal"/>
      <w:lvlText w:val="%1."/>
      <w:lvlJc w:val="left"/>
      <w:pPr>
        <w:ind w:left="0" w:firstLine="454"/>
      </w:pPr>
      <w:rPr>
        <w:rFonts w:hint="eastAsia" w:ascii="宋体" w:hAnsi="宋体" w:eastAsia="宋体"/>
        <w:b w:val="0"/>
        <w:sz w:val="24"/>
        <w:szCs w:val="24"/>
      </w:rPr>
    </w:lvl>
    <w:lvl w:ilvl="1" w:tentative="0">
      <w:start w:val="1"/>
      <w:numFmt w:val="decimal"/>
      <w:suff w:val="nothing"/>
      <w:lvlText w:val="%2)"/>
      <w:lvlJc w:val="left"/>
      <w:pPr>
        <w:ind w:left="0" w:firstLine="42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D"/>
    <w:multiLevelType w:val="singleLevel"/>
    <w:tmpl w:val="0000000D"/>
    <w:lvl w:ilvl="0" w:tentative="0">
      <w:start w:val="1"/>
      <w:numFmt w:val="decimal"/>
      <w:suff w:val="nothing"/>
      <w:lvlText w:val="（%1）"/>
      <w:lvlJc w:val="left"/>
    </w:lvl>
  </w:abstractNum>
  <w:abstractNum w:abstractNumId="16">
    <w:nsid w:val="0000000E"/>
    <w:multiLevelType w:val="singleLevel"/>
    <w:tmpl w:val="0000000E"/>
    <w:lvl w:ilvl="0" w:tentative="0">
      <w:start w:val="2"/>
      <w:numFmt w:val="decimal"/>
      <w:suff w:val="nothing"/>
      <w:lvlText w:val="（%1）"/>
      <w:lvlJc w:val="left"/>
    </w:lvl>
  </w:abstractNum>
  <w:abstractNum w:abstractNumId="17">
    <w:nsid w:val="00026A3D"/>
    <w:multiLevelType w:val="singleLevel"/>
    <w:tmpl w:val="00026A3D"/>
    <w:lvl w:ilvl="0" w:tentative="0">
      <w:start w:val="1"/>
      <w:numFmt w:val="decimalEnclosedCircleChinese"/>
      <w:suff w:val="nothing"/>
      <w:lvlText w:val="%1　"/>
      <w:lvlJc w:val="left"/>
      <w:pPr>
        <w:ind w:left="0" w:firstLine="400"/>
      </w:pPr>
      <w:rPr>
        <w:rFonts w:hint="eastAsia"/>
      </w:rPr>
    </w:lvl>
  </w:abstractNum>
  <w:num w:numId="1">
    <w:abstractNumId w:val="16"/>
  </w:num>
  <w:num w:numId="2">
    <w:abstractNumId w:val="0"/>
  </w:num>
  <w:num w:numId="3">
    <w:abstractNumId w:val="15"/>
  </w:num>
  <w:num w:numId="4">
    <w:abstractNumId w:val="3"/>
  </w:num>
  <w:num w:numId="5">
    <w:abstractNumId w:val="17"/>
  </w:num>
  <w:num w:numId="6">
    <w:abstractNumId w:val="2"/>
  </w:num>
  <w:num w:numId="7">
    <w:abstractNumId w:val="14"/>
  </w:num>
  <w:num w:numId="8">
    <w:abstractNumId w:val="4"/>
  </w:num>
  <w:num w:numId="9">
    <w:abstractNumId w:val="7"/>
  </w:num>
  <w:num w:numId="10">
    <w:abstractNumId w:val="6"/>
  </w:num>
  <w:num w:numId="11">
    <w:abstractNumId w:val="10"/>
  </w:num>
  <w:num w:numId="12">
    <w:abstractNumId w:val="11"/>
  </w:num>
  <w:num w:numId="13">
    <w:abstractNumId w:val="13"/>
  </w:num>
  <w:num w:numId="14">
    <w:abstractNumId w:val="5"/>
  </w:num>
  <w:num w:numId="15">
    <w:abstractNumId w:val="1"/>
  </w:num>
  <w:num w:numId="16">
    <w:abstractNumId w:val="8"/>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7106"/>
    <w:rsid w:val="019E3125"/>
    <w:rsid w:val="026B7DAC"/>
    <w:rsid w:val="07B74FB3"/>
    <w:rsid w:val="09313788"/>
    <w:rsid w:val="0DED2858"/>
    <w:rsid w:val="0EF85B98"/>
    <w:rsid w:val="0F0654AD"/>
    <w:rsid w:val="0F8B27ED"/>
    <w:rsid w:val="1A8B25AD"/>
    <w:rsid w:val="1AB6495E"/>
    <w:rsid w:val="2450745D"/>
    <w:rsid w:val="2AB84992"/>
    <w:rsid w:val="2CFD348E"/>
    <w:rsid w:val="2F5326E2"/>
    <w:rsid w:val="31FC5C60"/>
    <w:rsid w:val="32521C81"/>
    <w:rsid w:val="35A03D2F"/>
    <w:rsid w:val="36551720"/>
    <w:rsid w:val="38E34231"/>
    <w:rsid w:val="3D04063A"/>
    <w:rsid w:val="40C706FA"/>
    <w:rsid w:val="41383144"/>
    <w:rsid w:val="43794EB7"/>
    <w:rsid w:val="440D6BAD"/>
    <w:rsid w:val="46CE38C3"/>
    <w:rsid w:val="4B531136"/>
    <w:rsid w:val="5106060D"/>
    <w:rsid w:val="52A0174F"/>
    <w:rsid w:val="53A15945"/>
    <w:rsid w:val="58504023"/>
    <w:rsid w:val="59D32EF9"/>
    <w:rsid w:val="5ADD771F"/>
    <w:rsid w:val="5B200754"/>
    <w:rsid w:val="60371A31"/>
    <w:rsid w:val="61D72B3B"/>
    <w:rsid w:val="692E1E87"/>
    <w:rsid w:val="6F35023E"/>
    <w:rsid w:val="71A9561B"/>
    <w:rsid w:val="777D396D"/>
    <w:rsid w:val="7AEF3721"/>
    <w:rsid w:val="7D2F11CF"/>
    <w:rsid w:val="7DCC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Arial" w:hAnsi="Arial" w:eastAsia="黑体"/>
      <w:b/>
      <w:sz w:val="32"/>
      <w:szCs w:val="20"/>
    </w:rPr>
  </w:style>
  <w:style w:type="paragraph" w:styleId="4">
    <w:name w:val="heading 3"/>
    <w:basedOn w:val="1"/>
    <w:next w:val="1"/>
    <w:qFormat/>
    <w:uiPriority w:val="0"/>
    <w:pPr>
      <w:keepNext/>
      <w:keepLines/>
      <w:spacing w:beforeLines="0" w:beforeAutospacing="0" w:afterLines="0" w:afterAutospacing="0" w:line="360" w:lineRule="auto"/>
      <w:ind w:firstLine="0" w:firstLineChars="0"/>
      <w:jc w:val="left"/>
      <w:outlineLvl w:val="2"/>
    </w:pPr>
    <w:rPr>
      <w:rFonts w:ascii="Times New Roman" w:hAnsi="Times New Roman"/>
      <w:b/>
      <w:kern w:val="0"/>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5"/>
    <w:qFormat/>
    <w:uiPriority w:val="0"/>
    <w:pPr>
      <w:autoSpaceDE w:val="0"/>
      <w:autoSpaceDN w:val="0"/>
      <w:spacing w:line="360" w:lineRule="auto"/>
    </w:pPr>
    <w:rPr>
      <w:rFonts w:ascii="宋体" w:hAnsi="Arial" w:cs="Arial"/>
      <w:snapToGrid w:val="0"/>
      <w:sz w:val="24"/>
      <w:szCs w:val="21"/>
      <w:lang w:val="zh-CN"/>
    </w:rPr>
  </w:style>
  <w:style w:type="paragraph" w:styleId="8">
    <w:name w:val="Body Text Indent"/>
    <w:basedOn w:val="1"/>
    <w:next w:val="9"/>
    <w:qFormat/>
    <w:uiPriority w:val="0"/>
    <w:pPr>
      <w:spacing w:line="480" w:lineRule="exact"/>
      <w:ind w:firstLine="480" w:firstLineChars="200"/>
    </w:pPr>
    <w:rPr>
      <w:rFonts w:ascii="宋体" w:hAnsi="宋体"/>
      <w:sz w:val="24"/>
    </w:rPr>
  </w:style>
  <w:style w:type="paragraph" w:styleId="9">
    <w:name w:val="Body Text First Indent 2"/>
    <w:basedOn w:val="8"/>
    <w:next w:val="1"/>
    <w:qFormat/>
    <w:uiPriority w:val="0"/>
    <w:pPr>
      <w:adjustRightInd/>
      <w:spacing w:after="120" w:line="240" w:lineRule="auto"/>
      <w:ind w:left="420" w:leftChars="200" w:firstLine="210"/>
    </w:pPr>
    <w:rPr>
      <w:sz w:val="21"/>
    </w:rPr>
  </w:style>
  <w:style w:type="paragraph" w:styleId="1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11">
    <w:name w:val="Plain Text"/>
    <w:basedOn w:val="1"/>
    <w:qFormat/>
    <w:uiPriority w:val="0"/>
    <w:rPr>
      <w:rFonts w:ascii="宋体" w:hAnsi="Courier New" w:cs="Arial"/>
      <w:snapToGrid w:val="0"/>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5"/>
    <w:next w:val="1"/>
    <w:qFormat/>
    <w:uiPriority w:val="0"/>
  </w:style>
  <w:style w:type="paragraph" w:styleId="15">
    <w:name w:val="index 1"/>
    <w:basedOn w:val="1"/>
    <w:next w:val="1"/>
    <w:qFormat/>
    <w:uiPriority w:val="0"/>
    <w:pPr>
      <w:adjustRightInd/>
      <w:spacing w:line="360" w:lineRule="auto"/>
      <w:ind w:firstLine="200" w:firstLineChars="200"/>
      <w:jc w:val="center"/>
    </w:pPr>
    <w:rPr>
      <w:sz w:val="24"/>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w:basedOn w:val="7"/>
    <w:next w:val="1"/>
    <w:qFormat/>
    <w:uiPriority w:val="0"/>
    <w:pPr>
      <w:ind w:firstLine="420"/>
    </w:pPr>
    <w:rPr>
      <w:rFonts w:hAnsi="Times New Roman" w:cs="Times New Roman"/>
      <w:snapToGrid/>
      <w:szCs w:val="20"/>
    </w:rPr>
  </w:style>
  <w:style w:type="character" w:styleId="21">
    <w:name w:val="Strong"/>
    <w:qFormat/>
    <w:uiPriority w:val="22"/>
    <w:rPr>
      <w:b/>
      <w:bCs/>
    </w:rPr>
  </w:style>
  <w:style w:type="character" w:styleId="22">
    <w:name w:val="Hyperlink"/>
    <w:basedOn w:val="20"/>
    <w:qFormat/>
    <w:uiPriority w:val="0"/>
    <w:rPr>
      <w:color w:val="0000FF"/>
      <w:u w:val="single"/>
    </w:rPr>
  </w:style>
  <w:style w:type="character" w:customStyle="1" w:styleId="23">
    <w:name w:val="标题 2 字符1"/>
    <w:qFormat/>
    <w:uiPriority w:val="0"/>
    <w:rPr>
      <w:rFonts w:ascii="仿宋_GB2312" w:hAnsi="仿宋" w:eastAsia="仿宋_GB2312"/>
      <w:b/>
      <w:bCs/>
      <w:sz w:val="32"/>
      <w:szCs w:val="32"/>
      <w:lang w:val="zh-CN"/>
    </w:rPr>
  </w:style>
  <w:style w:type="paragraph" w:customStyle="1" w:styleId="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25">
    <w:name w:val="正文2"/>
    <w:basedOn w:val="1"/>
    <w:qFormat/>
    <w:uiPriority w:val="0"/>
    <w:pPr>
      <w:spacing w:before="156" w:line="360" w:lineRule="auto"/>
      <w:ind w:firstLine="510" w:firstLineChars="200"/>
    </w:pPr>
    <w:rPr>
      <w:sz w:val="24"/>
      <w:szCs w:val="20"/>
    </w:rPr>
  </w:style>
  <w:style w:type="paragraph" w:customStyle="1" w:styleId="2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列表段落1"/>
    <w:basedOn w:val="1"/>
    <w:qFormat/>
    <w:uiPriority w:val="34"/>
    <w:pPr>
      <w:spacing w:line="360" w:lineRule="auto"/>
      <w:ind w:firstLine="200" w:firstLineChars="200"/>
    </w:pPr>
    <w:rPr>
      <w:rFonts w:eastAsia="楷体_GB2312" w:cs="Lucida Sans"/>
      <w:sz w:val="24"/>
    </w:rPr>
  </w:style>
  <w:style w:type="character" w:customStyle="1" w:styleId="28">
    <w:name w:val="NormalCharacter"/>
    <w:qFormat/>
    <w:uiPriority w:val="0"/>
  </w:style>
  <w:style w:type="paragraph" w:customStyle="1" w:styleId="2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30">
    <w:name w:val="纯文本_0_0"/>
    <w:basedOn w:val="31"/>
    <w:qFormat/>
    <w:uiPriority w:val="0"/>
    <w:rPr>
      <w:rFonts w:ascii="宋体" w:hAnsi="Courier New"/>
      <w:szCs w:val="21"/>
    </w:rPr>
  </w:style>
  <w:style w:type="paragraph" w:customStyle="1" w:styleId="3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Body text|1"/>
    <w:basedOn w:val="1"/>
    <w:qFormat/>
    <w:uiPriority w:val="0"/>
    <w:pPr>
      <w:spacing w:line="360" w:lineRule="auto"/>
      <w:ind w:firstLine="400"/>
    </w:pPr>
    <w:rPr>
      <w:rFonts w:ascii="宋体" w:hAnsi="宋体" w:cs="宋体"/>
      <w:sz w:val="22"/>
      <w:szCs w:val="22"/>
      <w:lang w:val="zh-TW" w:eastAsia="zh-TW" w:bidi="zh-TW"/>
    </w:rPr>
  </w:style>
  <w:style w:type="paragraph" w:customStyle="1" w:styleId="34">
    <w:name w:val="Plain Text1"/>
    <w:basedOn w:val="35"/>
    <w:qFormat/>
    <w:uiPriority w:val="7"/>
    <w:rPr>
      <w:rFonts w:ascii="宋体" w:hAnsi="Courier New"/>
    </w:rPr>
  </w:style>
  <w:style w:type="paragraph" w:customStyle="1" w:styleId="35">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_Style 3"/>
    <w:basedOn w:val="1"/>
    <w:qFormat/>
    <w:uiPriority w:val="34"/>
    <w:pPr>
      <w:ind w:firstLine="420" w:firstLineChars="200"/>
    </w:pPr>
    <w:rPr>
      <w:rFonts w:ascii="Calibri" w:hAnsi="Calibri" w:cs="Times New Roman"/>
    </w:rPr>
  </w:style>
  <w:style w:type="character" w:customStyle="1" w:styleId="37">
    <w:name w:val="font01"/>
    <w:basedOn w:val="20"/>
    <w:qFormat/>
    <w:uiPriority w:val="0"/>
    <w:rPr>
      <w:rFonts w:hint="eastAsia" w:ascii="宋体" w:hAnsi="宋体" w:eastAsia="宋体" w:cs="宋体"/>
      <w:color w:val="000000"/>
      <w:sz w:val="22"/>
      <w:szCs w:val="22"/>
      <w:u w:val="none"/>
    </w:rPr>
  </w:style>
  <w:style w:type="character" w:customStyle="1" w:styleId="38">
    <w:name w:val="font51"/>
    <w:basedOn w:val="20"/>
    <w:qFormat/>
    <w:uiPriority w:val="0"/>
    <w:rPr>
      <w:rFonts w:hint="eastAsia" w:ascii="宋体" w:hAnsi="宋体" w:eastAsia="宋体" w:cs="宋体"/>
      <w:color w:val="000000"/>
      <w:sz w:val="20"/>
      <w:szCs w:val="20"/>
      <w:u w:val="none"/>
      <w:vertAlign w:val="superscript"/>
    </w:rPr>
  </w:style>
  <w:style w:type="character" w:customStyle="1" w:styleId="39">
    <w:name w:val="font31"/>
    <w:basedOn w:val="20"/>
    <w:qFormat/>
    <w:uiPriority w:val="0"/>
    <w:rPr>
      <w:rFonts w:hint="eastAsia" w:ascii="宋体" w:hAnsi="宋体" w:eastAsia="宋体" w:cs="宋体"/>
      <w:color w:val="000000"/>
      <w:sz w:val="22"/>
      <w:szCs w:val="22"/>
      <w:u w:val="none"/>
    </w:rPr>
  </w:style>
  <w:style w:type="character" w:customStyle="1" w:styleId="40">
    <w:name w:val="font61"/>
    <w:basedOn w:val="20"/>
    <w:qFormat/>
    <w:uiPriority w:val="0"/>
    <w:rPr>
      <w:rFonts w:hint="eastAsia" w:ascii="宋体" w:hAnsi="宋体" w:eastAsia="宋体" w:cs="宋体"/>
      <w:color w:val="000000"/>
      <w:sz w:val="22"/>
      <w:szCs w:val="22"/>
      <w:u w:val="none"/>
      <w:vertAlign w:val="superscript"/>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55aec9f1-68d4-40a3-b0a8-f9cbd2a9deb3</errorID>
      <errorWord>2026年03月</errorWord>
      <group>L1_Knowledge</group>
      <groupName>知识性问题</groupName>
      <ability>L2_Time</ability>
      <abilityName>日期时间</abilityName>
      <candidateList>
        <item>2026年3月</item>
      </candidateList>
      <explain>根据日常书写习惯，月份一般会省略前导零。</explain>
      <paraID>4BB8B432</paraID>
      <start>0</start>
      <end>8</end>
      <status>unmodified</status>
      <modifiedWord/>
      <trackRevisions>false</trackRevisions>
    </reviewItem>
    <reviewItem>
      <errorID>af3a11f8-50dc-4745-8fdc-78bab6037418</errorID>
      <errorWord>：/</errorWord>
      <group>L1_Punc</group>
      <groupName>标点问题</groupName>
      <ability>L2_Punc</ability>
      <abilityName>标点符号检查</abilityName>
      <candidateList>
        <item>：</item>
      </candidateList>
      <explain/>
      <paraID>542CA139</paraID>
      <start>2</start>
      <end>4</end>
      <status>unmodified</status>
      <modifiedWord/>
      <trackRevisions>false</trackRevisions>
    </reviewItem>
    <reviewItem>
      <errorID>a178aa67-c0a1-4c26-ba13-b4e6a0f05277</errorID>
      <errorWord>上午00:00</errorWord>
      <group>L1_Knowledge</group>
      <groupName>知识性问题</groupName>
      <ability>L2_Time</ability>
      <abilityName>日期时间</abilityName>
      <candidateList/>
      <explain>时间与前缀不匹配，可能的时间前缀有“下午、晚上、凌晨、午夜”。</explain>
      <paraID>542CA139</paraID>
      <start>18</start>
      <end>25</end>
      <status>unmodified</status>
      <modifiedWord/>
      <trackRevisions>false</trackRevisions>
    </reviewItem>
    <reviewItem>
      <errorID>f331eeaa-daad-4d42-9554-6f35cf63c485</errorID>
      <errorWord>（2022）3号</errorWord>
      <group>L1_Knowledge</group>
      <groupName>知识性问题</groupName>
      <ability>L2_Knowledge</ability>
      <abilityName>其他知识</abilityName>
      <candidateList>
        <item>〔2022〕3号</item>
      </candidateList>
      <explain>发文字号格式错误。</explain>
      <paraID>767CB1D0</paraID>
      <start>43</start>
      <end>51</end>
      <status>unmodified</status>
      <modifiedWord/>
      <trackRevisions>false</trackRevisions>
    </reviewItem>
    <reviewItem>
      <errorID>dab9e90c-8094-435a-b70d-f8961cb3b17c</errorID>
      <errorWord>（2021）22号</errorWord>
      <group>L1_Knowledge</group>
      <groupName>知识性问题</groupName>
      <ability>L2_Knowledge</ability>
      <abilityName>其他知识</abilityName>
      <candidateList>
        <item>〔2021〕22号</item>
      </candidateList>
      <explain>发文字号格式错误。</explain>
      <paraID>767CB1D0</paraID>
      <start>92</start>
      <end>101</end>
      <status>unmodified</status>
      <modifiedWord/>
      <trackRevisions>false</trackRevisions>
    </reviewItem>
    <reviewItem>
      <errorID>7e9102a7-38aa-4fb1-b786-546dc30bd925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767CB1D0</paraID>
      <start>102</start>
      <end>103</end>
      <status>unmodified</status>
      <modifiedWord/>
      <trackRevisions>false</trackRevisions>
    </reviewItem>
    <reviewItem>
      <errorID>31dce54e-5b6c-44c8-8019-59346f910754</errorID>
      <errorWord>（2022）8号</errorWord>
      <group>L1_Knowledge</group>
      <groupName>知识性问题</groupName>
      <ability>L2_Knowledge</ability>
      <abilityName>其他知识</abilityName>
      <candidateList>
        <item>〔2022〕8号</item>
      </candidateList>
      <explain>发文字号格式错误。</explain>
      <paraID>767CB1D0</paraID>
      <start>147</start>
      <end>155</end>
      <status>unmodified</status>
      <modifiedWord/>
      <trackRevisions>false</trackRevisions>
    </reviewItem>
    <reviewItem>
      <errorID>410f82d9-da2c-4926-951c-d614c3ee663d</errorID>
      <errorWord>（2021）22号</errorWord>
      <group>L1_Knowledge</group>
      <groupName>知识性问题</groupName>
      <ability>L2_Knowledge</ability>
      <abilityName>其他知识</abilityName>
      <candidateList>
        <item>〔2021〕22号</item>
      </candidateList>
      <explain>发文字号格式错误。</explain>
      <paraID>279A214D</paraID>
      <start>43</start>
      <end>52</end>
      <status>unmodified</status>
      <modifiedWord/>
      <trackRevisions>false</trackRevisions>
    </reviewItem>
    <reviewItem>
      <errorID>6e0707c9-2383-4fd1-beb1-a345037ee3fd</errorID>
      <errorWord>-</errorWord>
      <group>L1_Format</group>
      <groupName>格式问题</groupName>
      <ability>L2_HalfPunc</ability>
      <abilityName>全半角检查</abilityName>
      <candidateList>
        <item>－</item>
      </candidateList>
      <explain>文本全半角错误。</explain>
      <paraID>279A214D</paraID>
      <start>89</start>
      <end>90</end>
      <status>unmodified</status>
      <modifiedWord/>
      <trackRevisions>false</trackRevisions>
    </reviewItem>
    <reviewItem>
      <errorID>d1334c27-fe78-4bc0-8f93-e350a70dbf2b</errorID>
      <errorWord>-</errorWord>
      <group>L1_Format</group>
      <groupName>格式问题</groupName>
      <ability>L2_HalfPunc</ability>
      <abilityName>全半角检查</abilityName>
      <candidateList>
        <item>－</item>
      </candidateList>
      <explain>文本全半角错误。</explain>
      <paraID>279A214D</paraID>
      <start>94</start>
      <end>95</end>
      <status>unmodified</status>
      <modifiedWord/>
      <trackRevisions>false</trackRevisions>
    </reviewItem>
    <reviewItem>
      <errorID>6a154685-55ff-49ea-b740-f7131c4b5718</errorID>
      <errorWord>-</errorWord>
      <group>L1_Format</group>
      <groupName>格式问题</groupName>
      <ability>L2_HalfPunc</ability>
      <abilityName>全半角检查</abilityName>
      <candidateList>
        <item>－</item>
      </candidateList>
      <explain>文本全半角错误。</explain>
      <paraID>279A214D</paraID>
      <start>101</start>
      <end>102</end>
      <status>unmodified</status>
      <modifiedWord/>
      <trackRevisions>false</trackRevisions>
    </reviewItem>
    <reviewItem>
      <errorID>7421419e-6066-4d69-ae5f-077509585e8d</errorID>
      <errorWord>:</errorWord>
      <group>L1_Format</group>
      <groupName>格式问题</groupName>
      <ability>L2_HalfPunc</ability>
      <abilityName>全半角检查</abilityName>
      <candidateList>
        <item>：</item>
      </candidateList>
      <explain>文本全半角错误。</explain>
      <paraID>279A214D</paraID>
      <start>106</start>
      <end>107</end>
      <status>unmodified</status>
      <modifiedWord/>
      <trackRevisions>false</trackRevisions>
    </reviewItem>
    <reviewItem>
      <errorID>602d8a14-5fed-4ebb-92fb-dd1bb4752b1c</errorID>
      <errorWord>-</errorWord>
      <group>L1_Format</group>
      <groupName>格式问题</groupName>
      <ability>L2_HalfPunc</ability>
      <abilityName>全半角检查</abilityName>
      <candidateList>
        <item>－</item>
      </candidateList>
      <explain>文本全半角错误。</explain>
      <paraID>279A214D</paraID>
      <start>126</start>
      <end>127</end>
      <status>unmodified</status>
      <modifiedWord/>
      <trackRevisions>false</trackRevisions>
    </reviewItem>
    <reviewItem>
      <errorID>6a972f26-ff10-4a50-b3f6-6b5191d887aa</errorID>
      <errorWord>-</errorWord>
      <group>L1_Format</group>
      <groupName>格式问题</groupName>
      <ability>L2_HalfPunc</ability>
      <abilityName>全半角检查</abilityName>
      <candidateList>
        <item>－</item>
      </candidateList>
      <explain>文本全半角错误。</explain>
      <paraID>279A214D</paraID>
      <start>131</start>
      <end>132</end>
      <status>unmodified</status>
      <modifiedWord/>
      <trackRevisions>false</trackRevisions>
    </reviewItem>
    <reviewItem>
      <errorID>b77cf5d9-b659-42a5-90d4-421051e90ed6</errorID>
      <errorWord>-</errorWord>
      <group>L1_Format</group>
      <groupName>格式问题</groupName>
      <ability>L2_HalfPunc</ability>
      <abilityName>全半角检查</abilityName>
      <candidateList>
        <item>－</item>
      </candidateList>
      <explain>文本全半角错误。</explain>
      <paraID>279A214D</paraID>
      <start>138</start>
      <end>139</end>
      <status>unmodified</status>
      <modifiedWord/>
      <trackRevisions>false</trackRevisions>
    </reviewItem>
    <reviewItem>
      <errorID>11577af7-b3f5-4cb8-ac25-37250b8be3ab</errorID>
      <errorWord>-</errorWord>
      <group>L1_Format</group>
      <groupName>格式问题</groupName>
      <ability>L2_HalfPunc</ability>
      <abilityName>全半角检查</abilityName>
      <candidateList>
        <item>－</item>
      </candidateList>
      <explain>文本全半角错误。</explain>
      <paraID>279A214D</paraID>
      <start>178</start>
      <end>179</end>
      <status>unmodified</status>
      <modifiedWord/>
      <trackRevisions>false</trackRevisions>
    </reviewItem>
    <reviewItem>
      <errorID>0352f6d0-eb32-4eab-9986-2a0d60333dff</errorID>
      <errorWord>-</errorWord>
      <group>L1_Format</group>
      <groupName>格式问题</groupName>
      <ability>L2_HalfPunc</ability>
      <abilityName>全半角检查</abilityName>
      <candidateList>
        <item>－</item>
      </candidateList>
      <explain>文本全半角错误。</explain>
      <paraID>279A214D</paraID>
      <start>183</start>
      <end>184</end>
      <status>unmodified</status>
      <modifiedWord/>
      <trackRevisions>false</trackRevisions>
    </reviewItem>
    <reviewItem>
      <errorID>5a06bc0f-cbf3-427e-b069-06c9f3babd16</errorID>
      <errorWord>-</errorWord>
      <group>L1_Format</group>
      <groupName>格式问题</groupName>
      <ability>L2_HalfPunc</ability>
      <abilityName>全半角检查</abilityName>
      <candidateList>
        <item>－</item>
      </candidateList>
      <explain>文本全半角错误。</explain>
      <paraID>279A214D</paraID>
      <start>190</start>
      <end>191</end>
      <status>unmodified</status>
      <modifiedWord/>
      <trackRevisions>false</trackRevisions>
    </reviewItem>
    <reviewItem>
      <errorID>d9a9edf2-8dfc-410c-8e7a-d3ac5826eb29</errorID>
      <errorWord>-</errorWord>
      <group>L1_Format</group>
      <groupName>格式问题</groupName>
      <ability>L2_HalfPunc</ability>
      <abilityName>全半角检查</abilityName>
      <candidateList>
        <item>－</item>
      </candidateList>
      <explain>文本全半角错误。</explain>
      <paraID>6E4EC2D8</paraID>
      <start>91</start>
      <end>92</end>
      <status>unmodified</status>
      <modifiedWord/>
      <trackRevisions>false</trackRevisions>
    </reviewItem>
    <reviewItem>
      <errorID>9c32a3e2-6a99-4331-8844-549e709882ed</errorID>
      <errorWord>-</errorWord>
      <group>L1_Format</group>
      <groupName>格式问题</groupName>
      <ability>L2_HalfPunc</ability>
      <abilityName>全半角检查</abilityName>
      <candidateList>
        <item>－</item>
      </candidateList>
      <explain>文本全半角错误。</explain>
      <paraID>6E4EC2D8</paraID>
      <start>92</start>
      <end>93</end>
      <status>unmodified</status>
      <modifiedWord/>
      <trackRevisions>false</trackRevisions>
    </reviewItem>
    <reviewItem>
      <errorID>026cdf35-5428-48ea-9f29-882ce19b5747</errorID>
      <errorWord>-</errorWord>
      <group>L1_Format</group>
      <groupName>格式问题</groupName>
      <ability>L2_HalfPunc</ability>
      <abilityName>全半角检查</abilityName>
      <candidateList>
        <item>－</item>
      </candidateList>
      <explain>文本全半角错误。</explain>
      <paraID>6E4EC2D8</paraID>
      <start>146</start>
      <end>147</end>
      <status>unmodified</status>
      <modifiedWord/>
      <trackRevisions>false</trackRevisions>
    </reviewItem>
    <reviewItem>
      <errorID>0fd00574-d3a4-499f-b5ef-730acda8fcba</errorID>
      <errorWord>-</errorWord>
      <group>L1_Format</group>
      <groupName>格式问题</groupName>
      <ability>L2_HalfPunc</ability>
      <abilityName>全半角检查</abilityName>
      <candidateList>
        <item>－</item>
      </candidateList>
      <explain>文本全半角错误。</explain>
      <paraID>6E4EC2D8</paraID>
      <start>199</start>
      <end>200</end>
      <status>unmodified</status>
      <modifiedWord/>
      <trackRevisions>false</trackRevisions>
    </reviewItem>
    <reviewItem>
      <errorID>c5d871fa-79e4-4d96-8f6b-70d95b56971b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6E4EC2D8</paraID>
      <start>310</start>
      <end>313</end>
      <status>unmodified</status>
      <modifiedWord/>
      <trackRevisions>false</trackRevisions>
    </reviewItem>
    <reviewItem>
      <errorID>0426a225-2b37-4177-b335-f20d3eb93b71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6E4EC2D8</paraID>
      <start>319</start>
      <end>322</end>
      <status>unmodified</status>
      <modifiedWord/>
      <trackRevisions>false</trackRevisions>
    </reviewItem>
    <reviewItem>
      <errorID>dcdad553-dba9-416b-b75f-d478de892fc8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6E4EC2D8</paraID>
      <start>326</start>
      <end>329</end>
      <status>unmodified</status>
      <modifiedWord/>
      <trackRevisions>false</trackRevisions>
    </reviewItem>
    <reviewItem>
      <errorID>24924570-2737-497c-a3b3-c3816bfc436e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6E4EC2D8</paraID>
      <start>333</start>
      <end>336</end>
      <status>unmodified</status>
      <modifiedWord/>
      <trackRevisions>false</trackRevisions>
    </reviewItem>
    <reviewItem>
      <errorID>170652e2-7ccb-40b7-a332-a64d8f8a3d70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6E4EC2D8</paraID>
      <start>340</start>
      <end>343</end>
      <status>unmodified</status>
      <modifiedWord/>
      <trackRevisions>false</trackRevisions>
    </reviewItem>
    <reviewItem>
      <errorID>2d17f86d-6bfc-4c20-9bec-68c7951ad0d3</errorID>
      <errorWord>-</errorWord>
      <group>L1_Format</group>
      <groupName>格式问题</groupName>
      <ability>L2_HalfPunc</ability>
      <abilityName>全半角检查</abilityName>
      <candidateList>
        <item>－</item>
      </candidateList>
      <explain>文本全半角错误。</explain>
      <paraID>6E4EC2D8</paraID>
      <start>757</start>
      <end>758</end>
      <status>unmodified</status>
      <modifiedWord/>
      <trackRevisions>false</trackRevisions>
    </reviewItem>
    <reviewItem>
      <errorID>b4e9710e-8818-41ea-9dcf-fc1ae4ec972b</errorID>
      <errorWord>-</errorWord>
      <group>L1_Format</group>
      <groupName>格式问题</groupName>
      <ability>L2_HalfPunc</ability>
      <abilityName>全半角检查</abilityName>
      <candidateList>
        <item>－</item>
      </candidateList>
      <explain>文本全半角错误。</explain>
      <paraID>6E4EC2D8</paraID>
      <start>762</start>
      <end>763</end>
      <status>unmodified</status>
      <modifiedWord/>
      <trackRevisions>false</trackRevisions>
    </reviewItem>
    <reviewItem>
      <errorID>0f979d0b-f708-435a-a801-56e43a7fc940</errorID>
      <errorWord>-</errorWord>
      <group>L1_Format</group>
      <groupName>格式问题</groupName>
      <ability>L2_HalfPunc</ability>
      <abilityName>全半角检查</abilityName>
      <candidateList>
        <item>－</item>
      </candidateList>
      <explain>文本全半角错误。</explain>
      <paraID>6E4EC2D8</paraID>
      <start>767</start>
      <end>768</end>
      <status>unmodified</status>
      <modifiedWord/>
      <trackRevisions>false</trackRevisions>
    </reviewItem>
    <reviewItem>
      <errorID>8d623fae-d77a-45e9-85d0-e8ff9d1cfef1</errorID>
      <errorWord>-</errorWord>
      <group>L1_Format</group>
      <groupName>格式问题</groupName>
      <ability>L2_HalfPunc</ability>
      <abilityName>全半角检查</abilityName>
      <candidateList>
        <item>－</item>
      </candidateList>
      <explain>文本全半角错误。</explain>
      <paraID>6E4EC2D8</paraID>
      <start>772</start>
      <end>773</end>
      <status>unmodified</status>
      <modifiedWord/>
      <trackRevisions>false</trackRevisions>
    </reviewItem>
    <reviewItem>
      <errorID>aeebdd66-88ed-42d3-a50f-6bdb48d549ce</errorID>
      <errorWord>-</errorWord>
      <group>L1_Format</group>
      <groupName>格式问题</groupName>
      <ability>L2_HalfPunc</ability>
      <abilityName>全半角检查</abilityName>
      <candidateList>
        <item>－</item>
      </candidateList>
      <explain>文本全半角错误。</explain>
      <paraID>6E4EC2D8</paraID>
      <start>778</start>
      <end>779</end>
      <status>unmodified</status>
      <modifiedWord/>
      <trackRevisions>false</trackRevisions>
    </reviewItem>
    <reviewItem>
      <errorID>dcf41b08-ab36-4ed6-8bed-513fa3b4de90</errorID>
      <errorWord>-</errorWord>
      <group>L1_Format</group>
      <groupName>格式问题</groupName>
      <ability>L2_HalfPunc</ability>
      <abilityName>全半角检查</abilityName>
      <candidateList>
        <item>－</item>
      </candidateList>
      <explain>文本全半角错误。</explain>
      <paraID>6E4EC2D8</paraID>
      <start>795</start>
      <end>796</end>
      <status>unmodified</status>
      <modifiedWord/>
      <trackRevisions>false</trackRevisions>
    </reviewItem>
    <reviewItem>
      <errorID>9c7eae70-ae71-491b-ae0f-b1145463a42f</errorID>
      <errorWord>.</errorWord>
      <group>L1_Format</group>
      <groupName>格式问题</groupName>
      <ability>L2_HalfPunc</ability>
      <abilityName>全半角检查</abilityName>
      <candidateList>
        <item>。</item>
      </candidateList>
      <explain>文本全半角错误。</explain>
      <paraID>39194ED3</paraID>
      <start>62</start>
      <end>63</end>
      <status>unmodified</status>
      <modifiedWord/>
      <trackRevisions>false</trackRevisions>
    </reviewItem>
    <reviewItem>
      <errorID>78488858-224f-453b-b56b-9a6b62b6d657</errorID>
      <errorWord>(</errorWord>
      <group>L1_Format</group>
      <groupName>格式问题</groupName>
      <ability>L2_HalfPunc</ability>
      <abilityName>全半角检查</abilityName>
      <candidateList>
        <item>（</item>
      </candidateList>
      <explain>文本全半角错误。</explain>
      <paraID>150F0704</paraID>
      <start>40</start>
      <end>41</end>
      <status>unmodified</status>
      <modifiedWord/>
      <trackRevisions>false</trackRevisions>
    </reviewItem>
    <reviewItem>
      <errorID>d78d35c1-7878-407c-b7fe-d5196b9fa745</errorID>
      <errorWord>.</errorWord>
      <group>L1_Format</group>
      <groupName>格式问题</groupName>
      <ability>L2_HalfPunc</ability>
      <abilityName>全半角检查</abilityName>
      <candidateList>
        <item>。</item>
      </candidateList>
      <explain>文本全半角错误。</explain>
      <paraID>150F0704</paraID>
      <start>47</start>
      <end>48</end>
      <status>unmodified</status>
      <modifiedWord/>
      <trackRevisions>false</trackRevisions>
    </reviewItem>
    <reviewItem>
      <errorID>f2ef9062-97e8-4ab2-afa5-275462a2a97f</errorID>
      <errorWord>)</errorWord>
      <group>L1_Format</group>
      <groupName>格式问题</groupName>
      <ability>L2_HalfPunc</ability>
      <abilityName>全半角检查</abilityName>
      <candidateList>
        <item>）</item>
      </candidateList>
      <explain>文本全半角错误。</explain>
      <paraID>150F0704</paraID>
      <start>52</start>
      <end>53</end>
      <status>unmodified</status>
      <modifiedWord/>
      <trackRevisions>false</trackRevisions>
    </reviewItem>
    <reviewItem>
      <errorID>09acdf29-4d6e-4a96-aa7c-969ec65bc19a</errorID>
      <errorWord>[2016]125号</errorWord>
      <group>L1_Knowledge</group>
      <groupName>知识性问题</groupName>
      <ability>L2_Knowledge</ability>
      <abilityName>其他知识</abilityName>
      <candidateList>
        <item>〔2016〕125号</item>
      </candidateList>
      <explain>发文字号格式错误。</explain>
      <paraID> 7D2B3DF</paraID>
      <start>32</start>
      <end>42</end>
      <status>unmodified</status>
      <modifiedWord/>
      <trackRevisions>false</trackRevisions>
    </reviewItem>
    <reviewItem>
      <errorID>75644b19-5b08-43bc-9281-00260b66651a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69BBA7CA</paraID>
      <start>27</start>
      <end>29</end>
      <status>unmodified</status>
      <modifiedWord/>
      <trackRevisions>false</trackRevisions>
    </reviewItem>
    <reviewItem>
      <errorID>52c70bbe-1709-48b9-9f8c-d1ff486f561e</errorID>
      <errorWord>(</errorWord>
      <group>L1_Format</group>
      <groupName>格式问题</groupName>
      <ability>L2_HalfPunc</ability>
      <abilityName>全半角检查</abilityName>
      <candidateList>
        <item>（</item>
      </candidateList>
      <explain>文本全半角错误。</explain>
      <paraID>367EE7B1</paraID>
      <start>108</start>
      <end>109</end>
      <status>unmodified</status>
      <modifiedWord/>
      <trackRevisions>false</trackRevisions>
    </reviewItem>
    <reviewItem>
      <errorID>6d3a1dc7-cb16-4891-a7fb-ce53797268b1</errorID>
      <errorWord>[2019]19号</errorWord>
      <group>L1_Knowledge</group>
      <groupName>知识性问题</groupName>
      <ability>L2_Knowledge</ability>
      <abilityName>其他知识</abilityName>
      <candidateList>
        <item>〔2019〕19号</item>
      </candidateList>
      <explain>发文字号格式错误。</explain>
      <paraID>367EE7B1</paraID>
      <start>111</start>
      <end>120</end>
      <status>unmodified</status>
      <modifiedWord/>
      <trackRevisions>false</trackRevisions>
    </reviewItem>
    <reviewItem>
      <errorID>73e7f9b0-12bb-4a4c-9398-2a7c08272848</errorID>
      <errorWord>)</errorWord>
      <group>L1_Format</group>
      <groupName>格式问题</groupName>
      <ability>L2_HalfPunc</ability>
      <abilityName>全半角检查</abilityName>
      <candidateList>
        <item>）</item>
      </candidateList>
      <explain>文本全半角错误。</explain>
      <paraID>367EE7B1</paraID>
      <start>120</start>
      <end>121</end>
      <status>unmodified</status>
      <modifiedWord/>
      <trackRevisions>false</trackRevisions>
    </reviewItem>
    <reviewItem>
      <errorID>a4d41c71-fb37-4bb8-920f-0b1431906463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367EE7B1</paraID>
      <start>121</start>
      <end>124</end>
      <status>unmodified</status>
      <modifiedWord/>
      <trackRevisions>false</trackRevisions>
    </reviewItem>
    <reviewItem>
      <errorID>ec88c6cd-cad1-4dc8-ac1b-b5120914a56a</errorID>
      <errorWord>(</errorWord>
      <group>L1_Format</group>
      <groupName>格式问题</groupName>
      <ability>L2_HalfPunc</ability>
      <abilityName>全半角检查</abilityName>
      <candidateList>
        <item>（</item>
      </candidateList>
      <explain>文本全半角错误。</explain>
      <paraID>7F00714C</paraID>
      <start>0</start>
      <end>1</end>
      <status>unmodified</status>
      <modifiedWord/>
      <trackRevisions>false</trackRevisions>
    </reviewItem>
    <reviewItem>
      <errorID>1e565c1e-ec7a-4770-b295-82c2d3ac26fa</errorID>
      <errorWord>)</errorWord>
      <group>L1_Format</group>
      <groupName>格式问题</groupName>
      <ability>L2_HalfPunc</ability>
      <abilityName>全半角检查</abilityName>
      <candidateList>
        <item>）</item>
      </candidateList>
      <explain>文本全半角错误。</explain>
      <paraID>7F00714C</paraID>
      <start>13</start>
      <end>14</end>
      <status>unmodified</status>
      <modifiedWord/>
      <trackRevisions>false</trackRevisions>
    </reviewItem>
    <reviewItem>
      <errorID>b5e438f2-993d-427c-b099-dc58b655c74e</errorID>
      <errorWord>第55条</errorWord>
      <group>L1_Knowledge</group>
      <groupName>知识性问题</groupName>
      <ability>L2_Knowledge</ability>
      <abilityName>其他知识</abilityName>
      <candidateList>
        <item>第五十五条</item>
      </candidateList>
      <explain/>
      <paraID>262233D5</paraID>
      <start>66</start>
      <end>70</end>
      <status>unmodified</status>
      <modifiedWord/>
      <trackRevisions>false</trackRevisions>
    </reviewItem>
    <reviewItem>
      <errorID>21cdfc05-d474-4b42-9e43-6b0332431e17</errorID>
      <errorWord>[2014]68号</errorWord>
      <group>L1_Knowledge</group>
      <groupName>知识性问题</groupName>
      <ability>L2_Knowledge</ability>
      <abilityName>其他知识</abilityName>
      <candidateList>
        <item>〔2014〕68号</item>
      </candidateList>
      <explain>发文字号格式错误。</explain>
      <paraID>4D7349DC</paraID>
      <start>33</start>
      <end>42</end>
      <status>unmodified</status>
      <modifiedWord/>
      <trackRevisions>false</trackRevisions>
    </reviewItem>
    <reviewItem>
      <errorID>82dce025-bfe5-4445-afde-c99d93681b7b</errorID>
      <errorWord>间</errorWord>
      <group>L1_Word</group>
      <groupName>字词问题</groupName>
      <ability>L2_Typo</ability>
      <abilityName>字词错误</abilityName>
      <candidateList>
        <item>间之</item>
      </candidateList>
      <explain/>
      <paraID>4E6E1DC9</paraID>
      <start>33</start>
      <end>34</end>
      <status>unmodified</status>
      <modifiedWord/>
      <trackRevisions>false</trackRevisions>
    </reviewItem>
    <reviewItem>
      <errorID>badeab99-29a9-44eb-bad6-530919e5a1f8</errorID>
      <errorWord>其它</errorWord>
      <group>L1_Word</group>
      <groupName>字词问题</groupName>
      <ability>L2_Alias</ability>
      <abilityName>也作/曾用词</abilityName>
      <candidateList>
        <item>其他</item>
      </candidateList>
      <explain>词汇[其它]为不规范表述或旧称，其规范书面表述为[其他]。</explain>
      <paraID>24C44C88</paraID>
      <start>26</start>
      <end>28</end>
      <status>unmodified</status>
      <modifiedWord/>
      <trackRevisions>false</trackRevisions>
    </reviewItem>
    <reviewItem>
      <errorID>3f1c827b-ca47-4693-8498-dda7fa706863</errorID>
      <errorWord>)</errorWord>
      <group>L1_Format</group>
      <groupName>格式问题</groupName>
      <ability>L2_HalfPunc</ability>
      <abilityName>全半角检查</abilityName>
      <candidateList>
        <item>）</item>
      </candidateList>
      <explain>文本全半角错误。</explain>
      <paraID>24C44C88</paraID>
      <start>46</start>
      <end>47</end>
      <status>unmodified</status>
      <modifiedWord/>
      <trackRevisions>false</trackRevisions>
    </reviewItem>
    <reviewItem>
      <errorID>6ae2794f-7d53-4751-a12c-9dc514833640</errorID>
      <errorWord>)</errorWord>
      <group>L1_Format</group>
      <groupName>格式问题</groupName>
      <ability>L2_HalfPunc</ability>
      <abilityName>全半角检查</abilityName>
      <candidateList>
        <item>）</item>
      </candidateList>
      <explain>文本全半角错误。</explain>
      <paraID>6C11DDCF</paraID>
      <start>14</start>
      <end>15</end>
      <status>unmodified</status>
      <modifiedWord/>
      <trackRevisions>false</trackRevisions>
    </reviewItem>
    <reviewItem>
      <errorID>5d4fcc56-99f9-40a9-b413-bf7848e78be1</errorID>
      <errorWord>)</errorWord>
      <group>L1_Format</group>
      <groupName>格式问题</groupName>
      <ability>L2_HalfPunc</ability>
      <abilityName>全半角检查</abilityName>
      <candidateList>
        <item>）</item>
      </candidateList>
      <explain>文本全半角错误。</explain>
      <paraID> C84DA64</paraID>
      <start>16</start>
      <end>17</end>
      <status>unmodified</status>
      <modifiedWord/>
      <trackRevisions>false</trackRevisions>
    </reviewItem>
    <reviewItem>
      <errorID>9ec071ad-a150-43e9-9ef2-f2de54dfc09f</errorID>
      <errorWord>)</errorWord>
      <group>L1_Format</group>
      <groupName>格式问题</groupName>
      <ability>L2_HalfPunc</ability>
      <abilityName>全半角检查</abilityName>
      <candidateList>
        <item>）</item>
      </candidateList>
      <explain>文本全半角错误。</explain>
      <paraID>46902DA4</paraID>
      <start>20</start>
      <end>21</end>
      <status>unmodified</status>
      <modifiedWord/>
      <trackRevisions>false</trackRevisions>
    </reviewItem>
    <reviewItem>
      <errorID>1e02b1ba-d69f-46cc-b0c1-b247f50acb5d</errorID>
      <errorWord>-</errorWord>
      <group>L1_Format</group>
      <groupName>格式问题</groupName>
      <ability>L2_HalfPunc</ability>
      <abilityName>全半角检查</abilityName>
      <candidateList>
        <item>－</item>
      </candidateList>
      <explain>文本全半角错误。</explain>
      <paraID>3A360DE2</paraID>
      <start>53</start>
      <end>54</end>
      <status>unmodified</status>
      <modifiedWord/>
      <trackRevisions>false</trackRevisions>
    </reviewItem>
    <reviewItem>
      <errorID>ea59e89a-c32c-4575-979e-318ec9724d8a</errorID>
      <errorWord>操作合</errorWord>
      <group>L1_Word</group>
      <groupName>字词问题</groupName>
      <ability>L2_Typo</ability>
      <abilityName>字词错误</abilityName>
      <candidateList>
        <item>操作台</item>
      </candidateList>
      <explain/>
      <paraID>68DE6D0D</paraID>
      <start>9</start>
      <end>12</end>
      <status>unmodified</status>
      <modifiedWord/>
      <trackRevisions>false</trackRevisions>
    </reviewItem>
    <reviewItem>
      <errorID>7da5a7ad-0640-4abb-b867-b32e2473d338</errorID>
      <errorWord>(</errorWord>
      <group>L1_Format</group>
      <groupName>格式问题</groupName>
      <ability>L2_HalfPunc</ability>
      <abilityName>全半角检查</abilityName>
      <candidateList>
        <item>（</item>
      </candidateList>
      <explain>文本全半角错误。</explain>
      <paraID>400EFFC9</paraID>
      <start>180</start>
      <end>181</end>
      <status>unmodified</status>
      <modifiedWord/>
      <trackRevisions>false</trackRevisions>
    </reviewItem>
    <reviewItem>
      <errorID>23a81cf2-25b2-48ec-a85e-dba2675b740d</errorID>
      <errorWord>)</errorWord>
      <group>L1_Format</group>
      <groupName>格式问题</groupName>
      <ability>L2_HalfPunc</ability>
      <abilityName>全半角检查</abilityName>
      <candidateList>
        <item>）</item>
      </candidateList>
      <explain>文本全半角错误。</explain>
      <paraID>400EFFC9</paraID>
      <start>231</start>
      <end>232</end>
      <status>unmodified</status>
      <modifiedWord/>
      <trackRevisions>false</trackRevisions>
    </reviewItem>
    <reviewItem>
      <errorID>60310936-7826-40de-b9f3-8551e9c691aa</errorID>
      <errorWord>(</errorWord>
      <group>L1_Format</group>
      <groupName>格式问题</groupName>
      <ability>L2_HalfPunc</ability>
      <abilityName>全半角检查</abilityName>
      <candidateList>
        <item>（</item>
      </candidateList>
      <explain>文本全半角错误。</explain>
      <paraID> FFF79A1</paraID>
      <start>35</start>
      <end>36</end>
      <status>unmodified</status>
      <modifiedWord/>
      <trackRevisions>false</trackRevisions>
    </reviewItem>
    <reviewItem>
      <errorID>5174f81f-1d34-4b35-8cc4-638861018749</errorID>
      <errorWord>)</errorWord>
      <group>L1_Format</group>
      <groupName>格式问题</groupName>
      <ability>L2_HalfPunc</ability>
      <abilityName>全半角检查</abilityName>
      <candidateList>
        <item>）</item>
      </candidateList>
      <explain>文本全半角错误。</explain>
      <paraID> FFF79A1</paraID>
      <start>58</start>
      <end>59</end>
      <status>unmodified</status>
      <modifiedWord/>
      <trackRevisions>false</trackRevisions>
    </reviewItem>
    <reviewItem>
      <errorID>9ff394f2-b568-45df-bfd9-3f553d1280b2</errorID>
      <errorWord>(</errorWord>
      <group>L1_Format</group>
      <groupName>格式问题</groupName>
      <ability>L2_HalfPunc</ability>
      <abilityName>全半角检查</abilityName>
      <candidateList>
        <item>（</item>
      </candidateList>
      <explain>文本全半角错误。</explain>
      <paraID> FFF79A1</paraID>
      <start>67</start>
      <end>68</end>
      <status>unmodified</status>
      <modifiedWord/>
      <trackRevisions>false</trackRevisions>
    </reviewItem>
    <reviewItem>
      <errorID>65fd3c0b-a333-4a11-a0c8-1d323e39cbb2</errorID>
      <errorWord>)</errorWord>
      <group>L1_Format</group>
      <groupName>格式问题</groupName>
      <ability>L2_HalfPunc</ability>
      <abilityName>全半角检查</abilityName>
      <candidateList>
        <item>）</item>
      </candidateList>
      <explain>文本全半角错误。</explain>
      <paraID> FFF79A1</paraID>
      <start>83</start>
      <end>84</end>
      <status>unmodified</status>
      <modifiedWord/>
      <trackRevisions>false</trackRevisions>
    </reviewItem>
    <reviewItem>
      <errorID>704ae383-b2cb-4766-b6b4-39bda321641d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31736630</paraID>
      <start>3</start>
      <end>4</end>
      <status>unmodified</status>
      <modifiedWord/>
      <trackRevisions>false</trackRevisions>
    </reviewItem>
    <reviewItem>
      <errorID>99183dd5-f9cd-4475-a177-dee68a03128e</errorID>
      <errorWord>(</errorWord>
      <group>L1_Format</group>
      <groupName>格式问题</groupName>
      <ability>L2_HalfPunc</ability>
      <abilityName>全半角检查</abilityName>
      <candidateList>
        <item>（</item>
      </candidateList>
      <explain>文本全半角错误。</explain>
      <paraID>3DC5ACF1</paraID>
      <start>1</start>
      <end>2</end>
      <status>unmodified</status>
      <modifiedWord/>
      <trackRevisions>false</trackRevisions>
    </reviewItem>
    <reviewItem>
      <errorID>56929a83-fd62-4662-b857-91232042b637</errorID>
      <errorWord>)</errorWord>
      <group>L1_Format</group>
      <groupName>格式问题</groupName>
      <ability>L2_HalfPunc</ability>
      <abilityName>全半角检查</abilityName>
      <candidateList>
        <item>）</item>
      </candidateList>
      <explain>文本全半角错误。</explain>
      <paraID>3DC5ACF1</paraID>
      <start>12</start>
      <end>13</end>
      <status>unmodified</status>
      <modifiedWord/>
      <trackRevisions>false</trackRevisions>
    </reviewItem>
    <reviewItem>
      <errorID>f4e997cb-0be1-4efd-b83b-e94eef40fe1e</errorID>
      <errorWord>玻</errorWord>
      <group>L1_Word</group>
      <groupName>字词问题</groupName>
      <ability>L2_Typo</ability>
      <abilityName>字词错误</abilityName>
      <candidateList>
        <item>玻璃</item>
      </candidateList>
      <explain/>
      <paraID>3D63CAAB</paraID>
      <start>3</start>
      <end>4</end>
      <status>unmodified</status>
      <modifiedWord/>
      <trackRevisions>false</trackRevisions>
    </reviewItem>
    <reviewItem>
      <errorID>8677bc34-ec6a-4bd8-bc00-f33db97a4eb9</errorID>
      <errorWord>(</errorWord>
      <group>L1_Format</group>
      <groupName>格式问题</groupName>
      <ability>L2_HalfPunc</ability>
      <abilityName>全半角检查</abilityName>
      <candidateList>
        <item>（</item>
      </candidateList>
      <explain>文本全半角错误。</explain>
      <paraID>13BA64AC</paraID>
      <start>13</start>
      <end>14</end>
      <status>unmodified</status>
      <modifiedWord/>
      <trackRevisions>false</trackRevisions>
    </reviewItem>
    <reviewItem>
      <errorID>2d18b3e6-88f1-40bd-95fa-060c7e4a8123</errorID>
      <errorWord>对</errorWord>
      <group>L1_Word</group>
      <groupName>字词问题</groupName>
      <ability>L2_Typo</ability>
      <abilityName>字词错误</abilityName>
      <candidateList>
        <item>的</item>
      </candidateList>
      <explain>“的”常用于连接修饰语与名词性中心语，表示属性、所属或描述。</explain>
      <paraID>6ED025DF</paraID>
      <start>127</start>
      <end>128</end>
      <status>unmodified</status>
      <modifiedWord/>
      <trackRevisions>false</trackRevisions>
    </reviewItem>
    <reviewItem>
      <errorID>761d95c9-4d90-4448-a046-22bb46f9523f</errorID>
      <errorWord>，</errorWord>
      <group>L1_Word</group>
      <groupName>字词问题</groupName>
      <ability>L2_Typo</ability>
      <abilityName>字词错误</abilityName>
      <candidateList>
        <item>，在</item>
      </candidateList>
      <explain/>
      <paraID>76E79944</paraID>
      <start>9</start>
      <end>10</end>
      <status>unmodified</status>
      <modifiedWord/>
      <trackRevisions>false</trackRevisions>
    </reviewItem>
    <reviewItem>
      <errorID>41b7abc6-2122-4280-a71b-f2513567af7b</errorID>
      <errorWord>如有</errorWord>
      <group>L1_Word</group>
      <groupName>字词问题</groupName>
      <ability>L2_Typo</ability>
      <abilityName>字词错误</abilityName>
      <candidateList>
        <item>如</item>
      </candidateList>
      <explain/>
      <paraID>1BA94B89</paraID>
      <start>0</start>
      <end>2</end>
      <status>unmodified</status>
      <modifiedWord/>
      <trackRevisions>false</trackRevisions>
    </reviewItem>
    <reviewItem>
      <errorID>9acd6387-ccdb-4e2f-80ce-8cef2abc34ec</errorID>
      <errorWord>(</errorWord>
      <group>L1_Format</group>
      <groupName>格式问题</groupName>
      <ability>L2_HalfPunc</ability>
      <abilityName>全半角检查</abilityName>
      <candidateList>
        <item>（</item>
      </candidateList>
      <explain>文本全半角错误。</explain>
      <paraID> B4BA506</paraID>
      <start>25</start>
      <end>26</end>
      <status>unmodified</status>
      <modifiedWord/>
      <trackRevisions>false</trackRevisions>
    </reviewItem>
    <reviewItem>
      <errorID>362540fc-96d9-49a9-a7b1-bf27e76bfd8c</errorID>
      <errorWord>)</errorWord>
      <group>L1_Format</group>
      <groupName>格式问题</groupName>
      <ability>L2_HalfPunc</ability>
      <abilityName>全半角检查</abilityName>
      <candidateList>
        <item>）</item>
      </candidateList>
      <explain>文本全半角错误。</explain>
      <paraID> B4BA506</paraID>
      <start>27</start>
      <end>28</end>
      <status>unmodified</status>
      <modifiedWord/>
      <trackRevisions>false</trackRevisions>
    </reviewItem>
    <reviewItem>
      <errorID>dcd270f0-e876-4bfc-bde8-5164311b0bd5</errorID>
      <errorWord>(</errorWord>
      <group>L1_Format</group>
      <groupName>格式问题</groupName>
      <ability>L2_HalfPunc</ability>
      <abilityName>全半角检查</abilityName>
      <candidateList>
        <item>（</item>
      </candidateList>
      <explain>文本全半角错误。</explain>
      <paraID>251A1F6E</paraID>
      <start>61</start>
      <end>62</end>
      <status>unmodified</status>
      <modifiedWord/>
      <trackRevisions>false</trackRevisions>
    </reviewItem>
    <reviewItem>
      <errorID>eeaed9a7-1d16-4481-9952-f00f6d8a0d34</errorID>
      <errorWord>)</errorWord>
      <group>L1_Word</group>
      <groupName>字词问题</groupName>
      <ability>L2_Typo</ability>
      <abilityName>字词错误</abilityName>
      <candidateList>
        <item>)在</item>
      </candidateList>
      <explain/>
      <paraID>251A1F6E</paraID>
      <start>74</start>
      <end>75</end>
      <status>unmodified</status>
      <modifiedWord/>
      <trackRevisions>false</trackRevisions>
    </reviewItem>
    <reviewItem>
      <errorID>a940c39a-61cc-4f44-9225-24573861ab7d</errorID>
      <errorWord>(</errorWord>
      <group>L1_Format</group>
      <groupName>格式问题</groupName>
      <ability>L2_HalfPunc</ability>
      <abilityName>全半角检查</abilityName>
      <candidateList>
        <item>（</item>
      </candidateList>
      <explain>文本全半角错误。</explain>
      <paraID> EDDB20B</paraID>
      <start>8</start>
      <end>9</end>
      <status>unmodified</status>
      <modifiedWord/>
      <trackRevisions>false</trackRevisions>
    </reviewItem>
    <reviewItem>
      <errorID>1ae86a1e-5f0c-4b1b-b4ce-24a0948c3b28</errorID>
      <errorWord>)</errorWord>
      <group>L1_Format</group>
      <groupName>格式问题</groupName>
      <ability>L2_HalfPunc</ability>
      <abilityName>全半角检查</abilityName>
      <candidateList>
        <item>）</item>
      </candidateList>
      <explain>文本全半角错误。</explain>
      <paraID> EDDB20B</paraID>
      <start>23</start>
      <end>24</end>
      <status>unmodified</status>
      <modifiedWord/>
      <trackRevisions>false</trackRevisions>
    </reviewItem>
    <reviewItem>
      <errorID>49266b22-0e47-4465-b4af-5861071638d4</errorID>
      <errorWord>(</errorWord>
      <group>L1_Format</group>
      <groupName>格式问题</groupName>
      <ability>L2_HalfPunc</ability>
      <abilityName>全半角检查</abilityName>
      <candidateList>
        <item>（</item>
      </candidateList>
      <explain>文本全半角错误。</explain>
      <paraID> EDDB20B</paraID>
      <start>68</start>
      <end>69</end>
      <status>unmodified</status>
      <modifiedWord/>
      <trackRevisions>false</trackRevisions>
    </reviewItem>
    <reviewItem>
      <errorID>ea083fec-dc28-4f9f-b99d-1a3d35e0de7e</errorID>
      <errorWord>)</errorWord>
      <group>L1_Format</group>
      <groupName>格式问题</groupName>
      <ability>L2_HalfPunc</ability>
      <abilityName>全半角检查</abilityName>
      <candidateList>
        <item>）</item>
      </candidateList>
      <explain>文本全半角错误。</explain>
      <paraID> EDDB20B</paraID>
      <start>71</start>
      <end>72</end>
      <status>unmodified</status>
      <modifiedWord/>
      <trackRevisions>false</trackRevisions>
    </reviewItem>
    <reviewItem>
      <errorID>935f4eaa-0dda-437a-a866-9a27fc4cf3b2</errorID>
      <errorWord>(</errorWord>
      <group>L1_Format</group>
      <groupName>格式问题</groupName>
      <ability>L2_HalfPunc</ability>
      <abilityName>全半角检查</abilityName>
      <candidateList>
        <item>（</item>
      </candidateList>
      <explain>文本全半角错误。</explain>
      <paraID> EDDB20B</paraID>
      <start>79</start>
      <end>80</end>
      <status>unmodified</status>
      <modifiedWord/>
      <trackRevisions>false</trackRevisions>
    </reviewItem>
    <reviewItem>
      <errorID>32fb0311-611e-4fcd-9bc1-1336932da243</errorID>
      <errorWord>)</errorWord>
      <group>L1_Format</group>
      <groupName>格式问题</groupName>
      <ability>L2_HalfPunc</ability>
      <abilityName>全半角检查</abilityName>
      <candidateList>
        <item>）</item>
      </candidateList>
      <explain>文本全半角错误。</explain>
      <paraID> EDDB20B</paraID>
      <start>82</start>
      <end>83</end>
      <status>unmodified</status>
      <modifiedWord/>
      <trackRevisions>false</trackRevisions>
    </reviewItem>
    <reviewItem>
      <errorID>8b4c3572-e9f4-44b5-a57d-ce93a03cca13</errorID>
      <errorWord>(</errorWord>
      <group>L1_Format</group>
      <groupName>格式问题</groupName>
      <ability>L2_HalfPunc</ability>
      <abilityName>全半角检查</abilityName>
      <candidateList>
        <item>（</item>
      </candidateList>
      <explain>文本全半角错误。</explain>
      <paraID> EDDB20B</paraID>
      <start>90</start>
      <end>91</end>
      <status>unmodified</status>
      <modifiedWord/>
      <trackRevisions>false</trackRevisions>
    </reviewItem>
    <reviewItem>
      <errorID>c67613be-45d4-43d5-93e1-b019eac4c816</errorID>
      <errorWord>)</errorWord>
      <group>L1_Format</group>
      <groupName>格式问题</groupName>
      <ability>L2_HalfPunc</ability>
      <abilityName>全半角检查</abilityName>
      <candidateList>
        <item>）</item>
      </candidateList>
      <explain>文本全半角错误。</explain>
      <paraID> EDDB20B</paraID>
      <start>93</start>
      <end>94</end>
      <status>unmodified</status>
      <modifiedWord/>
      <trackRevisions>false</trackRevisions>
    </reviewItem>
    <reviewItem>
      <errorID>76b0e8a6-5a68-4dcf-ad8f-aaf23ff20b8c</errorID>
      <errorWord>(</errorWord>
      <group>L1_Format</group>
      <groupName>格式问题</groupName>
      <ability>L2_HalfPunc</ability>
      <abilityName>全半角检查</abilityName>
      <candidateList>
        <item>（</item>
      </candidateList>
      <explain>文本全半角错误。</explain>
      <paraID>5768894B</paraID>
      <start>37</start>
      <end>38</end>
      <status>unmodified</status>
      <modifiedWord/>
      <trackRevisions>false</trackRevisions>
    </reviewItem>
    <reviewItem>
      <errorID>084f9d96-1bb0-464e-a687-599a5ea3edfd</errorID>
      <errorWord>)</errorWord>
      <group>L1_Format</group>
      <groupName>格式问题</groupName>
      <ability>L2_HalfPunc</ability>
      <abilityName>全半角检查</abilityName>
      <candidateList>
        <item>）</item>
      </candidateList>
      <explain>文本全半角错误。</explain>
      <paraID>5768894B</paraID>
      <start>56</start>
      <end>57</end>
      <status>unmodified</status>
      <modifiedWord/>
      <trackRevisions>false</trackRevisions>
    </reviewItem>
    <reviewItem>
      <errorID>6bec056b-e04a-41a8-8685-b6429cc163df</errorID>
      <errorWord>(</errorWord>
      <group>L1_Format</group>
      <groupName>格式问题</groupName>
      <ability>L2_HalfPunc</ability>
      <abilityName>全半角检查</abilityName>
      <candidateList>
        <item>（</item>
      </candidateList>
      <explain>文本全半角错误。</explain>
      <paraID>4904B0CB</paraID>
      <start>17</start>
      <end>18</end>
      <status>unmodified</status>
      <modifiedWord/>
      <trackRevisions>false</trackRevisions>
    </reviewItem>
    <reviewItem>
      <errorID>5b0add27-f23c-4c37-be26-74c7247369ef</errorID>
      <errorWord>)</errorWord>
      <group>L1_Format</group>
      <groupName>格式问题</groupName>
      <ability>L2_HalfPunc</ability>
      <abilityName>全半角检查</abilityName>
      <candidateList>
        <item>）</item>
      </candidateList>
      <explain>文本全半角错误。</explain>
      <paraID>4904B0CB</paraID>
      <start>34</start>
      <end>35</end>
      <status>unmodified</status>
      <modifiedWord/>
      <trackRevisions>false</trackRevisions>
    </reviewItem>
    <reviewItem>
      <errorID>f44f8e9e-e20e-4ae7-962c-d9df58f08259</errorID>
      <errorWord>(</errorWord>
      <group>L1_Format</group>
      <groupName>格式问题</groupName>
      <ability>L2_HalfPunc</ability>
      <abilityName>全半角检查</abilityName>
      <candidateList>
        <item>（</item>
      </candidateList>
      <explain>文本全半角错误。</explain>
      <paraID>4904B0CB</paraID>
      <start>47</start>
      <end>48</end>
      <status>unmodified</status>
      <modifiedWord/>
      <trackRevisions>false</trackRevisions>
    </reviewItem>
    <reviewItem>
      <errorID>d865a397-f874-48cc-bdd4-8b39f01fac50</errorID>
      <errorWord>)</errorWord>
      <group>L1_Format</group>
      <groupName>格式问题</groupName>
      <ability>L2_HalfPunc</ability>
      <abilityName>全半角检查</abilityName>
      <candidateList>
        <item>）</item>
      </candidateList>
      <explain>文本全半角错误。</explain>
      <paraID>4904B0CB</paraID>
      <start>61</start>
      <end>62</end>
      <status>unmodified</status>
      <modifiedWord/>
      <trackRevisions>false</trackRevisions>
    </reviewItem>
    <reviewItem>
      <errorID>19912751-f31d-4c25-afe7-2f4abed81488</errorID>
      <errorWord>)</errorWord>
      <group>L1_Format</group>
      <groupName>格式问题</groupName>
      <ability>L2_HalfPunc</ability>
      <abilityName>全半角检查</abilityName>
      <candidateList>
        <item>）</item>
      </candidateList>
      <explain>文本全半角错误。</explain>
      <paraID>5929E281</paraID>
      <start>20</start>
      <end>21</end>
      <status>unmodified</status>
      <modifiedWord/>
      <trackRevisions>false</trackRevisions>
    </reviewItem>
    <reviewItem>
      <errorID>a3974a24-d263-4c52-a290-a06552a71313</errorID>
      <errorWord>(</errorWord>
      <group>L1_Format</group>
      <groupName>格式问题</groupName>
      <ability>L2_HalfPunc</ability>
      <abilityName>全半角检查</abilityName>
      <candidateList>
        <item>（</item>
      </candidateList>
      <explain>文本全半角错误。</explain>
      <paraID>5929E281</paraID>
      <start>23</start>
      <end>24</end>
      <status>unmodified</status>
      <modifiedWord/>
      <trackRevisions>false</trackRevisions>
    </reviewItem>
    <reviewItem>
      <errorID>231ca73e-9be7-4147-be31-78d4fcfa2504</errorID>
      <errorWord>)</errorWord>
      <group>L1_Format</group>
      <groupName>格式问题</groupName>
      <ability>L2_HalfPunc</ability>
      <abilityName>全半角检查</abilityName>
      <candidateList>
        <item>）</item>
      </candidateList>
      <explain>文本全半角错误。</explain>
      <paraID>5929E281</paraID>
      <start>37</start>
      <end>38</end>
      <status>unmodified</status>
      <modifiedWord/>
      <trackRevisions>false</trackRevisions>
    </reviewItem>
    <reviewItem>
      <errorID>1ca614e4-bd76-450e-8e4e-5aaafeb84a80</errorID>
      <errorWord>(</errorWord>
      <group>L1_Format</group>
      <groupName>格式问题</groupName>
      <ability>L2_HalfPunc</ability>
      <abilityName>全半角检查</abilityName>
      <candidateList>
        <item>（</item>
      </candidateList>
      <explain>文本全半角错误。</explain>
      <paraID>165D7332</paraID>
      <start>7</start>
      <end>8</end>
      <status>unmodified</status>
      <modifiedWord/>
      <trackRevisions>false</trackRevisions>
    </reviewItem>
    <reviewItem>
      <errorID>a3b402c5-70be-4cd8-bdab-039f8d44d825</errorID>
      <errorWord>)</errorWord>
      <group>L1_Format</group>
      <groupName>格式问题</groupName>
      <ability>L2_HalfPunc</ability>
      <abilityName>全半角检查</abilityName>
      <candidateList>
        <item>）</item>
      </candidateList>
      <explain>文本全半角错误。</explain>
      <paraID>165D7332</paraID>
      <start>18</start>
      <end>19</end>
      <status>unmodified</status>
      <modifiedWord/>
      <trackRevisions>false</trackRevisions>
    </reviewItem>
    <reviewItem>
      <errorID>dbf88009-af24-4134-a058-362545cb1291</errorID>
      <errorWord>(</errorWord>
      <group>L1_Format</group>
      <groupName>格式问题</groupName>
      <ability>L2_HalfPunc</ability>
      <abilityName>全半角检查</abilityName>
      <candidateList>
        <item>（</item>
      </candidateList>
      <explain>文本全半角错误。</explain>
      <paraID>165D7332</paraID>
      <start>35</start>
      <end>36</end>
      <status>unmodified</status>
      <modifiedWord/>
      <trackRevisions>false</trackRevisions>
    </reviewItem>
    <reviewItem>
      <errorID>253235de-94bf-4927-8369-e1c1ee56c203</errorID>
      <errorWord>)</errorWord>
      <group>L1_Format</group>
      <groupName>格式问题</groupName>
      <ability>L2_HalfPunc</ability>
      <abilityName>全半角检查</abilityName>
      <candidateList>
        <item>）</item>
      </candidateList>
      <explain>文本全半角错误。</explain>
      <paraID>165D7332</paraID>
      <start>53</start>
      <end>54</end>
      <status>unmodified</status>
      <modifiedWord/>
      <trackRevisions>false</trackRevisions>
    </reviewItem>
    <reviewItem>
      <errorID>bc0f4e48-7796-434c-9bbf-881ba17a5deb</errorID>
      <errorWord>(</errorWord>
      <group>L1_Format</group>
      <groupName>格式问题</groupName>
      <ability>L2_HalfPunc</ability>
      <abilityName>全半角检查</abilityName>
      <candidateList>
        <item>（</item>
      </candidateList>
      <explain>文本全半角错误。</explain>
      <paraID>6C0C305B</paraID>
      <start>16</start>
      <end>17</end>
      <status>unmodified</status>
      <modifiedWord/>
      <trackRevisions>false</trackRevisions>
    </reviewItem>
    <reviewItem>
      <errorID>3606c612-c041-4c83-9c6d-4b53a07b6051</errorID>
      <errorWord>)</errorWord>
      <group>L1_Format</group>
      <groupName>格式问题</groupName>
      <ability>L2_HalfPunc</ability>
      <abilityName>全半角检查</abilityName>
      <candidateList>
        <item>）</item>
      </candidateList>
      <explain>文本全半角错误。</explain>
      <paraID>6C0C305B</paraID>
      <start>34</start>
      <end>35</end>
      <status>unmodified</status>
      <modifiedWord/>
      <trackRevisions>false</trackRevisions>
    </reviewItem>
    <reviewItem>
      <errorID>aa8508cb-d743-4e75-bd34-bc0575fef516</errorID>
      <errorWord>(</errorWord>
      <group>L1_Format</group>
      <groupName>格式问题</groupName>
      <ability>L2_HalfPunc</ability>
      <abilityName>全半角检查</abilityName>
      <candidateList>
        <item>（</item>
      </candidateList>
      <explain>文本全半角错误。</explain>
      <paraID> 2B03415</paraID>
      <start>13</start>
      <end>14</end>
      <status>unmodified</status>
      <modifiedWord/>
      <trackRevisions>false</trackRevisions>
    </reviewItem>
    <reviewItem>
      <errorID>8bc82fd1-23de-4b69-ace9-e8e7d1bd8fb9</errorID>
      <errorWord>)</errorWord>
      <group>L1_Format</group>
      <groupName>格式问题</groupName>
      <ability>L2_HalfPunc</ability>
      <abilityName>全半角检查</abilityName>
      <candidateList>
        <item>）</item>
      </candidateList>
      <explain>文本全半角错误。</explain>
      <paraID> 2B03415</paraID>
      <start>31</start>
      <end>32</end>
      <status>unmodified</status>
      <modifiedWord/>
      <trackRevisions>false</trackRevisions>
    </reviewItem>
    <reviewItem>
      <errorID>4fed19d8-1002-4490-818a-309216fe76de</errorID>
      <errorWord>(</errorWord>
      <group>L1_Format</group>
      <groupName>格式问题</groupName>
      <ability>L2_HalfPunc</ability>
      <abilityName>全半角检查</abilityName>
      <candidateList>
        <item>（</item>
      </candidateList>
      <explain>文本全半角错误。</explain>
      <paraID> F416AD0</paraID>
      <start>24</start>
      <end>25</end>
      <status>unmodified</status>
      <modifiedWord/>
      <trackRevisions>false</trackRevisions>
    </reviewItem>
    <reviewItem>
      <errorID>a84f9f72-0c88-45f7-9b2f-7567b2265aaa</errorID>
      <errorWord>)</errorWord>
      <group>L1_Format</group>
      <groupName>格式问题</groupName>
      <ability>L2_HalfPunc</ability>
      <abilityName>全半角检查</abilityName>
      <candidateList>
        <item>）</item>
      </candidateList>
      <explain>文本全半角错误。</explain>
      <paraID> F416AD0</paraID>
      <start>43</start>
      <end>44</end>
      <status>unmodified</status>
      <modifiedWord/>
      <trackRevisions>false</trackRevisions>
    </reviewItem>
    <reviewItem>
      <errorID>ff9f5912-09f7-44b3-ada7-736fc2a0f035</errorID>
      <errorWord>(</errorWord>
      <group>L1_Format</group>
      <groupName>格式问题</groupName>
      <ability>L2_HalfPunc</ability>
      <abilityName>全半角检查</abilityName>
      <candidateList>
        <item>（</item>
      </candidateList>
      <explain>文本全半角错误。</explain>
      <paraID>535E6389</paraID>
      <start>16</start>
      <end>17</end>
      <status>unmodified</status>
      <modifiedWord/>
      <trackRevisions>false</trackRevisions>
    </reviewItem>
    <reviewItem>
      <errorID>6b487ec1-5437-4cf6-ba80-ad7fdf4ca3e7</errorID>
      <errorWord>)</errorWord>
      <group>L1_Format</group>
      <groupName>格式问题</groupName>
      <ability>L2_HalfPunc</ability>
      <abilityName>全半角检查</abilityName>
      <candidateList>
        <item>）</item>
      </candidateList>
      <explain>文本全半角错误。</explain>
      <paraID>535E6389</paraID>
      <start>34</start>
      <end>35</end>
      <status>unmodified</status>
      <modifiedWord/>
      <trackRevisions>false</trackRevisions>
    </reviewItem>
    <reviewItem>
      <errorID>700cf2a9-655a-4a67-b6e3-29173b684d4b</errorID>
      <errorWord>到达</errorWord>
      <group>L1_Word</group>
      <groupName>字词问题</groupName>
      <ability>L2_Typo</ability>
      <abilityName>字词错误</abilityName>
      <candidateList>
        <item>达到</item>
      </candidateList>
      <explain>〈动〉到（多指抽象事物或程度）：达得到｜达不到｜目的没有～｜～国际水平。</explain>
      <paraID>12ECC7FF</paraID>
      <start>69</start>
      <end>71</end>
      <status>unmodified</status>
      <modifiedWord/>
      <trackRevisions>false</trackRevisions>
    </reviewItem>
    <reviewItem>
      <errorID>d2750c03-d2fe-4d31-ac7b-d1ecb9ae3bad</errorID>
      <errorWord>(</errorWord>
      <group>L1_Format</group>
      <groupName>格式问题</groupName>
      <ability>L2_HalfPunc</ability>
      <abilityName>全半角检查</abilityName>
      <candidateList>
        <item>（</item>
      </candidateList>
      <explain>文本全半角错误。</explain>
      <paraID>69E95111</paraID>
      <start>32</start>
      <end>33</end>
      <status>unmodified</status>
      <modifiedWord/>
      <trackRevisions>false</trackRevisions>
    </reviewItem>
    <reviewItem>
      <errorID>1d0c0076-a15a-49e2-bd62-2b4ed27f1224</errorID>
      <errorWord>)</errorWord>
      <group>L1_Format</group>
      <groupName>格式问题</groupName>
      <ability>L2_HalfPunc</ability>
      <abilityName>全半角检查</abilityName>
      <candidateList>
        <item>）</item>
      </candidateList>
      <explain>文本全半角错误。</explain>
      <paraID>69E95111</paraID>
      <start>35</start>
      <end>36</end>
      <status>unmodified</status>
      <modifiedWord/>
      <trackRevisions>false</trackRevisions>
    </reviewItem>
    <reviewItem>
      <errorID>b892e599-9a22-4c83-9053-da536517c9c9</errorID>
      <errorWord>)</errorWord>
      <group>L1_Format</group>
      <groupName>格式问题</groupName>
      <ability>L2_HalfPunc</ability>
      <abilityName>全半角检查</abilityName>
      <candidateList>
        <item>）</item>
      </candidateList>
      <explain>文本全半角错误。</explain>
      <paraID>69E95111</paraID>
      <start>49</start>
      <end>50</end>
      <status>unmodified</status>
      <modifiedWord/>
      <trackRevisions>false</trackRevisions>
    </reviewItem>
    <reviewItem>
      <errorID>e1834d1e-de0a-4bd6-9f46-060af545e6a1</errorID>
      <errorWord>(</errorWord>
      <group>L1_Format</group>
      <groupName>格式问题</groupName>
      <ability>L2_HalfPunc</ability>
      <abilityName>全半角检查</abilityName>
      <candidateList>
        <item>（</item>
      </candidateList>
      <explain>文本全半角错误。</explain>
      <paraID>69E95111</paraID>
      <start>54</start>
      <end>55</end>
      <status>unmodified</status>
      <modifiedWord/>
      <trackRevisions>false</trackRevisions>
    </reviewItem>
    <reviewItem>
      <errorID>0e25aa4c-ba9f-4b54-a210-5d54eb9646c8</errorID>
      <errorWord>)</errorWord>
      <group>L1_Format</group>
      <groupName>格式问题</groupName>
      <ability>L2_HalfPunc</ability>
      <abilityName>全半角检查</abilityName>
      <candidateList>
        <item>）</item>
      </candidateList>
      <explain>文本全半角错误。</explain>
      <paraID>69E95111</paraID>
      <start>57</start>
      <end>58</end>
      <status>unmodified</status>
      <modifiedWord/>
      <trackRevisions>false</trackRevisions>
    </reviewItem>
    <reviewItem>
      <errorID>9940dc5a-28b5-4bcb-9bef-2a0daf1c14e6</errorID>
      <errorWord>)</errorWord>
      <group>L1_Format</group>
      <groupName>格式问题</groupName>
      <ability>L2_HalfPunc</ability>
      <abilityName>全半角检查</abilityName>
      <candidateList>
        <item>）</item>
      </candidateList>
      <explain>文本全半角错误。</explain>
      <paraID>69E95111</paraID>
      <start>72</start>
      <end>73</end>
      <status>unmodified</status>
      <modifiedWord/>
      <trackRevisions>false</trackRevisions>
    </reviewItem>
    <reviewItem>
      <errorID>93dae02c-6798-4341-b910-52c04ac70dcf</errorID>
      <errorWord>(</errorWord>
      <group>L1_Format</group>
      <groupName>格式问题</groupName>
      <ability>L2_HalfPunc</ability>
      <abilityName>全半角检查</abilityName>
      <candidateList>
        <item>（</item>
      </candidateList>
      <explain>文本全半角错误。</explain>
      <paraID>69E95111</paraID>
      <start>76</start>
      <end>77</end>
      <status>unmodified</status>
      <modifiedWord/>
      <trackRevisions>false</trackRevisions>
    </reviewItem>
    <reviewItem>
      <errorID>e6fb179c-a424-4d25-b6a8-ce1bf5db49fc</errorID>
      <errorWord>)</errorWord>
      <group>L1_Format</group>
      <groupName>格式问题</groupName>
      <ability>L2_HalfPunc</ability>
      <abilityName>全半角检查</abilityName>
      <candidateList>
        <item>）</item>
      </candidateList>
      <explain>文本全半角错误。</explain>
      <paraID>69E95111</paraID>
      <start>82</start>
      <end>83</end>
      <status>unmodified</status>
      <modifiedWord/>
      <trackRevisions>false</trackRevisions>
    </reviewItem>
    <reviewItem>
      <errorID>1820a4d0-ee49-4e89-90fe-add88fb84470</errorID>
      <errorWord>)</errorWord>
      <group>L1_Format</group>
      <groupName>格式问题</groupName>
      <ability>L2_HalfPunc</ability>
      <abilityName>全半角检查</abilityName>
      <candidateList>
        <item>）</item>
      </candidateList>
      <explain>文本全半角错误。</explain>
      <paraID>69E95111</paraID>
      <start>150</start>
      <end>151</end>
      <status>unmodified</status>
      <modifiedWord/>
      <trackRevisions>false</trackRevisions>
    </reviewItem>
    <reviewItem>
      <errorID>ce80117d-7fcd-44b3-b952-286fd0dd9bf5</errorID>
      <errorWord>(</errorWord>
      <group>L1_Format</group>
      <groupName>格式问题</groupName>
      <ability>L2_HalfPunc</ability>
      <abilityName>全半角检查</abilityName>
      <candidateList>
        <item>（</item>
      </candidateList>
      <explain>文本全半角错误。</explain>
      <paraID>3CAE242F</paraID>
      <start>17</start>
      <end>18</end>
      <status>unmodified</status>
      <modifiedWord/>
      <trackRevisions>false</trackRevisions>
    </reviewItem>
    <reviewItem>
      <errorID>82ffa2bd-c625-438e-96c3-023dd25cf98a</errorID>
      <errorWord>)</errorWord>
      <group>L1_Format</group>
      <groupName>格式问题</groupName>
      <ability>L2_HalfPunc</ability>
      <abilityName>全半角检查</abilityName>
      <candidateList>
        <item>）</item>
      </candidateList>
      <explain>文本全半角错误。</explain>
      <paraID>3CAE242F</paraID>
      <start>28</start>
      <end>29</end>
      <status>unmodified</status>
      <modifiedWord/>
      <trackRevisions>false</trackRevisions>
    </reviewItem>
    <reviewItem>
      <errorID>64cb1cad-a2f3-428b-b9e0-9474447ad0d5</errorID>
      <errorWord>，</errorWord>
      <group>L1_Word</group>
      <groupName>字词问题</groupName>
      <ability>L2_Typo</ability>
      <abilityName>字词错误</abilityName>
      <candidateList>
        <item>，在</item>
      </candidateList>
      <explain/>
      <paraID>4954EF5A</paraID>
      <start>60</start>
      <end>61</end>
      <status>unmodified</status>
      <modifiedWord/>
      <trackRevisions>false</trackRevisions>
    </reviewItem>
    <reviewItem>
      <errorID>42ee96ee-a5f3-4cd4-9755-09009f5165d7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439CECA9</paraID>
      <start>13</start>
      <end>14</end>
      <status>unmodified</status>
      <modifiedWord/>
      <trackRevisions>false</trackRevisions>
    </reviewItem>
    <reviewItem>
      <errorID>4dd98b6e-bc5c-42c0-83d8-5a25719fcc2b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3EEA1336</paraID>
      <start>16</start>
      <end>17</end>
      <status>unmodified</status>
      <modifiedWord/>
      <trackRevisions>false</trackRevisions>
    </reviewItem>
    <reviewItem>
      <errorID>7f9a0188-93df-413c-94be-6b270c677a2a</errorID>
      <errorWord>(</errorWord>
      <group>L1_Format</group>
      <groupName>格式问题</groupName>
      <ability>L2_HalfPunc</ability>
      <abilityName>全半角检查</abilityName>
      <candidateList>
        <item>（</item>
      </candidateList>
      <explain>文本全半角错误。</explain>
      <paraID>4117818F</paraID>
      <start>6</start>
      <end>7</end>
      <status>unmodified</status>
      <modifiedWord/>
      <trackRevisions>false</trackRevisions>
    </reviewItem>
    <reviewItem>
      <errorID>15457f64-cd54-4772-bb9c-7d30464ef8b2</errorID>
      <errorWord>)</errorWord>
      <group>L1_Format</group>
      <groupName>格式问题</groupName>
      <ability>L2_HalfPunc</ability>
      <abilityName>全半角检查</abilityName>
      <candidateList>
        <item>）</item>
      </candidateList>
      <explain>文本全半角错误。</explain>
      <paraID>4117818F</paraID>
      <start>8</start>
      <end>9</end>
      <status>unmodified</status>
      <modifiedWord/>
      <trackRevisions>false</trackRevisions>
    </reviewItem>
    <reviewItem>
      <errorID>2b5a30c5-9124-4074-b0db-2faada61c777</errorID>
      <errorWord>性性</errorWord>
      <group>L1_Word</group>
      <groupName>字词问题</groupName>
      <ability>L2_Typo</ability>
      <abilityName>字词错误</abilityName>
      <candidateList>
        <item>性</item>
      </candidateList>
      <explain/>
      <paraID>1454C3CC</paraID>
      <start>95</start>
      <end>97</end>
      <status>unmodified</status>
      <modifiedWord/>
      <trackRevisions>false</trackRevisions>
    </reviewItem>
    <reviewItem>
      <errorID>b5633464-ebfe-4428-8b18-6795f2481c41</errorID>
      <errorWord>(</errorWord>
      <group>L1_Format</group>
      <groupName>格式问题</groupName>
      <ability>L2_HalfPunc</ability>
      <abilityName>全半角检查</abilityName>
      <candidateList>
        <item>（</item>
      </candidateList>
      <explain>文本全半角错误。</explain>
      <paraID>1454C3CC</paraID>
      <start>192</start>
      <end>193</end>
      <status>unmodified</status>
      <modifiedWord/>
      <trackRevisions>false</trackRevisions>
    </reviewItem>
    <reviewItem>
      <errorID>9edcf9a0-e93c-431c-b9e8-e12dc76eaee9</errorID>
      <errorWord>)</errorWord>
      <group>L1_Format</group>
      <groupName>格式问题</groupName>
      <ability>L2_HalfPunc</ability>
      <abilityName>全半角检查</abilityName>
      <candidateList>
        <item>）</item>
      </candidateList>
      <explain>文本全半角错误。</explain>
      <paraID>1454C3CC</paraID>
      <start>195</start>
      <end>196</end>
      <status>unmodified</status>
      <modifiedWord/>
      <trackRevisions>false</trackRevisions>
    </reviewItem>
    <reviewItem>
      <errorID>70594551-ba9b-4468-adb5-623874851cd5</errorID>
      <errorWord>(</errorWord>
      <group>L1_Format</group>
      <groupName>格式问题</groupName>
      <ability>L2_HalfPunc</ability>
      <abilityName>全半角检查</abilityName>
      <candidateList>
        <item>（</item>
      </candidateList>
      <explain>文本全半角错误。</explain>
      <paraID>1454C3CC</paraID>
      <start>231</start>
      <end>232</end>
      <status>unmodified</status>
      <modifiedWord/>
      <trackRevisions>false</trackRevisions>
    </reviewItem>
    <reviewItem>
      <errorID>7b50c500-58c3-42ad-b96a-69074b3a411e</errorID>
      <errorWord>)</errorWord>
      <group>L1_Format</group>
      <groupName>格式问题</groupName>
      <ability>L2_HalfPunc</ability>
      <abilityName>全半角检查</abilityName>
      <candidateList>
        <item>）</item>
      </candidateList>
      <explain>文本全半角错误。</explain>
      <paraID>1454C3CC</paraID>
      <start>235</start>
      <end>236</end>
      <status>unmodified</status>
      <modifiedWord/>
      <trackRevisions>false</trackRevisions>
    </reviewItem>
    <reviewItem>
      <errorID>c7870816-6f3e-454a-a2f0-97b4147ae905</errorID>
      <errorWord>均为</errorWord>
      <group>L1_Word</group>
      <groupName>字词问题</groupName>
      <ability>L2_Typo</ability>
      <abilityName>字词错误</abilityName>
      <candidateList>
        <item>均</item>
      </candidateList>
      <explain/>
      <paraID>60A2DB4D</paraID>
      <start>134</start>
      <end>136</end>
      <status>unmodified</status>
      <modifiedWord/>
      <trackRevisions>false</trackRevisions>
    </reviewItem>
    <reviewItem>
      <errorID>53b238ae-9ed9-41e4-acaf-e0a63e460bd2</errorID>
      <errorWord>-</errorWord>
      <group>L1_Format</group>
      <groupName>格式问题</groupName>
      <ability>L2_HalfPunc</ability>
      <abilityName>全半角检查</abilityName>
      <candidateList>
        <item>－</item>
      </candidateList>
      <explain>文本全半角错误。</explain>
      <paraID>124A962E</paraID>
      <start>7</start>
      <end>8</end>
      <status>unmodified</status>
      <modifiedWord/>
      <trackRevisions>false</trackRevisions>
    </reviewItem>
    <reviewItem>
      <errorID>02090e70-bce9-4775-8b56-c44f8f89b291</errorID>
      <errorWord>(</errorWord>
      <group>L1_Format</group>
      <groupName>格式问题</groupName>
      <ability>L2_HalfPunc</ability>
      <abilityName>全半角检查</abilityName>
      <candidateList>
        <item>（</item>
      </candidateList>
      <explain>文本全半角错误。</explain>
      <paraID>124A962E</paraID>
      <start>12</start>
      <end>13</end>
      <status>unmodified</status>
      <modifiedWord/>
      <trackRevisions>false</trackRevisions>
    </reviewItem>
    <reviewItem>
      <errorID>eb4cb33d-fb71-4f8d-9d67-19034854bcc2</errorID>
      <errorWord>)</errorWord>
      <group>L1_Format</group>
      <groupName>格式问题</groupName>
      <ability>L2_HalfPunc</ability>
      <abilityName>全半角检查</abilityName>
      <candidateList>
        <item>）</item>
      </candidateList>
      <explain>文本全半角错误。</explain>
      <paraID>124A962E</paraID>
      <start>14</start>
      <end>15</end>
      <status>unmodified</status>
      <modifiedWord/>
      <trackRevisions>false</trackRevisions>
    </reviewItem>
    <reviewItem>
      <errorID>0d635fca-a959-430b-854e-59eacc12063a</errorID>
      <errorWord>-</errorWord>
      <group>L1_Format</group>
      <groupName>格式问题</groupName>
      <ability>L2_HalfPunc</ability>
      <abilityName>全半角检查</abilityName>
      <candidateList>
        <item>－</item>
      </candidateList>
      <explain>文本全半角错误。</explain>
      <paraID>667C8AFD</paraID>
      <start>7</start>
      <end>8</end>
      <status>unmodified</status>
      <modifiedWord/>
      <trackRevisions>false</trackRevisions>
    </reviewItem>
    <reviewItem>
      <errorID>6e4894f5-e0d0-4411-b947-12967db8a310</errorID>
      <errorWord>(</errorWord>
      <group>L1_Format</group>
      <groupName>格式问题</groupName>
      <ability>L2_HalfPunc</ability>
      <abilityName>全半角检查</abilityName>
      <candidateList>
        <item>（</item>
      </candidateList>
      <explain>文本全半角错误。</explain>
      <paraID>667C8AFD</paraID>
      <start>61</start>
      <end>62</end>
      <status>unmodified</status>
      <modifiedWord/>
      <trackRevisions>false</trackRevisions>
    </reviewItem>
    <reviewItem>
      <errorID>19b12c5b-883e-4df8-9816-19b77d61f790</errorID>
      <errorWord>)</errorWord>
      <group>L1_Format</group>
      <groupName>格式问题</groupName>
      <ability>L2_HalfPunc</ability>
      <abilityName>全半角检查</abilityName>
      <candidateList>
        <item>）</item>
      </candidateList>
      <explain>文本全半角错误。</explain>
      <paraID>667C8AFD</paraID>
      <start>73</start>
      <end>74</end>
      <status>unmodified</status>
      <modifiedWord/>
      <trackRevisions>false</trackRevisions>
    </reviewItem>
    <reviewItem>
      <errorID>bc97ac84-2b0d-4290-a896-db9cff0b529e</errorID>
      <errorWord>（&gt;</errorWord>
      <group>L1_Punc</group>
      <groupName>标点问题</groupName>
      <ability>L2_Punc</ability>
      <abilityName>标点符号检查</abilityName>
      <candidateList>
        <item>（</item>
      </candidateList>
      <explain/>
      <paraID>5600E043</paraID>
      <start>170</start>
      <end>172</end>
      <status>unmodified</status>
      <modifiedWord/>
      <trackRevisions>false</trackRevisions>
    </reviewItem>
    <reviewItem>
      <errorID>48d126d3-a97d-46c6-851d-e60343998b23</errorID>
      <errorWord>（&gt;</errorWord>
      <group>L1_Punc</group>
      <groupName>标点问题</groupName>
      <ability>L2_Punc</ability>
      <abilityName>标点符号检查</abilityName>
      <candidateList>
        <item>（</item>
      </candidateList>
      <explain/>
      <paraID>5600E043</paraID>
      <start>217</start>
      <end>219</end>
      <status>unmodified</status>
      <modifiedWord/>
      <trackRevisions>false</trackRevisions>
    </reviewItem>
    <reviewItem>
      <errorID>8e5fd2d5-b22a-43cc-8433-3e25d57eb071</errorID>
      <errorWord>98）、</errorWord>
      <group>L1_Punc</group>
      <groupName>标点问题</groupName>
      <ability>L2_Punc</ability>
      <abilityName>标点符号检查</abilityName>
      <candidateList>
        <item>98）</item>
      </candidateList>
      <explain>根据国标GB/T 15834-2011《标点符号用法》中的4.5.3.3节，带括号的汉字数字或阿拉伯数字表次序时，后面通常不加顿号。如“（一）指导思想”“（二）行动指南”。</explain>
      <paraID>5600E043</paraID>
      <start>264</start>
      <end>268</end>
      <status>unmodified</status>
      <modifiedWord/>
      <trackRevisions>false</trackRevisions>
    </reviewItem>
    <reviewItem>
      <errorID>39273129-4e73-4526-aa95-0996b25a28a0</errorID>
      <errorWord>（&gt;</errorWord>
      <group>L1_Punc</group>
      <groupName>标点问题</groupName>
      <ability>L2_Punc</ability>
      <abilityName>标点符号检查</abilityName>
      <candidateList>
        <item>（</item>
      </candidateList>
      <explain/>
      <paraID>5600E043</paraID>
      <start>345</start>
      <end>347</end>
      <status>unmodified</status>
      <modifiedWord/>
      <trackRevisions>false</trackRevisions>
    </reviewItem>
    <reviewItem>
      <errorID>61918a10-af3b-4a6b-994f-fb6472ab1761</errorID>
      <errorWord>（</errorWord>
      <group>L1_Punc</group>
      <groupName>标点问题</groupName>
      <ability>L2_Punc</ability>
      <abilityName>标点符号检查</abilityName>
      <candidateList/>
      <explain>同一形式括号套用。</explain>
      <paraID>21F0E7AB</paraID>
      <start>87</start>
      <end>88</end>
      <status>unmodified</status>
      <modifiedWord/>
      <trackRevisions>false</trackRevisions>
    </reviewItem>
    <reviewItem>
      <errorID>dc02bde3-2416-4569-bab8-e342bac77655</errorID>
      <errorWord>）</errorWord>
      <group>L1_Punc</group>
      <groupName>标点问题</groupName>
      <ability>L2_Punc</ability>
      <abilityName>标点符号检查</abilityName>
      <candidateList/>
      <explain>同一形式括号套用。</explain>
      <paraID>21F0E7AB</paraID>
      <start>91</start>
      <end>92</end>
      <status>unmodified</status>
      <modifiedWord/>
      <trackRevisions>false</trackRevisions>
    </reviewItem>
    <reviewItem>
      <errorID>820a65e2-71ea-4a93-80b6-2de04a8d1427</errorID>
      <errorWord>（</errorWord>
      <group>L1_Punc</group>
      <groupName>标点问题</groupName>
      <ability>L2_Punc</ability>
      <abilityName>标点符号检查</abilityName>
      <candidateList/>
      <explain>同一形式括号套用。</explain>
      <paraID>21F0E7AB</paraID>
      <start>105</start>
      <end>106</end>
      <status>unmodified</status>
      <modifiedWord/>
      <trackRevisions>false</trackRevisions>
    </reviewItem>
    <reviewItem>
      <errorID>9f3a3169-a3a6-469b-8ce8-717e2036601b</errorID>
      <errorWord>）</errorWord>
      <group>L1_Punc</group>
      <groupName>标点问题</groupName>
      <ability>L2_Punc</ability>
      <abilityName>标点符号检查</abilityName>
      <candidateList/>
      <explain>同一形式括号套用。</explain>
      <paraID>21F0E7AB</paraID>
      <start>109</start>
      <end>110</end>
      <status>unmodified</status>
      <modifiedWord/>
      <trackRevisions>false</trackRevisions>
    </reviewItem>
    <reviewItem>
      <errorID>7da64113-477d-404b-88a1-ef96a9b29018</errorID>
      <errorWord>（</errorWord>
      <group>L1_Punc</group>
      <groupName>标点问题</groupName>
      <ability>L2_Punc</ability>
      <abilityName>标点符号检查</abilityName>
      <candidateList/>
      <explain>同一形式括号套用。</explain>
      <paraID>21F0E7AB</paraID>
      <start>144</start>
      <end>145</end>
      <status>unmodified</status>
      <modifiedWord/>
      <trackRevisions>false</trackRevisions>
    </reviewItem>
    <reviewItem>
      <errorID>37662ff7-922c-41a1-b946-d1087ab2de4f</errorID>
      <errorWord>）</errorWord>
      <group>L1_Punc</group>
      <groupName>标点问题</groupName>
      <ability>L2_Punc</ability>
      <abilityName>标点符号检查</abilityName>
      <candidateList/>
      <explain>同一形式括号套用。</explain>
      <paraID>21F0E7AB</paraID>
      <start>148</start>
      <end>149</end>
      <status>unmodified</status>
      <modifiedWord/>
      <trackRevisions>false</trackRevisions>
    </reviewItem>
    <reviewItem>
      <errorID>681fd314-5063-485e-814d-a1d837ecdedc</errorID>
      <errorWord>（</errorWord>
      <group>L1_Punc</group>
      <groupName>标点问题</groupName>
      <ability>L2_Punc</ability>
      <abilityName>标点符号检查</abilityName>
      <candidateList/>
      <explain>同一形式括号套用。</explain>
      <paraID>21F0E7AB</paraID>
      <start>162</start>
      <end>163</end>
      <status>unmodified</status>
      <modifiedWord/>
      <trackRevisions>false</trackRevisions>
    </reviewItem>
    <reviewItem>
      <errorID>09a723f1-74c0-4690-bf06-c5e03f419f64</errorID>
      <errorWord>）</errorWord>
      <group>L1_Punc</group>
      <groupName>标点问题</groupName>
      <ability>L2_Punc</ability>
      <abilityName>标点符号检查</abilityName>
      <candidateList/>
      <explain>同一形式括号套用。</explain>
      <paraID>21F0E7AB</paraID>
      <start>169</start>
      <end>170</end>
      <status>unmodified</status>
      <modifiedWord/>
      <trackRevisions>false</trackRevisions>
    </reviewItem>
    <reviewItem>
      <errorID>37d972da-79b7-4a92-9bf1-d63171974a77</errorID>
      <errorWord>（</errorWord>
      <group>L1_Punc</group>
      <groupName>标点问题</groupName>
      <ability>L2_Punc</ability>
      <abilityName>标点符号检查</abilityName>
      <candidateList/>
      <explain>同一形式括号套用。</explain>
      <paraID>21F0E7AB</paraID>
      <start>204</start>
      <end>205</end>
      <status>unmodified</status>
      <modifiedWord/>
      <trackRevisions>false</trackRevisions>
    </reviewItem>
    <reviewItem>
      <errorID>3ed1ddb1-99cb-47b0-b5cf-cf8998e721ac</errorID>
      <errorWord>）</errorWord>
      <group>L1_Punc</group>
      <groupName>标点问题</groupName>
      <ability>L2_Punc</ability>
      <abilityName>标点符号检查</abilityName>
      <candidateList/>
      <explain>同一形式括号套用。</explain>
      <paraID>21F0E7AB</paraID>
      <start>211</start>
      <end>212</end>
      <status>unmodified</status>
      <modifiedWord/>
      <trackRevisions>false</trackRevisions>
    </reviewItem>
    <reviewItem>
      <errorID>f4b6ab27-6a02-462a-98e3-36f2f7efb623</errorID>
      <errorWord>（</errorWord>
      <group>L1_Punc</group>
      <groupName>标点问题</groupName>
      <ability>L2_Punc</ability>
      <abilityName>标点符号检查</abilityName>
      <candidateList/>
      <explain>同一形式括号套用。</explain>
      <paraID>21F0E7AB</paraID>
      <start>223</start>
      <end>224</end>
      <status>unmodified</status>
      <modifiedWord/>
      <trackRevisions>false</trackRevisions>
    </reviewItem>
    <reviewItem>
      <errorID>e7b18feb-c1a2-432a-8f5a-6818fd2b1b0c</errorID>
      <errorWord>）</errorWord>
      <group>L1_Punc</group>
      <groupName>标点问题</groupName>
      <ability>L2_Punc</ability>
      <abilityName>标点符号检查</abilityName>
      <candidateList/>
      <explain>同一形式括号套用。</explain>
      <paraID>21F0E7AB</paraID>
      <start>230</start>
      <end>231</end>
      <status>unmodified</status>
      <modifiedWord/>
      <trackRevisions>false</trackRevisions>
    </reviewItem>
    <reviewItem>
      <errorID>186903fd-e534-4d5d-8761-c5d22d3b6677</errorID>
      <errorWord>（</errorWord>
      <group>L1_Punc</group>
      <groupName>标点问题</groupName>
      <ability>L2_Punc</ability>
      <abilityName>标点符号检查</abilityName>
      <candidateList/>
      <explain>同一形式括号套用。</explain>
      <paraID>21F0E7AB</paraID>
      <start>465</start>
      <end>466</end>
      <status>unmodified</status>
      <modifiedWord/>
      <trackRevisions>false</trackRevisions>
    </reviewItem>
    <reviewItem>
      <errorID>ecc409a8-56fd-41b2-ac4c-9606465af5ef</errorID>
      <errorWord>）</errorWord>
      <group>L1_Punc</group>
      <groupName>标点问题</groupName>
      <ability>L2_Punc</ability>
      <abilityName>标点符号检查</abilityName>
      <candidateList/>
      <explain>同一形式括号套用。</explain>
      <paraID>21F0E7AB</paraID>
      <start>469</start>
      <end>470</end>
      <status>unmodified</status>
      <modifiedWord/>
      <trackRevisions>false</trackRevisions>
    </reviewItem>
    <reviewItem>
      <errorID>cb8df9bc-abe0-406e-b17e-5413d3b615b3</errorID>
      <errorWord>均为</errorWord>
      <group>L1_Word</group>
      <groupName>字词问题</groupName>
      <ability>L2_Typo</ability>
      <abilityName>字词错误</abilityName>
      <candidateList>
        <item>均</item>
      </candidateList>
      <explain/>
      <paraID>21F0E7AB</paraID>
      <start>517</start>
      <end>519</end>
      <status>unmodified</status>
      <modifiedWord/>
      <trackRevisions>false</trackRevisions>
    </reviewItem>
    <reviewItem>
      <errorID>c0a1b765-aaea-4760-859a-5f24ee4309d3</errorID>
      <errorWord>主要的</errorWord>
      <group>L1_Word</group>
      <groupName>字词问题</groupName>
      <ability>L2_Typo</ability>
      <abilityName>字词错误</abilityName>
      <candidateList>
        <item>主要</item>
      </candidateList>
      <explain>〈形〉属性词。有关事物中最重要的；起决定作用的：～原因｜～目的｜～人物。</explain>
      <paraID>5EDC1C66</paraID>
      <start>17</start>
      <end>20</end>
      <status>unmodified</status>
      <modifiedWord/>
      <trackRevisions>false</trackRevisions>
    </reviewItem>
    <reviewItem>
      <errorID>0b9d086b-d8a0-4f9b-af2d-1c599ae13c2b</errorID>
      <errorWord>（&gt;</errorWord>
      <group>L1_Punc</group>
      <groupName>标点问题</groupName>
      <ability>L2_Punc</ability>
      <abilityName>标点符号检查</abilityName>
      <candidateList>
        <item>（</item>
      </candidateList>
      <explain/>
      <paraID>14F6CC45</paraID>
      <start>170</start>
      <end>172</end>
      <status>unmodified</status>
      <modifiedWord/>
      <trackRevisions>false</trackRevisions>
    </reviewItem>
    <reviewItem>
      <errorID>be8e570c-51d0-46a9-a8c1-229ecc0c635d</errorID>
      <errorWord>（&gt;</errorWord>
      <group>L1_Punc</group>
      <groupName>标点问题</groupName>
      <ability>L2_Punc</ability>
      <abilityName>标点符号检查</abilityName>
      <candidateList>
        <item>（</item>
      </candidateList>
      <explain/>
      <paraID>14F6CC45</paraID>
      <start>217</start>
      <end>219</end>
      <status>unmodified</status>
      <modifiedWord/>
      <trackRevisions>false</trackRevisions>
    </reviewItem>
    <reviewItem>
      <errorID>9a50e385-6875-426d-b8bf-73b118ada4f8</errorID>
      <errorWord>98）、</errorWord>
      <group>L1_Punc</group>
      <groupName>标点问题</groupName>
      <ability>L2_Punc</ability>
      <abilityName>标点符号检查</abilityName>
      <candidateList>
        <item>98）</item>
      </candidateList>
      <explain>根据国标GB/T 15834-2011《标点符号用法》中的4.5.3.3节，带括号的汉字数字或阿拉伯数字表次序时，后面通常不加顿号。如“（一）指导思想”“（二）行动指南”。</explain>
      <paraID>14F6CC45</paraID>
      <start>264</start>
      <end>268</end>
      <status>unmodified</status>
      <modifiedWord/>
      <trackRevisions>false</trackRevisions>
    </reviewItem>
    <reviewItem>
      <errorID>805cbfde-1cca-43b0-b93b-c37d0c786af0</errorID>
      <errorWord>（&gt;</errorWord>
      <group>L1_Punc</group>
      <groupName>标点问题</groupName>
      <ability>L2_Punc</ability>
      <abilityName>标点符号检查</abilityName>
      <candidateList>
        <item>（</item>
      </candidateList>
      <explain/>
      <paraID>14F6CC45</paraID>
      <start>345</start>
      <end>347</end>
      <status>unmodified</status>
      <modifiedWord/>
      <trackRevisions>false</trackRevisions>
    </reviewItem>
    <reviewItem>
      <errorID>a5a8fca3-5f9a-41f3-8486-3449c73ecc6f</errorID>
      <errorWord>）</errorWord>
      <group>L1_Punc</group>
      <groupName>标点问题</groupName>
      <ability>L2_Punc</ability>
      <abilityName>标点符号检查</abilityName>
      <candidateList/>
      <explain>同一形式括号套用。</explain>
      <paraID>  5D1769</paraID>
      <start>104</start>
      <end>105</end>
      <status>unmodified</status>
      <modifiedWord/>
      <trackRevisions>false</trackRevisions>
    </reviewItem>
    <reviewItem>
      <errorID>610755c8-cccf-466b-9a57-7b320d5c057e</errorID>
      <errorWord>（&gt;</errorWord>
      <group>L1_Punc</group>
      <groupName>标点问题</groupName>
      <ability>L2_Punc</ability>
      <abilityName>标点符号检查</abilityName>
      <candidateList>
        <item>（</item>
      </candidateList>
      <explain/>
      <paraID>147DF4CD</paraID>
      <start>170</start>
      <end>172</end>
      <status>unmodified</status>
      <modifiedWord/>
      <trackRevisions>false</trackRevisions>
    </reviewItem>
    <reviewItem>
      <errorID>4a2ded3d-59be-41a9-9db7-707cc5cff055</errorID>
      <errorWord>（&gt;</errorWord>
      <group>L1_Punc</group>
      <groupName>标点问题</groupName>
      <ability>L2_Punc</ability>
      <abilityName>标点符号检查</abilityName>
      <candidateList>
        <item>（</item>
      </candidateList>
      <explain/>
      <paraID>147DF4CD</paraID>
      <start>217</start>
      <end>219</end>
      <status>unmodified</status>
      <modifiedWord/>
      <trackRevisions>false</trackRevisions>
    </reviewItem>
    <reviewItem>
      <errorID>341651f6-a38d-4bed-be0b-c5a582286969</errorID>
      <errorWord>98）、</errorWord>
      <group>L1_Punc</group>
      <groupName>标点问题</groupName>
      <ability>L2_Punc</ability>
      <abilityName>标点符号检查</abilityName>
      <candidateList>
        <item>98）</item>
      </candidateList>
      <explain>根据国标GB/T 15834-2011《标点符号用法》中的4.5.3.3节，带括号的汉字数字或阿拉伯数字表次序时，后面通常不加顿号。如“（一）指导思想”“（二）行动指南”。</explain>
      <paraID>147DF4CD</paraID>
      <start>264</start>
      <end>268</end>
      <status>unmodified</status>
      <modifiedWord/>
      <trackRevisions>false</trackRevisions>
    </reviewItem>
    <reviewItem>
      <errorID>5cb1be94-56dd-4a3e-a9bc-b159def070c1</errorID>
      <errorWord>（&gt;</errorWord>
      <group>L1_Punc</group>
      <groupName>标点问题</groupName>
      <ability>L2_Punc</ability>
      <abilityName>标点符号检查</abilityName>
      <candidateList>
        <item>（</item>
      </candidateList>
      <explain/>
      <paraID>147DF4CD</paraID>
      <start>345</start>
      <end>347</end>
      <status>unmodified</status>
      <modifiedWord/>
      <trackRevisions>false</trackRevisions>
    </reviewItem>
    <reviewItem>
      <errorID>4add7c46-78c2-4836-8bd5-86d522b0a3f7</errorID>
      <errorWord>(</errorWord>
      <group>L1_Format</group>
      <groupName>格式问题</groupName>
      <ability>L2_HalfPunc</ability>
      <abilityName>全半角检查</abilityName>
      <candidateList>
        <item>（</item>
      </candidateList>
      <explain>文本全半角错误。</explain>
      <paraID>649E24FC</paraID>
      <start>71</start>
      <end>72</end>
      <status>unmodified</status>
      <modifiedWord/>
      <trackRevisions>false</trackRevisions>
    </reviewItem>
    <reviewItem>
      <errorID>08d102af-923d-42c3-a23b-69ad6160f2dc</errorID>
      <errorWord>)</errorWord>
      <group>L1_Format</group>
      <groupName>格式问题</groupName>
      <ability>L2_HalfPunc</ability>
      <abilityName>全半角检查</abilityName>
      <candidateList>
        <item>）</item>
      </candidateList>
      <explain>文本全半角错误。</explain>
      <paraID>649E24FC</paraID>
      <start>82</start>
      <end>83</end>
      <status>unmodified</status>
      <modifiedWord/>
      <trackRevisions>false</trackRevisions>
    </reviewItem>
    <reviewItem>
      <errorID>8acca925-0867-4347-9bbb-8c153925528b</errorID>
      <errorWord>粘结</errorWord>
      <group>L1_Word</group>
      <groupName>字词问题</groupName>
      <ability>L2_Typo</ability>
      <abilityName>字词错误</abilityName>
      <candidateList>
        <item>黏结</item>
      </candidateList>
      <explain>存在发音相同字词的误用。</explain>
      <paraID> C0F7739</paraID>
      <start>55</start>
      <end>57</end>
      <status>unmodified</status>
      <modifiedWord/>
      <trackRevisions>false</trackRevisions>
    </reviewItem>
    <reviewItem>
      <errorID>c8be5006-526f-4250-97fa-1349227353b1</errorID>
      <errorWord>品</errorWord>
      <group>L1_Word</group>
      <groupName>字词问题</groupName>
      <ability>L2_Typo</ability>
      <abilityName>字词错误</abilityName>
      <candidateList>
        <item>的</item>
      </candidateList>
      <explain>存在字形相近字词的误用。</explain>
      <paraID>1354B2B7</paraID>
      <start>8</start>
      <end>9</end>
      <status>unmodified</status>
      <modifiedWord/>
      <trackRevisions>false</trackRevisions>
    </reviewItem>
    <reviewItem>
      <errorID>5b33c82e-68ae-43e0-be83-89b81b3bf59b</errorID>
      <errorWord>(</errorWord>
      <group>L1_Format</group>
      <groupName>格式问题</groupName>
      <ability>L2_HalfPunc</ability>
      <abilityName>全半角检查</abilityName>
      <candidateList>
        <item>（</item>
      </candidateList>
      <explain>文本全半角错误。</explain>
      <paraID>7FFA27A8</paraID>
      <start>15</start>
      <end>16</end>
      <status>unmodified</status>
      <modifiedWord/>
      <trackRevisions>false</trackRevisions>
    </reviewItem>
    <reviewItem>
      <errorID>b7b8edcd-3c07-4f42-b98f-f7f50180c55a</errorID>
      <errorWord>)</errorWord>
      <group>L1_Format</group>
      <groupName>格式问题</groupName>
      <ability>L2_HalfPunc</ability>
      <abilityName>全半角检查</abilityName>
      <candidateList>
        <item>）</item>
      </candidateList>
      <explain>文本全半角错误。</explain>
      <paraID>7FFA27A8</paraID>
      <start>23</start>
      <end>24</end>
      <status>unmodified</status>
      <modifiedWord/>
      <trackRevisions>false</trackRevisions>
    </reviewItem>
    <reviewItem>
      <errorID>7b11bc5c-bc91-427f-919f-ea797cf8ef7e</errorID>
      <errorWord>;</errorWord>
      <group>L1_Format</group>
      <groupName>格式问题</groupName>
      <ability>L2_HalfPunc</ability>
      <abilityName>全半角检查</abilityName>
      <candidateList>
        <item>；</item>
      </candidateList>
      <explain>文本全半角错误。</explain>
      <paraID>2EF7D002</paraID>
      <start>75</start>
      <end>76</end>
      <status>unmodified</status>
      <modifiedWord/>
      <trackRevisions>false</trackRevisions>
    </reviewItem>
    <reviewItem>
      <errorID>34ba9af0-685d-4c5f-9c4a-6a3c7ceedae6</errorID>
      <errorWord>(</errorWord>
      <group>L1_Format</group>
      <groupName>格式问题</groupName>
      <ability>L2_HalfPunc</ability>
      <abilityName>全半角检查</abilityName>
      <candidateList>
        <item>（</item>
      </candidateList>
      <explain>文本全半角错误。</explain>
      <paraID>454D6C2D</paraID>
      <start>9</start>
      <end>10</end>
      <status>unmodified</status>
      <modifiedWord/>
      <trackRevisions>false</trackRevisions>
    </reviewItem>
    <reviewItem>
      <errorID>807084cd-42d7-4311-80e7-b30b39f07fb1</errorID>
      <errorWord>)</errorWord>
      <group>L1_Format</group>
      <groupName>格式问题</groupName>
      <ability>L2_HalfPunc</ability>
      <abilityName>全半角检查</abilityName>
      <candidateList>
        <item>）</item>
      </candidateList>
      <explain>文本全半角错误。</explain>
      <paraID>454D6C2D</paraID>
      <start>20</start>
      <end>21</end>
      <status>unmodified</status>
      <modifiedWord/>
      <trackRevisions>false</trackRevisions>
    </reviewItem>
    <reviewItem>
      <errorID>1c241b07-325e-4caf-8c17-87e71c873853</errorID>
      <errorWord>(</errorWord>
      <group>L1_Format</group>
      <groupName>格式问题</groupName>
      <ability>L2_HalfPunc</ability>
      <abilityName>全半角检查</abilityName>
      <candidateList>
        <item>（</item>
      </candidateList>
      <explain>文本全半角错误。</explain>
      <paraID>7958733E</paraID>
      <start>29</start>
      <end>30</end>
      <status>unmodified</status>
      <modifiedWord/>
      <trackRevisions>false</trackRevisions>
    </reviewItem>
    <reviewItem>
      <errorID>217894f8-8f45-4707-9793-42b7464db5be</errorID>
      <errorWord>)</errorWord>
      <group>L1_Format</group>
      <groupName>格式问题</groupName>
      <ability>L2_HalfPunc</ability>
      <abilityName>全半角检查</abilityName>
      <candidateList>
        <item>）</item>
      </candidateList>
      <explain>文本全半角错误。</explain>
      <paraID>7958733E</paraID>
      <start>36</start>
      <end>37</end>
      <status>unmodified</status>
      <modifiedWord/>
      <trackRevisions>false</trackRevisions>
    </reviewItem>
    <reviewItem>
      <errorID>69e1f64f-4299-4746-b01d-e28abc38c93b</errorID>
      <errorWord>(</errorWord>
      <group>L1_Format</group>
      <groupName>格式问题</groupName>
      <ability>L2_HalfPunc</ability>
      <abilityName>全半角检查</abilityName>
      <candidateList>
        <item>（</item>
      </candidateList>
      <explain>文本全半角错误。</explain>
      <paraID>1FC23ACB</paraID>
      <start>7</start>
      <end>8</end>
      <status>unmodified</status>
      <modifiedWord/>
      <trackRevisions>false</trackRevisions>
    </reviewItem>
    <reviewItem>
      <errorID>ffa67538-5f36-445f-a7f9-e1585d373ef9</errorID>
      <errorWord>)</errorWord>
      <group>L1_Format</group>
      <groupName>格式问题</groupName>
      <ability>L2_HalfPunc</ability>
      <abilityName>全半角检查</abilityName>
      <candidateList>
        <item>）</item>
      </candidateList>
      <explain>文本全半角错误。</explain>
      <paraID>1FC23ACB</paraID>
      <start>21</start>
      <end>22</end>
      <status>unmodified</status>
      <modifiedWord/>
      <trackRevisions>false</trackRevisions>
    </reviewItem>
    <reviewItem>
      <errorID>fd5e9dcb-1481-479d-9a52-e263874b707b</errorID>
      <errorWord>(</errorWord>
      <group>L1_Format</group>
      <groupName>格式问题</groupName>
      <ability>L2_HalfPunc</ability>
      <abilityName>全半角检查</abilityName>
      <candidateList>
        <item>（</item>
      </candidateList>
      <explain>文本全半角错误。</explain>
      <paraID>3C33DD1A</paraID>
      <start>14</start>
      <end>15</end>
      <status>unmodified</status>
      <modifiedWord/>
      <trackRevisions>false</trackRevisions>
    </reviewItem>
    <reviewItem>
      <errorID>5e3edb75-2e60-4097-8e50-682763342ee5</errorID>
      <errorWord>)</errorWord>
      <group>L1_Format</group>
      <groupName>格式问题</groupName>
      <ability>L2_HalfPunc</ability>
      <abilityName>全半角检查</abilityName>
      <candidateList>
        <item>）</item>
      </candidateList>
      <explain>文本全半角错误。</explain>
      <paraID>3C33DD1A</paraID>
      <start>17</start>
      <end>18</end>
      <status>unmodified</status>
      <modifiedWord/>
      <trackRevisions>false</trackRevisions>
    </reviewItem>
    <reviewItem>
      <errorID>4bc5187f-275f-437a-8815-f1013d43a8fa</errorID>
      <errorWord>)</errorWord>
      <group>L1_Format</group>
      <groupName>格式问题</groupName>
      <ability>L2_HalfPunc</ability>
      <abilityName>全半角检查</abilityName>
      <candidateList>
        <item>）</item>
      </candidateList>
      <explain>文本全半角错误。</explain>
      <paraID>3738CAB0</paraID>
      <start>12</start>
      <end>13</end>
      <status>unmodified</status>
      <modifiedWord/>
      <trackRevisions>false</trackRevisions>
    </reviewItem>
    <reviewItem>
      <errorID>8e54e73c-7f5b-4c7f-ac07-683fdbc1491f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79996972</paraID>
      <start>9</start>
      <end>10</end>
      <status>unmodified</status>
      <modifiedWord/>
      <trackRevisions>false</trackRevisions>
    </reviewItem>
    <reviewItem>
      <errorID>6bef77cc-77bd-4265-86a8-1c39762d8cba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78640CAD</paraID>
      <start>14</start>
      <end>15</end>
      <status>unmodified</status>
      <modifiedWord/>
      <trackRevisions>false</trackRevisions>
    </reviewItem>
    <reviewItem>
      <errorID>b849cc9c-4510-4563-8e34-d0ce3ff74851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78640CAD</paraID>
      <start>31</start>
      <end>32</end>
      <status>unmodified</status>
      <modifiedWord/>
      <trackRevisions>false</trackRevisions>
    </reviewItem>
    <reviewItem>
      <errorID>587379c9-ec4a-4fc1-9d84-3b04528a1ec4</errorID>
      <errorWord>(</errorWord>
      <group>L1_Format</group>
      <groupName>格式问题</groupName>
      <ability>L2_HalfPunc</ability>
      <abilityName>全半角检查</abilityName>
      <candidateList>
        <item>（</item>
      </candidateList>
      <explain>文本全半角错误。</explain>
      <paraID> DD22ED3</paraID>
      <start>11</start>
      <end>12</end>
      <status>unmodified</status>
      <modifiedWord/>
      <trackRevisions>false</trackRevisions>
    </reviewItem>
    <reviewItem>
      <errorID>e854b012-4013-48da-94cf-3b7117087077</errorID>
      <errorWord>)</errorWord>
      <group>L1_Format</group>
      <groupName>格式问题</groupName>
      <ability>L2_HalfPunc</ability>
      <abilityName>全半角检查</abilityName>
      <candidateList>
        <item>）</item>
      </candidateList>
      <explain>文本全半角错误。</explain>
      <paraID> DD22ED3</paraID>
      <start>16</start>
      <end>17</end>
      <status>unmodified</status>
      <modifiedWord/>
      <trackRevisions>false</trackRevisions>
    </reviewItem>
    <reviewItem>
      <errorID>16298c76-9907-44b8-ac94-f2b507bbd3e6</errorID>
      <errorWord>国标标准</errorWord>
      <group>L1_Word</group>
      <groupName>字词问题</groupName>
      <ability>L2_Typo</ability>
      <abilityName>字词错误</abilityName>
      <candidateList>
        <item>国家标准</item>
      </candidateList>
      <explain/>
      <paraID>11E66644</paraID>
      <start>3</start>
      <end>7</end>
      <status>unmodified</status>
      <modifiedWord/>
      <trackRevisions>false</trackRevisions>
    </reviewItem>
    <reviewItem>
      <errorID>39708a04-61a0-405a-9a91-7170c89dc9cb</errorID>
      <errorWord>(</errorWord>
      <group>L1_Format</group>
      <groupName>格式问题</groupName>
      <ability>L2_HalfPunc</ability>
      <abilityName>全半角检查</abilityName>
      <candidateList>
        <item>（</item>
      </candidateList>
      <explain>文本全半角错误。</explain>
      <paraID>11E66644</paraID>
      <start>101</start>
      <end>102</end>
      <status>unmodified</status>
      <modifiedWord/>
      <trackRevisions>false</trackRevisions>
    </reviewItem>
    <reviewItem>
      <errorID>5a724383-c522-43f2-b559-34262e5e76d5</errorID>
      <errorWord>)</errorWord>
      <group>L1_Format</group>
      <groupName>格式问题</groupName>
      <ability>L2_HalfPunc</ability>
      <abilityName>全半角检查</abilityName>
      <candidateList>
        <item>）</item>
      </candidateList>
      <explain>文本全半角错误。</explain>
      <paraID>11E66644</paraID>
      <start>104</start>
      <end>105</end>
      <status>unmodified</status>
      <modifiedWord/>
      <trackRevisions>false</trackRevisions>
    </reviewItem>
    <reviewItem>
      <errorID>3075b603-39b0-4aa0-82cd-33a2d83c1294</errorID>
      <errorWord>(</errorWord>
      <group>L1_Format</group>
      <groupName>格式问题</groupName>
      <ability>L2_HalfPunc</ability>
      <abilityName>全半角检查</abilityName>
      <candidateList>
        <item>（</item>
      </candidateList>
      <explain>文本全半角错误。</explain>
      <paraID>11E66644</paraID>
      <start>111</start>
      <end>112</end>
      <status>unmodified</status>
      <modifiedWord/>
      <trackRevisions>false</trackRevisions>
    </reviewItem>
    <reviewItem>
      <errorID>4b4798e2-5bec-4ffe-af14-4ffb1c974f79</errorID>
      <errorWord>)</errorWord>
      <group>L1_Format</group>
      <groupName>格式问题</groupName>
      <ability>L2_HalfPunc</ability>
      <abilityName>全半角检查</abilityName>
      <candidateList>
        <item>）</item>
      </candidateList>
      <explain>文本全半角错误。</explain>
      <paraID>11E66644</paraID>
      <start>114</start>
      <end>115</end>
      <status>unmodified</status>
      <modifiedWord/>
      <trackRevisions>false</trackRevisions>
    </reviewItem>
    <reviewItem>
      <errorID>cd7bc3f2-1659-4fdb-b825-794939a173b6</errorID>
      <errorWord>初中</errorWord>
      <group>L1_Word</group>
      <groupName>字词问题</groupName>
      <ability>L2_Typo</ability>
      <abilityName>字词错误</abilityName>
      <candidateList>
        <item>初</item>
      </candidateList>
      <explain/>
      <paraID>11E66644</paraID>
      <start>138</start>
      <end>140</end>
      <status>unmodified</status>
      <modifiedWord/>
      <trackRevisions>false</trackRevisions>
    </reviewItem>
    <reviewItem>
      <errorID>0c5b7953-64df-4ce7-936d-8eb28dac4bbb</errorID>
      <errorWord>～</errorWord>
      <group>L1_Format</group>
      <groupName>格式问题</groupName>
      <ability>L2_HalfPunc</ability>
      <abilityName>全半角检查</abilityName>
      <candidateList>
        <item>~</item>
      </candidateList>
      <explain>文本全半角错误。</explain>
      <paraID>1E31B261</paraID>
      <start>3</start>
      <end>4</end>
      <status>unmodified</status>
      <modifiedWord/>
      <trackRevisions>false</trackRevisions>
    </reviewItem>
    <reviewItem>
      <errorID>bd0cd312-2e13-4c58-8c6f-40275332fa41</errorID>
      <errorWord>～</errorWord>
      <group>L1_Format</group>
      <groupName>格式问题</groupName>
      <ability>L2_HalfPunc</ability>
      <abilityName>全半角检查</abilityName>
      <candidateList>
        <item>~</item>
      </candidateList>
      <explain>文本全半角错误。</explain>
      <paraID>5BB20E78</paraID>
      <start>3</start>
      <end>4</end>
      <status>unmodified</status>
      <modifiedWord/>
      <trackRevisions>false</trackRevisions>
    </reviewItem>
    <reviewItem>
      <errorID>0dbb9711-6bd2-4a2f-84e8-ac1f93b17a28</errorID>
      <errorWord>～</errorWord>
      <group>L1_Format</group>
      <groupName>格式问题</groupName>
      <ability>L2_HalfPunc</ability>
      <abilityName>全半角检查</abilityName>
      <candidateList>
        <item>~</item>
      </candidateList>
      <explain>文本全半角错误。</explain>
      <paraID> 2126922</paraID>
      <start>3</start>
      <end>4</end>
      <status>unmodified</status>
      <modifiedWord/>
      <trackRevisions>false</trackRevisions>
    </reviewItem>
    <reviewItem>
      <errorID>98446f38-06c0-433b-b2bf-383e1c4d1902</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282D84DD</paraID>
      <start>126</start>
      <end>127</end>
      <status>unmodified</status>
      <modifiedWord/>
      <trackRevisions>false</trackRevisions>
    </reviewItem>
    <reviewItem>
      <errorID>58d3aa9d-dd9b-4af1-800b-013e1759ac86</errorID>
      <errorWord>~</errorWord>
      <group>L1_Format</group>
      <groupName>格式问题</groupName>
      <ability>L2_HalfPunc</ability>
      <abilityName>全半角检查</abilityName>
      <candidateList>
        <item>～</item>
      </candidateList>
      <explain>文本全半角错误。</explain>
      <paraID>2DDC4AF6</paraID>
      <start>23</start>
      <end>24</end>
      <status>unmodified</status>
      <modifiedWord/>
      <trackRevisions>false</trackRevisions>
    </reviewItem>
    <reviewItem>
      <errorID>620b2af6-d6f7-4ece-acbc-6ed5ffc5e088</errorID>
      <errorWord>配带</errorWord>
      <group>L1_Word</group>
      <groupName>字词问题</groupName>
      <ability>L2_Alias</ability>
      <abilityName>也作/曾用词</abilityName>
      <candidateList>
        <item>佩戴</item>
      </candidateList>
      <explain>词汇[配带]为不规范表述或旧称，其规范书面表述为[佩戴]。</explain>
      <paraID>2DDC4AF6</paraID>
      <start>41</start>
      <end>43</end>
      <status>unmodified</status>
      <modifiedWord/>
      <trackRevisions>false</trackRevisions>
    </reviewItem>
    <reviewItem>
      <errorID>085a323c-d9c9-4a51-8bba-b3c004987873</errorID>
      <errorWord>作</errorWord>
      <group>L1_Word</group>
      <groupName>字词问题</groupName>
      <ability>L2_Typo</ability>
      <abilityName>字词错误</abilityName>
      <candidateList>
        <item>做</item>
      </candidateList>
      <explain>存在发音相同字词的误用。</explain>
      <paraID>5152C49B</paraID>
      <start>85</start>
      <end>86</end>
      <status>unmodified</status>
      <modifiedWord/>
      <trackRevisions>false</trackRevisions>
    </reviewItem>
    <reviewItem>
      <errorID>5191320f-7948-4dd5-bccf-e0874810d2df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EA13ED6</paraID>
      <start>0</start>
      <end>4</end>
      <status>modified</status>
      <modifiedWord>（14）</modifiedWord>
      <trackRevisions>false</trackRevisions>
    </reviewItem>
    <reviewItem>
      <errorID>542f932e-56a3-46b9-991c-bf766a52a763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474E2BAA</paraID>
      <start>0</start>
      <end>4</end>
      <status>modified</status>
      <modifiedWord>（15）</modifiedWord>
      <trackRevisions>false</trackRevisions>
    </reviewItem>
    <reviewItem>
      <errorID>fd9bcc65-6f30-4f75-837b-02f5ffb9bb55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29E17A6</paraID>
      <start>0</start>
      <end>4</end>
      <status>modified</status>
      <modifiedWord>（16）</modifiedWord>
      <trackRevisions>false</trackRevisions>
    </reviewItem>
    <reviewItem>
      <errorID>4c4c764d-278d-415f-bb7e-2a03b17ba757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49C3B1ED</paraID>
      <start>0</start>
      <end>4</end>
      <status>modified</status>
      <modifiedWord>（17）</modifiedWord>
      <trackRevisions>false</trackRevisions>
    </reviewItem>
    <reviewItem>
      <errorID>7c134794-d06b-40cb-a485-9337485b28af</errorID>
      <errorWord>震动</errorWord>
      <group>L1_Word</group>
      <groupName>字词问题</groupName>
      <ability>L2_Typo</ability>
      <abilityName>字词错误</abilityName>
      <candidateList>
        <item>振动</item>
      </candidateList>
      <explain>存在发音相同字词的误用。</explain>
      <paraID>49C3B1ED</paraID>
      <start>34</start>
      <end>36</end>
      <status>unmodified</status>
      <modifiedWord/>
      <trackRevisions>false</trackRevisions>
    </reviewItem>
    <reviewItem>
      <errorID>a711f48a-9ff3-464d-a877-ae6bef884c9e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29D6F1B1</paraID>
      <start>0</start>
      <end>4</end>
      <status>modified</status>
      <modifiedWord>（18）</modifiedWord>
      <trackRevisions>false</trackRevisions>
    </reviewItem>
    <reviewItem>
      <errorID>70a5cd01-49ef-4839-bc98-07eccb4889de</errorID>
      <errorWord>)</errorWord>
      <group>L1_Format</group>
      <groupName>格式问题</groupName>
      <ability>L2_HalfPunc</ability>
      <abilityName>全半角检查</abilityName>
      <candidateList>
        <item>）</item>
      </candidateList>
      <explain>文本全半角错误。</explain>
      <paraID>29D6F1B1</paraID>
      <start>74</start>
      <end>75</end>
      <status>unmodified</status>
      <modifiedWord/>
      <trackRevisions>false</trackRevisions>
    </reviewItem>
    <reviewItem>
      <errorID>297578cb-656d-49d4-83fe-1c7840703a93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7D1D5DF5</paraID>
      <start>43</start>
      <end>44</end>
      <status>unmodified</status>
      <modifiedWord/>
      <trackRevisions>false</trackRevisions>
    </reviewItem>
    <reviewItem>
      <errorID>f3ee50c8-3d01-43a1-b1e3-513b09800067</errorID>
      <errorWord>(</errorWord>
      <group>L1_Format</group>
      <groupName>格式问题</groupName>
      <ability>L2_HalfPunc</ability>
      <abilityName>全半角检查</abilityName>
      <candidateList>
        <item>（</item>
      </candidateList>
      <explain>文本全半角错误。</explain>
      <paraID>68A40971</paraID>
      <start>20</start>
      <end>21</end>
      <status>unmodified</status>
      <modifiedWord/>
      <trackRevisions>false</trackRevisions>
    </reviewItem>
    <reviewItem>
      <errorID>33737c0d-99d8-4161-ad10-f635787e6bd8</errorID>
      <errorWord>)</errorWord>
      <group>L1_Format</group>
      <groupName>格式问题</groupName>
      <ability>L2_HalfPunc</ability>
      <abilityName>全半角检查</abilityName>
      <candidateList>
        <item>）</item>
      </candidateList>
      <explain>文本全半角错误。</explain>
      <paraID>68A40971</paraID>
      <start>23</start>
      <end>24</end>
      <status>unmodified</status>
      <modifiedWord/>
      <trackRevisions>false</trackRevisions>
    </reviewItem>
    <reviewItem>
      <errorID>200a0e27-adf1-4130-ae9e-c0706a5317ff</errorID>
      <errorWord>.</errorWord>
      <group>L1_Format</group>
      <groupName>格式问题</groupName>
      <ability>L2_HalfPunc</ability>
      <abilityName>全半角检查</abilityName>
      <candidateList>
        <item>。</item>
      </candidateList>
      <explain>文本全半角错误。</explain>
      <paraID>14D45A80</paraID>
      <start>52</start>
      <end>53</end>
      <status>unmodified</status>
      <modifiedWord/>
      <trackRevisions>false</trackRevisions>
    </reviewItem>
    <reviewItem>
      <errorID>6cc91381-454a-4b3a-aaa0-175d21d70422</errorID>
      <errorWord>至少空吹24小时以上</errorWord>
      <group>L1_Grammar</group>
      <groupName>语法问题</groupName>
      <ability>L2_Grammar</ability>
      <abilityName>语法错误</abilityName>
      <candidateList>
        <item>至少空吹24小时</item>
      </candidateList>
      <explain/>
      <paraID>1477BD32</paraID>
      <start>15</start>
      <end>25</end>
      <status>unmodified</status>
      <modifiedWord/>
      <trackRevisions>false</trackRevisions>
    </reviewItem>
    <reviewItem>
      <errorID>271c7126-9df5-41bb-b07b-1d305ae432f0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2679BB79</paraID>
      <start>0</start>
      <end>3</end>
      <status>modified</status>
      <modifiedWord>（4）</modifiedWord>
      <trackRevisions>false</trackRevisions>
    </reviewItem>
    <reviewItem>
      <errorID>11e7b6ea-672b-4c8f-9874-073d7f5f5458</errorID>
      <errorWord>必需</errorWord>
      <group>L1_Word</group>
      <groupName>字词问题</groupName>
      <ability>L2_Typo</ability>
      <abilityName>字词错误</abilityName>
      <candidateList>
        <item>必须</item>
      </candidateList>
      <explain>存在发音相同字词的误用。</explain>
      <paraID>2679BB79</paraID>
      <start>8</start>
      <end>10</end>
      <status>unmodified</status>
      <modifiedWord/>
      <trackRevisions>false</trackRevisions>
    </reviewItem>
    <reviewItem>
      <errorID>21a7bf0c-b976-4052-99bb-7a12944bdda1</errorID>
      <errorWord>试</errorWord>
      <group>L1_Word</group>
      <groupName>字词问题</groupName>
      <ability>L2_Typo</ability>
      <abilityName>字词错误</abilityName>
      <candidateList>
        <item>拭</item>
      </candidateList>
      <explain/>
      <paraID>2E4CE3BE</paraID>
      <start>59</start>
      <end>60</end>
      <status>unmodified</status>
      <modifiedWord/>
      <trackRevisions>false</trackRevisions>
    </reviewItem>
    <reviewItem>
      <errorID>b6937cde-1d48-4efa-aa54-026bfd8bfc92</errorID>
      <errorWord>涉及到</errorWord>
      <group>L1_Grammar</group>
      <groupName>语法问题</groupName>
      <ability>L2_Grammar</ability>
      <abilityName>语法错误</abilityName>
      <candidateList>
        <item>涉及</item>
      </candidateList>
      <explain>〈动〉牵涉到；关联到：案子～好几个人｜这个问题～面很广。</explain>
      <paraID>5A1538B1</paraID>
      <start>3</start>
      <end>6</end>
      <status>unmodified</status>
      <modifiedWord/>
      <trackRevisions>false</trackRevisions>
    </reviewItem>
    <reviewItem>
      <errorID>4223b1a8-8f0c-4e25-9d2c-622864a901d4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695F5EC8</paraID>
      <start>1</start>
      <end>2</end>
      <status>unmodified</status>
      <modifiedWord/>
      <trackRevisions>false</trackRevisions>
    </reviewItem>
    <reviewItem>
      <errorID>577ea042-663d-4992-b99e-15468a9b5455</errorID>
      <errorWord>，</errorWord>
      <group>L1_Format</group>
      <groupName>格式问题</groupName>
      <ability>L2_HalfPunc</ability>
      <abilityName>全半角检查</abilityName>
      <candidateList>
        <item>,</item>
      </candidateList>
      <explain>文本全半角错误。</explain>
      <paraID>2A6D50C7</paraID>
      <start>10</start>
      <end>11</end>
      <status>unmodified</status>
      <modifiedWord/>
      <trackRevisions>false</trackRevisions>
    </reviewItem>
    <reviewItem>
      <errorID>d196aedc-1b85-42e4-a6df-0c91f484e432</errorID>
      <errorWord>Kw</errorWord>
      <group>L1_Word</group>
      <groupName>字词问题</groupName>
      <ability>L2_Typo</ability>
      <abilityName>字词错误</abilityName>
      <candidateList>
        <item>kW</item>
      </candidateList>
      <explain/>
      <paraID>756FCA5A</paraID>
      <start>3</start>
      <end>5</end>
      <status>unmodified</status>
      <modifiedWord/>
      <trackRevisions>false</trackRevisions>
    </reviewItem>
    <reviewItem>
      <errorID>f2b54d1f-428c-4f7c-9645-1f007776379d</errorID>
      <errorWord>(</errorWord>
      <group>L1_Format</group>
      <groupName>格式问题</groupName>
      <ability>L2_HalfPunc</ability>
      <abilityName>全半角检查</abilityName>
      <candidateList>
        <item>（</item>
      </candidateList>
      <explain>文本全半角错误。</explain>
      <paraID> 25D7368</paraID>
      <start>3</start>
      <end>4</end>
      <status>unmodified</status>
      <modifiedWord/>
      <trackRevisions>false</trackRevisions>
    </reviewItem>
    <reviewItem>
      <errorID>01a69248-e69e-4850-859d-0874d1396f6f</errorID>
      <errorWord>)</errorWord>
      <group>L1_Format</group>
      <groupName>格式问题</groupName>
      <ability>L2_HalfPunc</ability>
      <abilityName>全半角检查</abilityName>
      <candidateList>
        <item>）</item>
      </candidateList>
      <explain>文本全半角错误。</explain>
      <paraID> 25D7368</paraID>
      <start>20</start>
      <end>21</end>
      <status>unmodified</status>
      <modifiedWord/>
      <trackRevisions>false</trackRevisions>
    </reviewItem>
    <reviewItem>
      <errorID>8d2b97b2-5ff6-475c-b214-bfebe78ace31</errorID>
      <errorWord>、直至</errorWord>
      <group>L1_Word</group>
      <groupName>字词问题</groupName>
      <ability>L2_Typo</ability>
      <abilityName>字词错误</abilityName>
      <candidateList>
        <item>直至</item>
      </candidateList>
      <explain/>
      <paraID>473188FF</paraID>
      <start>79</start>
      <end>82</end>
      <status>unmodified</status>
      <modifiedWord/>
      <trackRevisions>false</trackRevisions>
    </reviewItem>
    <reviewItem>
      <errorID>d9cb8561-8c2a-4ef2-966d-6a1ed4e8bfac</errorID>
      <errorWord>制订详细的计划</errorWord>
      <group>L1_Word</group>
      <groupName>字词问题</groupName>
      <ability>L2_Typo</ability>
      <abilityName>字词错误</abilityName>
      <candidateList>
        <item>制定详细的计划</item>
      </candidateList>
      <explain/>
      <paraID>6BE30430</paraID>
      <start>12</start>
      <end>19</end>
      <status>unmodified</status>
      <modifiedWord/>
      <trackRevisions>false</trackRevisions>
    </reviewItem>
    <reviewItem>
      <errorID>640cc01f-7c8f-4567-a601-58d839b1e465</errorID>
      <errorWord>其它</errorWord>
      <group>L1_Word</group>
      <groupName>字词问题</groupName>
      <ability>L2_Alias</ability>
      <abilityName>也作/曾用词</abilityName>
      <candidateList>
        <item>其他</item>
      </candidateList>
      <explain>词汇[其它]为不规范表述或旧称，其规范书面表述为[其他]。</explain>
      <paraID>659F1D00</paraID>
      <start>7</start>
      <end>9</end>
      <status>unmodified</status>
      <modifiedWord/>
      <trackRevisions>false</trackRevisions>
    </reviewItem>
    <reviewItem>
      <errorID>4882c7f9-c925-4127-8541-cf74fab46e9a</errorID>
      <errorWord>件</errorWord>
      <group>L1_Word</group>
      <groupName>字词问题</groupName>
      <ability>L2_Typo</ability>
      <abilityName>字词错误</abilityName>
      <candidateList>
        <item>件中</item>
      </candidateList>
      <explain/>
      <paraID> 9A5DB95</paraID>
      <start>10</start>
      <end>11</end>
      <status>unmodified</status>
      <modifiedWord/>
      <trackRevisions>false</trackRevisions>
    </reviewItem>
    <reviewItem>
      <errorID>d8fd2d2b-45b8-41e2-84f1-51f9d47757e8</errorID>
      <errorWord>其它</errorWord>
      <group>L1_Word</group>
      <groupName>字词问题</groupName>
      <ability>L2_Alias</ability>
      <abilityName>也作/曾用词</abilityName>
      <candidateList>
        <item>其他</item>
      </candidateList>
      <explain>词汇[其它]为不规范表述或旧称，其规范书面表述为[其他]。</explain>
      <paraID>547E801E</paraID>
      <start>13</start>
      <end>15</end>
      <status>unmodified</status>
      <modifiedWord/>
      <trackRevisions>false</trackRevisions>
    </reviewItem>
    <reviewItem>
      <errorID>68178aad-8b95-43dc-b06d-b25b9e23e394</errorID>
      <errorWord>予以</errorWord>
      <group>L1_Word</group>
      <groupName>字词问题</groupName>
      <ability>L2_Typo</ability>
      <abilityName>字词错误</abilityName>
      <candidateList>
        <item>予</item>
      </candidateList>
      <explain/>
      <paraID>5435B64E</paraID>
      <start>92</start>
      <end>94</end>
      <status>unmodified</status>
      <modifiedWord/>
      <trackRevisions>false</trackRevisions>
    </reviewItem>
    <reviewItem>
      <errorID>5f4c8810-bd5e-4028-b808-a7de94a02d93</errorID>
      <errorWord>其它</errorWord>
      <group>L1_Word</group>
      <groupName>字词问题</groupName>
      <ability>L2_Alias</ability>
      <abilityName>也作/曾用词</abilityName>
      <candidateList>
        <item>其他</item>
      </candidateList>
      <explain>词汇[其它]为不规范表述或旧称，其规范书面表述为[其他]。</explain>
      <paraID>46F9E3C2</paraID>
      <start>5</start>
      <end>7</end>
      <status>unmodified</status>
      <modifiedWord/>
      <trackRevisions>false</trackRevisions>
    </reviewItem>
    <reviewItem>
      <errorID>b1f96ebc-c88a-446e-80d5-a61a076ed2a8</errorID>
      <errorWord>，</errorWord>
      <group>L1_Word</group>
      <groupName>字词问题</groupName>
      <ability>L2_Typo</ability>
      <abilityName>字词错误</abilityName>
      <candidateList>
        <item>，在</item>
      </candidateList>
      <explain/>
      <paraID>14C1D69A</paraID>
      <start>11</start>
      <end>12</end>
      <status>unmodified</status>
      <modifiedWord/>
      <trackRevisions>false</trackRevisions>
    </reviewItem>
    <reviewItem>
      <errorID>13c8c6eb-562b-4043-bdc5-cd68cb835069</errorID>
      <errorWord>做</errorWord>
      <group>L1_Word</group>
      <groupName>字词问题</groupName>
      <ability>L2_Typo</ability>
      <abilityName>字词错误</abilityName>
      <candidateList>
        <item>作</item>
      </candidateList>
      <explain>存在发音相同字词的误用。</explain>
      <paraID>58CBAF3D</paraID>
      <start>4</start>
      <end>5</end>
      <status>unmodified</status>
      <modifiedWord/>
      <trackRevisions>false</trackRevisions>
    </reviewItem>
    <reviewItem>
      <errorID>160c304e-7d29-4ff6-8a9e-500323197d22</errorID>
      <errorWord>做</errorWord>
      <group>L1_Word</group>
      <groupName>字词问题</groupName>
      <ability>L2_Typo</ability>
      <abilityName>字词错误</abilityName>
      <candidateList>
        <item>作</item>
      </candidateList>
      <explain>存在发音相同字词的误用。</explain>
      <paraID>42B67CB4</paraID>
      <start>4</start>
      <end>5</end>
      <status>unmodified</status>
      <modifiedWord/>
      <trackRevisions>false</trackRevisions>
    </reviewItem>
    <reviewItem>
      <errorID>4ed70377-306c-4bc8-9fce-c5d89141c79b</errorID>
      <errorWord>做</errorWord>
      <group>L1_Word</group>
      <groupName>字词问题</groupName>
      <ability>L2_Typo</ability>
      <abilityName>字词错误</abilityName>
      <candidateList>
        <item>作</item>
      </candidateList>
      <explain>存在发音相同字词的误用。</explain>
      <paraID>2445E1D7</paraID>
      <start>4</start>
      <end>5</end>
      <status>unmodified</status>
      <modifiedWord/>
      <trackRevisions>false</trackRevisions>
    </reviewItem>
    <reviewItem>
      <errorID>097700d2-f31e-4365-a0cf-3d734c2d5fe9</errorID>
      <errorWord>截至</errorWord>
      <group>L1_Word</group>
      <groupName>字词问题</groupName>
      <ability>L2_Typo</ability>
      <abilityName>字词错误</abilityName>
      <candidateList>
        <item>截止</item>
      </candidateList>
      <explain>〈动〉（到一定期限）停止：报名在昨天已经～。</explain>
      <paraID>7E714B17</paraID>
      <start>32</start>
      <end>34</end>
      <status>unmodified</status>
      <modifiedWord/>
      <trackRevisions>false</trackRevisions>
    </reviewItem>
    <reviewItem>
      <errorID>ad197026-cc34-4e8d-ac95-1748263ebc41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3B408797</paraID>
      <start>47</start>
      <end>49</end>
      <status>unmodified</status>
      <modifiedWord/>
      <trackRevisions>false</trackRevisions>
    </reviewItem>
    <reviewItem>
      <errorID>08db6680-bb1d-4877-8d18-47b3c3b3fb7c</errorID>
      <errorWord>-</errorWord>
      <group>L1_Format</group>
      <groupName>格式问题</groupName>
      <ability>L2_HalfPunc</ability>
      <abilityName>全半角检查</abilityName>
      <candidateList>
        <item>－</item>
      </candidateList>
      <explain>文本全半角错误。</explain>
      <paraID>4C8E288F</paraID>
      <start>46</start>
      <end>47</end>
      <status>unmodified</status>
      <modifiedWord/>
      <trackRevisions>false</trackRevisions>
    </reviewItem>
    <reviewItem>
      <errorID>d8134343-d2d5-424a-9c33-c29be226e8aa</errorID>
      <errorWord>需要</errorWord>
      <group>L1_Word</group>
      <groupName>字词问题</groupName>
      <ability>L2_Typo</ability>
      <abilityName>字词错误</abilityName>
      <candidateList>
        <item>需</item>
      </candidateList>
      <explain>❶〈动〉需要：～求｜按～分配｜完成任务还～五天时间。❷需用的东西：军～。</explain>
      <paraID> F65F869</paraID>
      <start>81</start>
      <end>83</end>
      <status>unmodified</status>
      <modifiedWord/>
      <trackRevisions>false</trackRevisions>
    </reviewItem>
    <reviewItem>
      <errorID>acc46ae2-0418-4b0a-a2bc-be6c5f3ea36d</errorID>
      <errorWord>(</errorWord>
      <group>L1_Format</group>
      <groupName>格式问题</groupName>
      <ability>L2_HalfPunc</ability>
      <abilityName>全半角检查</abilityName>
      <candidateList>
        <item>（</item>
      </candidateList>
      <explain>文本全半角错误。</explain>
      <paraID>6CC00AB3</paraID>
      <start>12</start>
      <end>13</end>
      <status>unmodified</status>
      <modifiedWord/>
      <trackRevisions>false</trackRevisions>
    </reviewItem>
    <reviewItem>
      <errorID>a309e778-761c-4ff6-8f89-4affa1c81bbe</errorID>
      <errorWord>)</errorWord>
      <group>L1_Format</group>
      <groupName>格式问题</groupName>
      <ability>L2_HalfPunc</ability>
      <abilityName>全半角检查</abilityName>
      <candidateList>
        <item>）</item>
      </candidateList>
      <explain>文本全半角错误。</explain>
      <paraID>6CC00AB3</paraID>
      <start>15</start>
      <end>16</end>
      <status>unmodified</status>
      <modifiedWord/>
      <trackRevisions>false</trackRevisions>
    </reviewItem>
    <reviewItem>
      <errorID>ed15014e-6d78-4566-88a8-6499089ac7f5</errorID>
      <errorWord>整</errorWord>
      <group>L1_Word</group>
      <groupName>字词问题</groupName>
      <ability>L2_Typo</ability>
      <abilityName>字词错误</abilityName>
      <candidateList>
        <item>整和</item>
      </candidateList>
      <explain/>
      <paraID> 5D979E3</paraID>
      <start>115</start>
      <end>116</end>
      <status>unmodified</status>
      <modifiedWord/>
      <trackRevisions>false</trackRevisions>
    </reviewItem>
    <reviewItem>
      <errorID>eb25bcbc-8afe-4269-bdad-dee0f15c0223</errorID>
      <errorWord>0）、</errorWord>
      <group>L1_Punc</group>
      <groupName>标点问题</groupName>
      <ability>L2_Punc</ability>
      <abilityName>标点符号检查</abilityName>
      <candidateList>
        <item>0）</item>
      </candidateList>
      <explain>根据国标GB/T 15834-2011《标点符号用法》中的4.5.3.3节，带括号的汉字数字或阿拉伯数字表次序时，后面通常不加顿号。如“（一）指导思想”“（二）行动指南”。</explain>
      <paraID>3F5F2A96</paraID>
      <start>51</start>
      <end>54</end>
      <status>unmodified</status>
      <modifiedWord/>
      <trackRevisions>false</trackRevisions>
    </reviewItem>
    <reviewItem>
      <errorID>983abcac-eba1-49d6-a369-d30431a46986</errorID>
      <errorWord>0）、</errorWord>
      <group>L1_Punc</group>
      <groupName>标点问题</groupName>
      <ability>L2_Punc</ability>
      <abilityName>标点符号检查</abilityName>
      <candidateList>
        <item>0）</item>
      </candidateList>
      <explain>根据国标GB/T 15834-2011《标点符号用法》中的4.5.3.3节，带括号的汉字数字或阿拉伯数字表次序时，后面通常不加顿号。如“（一）指导思想”“（二）行动指南”。</explain>
      <paraID>3F5F2A96</paraID>
      <start>106</start>
      <end>109</end>
      <status>unmodified</status>
      <modifiedWord/>
      <trackRevisions>false</trackRevisions>
    </reviewItem>
    <reviewItem>
      <errorID>675666d2-0094-41d7-846e-583089ef6943</errorID>
      <errorWord>(</errorWord>
      <group>L1_Format</group>
      <groupName>格式问题</groupName>
      <ability>L2_HalfPunc</ability>
      <abilityName>全半角检查</abilityName>
      <candidateList>
        <item>（</item>
      </candidateList>
      <explain>文本全半角错误。</explain>
      <paraID> 637F564</paraID>
      <start>9</start>
      <end>10</end>
      <status>unmodified</status>
      <modifiedWord/>
      <trackRevisions>false</trackRevisions>
    </reviewItem>
    <reviewItem>
      <errorID>6c6cb4e2-96d8-44a6-b4a0-129f5c21eb93</errorID>
      <errorWord>)</errorWord>
      <group>L1_Format</group>
      <groupName>格式问题</groupName>
      <ability>L2_HalfPunc</ability>
      <abilityName>全半角检查</abilityName>
      <candidateList>
        <item>）</item>
      </candidateList>
      <explain>文本全半角错误。</explain>
      <paraID> 637F564</paraID>
      <start>39</start>
      <end>40</end>
      <status>unmodified</status>
      <modifiedWord/>
      <trackRevisions>false</trackRevisions>
    </reviewItem>
    <reviewItem>
      <errorID>15cd09fd-3dd0-4099-ae84-c9fddff019fb</errorID>
      <errorWord>（</errorWord>
      <group>L1_Punc</group>
      <groupName>标点问题</groupName>
      <ability>L2_Punc</ability>
      <abilityName>标点符号检查</abilityName>
      <candidateList/>
      <explain>同一形式括号套用。</explain>
      <paraID>1C2FC33F</paraID>
      <start>89</start>
      <end>90</end>
      <status>unmodified</status>
      <modifiedWord/>
      <trackRevisions>false</trackRevisions>
    </reviewItem>
    <reviewItem>
      <errorID>135af2b9-bc3f-40fa-bdf9-4da2504738ba</errorID>
      <errorWord>）</errorWord>
      <group>L1_Punc</group>
      <groupName>标点问题</groupName>
      <ability>L2_Punc</ability>
      <abilityName>标点符号检查</abilityName>
      <candidateList/>
      <explain>同一形式括号套用。</explain>
      <paraID>1C2FC33F</paraID>
      <start>92</start>
      <end>93</end>
      <status>unmodified</status>
      <modifiedWord/>
      <trackRevisions>false</trackRevisions>
    </reviewItem>
    <reviewItem>
      <errorID>7ea2ce53-5804-46f8-b71e-108bffce003e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1C2FC33F</paraID>
      <start>139</start>
      <end>140</end>
      <status>unmodified</status>
      <modifiedWord/>
      <trackRevisions>false</trackRevisions>
    </reviewItem>
    <reviewItem>
      <errorID>ceb7cd7f-e00f-47ec-af48-7d9963b412fe</errorID>
      <errorWord>其它</errorWord>
      <group>L1_Word</group>
      <groupName>字词问题</groupName>
      <ability>L2_Alias</ability>
      <abilityName>也作/曾用词</abilityName>
      <candidateList>
        <item>其他</item>
      </candidateList>
      <explain>词汇[其它]为不规范表述或旧称，其规范书面表述为[其他]。</explain>
      <paraID>26A3081A</paraID>
      <start>12</start>
      <end>14</end>
      <status>unmodified</status>
      <modifiedWord/>
      <trackRevisions>false</trackRevisions>
    </reviewItem>
    <reviewItem>
      <errorID>4a444c48-f6fc-410d-a51a-60a1ed78a5d9</errorID>
      <errorWord>&lt;</errorWord>
      <group>L1_Format</group>
      <groupName>格式问题</groupName>
      <ability>L2_HalfPunc</ability>
      <abilityName>全半角检查</abilityName>
      <candidateList>
        <item>〈</item>
      </candidateList>
      <explain>文本全半角错误。</explain>
      <paraID>32C9A260</paraID>
      <start>51</start>
      <end>52</end>
      <status>unmodified</status>
      <modifiedWord/>
      <trackRevisions>false</trackRevisions>
    </reviewItem>
    <reviewItem>
      <errorID>25507859-fd91-4339-bd79-ac1f899c9fe6</errorID>
      <errorWord>&lt;</errorWord>
      <group>L1_Format</group>
      <groupName>格式问题</groupName>
      <ability>L2_HalfPunc</ability>
      <abilityName>全半角检查</abilityName>
      <candidateList>
        <item>〈</item>
      </candidateList>
      <explain>文本全半角错误。</explain>
      <paraID>7B262E21</paraID>
      <start>50</start>
      <end>51</end>
      <status>unmodified</status>
      <modifiedWord/>
      <trackRevisions>false</trackRevisions>
    </reviewItem>
    <reviewItem>
      <errorID>c2345e00-5c27-4ee6-a300-1b27d7fa6efa</errorID>
      <errorWord>&lt;</errorWord>
      <group>L1_Format</group>
      <groupName>格式问题</groupName>
      <ability>L2_HalfPunc</ability>
      <abilityName>全半角检查</abilityName>
      <candidateList>
        <item>〈</item>
      </candidateList>
      <explain>文本全半角错误。</explain>
      <paraID>2119E767</paraID>
      <start>35</start>
      <end>36</end>
      <status>unmodified</status>
      <modifiedWord/>
      <trackRevisions>false</trackRevisions>
    </reviewItem>
    <reviewItem>
      <errorID>25da921d-498f-42d3-a8a8-01a4858944de</errorID>
      <errorWord>（</errorWord>
      <group>L1_Punc</group>
      <groupName>标点问题</groupName>
      <ability>L2_Punc</ability>
      <abilityName>标点符号检查</abilityName>
      <candidateList/>
      <explain>同一形式括号套用。</explain>
      <paraID> 4242B34</paraID>
      <start>137</start>
      <end>138</end>
      <status>unmodified</status>
      <modifiedWord/>
      <trackRevisions>false</trackRevisions>
    </reviewItem>
    <reviewItem>
      <errorID>db6f7cdb-2da3-4742-bdd4-a009b8c50bb4</errorID>
      <errorWord>）</errorWord>
      <group>L1_Punc</group>
      <groupName>标点问题</groupName>
      <ability>L2_Punc</ability>
      <abilityName>标点符号检查</abilityName>
      <candidateList/>
      <explain>同一形式括号套用。</explain>
      <paraID> 4242B34</paraID>
      <start>140</start>
      <end>141</end>
      <status>unmodified</status>
      <modifiedWord/>
      <trackRevisions>false</trackRevisions>
    </reviewItem>
    <reviewItem>
      <errorID>5086c8d2-a052-4eeb-844e-a673677fe439</errorID>
      <errorWord>(</errorWord>
      <group>L1_Format</group>
      <groupName>格式问题</groupName>
      <ability>L2_HalfPunc</ability>
      <abilityName>全半角检查</abilityName>
      <candidateList>
        <item>（</item>
      </candidateList>
      <explain>文本全半角错误。</explain>
      <paraID> A1026AF</paraID>
      <start>13</start>
      <end>14</end>
      <status>unmodified</status>
      <modifiedWord/>
      <trackRevisions>false</trackRevisions>
    </reviewItem>
    <reviewItem>
      <errorID>01862165-7945-4b21-916b-20491711f4bf</errorID>
      <errorWord>)</errorWord>
      <group>L1_Format</group>
      <groupName>格式问题</groupName>
      <ability>L2_HalfPunc</ability>
      <abilityName>全半角检查</abilityName>
      <candidateList>
        <item>）</item>
      </candidateList>
      <explain>文本全半角错误。</explain>
      <paraID> A1026AF</paraID>
      <start>17</start>
      <end>18</end>
      <status>unmodified</status>
      <modifiedWord/>
      <trackRevisions>false</trackRevisions>
    </reviewItem>
    <reviewItem>
      <errorID>e39b3ee8-44fc-49f5-96a0-222ddbab3bbd</errorID>
      <errorWord>(</errorWord>
      <group>L1_Format</group>
      <groupName>格式问题</groupName>
      <ability>L2_HalfPunc</ability>
      <abilityName>全半角检查</abilityName>
      <candidateList>
        <item>（</item>
      </candidateList>
      <explain>文本全半角错误。</explain>
      <paraID> A1026AF</paraID>
      <start>41</start>
      <end>42</end>
      <status>unmodified</status>
      <modifiedWord/>
      <trackRevisions>false</trackRevisions>
    </reviewItem>
    <reviewItem>
      <errorID>212e866f-5fc7-4485-a120-b48449c87028</errorID>
      <errorWord>)</errorWord>
      <group>L1_Format</group>
      <groupName>格式问题</groupName>
      <ability>L2_HalfPunc</ability>
      <abilityName>全半角检查</abilityName>
      <candidateList>
        <item>）</item>
      </candidateList>
      <explain>文本全半角错误。</explain>
      <paraID> A1026AF</paraID>
      <start>45</start>
      <end>46</end>
      <status>unmodified</status>
      <modifiedWord/>
      <trackRevisions>false</trackRevisions>
    </reviewItem>
    <reviewItem>
      <errorID>33f01b2f-a7f6-4353-9aa3-ccda55528b25</errorID>
      <errorWord>（</errorWord>
      <group>L1_Punc</group>
      <groupName>标点问题</groupName>
      <ability>L2_Punc</ability>
      <abilityName>标点符号检查</abilityName>
      <candidateList>
        <item/>
      </candidateList>
      <explain>同一形式括号套用。</explain>
      <paraID>1E6B0140</paraID>
      <start>34</start>
      <end>35</end>
      <status>unmodified</status>
      <modifiedWord/>
      <trackRevisions>false</trackRevisions>
    </reviewItem>
    <reviewItem>
      <errorID>57b74eac-62e4-4676-a922-97c305e26209</errorID>
      <errorWord>(</errorWord>
      <group>L1_Punc</group>
      <groupName>标点问题</groupName>
      <ability>L2_Punc</ability>
      <abilityName>标点符号检查</abilityName>
      <candidateList/>
      <explain>同一形式括号套用。</explain>
      <paraID>1E6B0140</paraID>
      <start>50</start>
      <end>51</end>
      <status>unmodified</status>
      <modifiedWord/>
      <trackRevisions>false</trackRevisions>
    </reviewItem>
    <reviewItem>
      <errorID>880bea5b-50f6-4bd2-8a48-64cd64191420</errorID>
      <errorWord>)</errorWord>
      <group>L1_Punc</group>
      <groupName>标点问题</groupName>
      <ability>L2_Punc</ability>
      <abilityName>标点符号检查</abilityName>
      <candidateList/>
      <explain>同一形式括号套用。</explain>
      <paraID>1E6B0140</paraID>
      <start>53</start>
      <end>54</end>
      <status>unmodified</status>
      <modifiedWord/>
      <trackRevisions>false</trackRevisions>
    </reviewItem>
    <reviewItem>
      <errorID>686e02ed-cde2-4252-92f2-72ae4f7b8f27</errorID>
      <errorWord>）</errorWord>
      <group>L1_Punc</group>
      <groupName>标点问题</groupName>
      <ability>L2_Punc</ability>
      <abilityName>标点符号检查</abilityName>
      <candidateList/>
      <explain>同一形式括号套用。</explain>
      <paraID>1E6B0140</paraID>
      <start>54</start>
      <end>55</end>
      <status>unmodified</status>
      <modifiedWord/>
      <trackRevisions>false</trackRevisions>
    </reviewItem>
    <reviewItem>
      <errorID>66ec3b1a-49dd-4cb6-ac31-64ddf2ec3a98</errorID>
      <errorWord>(</errorWord>
      <group>L1_Format</group>
      <groupName>格式问题</groupName>
      <ability>L2_HalfPunc</ability>
      <abilityName>全半角检查</abilityName>
      <candidateList>
        <item>（</item>
      </candidateList>
      <explain>文本全半角错误。</explain>
      <paraID>5DBABA54</paraID>
      <start>66</start>
      <end>67</end>
      <status>unmodified</status>
      <modifiedWord/>
      <trackRevisions>false</trackRevisions>
    </reviewItem>
    <reviewItem>
      <errorID>a1a91753-657f-467c-b18c-d355b329f19d</errorID>
      <errorWord>)</errorWord>
      <group>L1_Format</group>
      <groupName>格式问题</groupName>
      <ability>L2_HalfPunc</ability>
      <abilityName>全半角检查</abilityName>
      <candidateList>
        <item>）</item>
      </candidateList>
      <explain>文本全半角错误。</explain>
      <paraID>5DBABA54</paraID>
      <start>74</start>
      <end>75</end>
      <status>unmodified</status>
      <modifiedWord/>
      <trackRevisions>false</trackRevisions>
    </reviewItem>
    <reviewItem>
      <errorID>52fb81c2-f446-4ebf-a0e8-d7f94128467f</errorID>
      <errorWord>(</errorWord>
      <group>L1_Format</group>
      <groupName>格式问题</groupName>
      <ability>L2_HalfPunc</ability>
      <abilityName>全半角检查</abilityName>
      <candidateList>
        <item>（</item>
      </candidateList>
      <explain>文本全半角错误。</explain>
      <paraID>5DBABA54</paraID>
      <start>85</start>
      <end>86</end>
      <status>unmodified</status>
      <modifiedWord/>
      <trackRevisions>false</trackRevisions>
    </reviewItem>
    <reviewItem>
      <errorID>aa3d2f0d-a912-4b5c-82bb-3886b7ce0657</errorID>
      <errorWord>)</errorWord>
      <group>L1_Format</group>
      <groupName>格式问题</groupName>
      <ability>L2_HalfPunc</ability>
      <abilityName>全半角检查</abilityName>
      <candidateList>
        <item>）</item>
      </candidateList>
      <explain>文本全半角错误。</explain>
      <paraID>5DBABA54</paraID>
      <start>93</start>
      <end>94</end>
      <status>unmodified</status>
      <modifiedWord/>
      <trackRevisions>false</trackRevisions>
    </reviewItem>
    <reviewItem>
      <errorID>0fea4458-fc03-44f1-9951-cf8780174e68</errorID>
      <errorWord>上述的</errorWord>
      <group>L1_Word</group>
      <groupName>字词问题</groupName>
      <ability>L2_Typo</ability>
      <abilityName>字词错误</abilityName>
      <candidateList>
        <item>上述</item>
      </candidateList>
      <explain>〈形〉属性词。上面所说的：～各条，望切实执行。</explain>
      <paraID>2D3C6277</paraID>
      <start>2</start>
      <end>5</end>
      <status>unmodified</status>
      <modifiedWord/>
      <trackRevisions>false</trackRevisions>
    </reviewItem>
    <reviewItem>
      <errorID>bc2950ba-84c8-425b-9645-f9bf0a04f9f6</errorID>
      <errorWord>，要</errorWord>
      <group>L1_Word</group>
      <groupName>字词问题</groupName>
      <ability>L2_Typo</ability>
      <abilityName>字词错误</abilityName>
      <candidateList>
        <item>，</item>
      </candidateList>
      <explain/>
      <paraID>34B89D35</paraID>
      <start>22</start>
      <end>24</end>
      <status>unmodified</status>
      <modifiedWord/>
      <trackRevisions>false</trackRevisions>
    </reviewItem>
    <reviewItem>
      <errorID>15c74de9-be43-4095-822d-36c224931a71</errorID>
      <errorWord>支付给</errorWord>
      <group>L1_Word</group>
      <groupName>字词问题</groupName>
      <ability>L2_Typo</ability>
      <abilityName>字词错误</abilityName>
      <candidateList>
        <item>支付</item>
      </candidateList>
      <explain/>
      <paraID>4424EC74</paraID>
      <start>99</start>
      <end>102</end>
      <status>unmodified</status>
      <modifiedWord/>
      <trackRevisions>false</trackRevisions>
    </reviewItem>
    <reviewItem>
      <errorID>ac1d4973-d4c2-43bd-a3c1-ef0569700b51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6457C1C</paraID>
      <start>0</start>
      <end>2</end>
      <status>modified</status>
      <modifiedWord>1.</modifiedWord>
      <trackRevisions>false</trackRevisions>
    </reviewItem>
    <reviewItem>
      <errorID>311d8573-9353-436b-8642-be2e2d9e4173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32BDDDF8</paraID>
      <start>0</start>
      <end>2</end>
      <status>modified</status>
      <modifiedWord>2.</modifiedWord>
      <trackRevisions>false</trackRevisions>
    </reviewItem>
    <reviewItem>
      <errorID>9a588924-ee3f-4701-a340-07aea6409b90</errorID>
      <errorWord>《民法典》</errorWord>
      <group>L1_Word</group>
      <groupName>字词问题</groupName>
      <ability>L2_Typo</ability>
      <abilityName>字词错误</abilityName>
      <candidateList>
        <item>《中华人民共和国民法典》</item>
      </candidateList>
      <explain/>
      <paraID>628E3435</paraID>
      <start>12</start>
      <end>17</end>
      <status>unmodified</status>
      <modifiedWord/>
      <trackRevisions>false</trackRevisions>
    </reviewItem>
    <reviewItem>
      <errorID>eaefbc46-a2c7-4bc4-9f57-2db2ff6d4cf5</errorID>
      <errorWord>(</errorWord>
      <group>L1_Format</group>
      <groupName>格式问题</groupName>
      <ability>L2_HalfPunc</ability>
      <abilityName>全半角检查</abilityName>
      <candidateList>
        <item>（</item>
      </candidateList>
      <explain>文本全半角错误。</explain>
      <paraID>3E65408C</paraID>
      <start>11</start>
      <end>12</end>
      <status>unmodified</status>
      <modifiedWord/>
      <trackRevisions>false</trackRevisions>
    </reviewItem>
    <reviewItem>
      <errorID>6a817f4a-c38f-4fab-bf94-ae10f8e6a75f</errorID>
      <errorWord>)</errorWord>
      <group>L1_Format</group>
      <groupName>格式问题</groupName>
      <ability>L2_HalfPunc</ability>
      <abilityName>全半角检查</abilityName>
      <candidateList>
        <item>）</item>
      </candidateList>
      <explain>文本全半角错误。</explain>
      <paraID>3E65408C</paraID>
      <start>28</start>
      <end>29</end>
      <status>unmodified</status>
      <modifiedWord/>
      <trackRevisions>false</trackRevisions>
    </reviewItem>
    <reviewItem>
      <errorID>df108f84-ff98-4ca8-b0b3-f69d2f9f07ad</errorID>
      <errorWord>其它</errorWord>
      <group>L1_Word</group>
      <groupName>字词问题</groupName>
      <ability>L2_Alias</ability>
      <abilityName>也作/曾用词</abilityName>
      <candidateList>
        <item>其他</item>
      </candidateList>
      <explain>词汇[其它]为不规范表述或旧称，其规范书面表述为[其他]。</explain>
      <paraID>3CC7575B</paraID>
      <start>20</start>
      <end>22</end>
      <status>unmodified</status>
      <modifiedWord/>
      <trackRevisions>false</trackRevisions>
    </reviewItem>
    <reviewItem>
      <errorID>910ec07a-a455-4dcf-9ee8-7c9199f3f4cc</errorID>
      <errorWord>)</errorWord>
      <group>L1_Format</group>
      <groupName>格式问题</groupName>
      <ability>L2_HalfPunc</ability>
      <abilityName>全半角检查</abilityName>
      <candidateList>
        <item>）</item>
      </candidateList>
      <explain>文本全半角错误。</explain>
      <paraID>3CC7575B</paraID>
      <start>40</start>
      <end>41</end>
      <status>unmodified</status>
      <modifiedWord/>
      <trackRevisions>false</trackRevisions>
    </reviewItem>
    <reviewItem>
      <errorID>1437682f-17e0-4218-82a9-1330c956acf8</errorID>
      <errorWord>第22条</errorWord>
      <group>L1_Knowledge</group>
      <groupName>知识性问题</groupName>
      <ability>L2_Knowledge</ability>
      <abilityName>其他知识</abilityName>
      <candidateList>
        <item>第二十二条</item>
      </candidateList>
      <explain/>
      <paraID>44A9D738</paraID>
      <start>20</start>
      <end>24</end>
      <status>unmodified</status>
      <modifiedWord/>
      <trackRevisions>false</trackRevisions>
    </reviewItem>
    <reviewItem>
      <errorID>edcc1035-9cf3-429a-9fef-ca3367f68c81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29F8970</paraID>
      <start>19</start>
      <end>20</end>
      <status>unmodified</status>
      <modifiedWord/>
      <trackRevisions>false</trackRevisions>
    </reviewItem>
    <reviewItem>
      <errorID>6aa19bce-e6d5-4a1e-94fd-6e9deb73600b</errorID>
      <errorWord>(</errorWord>
      <group>L1_Format</group>
      <groupName>格式问题</groupName>
      <ability>L2_HalfPunc</ability>
      <abilityName>全半角检查</abilityName>
      <candidateList>
        <item>（</item>
      </candidateList>
      <explain>文本全半角错误。</explain>
      <paraID>3E5FD9CA</paraID>
      <start>5</start>
      <end>6</end>
      <status>unmodified</status>
      <modifiedWord/>
      <trackRevisions>false</trackRevisions>
    </reviewItem>
    <reviewItem>
      <errorID>4bba075e-9576-4184-80f7-d2787c80410f</errorID>
      <errorWord>)</errorWord>
      <group>L1_Format</group>
      <groupName>格式问题</groupName>
      <ability>L2_HalfPunc</ability>
      <abilityName>全半角检查</abilityName>
      <candidateList>
        <item>）</item>
      </candidateList>
      <explain>文本全半角错误。</explain>
      <paraID>3E5FD9CA</paraID>
      <start>13</start>
      <end>14</end>
      <status>unmodified</status>
      <modifiedWord/>
      <trackRevisions>false</trackRevisions>
    </reviewItem>
    <reviewItem>
      <errorID>2a852a76-b440-461f-b092-0e7da7ddc9cf</errorID>
      <errorWord>其它</errorWord>
      <group>L1_Word</group>
      <groupName>字词问题</groupName>
      <ability>L2_Alias</ability>
      <abilityName>也作/曾用词</abilityName>
      <candidateList>
        <item>其他</item>
      </candidateList>
      <explain>词汇[其它]为不规范表述或旧称，其规范书面表述为[其他]。</explain>
      <paraID>1EF86EE3</paraID>
      <start>24</start>
      <end>26</end>
      <status>unmodified</status>
      <modifiedWord/>
      <trackRevisions>false</trackRevisions>
    </reviewItem>
    <reviewItem>
      <errorID>b920c449-5ade-4d87-9a34-60b5aed918ab</errorID>
      <errorWord>)</errorWord>
      <group>L1_Format</group>
      <groupName>格式问题</groupName>
      <ability>L2_HalfPunc</ability>
      <abilityName>全半角检查</abilityName>
      <candidateList>
        <item>）</item>
      </candidateList>
      <explain>文本全半角错误。</explain>
      <paraID>1EF86EE3</paraID>
      <start>44</start>
      <end>45</end>
      <status>unmodified</status>
      <modifiedWord/>
      <trackRevisions>false</trackRevisions>
    </reviewItem>
    <reviewItem>
      <errorID>c401dcfb-867f-4642-990b-d5a992b55113</errorID>
      <errorWord>、</errorWord>
      <group>L1_Punc</group>
      <groupName>标点问题</groupName>
      <ability>L2_Punc</ability>
      <abilityName>标点符号检查</abilityName>
      <candidateList>
        <item>.</item>
      </candidateList>
      <explain/>
      <paraID>38F3C299</paraID>
      <start>1</start>
      <end>2</end>
      <status>unmodified</status>
      <modifiedWord/>
      <trackRevisions>false</trackRevisions>
    </reviewItem>
    <reviewItem>
      <errorID>6458556f-8eee-4fc0-9555-d8e5cdefec31</errorID>
      <errorWord>)</errorWord>
      <group>L1_Format</group>
      <groupName>格式问题</groupName>
      <ability>L2_HalfPunc</ability>
      <abilityName>全半角检查</abilityName>
      <candidateList>
        <item>）</item>
      </candidateList>
      <explain>文本全半角错误。</explain>
      <paraID>41553705</paraID>
      <start>10</start>
      <end>11</end>
      <status>unmodified</status>
      <modifiedWord/>
      <trackRevisions>false</trackRevisions>
    </reviewItem>
    <reviewItem>
      <errorID>6d4d90a6-e31d-4e18-9b61-a0ab7dd07e47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20719F2E</paraID>
      <start>56</start>
      <end>57</end>
      <status>unmodified</status>
      <modifiedWord/>
      <trackRevisions>false</trackRevisions>
    </reviewItem>
    <reviewItem>
      <errorID>48341391-9ef7-433a-8fae-d39b94d30f29</errorID>
      <errorWord>)</errorWord>
      <group>L1_Format</group>
      <groupName>格式问题</groupName>
      <ability>L2_HalfPunc</ability>
      <abilityName>全半角检查</abilityName>
      <candidateList>
        <item>）</item>
      </candidateList>
      <explain>文本全半角错误。</explain>
      <paraID>60852B4A</paraID>
      <start>12</start>
      <end>13</end>
      <status>unmodified</status>
      <modifiedWord/>
      <trackRevisions>false</trackRevisions>
    </reviewItem>
    <reviewItem>
      <errorID>9ff94f48-5d74-43e5-bc88-934cc431ccef</errorID>
      <errorWord>(</errorWord>
      <group>L1_Format</group>
      <groupName>格式问题</groupName>
      <ability>L2_HalfPunc</ability>
      <abilityName>全半角检查</abilityName>
      <candidateList>
        <item>（</item>
      </candidateList>
      <explain>文本全半角错误。</explain>
      <paraID>77412709</paraID>
      <start>23</start>
      <end>24</end>
      <status>unmodified</status>
      <modifiedWord/>
      <trackRevisions>false</trackRevisions>
    </reviewItem>
    <reviewItem>
      <errorID>515202e2-e7b5-4cdb-8364-5b773c307086</errorID>
      <errorWord>)</errorWord>
      <group>L1_Format</group>
      <groupName>格式问题</groupName>
      <ability>L2_HalfPunc</ability>
      <abilityName>全半角检查</abilityName>
      <candidateList>
        <item>）</item>
      </candidateList>
      <explain>文本全半角错误。</explain>
      <paraID>77412709</paraID>
      <start>27</start>
      <end>28</end>
      <status>unmodified</status>
      <modifiedWord/>
      <trackRevisions>false</trackRevisions>
    </reviewItem>
    <reviewItem>
      <errorID>5d6e75bd-98bb-4f25-8ce8-766d5af5041d</errorID>
      <errorWord>。]</errorWord>
      <group>L1_Punc</group>
      <groupName>标点问题</groupName>
      <ability>L2_Punc</ability>
      <abilityName>标点符号检查</abilityName>
      <candidateList>
        <item>]</item>
      </candidateList>
      <explain/>
      <paraID>77412709</paraID>
      <start>63</start>
      <end>65</end>
      <status>unmodified</status>
      <modifiedWord/>
      <trackRevisions>false</trackRevisions>
    </reviewItem>
    <reviewItem>
      <errorID>c12d8f43-2d40-4647-92b2-18872744f53d</errorID>
      <errorWord>…………</errorWord>
      <group>L1_Punc</group>
      <groupName>标点问题</groupName>
      <ability>L2_Punc</ability>
      <abilityName>标点符号检查</abilityName>
      <candidateList>
        <item>…</item>
      </candidateList>
      <explain/>
      <paraID>16F8A0D2</paraID>
      <start>28</start>
      <end>32</end>
      <status>unmodified</status>
      <modifiedWord/>
      <trackRevisions>false</trackRevisions>
    </reviewItem>
    <reviewItem>
      <errorID>b715209f-9580-4f19-8da2-30f43d70d90a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4B96A994</paraID>
      <start>0</start>
      <end>2</end>
      <status>modified</status>
      <modifiedWord>二、</modifiedWord>
      <trackRevisions>false</trackRevisions>
    </reviewItem>
    <reviewItem>
      <errorID>188ffa2e-2a8c-46f9-bdd7-185420c6c02b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7D20F23D</paraID>
      <start>0</start>
      <end>2</end>
      <status>modified</status>
      <modifiedWord>三、</modifiedWord>
      <trackRevisions>false</trackRevisions>
    </reviewItem>
    <reviewItem>
      <errorID>0dd91222-4f42-42f1-9d71-273fb71415d7</errorID>
      <errorWord>其它</errorWord>
      <group>L1_Word</group>
      <groupName>字词问题</groupName>
      <ability>L2_Alias</ability>
      <abilityName>也作/曾用词</abilityName>
      <candidateList>
        <item>其他</item>
      </candidateList>
      <explain>词汇[其它]为不规范表述或旧称，其规范书面表述为[其他]。</explain>
      <paraID>4F91A920</paraID>
      <start>25</start>
      <end>27</end>
      <status>unmodified</status>
      <modifiedWord/>
      <trackRevisions>false</trackRevisions>
    </reviewItem>
    <reviewItem>
      <errorID>c648cbb7-7b2d-4d08-955c-af124597731f</errorID>
      <errorWord>)</errorWord>
      <group>L1_Format</group>
      <groupName>格式问题</groupName>
      <ability>L2_HalfPunc</ability>
      <abilityName>全半角检查</abilityName>
      <candidateList>
        <item>）</item>
      </candidateList>
      <explain>文本全半角错误。</explain>
      <paraID>4F91A920</paraID>
      <start>45</start>
      <end>46</end>
      <status>unmodified</status>
      <modifiedWord/>
      <trackRevisions>false</trackRevisions>
    </reviewItem>
    <reviewItem>
      <errorID>02244ee3-cf8f-4ff6-a516-fe1adca2d092</errorID>
      <errorWord>(</errorWord>
      <group>L1_Format</group>
      <groupName>格式问题</groupName>
      <ability>L2_HalfPunc</ability>
      <abilityName>全半角检查</abilityName>
      <candidateList>
        <item>（</item>
      </candidateList>
      <explain>文本全半角错误。</explain>
      <paraID>68BCE8F5</paraID>
      <start>23</start>
      <end>24</end>
      <status>unmodified</status>
      <modifiedWord/>
      <trackRevisions>false</trackRevisions>
    </reviewItem>
    <reviewItem>
      <errorID>7ca72890-c5ec-4575-a6f0-56444c38d991</errorID>
      <errorWord>)</errorWord>
      <group>L1_Format</group>
      <groupName>格式问题</groupName>
      <ability>L2_HalfPunc</ability>
      <abilityName>全半角检查</abilityName>
      <candidateList>
        <item>）</item>
      </candidateList>
      <explain>文本全半角错误。</explain>
      <paraID>68BCE8F5</paraID>
      <start>31</start>
      <end>32</end>
      <status>unmodified</status>
      <modifiedWord/>
      <trackRevisions>false</trackRevisions>
    </reviewItem>
    <reviewItem>
      <errorID>fce6c866-f99e-451a-a38e-572d98981e0e</errorID>
      <errorWord>(</errorWord>
      <group>L1_Format</group>
      <groupName>格式问题</groupName>
      <ability>L2_HalfPunc</ability>
      <abilityName>全半角检查</abilityName>
      <candidateList>
        <item>（</item>
      </candidateList>
      <explain>文本全半角错误。</explain>
      <paraID>76316FA1</paraID>
      <start>54</start>
      <end>55</end>
      <status>unmodified</status>
      <modifiedWord/>
      <trackRevisions>false</trackRevisions>
    </reviewItem>
    <reviewItem>
      <errorID>24113f93-d2f2-43e3-8b1e-f10e0ff9a4f9</errorID>
      <errorWord>)</errorWord>
      <group>L1_Format</group>
      <groupName>格式问题</groupName>
      <ability>L2_HalfPunc</ability>
      <abilityName>全半角检查</abilityName>
      <candidateList>
        <item>）</item>
      </candidateList>
      <explain>文本全半角错误。</explain>
      <paraID>76316FA1</paraID>
      <start>62</start>
      <end>63</end>
      <status>unmodified</status>
      <modifiedWord/>
      <trackRevisions>false</trackRevisions>
    </reviewItem>
    <reviewItem>
      <errorID>2d15481e-d8d7-4433-b617-397b8d996526</errorID>
      <errorWord>(</errorWord>
      <group>L1_Format</group>
      <groupName>格式问题</groupName>
      <ability>L2_HalfPunc</ability>
      <abilityName>全半角检查</abilityName>
      <candidateList>
        <item>（</item>
      </candidateList>
      <explain>文本全半角错误。</explain>
      <paraID>4302976A</paraID>
      <start>7</start>
      <end>8</end>
      <status>unmodified</status>
      <modifiedWord/>
      <trackRevisions>false</trackRevisions>
    </reviewItem>
    <reviewItem>
      <errorID>a1a04014-c620-4143-945a-b63c5f750b7c</errorID>
      <errorWord>)</errorWord>
      <group>L1_Format</group>
      <groupName>格式问题</groupName>
      <ability>L2_HalfPunc</ability>
      <abilityName>全半角检查</abilityName>
      <candidateList>
        <item>）</item>
      </candidateList>
      <explain>文本全半角错误。</explain>
      <paraID>4302976A</paraID>
      <start>15</start>
      <end>16</end>
      <status>unmodified</status>
      <modifiedWord/>
      <trackRevisions>false</trackRevisions>
    </reviewItem>
    <reviewItem>
      <errorID>4951c84d-0369-430e-a5db-29a34d440ba4</errorID>
      <errorWord>(</errorWord>
      <group>L1_Format</group>
      <groupName>格式问题</groupName>
      <ability>L2_HalfPunc</ability>
      <abilityName>全半角检查</abilityName>
      <candidateList>
        <item>（</item>
      </candidateList>
      <explain>文本全半角错误。</explain>
      <paraID>79D6B788</paraID>
      <start>7</start>
      <end>8</end>
      <status>unmodified</status>
      <modifiedWord/>
      <trackRevisions>false</trackRevisions>
    </reviewItem>
    <reviewItem>
      <errorID>be3b7e1f-56c9-481d-9ab1-7868f3d1bcf4</errorID>
      <errorWord>)</errorWord>
      <group>L1_Format</group>
      <groupName>格式问题</groupName>
      <ability>L2_HalfPunc</ability>
      <abilityName>全半角检查</abilityName>
      <candidateList>
        <item>）</item>
      </candidateList>
      <explain>文本全半角错误。</explain>
      <paraID>79D6B788</paraID>
      <start>15</start>
      <end>16</end>
      <status>unmodified</status>
      <modifiedWord/>
      <trackRevisions>false</trackRevisions>
    </reviewItem>
    <reviewItem>
      <errorID>c1e6759d-b1de-430e-a6b5-d8b884dd4a8d</errorID>
      <errorWord>〔2017〕 141号</errorWord>
      <group>L1_Knowledge</group>
      <groupName>知识性问题</groupName>
      <ability>L2_Knowledge</ability>
      <abilityName>其他知识</abilityName>
      <candidateList>
        <item>〔2017〕141号</item>
      </candidateList>
      <explain>发文字号格式错误。</explain>
      <paraID>695C181F</paraID>
      <start>49</start>
      <end>60</end>
      <status>unmodified</status>
      <modifiedWord/>
      <trackRevisions>false</trackRevisions>
    </reviewItem>
    <reviewItem>
      <errorID>5aae5b0a-0d96-41e8-95de-0552579313ac</errorID>
      <errorWord>(</errorWord>
      <group>L1_Format</group>
      <groupName>格式问题</groupName>
      <ability>L2_HalfPunc</ability>
      <abilityName>全半角检查</abilityName>
      <candidateList>
        <item>（</item>
      </candidateList>
      <explain>文本全半角错误。</explain>
      <paraID>757B1908</paraID>
      <start>27</start>
      <end>28</end>
      <status>unmodified</status>
      <modifiedWord/>
      <trackRevisions>false</trackRevisions>
    </reviewItem>
    <reviewItem>
      <errorID>e1cb84f1-d8cb-4641-b057-4ef1048cce91</errorID>
      <errorWord>)</errorWord>
      <group>L1_Format</group>
      <groupName>格式问题</groupName>
      <ability>L2_HalfPunc</ability>
      <abilityName>全半角检查</abilityName>
      <candidateList>
        <item>）</item>
      </candidateList>
      <explain>文本全半角错误。</explain>
      <paraID>757B1908</paraID>
      <start>33</start>
      <end>34</end>
      <status>unmodified</status>
      <modifiedWord/>
      <trackRevisions>false</trackRevisions>
    </reviewItem>
    <reviewItem>
      <errorID>58623b22-a929-444d-9d22-4eb173c36cfb</errorID>
      <errorWord>作</errorWord>
      <group>L1_Word</group>
      <groupName>字词问题</groupName>
      <ability>L2_Typo</ability>
      <abilityName>字词错误</abilityName>
      <candidateList>
        <item>做</item>
      </candidateList>
      <explain>存在发音相同字词的误用。</explain>
      <paraID>757B1908</paraID>
      <start>101</start>
      <end>102</end>
      <status>unmodified</status>
      <modifiedWord/>
      <trackRevisions>false</trackRevisions>
    </reviewItem>
    <reviewItem>
      <errorID>fdea18d5-59d2-46cc-9791-d9795192a874</errorID>
      <errorWord>(</errorWord>
      <group>L1_Format</group>
      <groupName>格式问题</groupName>
      <ability>L2_HalfPunc</ability>
      <abilityName>全半角检查</abilityName>
      <candidateList>
        <item>（</item>
      </candidateList>
      <explain>文本全半角错误。</explain>
      <paraID>3EE71ECC</paraID>
      <start>5</start>
      <end>6</end>
      <status>unmodified</status>
      <modifiedWord/>
      <trackRevisions>false</trackRevisions>
    </reviewItem>
    <reviewItem>
      <errorID>11cdb4fc-abe7-47fb-9314-7c7628bffabc</errorID>
      <errorWord>)</errorWord>
      <group>L1_Format</group>
      <groupName>格式问题</groupName>
      <ability>L2_HalfPunc</ability>
      <abilityName>全半角检查</abilityName>
      <candidateList>
        <item>）</item>
      </candidateList>
      <explain>文本全半角错误。</explain>
      <paraID>3EE71ECC</paraID>
      <start>13</start>
      <end>14</end>
      <status>unmodified</status>
      <modifiedWord/>
      <trackRevisions>false</trackRevisions>
    </reviewItem>
    <reviewItem>
      <errorID>747891d7-b478-4d98-b7c4-6ca70f5c34b1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117C94A0</paraID>
      <start>6</start>
      <end>9</end>
      <status>unmodified</status>
      <modifiedWord/>
      <trackRevisions>false</trackRevisions>
    </reviewItem>
    <reviewItem>
      <errorID>e47c241a-2472-42e0-a724-304d0a136c62</errorID>
      <errorWord>(</errorWord>
      <group>L1_Format</group>
      <groupName>格式问题</groupName>
      <ability>L2_HalfPunc</ability>
      <abilityName>全半角检查</abilityName>
      <candidateList>
        <item>（</item>
      </candidateList>
      <explain>文本全半角错误。</explain>
      <paraID>72C62712</paraID>
      <start>7</start>
      <end>8</end>
      <status>unmodified</status>
      <modifiedWord/>
      <trackRevisions>false</trackRevisions>
    </reviewItem>
    <reviewItem>
      <errorID>2e3652da-5d31-4983-9524-839ccad22b82</errorID>
      <errorWord>)</errorWord>
      <group>L1_Format</group>
      <groupName>格式问题</groupName>
      <ability>L2_HalfPunc</ability>
      <abilityName>全半角检查</abilityName>
      <candidateList>
        <item>）</item>
      </candidateList>
      <explain>文本全半角错误。</explain>
      <paraID>72C62712</paraID>
      <start>15</start>
      <end>16</end>
      <status>unmodified</status>
      <modifiedWord/>
      <trackRevisions>false</trackRevisions>
    </reviewItem>
    <reviewItem>
      <errorID>878b3e30-f794-4729-8429-e42115e8f53d</errorID>
      <errorWord>(</errorWord>
      <group>L1_Format</group>
      <groupName>格式问题</groupName>
      <ability>L2_HalfPunc</ability>
      <abilityName>全半角检查</abilityName>
      <candidateList>
        <item>（</item>
      </candidateList>
      <explain>文本全半角错误。</explain>
      <paraID>29C4725F</paraID>
      <start>7</start>
      <end>8</end>
      <status>unmodified</status>
      <modifiedWord/>
      <trackRevisions>false</trackRevisions>
    </reviewItem>
    <reviewItem>
      <errorID>a45db215-e177-4540-85a9-71efde6a4edd</errorID>
      <errorWord>)</errorWord>
      <group>L1_Format</group>
      <groupName>格式问题</groupName>
      <ability>L2_HalfPunc</ability>
      <abilityName>全半角检查</abilityName>
      <candidateList>
        <item>）</item>
      </candidateList>
      <explain>文本全半角错误。</explain>
      <paraID>29C4725F</paraID>
      <start>15</start>
      <end>16</end>
      <status>unmodified</status>
      <modifiedWord/>
      <trackRevisions>false</trackRevisions>
    </reviewItem>
    <reviewItem>
      <errorID>f2273009-294c-4bff-8a1f-7748339a4efe</errorID>
      <errorWord>(</errorWord>
      <group>L1_Format</group>
      <groupName>格式问题</groupName>
      <ability>L2_HalfPunc</ability>
      <abilityName>全半角检查</abilityName>
      <candidateList>
        <item>（</item>
      </candidateList>
      <explain>文本全半角错误。</explain>
      <paraID>6C2EDF14</paraID>
      <start>5</start>
      <end>6</end>
      <status>unmodified</status>
      <modifiedWord/>
      <trackRevisions>false</trackRevisions>
    </reviewItem>
    <reviewItem>
      <errorID>3763408f-2c63-4a52-b36c-ecf45cf704c7</errorID>
      <errorWord>)</errorWord>
      <group>L1_Format</group>
      <groupName>格式问题</groupName>
      <ability>L2_HalfPunc</ability>
      <abilityName>全半角检查</abilityName>
      <candidateList>
        <item>）</item>
      </candidateList>
      <explain>文本全半角错误。</explain>
      <paraID>6C2EDF14</paraID>
      <start>13</start>
      <end>14</end>
      <status>unmodified</status>
      <modifiedWord/>
      <trackRevisions>false</trackRevisions>
    </reviewItem>
    <reviewItem>
      <errorID>18be6169-5a1b-437f-837d-d7015f8fac94</errorID>
      <errorWord>(</errorWord>
      <group>L1_Format</group>
      <groupName>格式问题</groupName>
      <ability>L2_HalfPunc</ability>
      <abilityName>全半角检查</abilityName>
      <candidateList>
        <item>（</item>
      </candidateList>
      <explain>文本全半角错误。</explain>
      <paraID>15E62FF6</paraID>
      <start>7</start>
      <end>8</end>
      <status>unmodified</status>
      <modifiedWord/>
      <trackRevisions>false</trackRevisions>
    </reviewItem>
    <reviewItem>
      <errorID>fc77cda0-96e4-42f8-bb39-def7dc4e2a16</errorID>
      <errorWord>)</errorWord>
      <group>L1_Format</group>
      <groupName>格式问题</groupName>
      <ability>L2_HalfPunc</ability>
      <abilityName>全半角检查</abilityName>
      <candidateList>
        <item>）</item>
      </candidateList>
      <explain>文本全半角错误。</explain>
      <paraID>15E62FF6</paraID>
      <start>15</start>
      <end>16</end>
      <status>unmodified</status>
      <modifiedWord/>
      <trackRevisions>false</trackRevisions>
    </reviewItem>
    <reviewItem>
      <errorID>03e16e9a-3c64-4c50-9608-66a649e6016a</errorID>
      <errorWord>楚</errorWord>
      <group>L1_Word</group>
      <groupName>字词问题</groupName>
      <ability>L2_Typo</ability>
      <abilityName>字词错误</abilityName>
      <candidateList>
        <item>楚地</item>
      </candidateList>
      <explain/>
      <paraID>78E7F74D</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c4f78-512d-4d64-b086-07166b351301}">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3955</Words>
  <Characters>4392</Characters>
  <Lines>0</Lines>
  <Paragraphs>0</Paragraphs>
  <TotalTime>0</TotalTime>
  <ScaleCrop>false</ScaleCrop>
  <LinksUpToDate>false</LinksUpToDate>
  <CharactersWithSpaces>4551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浙江乐诚</cp:lastModifiedBy>
  <cp:lastPrinted>2026-03-08T10:47:00Z</cp:lastPrinted>
  <dcterms:modified xsi:type="dcterms:W3CDTF">2026-03-27T01:05:36Z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eyJoZGlkIjoiN2EwNTQyMDU4ZjViYTgyY2JhMWRhOWMxODQ1Zjg1MTIiLCJ1c2VySWQiOiIxOTk1MTEzOTEifQ==</vt:lpwstr>
  </property>
  <property fmtid="{D5CDD505-2E9C-101B-9397-08002B2CF9AE}" pid="4" name="ICV">
    <vt:lpwstr>10BB60E714CE442794847FD44FAAFF45_13</vt:lpwstr>
  </property>
</Properties>
</file>