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94BCC">
      <w:pPr>
        <w:spacing w:line="360" w:lineRule="auto"/>
        <w:jc w:val="center"/>
        <w:rPr>
          <w:rFonts w:hint="eastAsia" w:ascii="华文新魏" w:eastAsia="华文新魏"/>
          <w:color w:val="auto"/>
          <w:sz w:val="84"/>
          <w:szCs w:val="84"/>
          <w:highlight w:val="none"/>
        </w:rPr>
      </w:pPr>
      <w:r>
        <w:rPr>
          <w:rFonts w:hint="eastAsia" w:ascii="华文新魏" w:eastAsia="华文新魏"/>
          <w:color w:val="auto"/>
          <w:sz w:val="84"/>
          <w:szCs w:val="84"/>
          <w:highlight w:val="none"/>
        </w:rPr>
        <w:t>广西国力招标有限公司</w:t>
      </w:r>
    </w:p>
    <w:p w14:paraId="63913149">
      <w:pPr>
        <w:spacing w:before="156" w:beforeLines="50"/>
        <w:jc w:val="center"/>
        <w:rPr>
          <w:rFonts w:hint="eastAsia" w:ascii="楷体" w:eastAsia="楷体"/>
          <w:color w:val="auto"/>
          <w:sz w:val="48"/>
          <w:szCs w:val="48"/>
          <w:highlight w:val="none"/>
        </w:rPr>
      </w:pPr>
    </w:p>
    <w:p w14:paraId="24DFDC02">
      <w:pPr>
        <w:spacing w:before="156" w:beforeLines="50"/>
        <w:jc w:val="center"/>
        <w:rPr>
          <w:rFonts w:hint="eastAsia" w:ascii="楷体" w:eastAsia="楷体"/>
          <w:color w:val="auto"/>
          <w:sz w:val="72"/>
          <w:szCs w:val="72"/>
          <w:highlight w:val="none"/>
        </w:rPr>
      </w:pPr>
      <w:r>
        <w:rPr>
          <w:rFonts w:hint="eastAsia" w:ascii="楷体" w:eastAsia="楷体"/>
          <w:color w:val="auto"/>
          <w:sz w:val="72"/>
          <w:szCs w:val="72"/>
          <w:highlight w:val="none"/>
        </w:rPr>
        <w:t>公开招标采购文件</w:t>
      </w:r>
    </w:p>
    <w:p w14:paraId="21309D52">
      <w:pPr>
        <w:pStyle w:val="27"/>
        <w:snapToGrid w:val="0"/>
        <w:spacing w:before="120" w:after="120" w:line="360" w:lineRule="auto"/>
        <w:rPr>
          <w:rFonts w:hint="eastAsia" w:ascii="仿宋_GB2312" w:eastAsia="仿宋_GB2312"/>
          <w:b/>
          <w:bCs/>
          <w:color w:val="auto"/>
          <w:sz w:val="30"/>
          <w:szCs w:val="30"/>
          <w:highlight w:val="none"/>
        </w:rPr>
      </w:pPr>
    </w:p>
    <w:p w14:paraId="02BAE805">
      <w:pPr>
        <w:pStyle w:val="27"/>
        <w:snapToGrid w:val="0"/>
        <w:spacing w:before="120" w:after="120" w:line="360" w:lineRule="auto"/>
        <w:jc w:val="center"/>
        <w:rPr>
          <w:rFonts w:hint="eastAsia" w:ascii="仿宋_GB2312" w:eastAsia="仿宋_GB2312"/>
          <w:b/>
          <w:bCs/>
          <w:color w:val="auto"/>
          <w:sz w:val="30"/>
          <w:szCs w:val="30"/>
          <w:highlight w:val="none"/>
        </w:rPr>
      </w:pPr>
      <w:r>
        <w:rPr>
          <w:rFonts w:ascii="仿宋_GB2312" w:eastAsia="仿宋_GB2312"/>
          <w:b/>
          <w:bCs/>
          <w:color w:val="auto"/>
          <w:sz w:val="30"/>
          <w:szCs w:val="30"/>
          <w:highlight w:val="none"/>
        </w:rPr>
        <w:drawing>
          <wp:inline distT="0" distB="0" distL="114300" distR="114300">
            <wp:extent cx="2284730" cy="1624965"/>
            <wp:effectExtent l="0" t="0" r="1270" b="635"/>
            <wp:docPr id="1" name="图片 1"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70580411503450878247"/>
                    <pic:cNvPicPr>
                      <a:picLocks noChangeAspect="1"/>
                    </pic:cNvPicPr>
                  </pic:nvPicPr>
                  <pic:blipFill>
                    <a:blip r:embed="rId10"/>
                    <a:stretch>
                      <a:fillRect/>
                    </a:stretch>
                  </pic:blipFill>
                  <pic:spPr>
                    <a:xfrm>
                      <a:off x="0" y="0"/>
                      <a:ext cx="2284730" cy="1624965"/>
                    </a:xfrm>
                    <a:prstGeom prst="rect">
                      <a:avLst/>
                    </a:prstGeom>
                    <a:noFill/>
                    <a:ln>
                      <a:noFill/>
                    </a:ln>
                  </pic:spPr>
                </pic:pic>
              </a:graphicData>
            </a:graphic>
          </wp:inline>
        </w:drawing>
      </w:r>
    </w:p>
    <w:p w14:paraId="5A6110FC">
      <w:pPr>
        <w:pStyle w:val="27"/>
        <w:snapToGrid w:val="0"/>
        <w:spacing w:before="120" w:after="120" w:line="800" w:lineRule="exact"/>
        <w:ind w:firstLine="1793" w:firstLineChars="496"/>
        <w:rPr>
          <w:rFonts w:hint="eastAsia"/>
          <w:b/>
          <w:bCs/>
          <w:color w:val="auto"/>
          <w:sz w:val="36"/>
          <w:szCs w:val="36"/>
          <w:highlight w:val="none"/>
        </w:rPr>
      </w:pPr>
    </w:p>
    <w:p w14:paraId="54A9D1BF">
      <w:pPr>
        <w:pStyle w:val="27"/>
        <w:snapToGrid w:val="0"/>
        <w:spacing w:before="120" w:after="120" w:line="800" w:lineRule="exact"/>
        <w:ind w:left="0" w:leftChars="0" w:firstLine="0" w:firstLineChars="0"/>
        <w:jc w:val="center"/>
        <w:rPr>
          <w:rFonts w:hint="eastAsia"/>
          <w:b/>
          <w:bCs/>
          <w:color w:val="auto"/>
          <w:sz w:val="32"/>
          <w:szCs w:val="32"/>
          <w:highlight w:val="none"/>
        </w:rPr>
      </w:pPr>
      <w:r>
        <w:rPr>
          <w:rFonts w:hint="eastAsia"/>
          <w:b/>
          <w:bCs/>
          <w:color w:val="auto"/>
          <w:sz w:val="32"/>
          <w:szCs w:val="32"/>
          <w:highlight w:val="none"/>
        </w:rPr>
        <w:t>采购项目编号：</w:t>
      </w:r>
      <w:r>
        <w:rPr>
          <w:rFonts w:hint="eastAsia"/>
          <w:b/>
          <w:bCs/>
          <w:color w:val="auto"/>
          <w:sz w:val="32"/>
          <w:szCs w:val="32"/>
          <w:highlight w:val="none"/>
          <w:lang w:eastAsia="zh-CN"/>
        </w:rPr>
        <w:t>GXZC2026-G3-000585-GLZB</w:t>
      </w:r>
    </w:p>
    <w:p w14:paraId="07781A5D">
      <w:pPr>
        <w:keepNext w:val="0"/>
        <w:keepLines w:val="0"/>
        <w:pageBreakBefore w:val="0"/>
        <w:widowControl w:val="0"/>
        <w:pBdr>
          <w:bottom w:val="thickThinSmallGap" w:color="auto" w:sz="24" w:space="1"/>
        </w:pBdr>
        <w:kinsoku/>
        <w:wordWrap/>
        <w:overflowPunct/>
        <w:topLinePunct w:val="0"/>
        <w:autoSpaceDE/>
        <w:autoSpaceDN/>
        <w:bidi w:val="0"/>
        <w:adjustRightInd/>
        <w:snapToGrid w:val="0"/>
        <w:spacing w:before="156" w:beforeLines="50" w:line="800" w:lineRule="exact"/>
        <w:ind w:left="2249" w:leftChars="0" w:hanging="2249" w:hangingChars="700"/>
        <w:jc w:val="center"/>
        <w:textAlignment w:val="auto"/>
        <w:rPr>
          <w:rFonts w:hint="eastAsia" w:ascii="宋体"/>
          <w:b/>
          <w:color w:val="auto"/>
          <w:sz w:val="36"/>
          <w:szCs w:val="36"/>
          <w:highlight w:val="none"/>
        </w:rPr>
      </w:pPr>
      <w:r>
        <w:rPr>
          <w:rFonts w:hint="eastAsia" w:ascii="宋体"/>
          <w:b/>
          <w:color w:val="auto"/>
          <w:sz w:val="32"/>
          <w:szCs w:val="32"/>
          <w:highlight w:val="none"/>
        </w:rPr>
        <w:t>采购项目名称：</w:t>
      </w:r>
      <w:r>
        <w:rPr>
          <w:rFonts w:hint="eastAsia" w:ascii="宋体"/>
          <w:b/>
          <w:color w:val="auto"/>
          <w:sz w:val="32"/>
          <w:szCs w:val="32"/>
          <w:highlight w:val="none"/>
          <w:lang w:eastAsia="zh-CN"/>
        </w:rPr>
        <w:t>广西博物馆陈列大楼沉浸式夜游光影项目</w:t>
      </w:r>
    </w:p>
    <w:p w14:paraId="1817DEEE">
      <w:pPr>
        <w:pBdr>
          <w:bottom w:val="thickThinSmallGap" w:color="auto" w:sz="24" w:space="1"/>
        </w:pBdr>
        <w:snapToGrid w:val="0"/>
        <w:spacing w:before="156" w:beforeLines="50" w:line="600" w:lineRule="exact"/>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（GXGL2026S-G097-Z）</w:t>
      </w:r>
    </w:p>
    <w:p w14:paraId="64F07E03">
      <w:pPr>
        <w:snapToGrid w:val="0"/>
        <w:spacing w:before="156" w:beforeLines="50" w:line="600" w:lineRule="exact"/>
        <w:ind w:firstLine="2108" w:firstLineChars="700"/>
        <w:rPr>
          <w:rFonts w:hint="eastAsia" w:ascii="宋体"/>
          <w:b/>
          <w:color w:val="auto"/>
          <w:sz w:val="30"/>
          <w:szCs w:val="72"/>
          <w:highlight w:val="none"/>
        </w:rPr>
      </w:pPr>
      <w:r>
        <w:rPr>
          <w:rFonts w:hint="eastAsia" w:ascii="宋体"/>
          <w:b/>
          <w:color w:val="auto"/>
          <w:sz w:val="30"/>
          <w:szCs w:val="72"/>
          <w:highlight w:val="none"/>
        </w:rPr>
        <w:t>采   购   人：</w:t>
      </w:r>
      <w:r>
        <w:rPr>
          <w:rFonts w:hint="eastAsia" w:ascii="宋体"/>
          <w:b/>
          <w:color w:val="auto"/>
          <w:sz w:val="30"/>
          <w:szCs w:val="72"/>
          <w:highlight w:val="none"/>
          <w:lang w:eastAsia="zh-CN"/>
        </w:rPr>
        <w:t>广西壮族自治区博物馆</w:t>
      </w:r>
      <w:r>
        <w:rPr>
          <w:rFonts w:hint="eastAsia" w:ascii="宋体"/>
          <w:b/>
          <w:color w:val="auto"/>
          <w:sz w:val="30"/>
          <w:szCs w:val="72"/>
          <w:highlight w:val="none"/>
        </w:rPr>
        <w:t xml:space="preserve"> </w:t>
      </w:r>
    </w:p>
    <w:p w14:paraId="05708909">
      <w:pPr>
        <w:snapToGrid w:val="0"/>
        <w:spacing w:before="156" w:beforeLines="50" w:line="600" w:lineRule="exact"/>
        <w:ind w:firstLine="2108" w:firstLineChars="700"/>
        <w:jc w:val="left"/>
        <w:rPr>
          <w:rFonts w:hint="eastAsia" w:ascii="宋体"/>
          <w:b/>
          <w:color w:val="auto"/>
          <w:sz w:val="30"/>
          <w:szCs w:val="72"/>
          <w:highlight w:val="none"/>
        </w:rPr>
      </w:pPr>
      <w:r>
        <w:rPr>
          <w:rFonts w:hint="eastAsia" w:ascii="宋体"/>
          <w:b/>
          <w:color w:val="auto"/>
          <w:sz w:val="30"/>
          <w:szCs w:val="72"/>
          <w:highlight w:val="none"/>
        </w:rPr>
        <w:t>采购代理机构：广西国力招标有限公司</w:t>
      </w:r>
    </w:p>
    <w:p w14:paraId="53B86864">
      <w:pPr>
        <w:snapToGrid w:val="0"/>
        <w:spacing w:before="156" w:beforeLines="50" w:line="600" w:lineRule="exact"/>
        <w:jc w:val="center"/>
        <w:rPr>
          <w:rFonts w:hint="eastAsia" w:ascii="宋体"/>
          <w:b/>
          <w:color w:val="auto"/>
          <w:sz w:val="30"/>
          <w:szCs w:val="72"/>
          <w:highlight w:val="none"/>
        </w:rPr>
        <w:sectPr>
          <w:footerReference r:id="rId5" w:type="first"/>
          <w:headerReference r:id="rId3" w:type="default"/>
          <w:footerReference r:id="rId4" w:type="even"/>
          <w:pgSz w:w="11906" w:h="16838"/>
          <w:pgMar w:top="1440" w:right="1083" w:bottom="1440" w:left="1083" w:header="1191" w:footer="590" w:gutter="0"/>
          <w:pgBorders>
            <w:top w:val="none" w:sz="0" w:space="0"/>
            <w:left w:val="none" w:sz="0" w:space="0"/>
            <w:bottom w:val="none" w:sz="0" w:space="0"/>
            <w:right w:val="none" w:sz="0" w:space="0"/>
          </w:pgBorders>
          <w:cols w:space="0" w:num="1"/>
          <w:titlePg/>
          <w:rtlGutter w:val="0"/>
          <w:docGrid w:linePitch="312" w:charSpace="0"/>
        </w:sectPr>
      </w:pPr>
      <w:r>
        <w:rPr>
          <w:rFonts w:hint="eastAsia" w:ascii="宋体"/>
          <w:b/>
          <w:color w:val="auto"/>
          <w:sz w:val="30"/>
          <w:szCs w:val="72"/>
          <w:highlight w:val="none"/>
          <w:lang w:eastAsia="zh-CN"/>
        </w:rPr>
        <w:t>2026</w:t>
      </w:r>
      <w:r>
        <w:rPr>
          <w:rFonts w:hint="eastAsia" w:ascii="宋体"/>
          <w:b/>
          <w:color w:val="auto"/>
          <w:sz w:val="30"/>
          <w:szCs w:val="72"/>
          <w:highlight w:val="none"/>
        </w:rPr>
        <w:t>年</w:t>
      </w:r>
      <w:r>
        <w:rPr>
          <w:rFonts w:hint="eastAsia" w:ascii="宋体"/>
          <w:b/>
          <w:color w:val="auto"/>
          <w:sz w:val="30"/>
          <w:szCs w:val="72"/>
          <w:highlight w:val="none"/>
          <w:lang w:val="en-US" w:eastAsia="zh-CN"/>
        </w:rPr>
        <w:t>3</w:t>
      </w:r>
      <w:r>
        <w:rPr>
          <w:rFonts w:hint="eastAsia" w:ascii="宋体"/>
          <w:b/>
          <w:color w:val="auto"/>
          <w:sz w:val="30"/>
          <w:szCs w:val="72"/>
          <w:highlight w:val="none"/>
        </w:rPr>
        <w:t>月</w:t>
      </w:r>
    </w:p>
    <w:p w14:paraId="1E2D571C">
      <w:pPr>
        <w:jc w:val="center"/>
        <w:rPr>
          <w:rFonts w:hint="eastAsia"/>
          <w:color w:val="auto"/>
          <w:sz w:val="44"/>
          <w:szCs w:val="44"/>
          <w:highlight w:val="none"/>
        </w:rPr>
      </w:pPr>
    </w:p>
    <w:p w14:paraId="18FB134F">
      <w:pPr>
        <w:jc w:val="center"/>
        <w:rPr>
          <w:rFonts w:hint="eastAsia"/>
          <w:b/>
          <w:color w:val="auto"/>
          <w:sz w:val="44"/>
          <w:szCs w:val="44"/>
          <w:highlight w:val="none"/>
        </w:rPr>
      </w:pPr>
      <w:r>
        <w:rPr>
          <w:rFonts w:hint="eastAsia"/>
          <w:b/>
          <w:color w:val="auto"/>
          <w:sz w:val="44"/>
          <w:szCs w:val="44"/>
          <w:highlight w:val="none"/>
        </w:rPr>
        <w:t>目  录</w:t>
      </w:r>
    </w:p>
    <w:p w14:paraId="158BD12A">
      <w:pPr>
        <w:rPr>
          <w:rFonts w:hint="eastAsia"/>
          <w:color w:val="auto"/>
          <w:highlight w:val="none"/>
        </w:rPr>
      </w:pPr>
    </w:p>
    <w:p w14:paraId="7942CCE3">
      <w:pPr>
        <w:pStyle w:val="35"/>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TOC \o "1-3" \h \z \u</w:instrText>
      </w:r>
      <w:r>
        <w:rPr>
          <w:color w:val="auto"/>
          <w:highlight w:val="none"/>
        </w:rPr>
        <w:instrText xml:space="preserve"> </w:instrText>
      </w:r>
      <w:r>
        <w:rPr>
          <w:color w:val="auto"/>
          <w:highlight w:val="none"/>
        </w:rPr>
        <w:fldChar w:fldCharType="separate"/>
      </w: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"_Toc476436431"</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第一章  公开招标公告</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_Toc476436431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2</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2DDADB75">
      <w:pPr>
        <w:pStyle w:val="35"/>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"_Toc476436432"</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第二章  招标项目采购需求</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_Toc476436432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6</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738369EA">
      <w:pPr>
        <w:pStyle w:val="35"/>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"_Toc476436433"</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第三章  投标</w:t>
      </w:r>
      <w:bookmarkStart w:id="0" w:name="_Hlt489368816"/>
      <w:bookmarkStart w:id="1" w:name="_Hlt482277892"/>
      <w:bookmarkStart w:id="2" w:name="_Hlt489368815"/>
      <w:r>
        <w:rPr>
          <w:rFonts w:hint="eastAsia" w:ascii="宋体" w:eastAsia="宋体"/>
          <w:color w:val="auto"/>
          <w:sz w:val="28"/>
          <w:szCs w:val="28"/>
          <w:highlight w:val="none"/>
        </w:rPr>
        <w:t>人</w:t>
      </w:r>
      <w:bookmarkEnd w:id="0"/>
      <w:bookmarkEnd w:id="1"/>
      <w:bookmarkEnd w:id="2"/>
      <w:r>
        <w:rPr>
          <w:rFonts w:hint="eastAsia" w:ascii="宋体" w:eastAsia="宋体"/>
          <w:color w:val="auto"/>
          <w:sz w:val="28"/>
          <w:szCs w:val="28"/>
          <w:highlight w:val="none"/>
        </w:rPr>
        <w:t>须知</w:t>
      </w:r>
      <w:bookmarkStart w:id="3" w:name="_Hlt16003907"/>
      <w:bookmarkStart w:id="4" w:name="_Hlt16003906"/>
      <w:r>
        <w:rPr>
          <w:rFonts w:hint="eastAsia" w:ascii="宋体" w:eastAsia="宋体"/>
          <w:color w:val="auto"/>
          <w:sz w:val="28"/>
          <w:szCs w:val="28"/>
          <w:highlight w:val="none"/>
        </w:rPr>
        <w:tab/>
      </w:r>
      <w:bookmarkEnd w:id="3"/>
      <w:bookmarkEnd w:id="4"/>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_Toc476436433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23</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59C5E5E2">
      <w:pPr>
        <w:pStyle w:val="35"/>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"_Toc476436434"</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第四章  评标方法及</w:t>
      </w:r>
      <w:bookmarkStart w:id="5" w:name="_Hlt476529841"/>
      <w:bookmarkStart w:id="6" w:name="_Hlt476529840"/>
      <w:r>
        <w:rPr>
          <w:rFonts w:hint="eastAsia" w:ascii="宋体" w:eastAsia="宋体"/>
          <w:color w:val="auto"/>
          <w:sz w:val="28"/>
          <w:szCs w:val="28"/>
          <w:highlight w:val="none"/>
        </w:rPr>
        <w:t>评</w:t>
      </w:r>
      <w:bookmarkEnd w:id="5"/>
      <w:bookmarkEnd w:id="6"/>
      <w:r>
        <w:rPr>
          <w:rFonts w:hint="eastAsia" w:ascii="宋体" w:eastAsia="宋体"/>
          <w:color w:val="auto"/>
          <w:sz w:val="28"/>
          <w:szCs w:val="28"/>
          <w:highlight w:val="none"/>
        </w:rPr>
        <w:t>分标准</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_Toc476436434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44</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16A79C87">
      <w:pPr>
        <w:pStyle w:val="35"/>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"_Toc476436435"</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第五章  政府采购合同主要条款</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_Toc476436435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50</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56E88B47">
      <w:pPr>
        <w:pStyle w:val="35"/>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highlight w:val="none"/>
        </w:rPr>
      </w:pPr>
      <w:r>
        <w:rPr>
          <w:rFonts w:hint="eastAsia" w:ascii="宋体" w:eastAsia="宋体"/>
          <w:color w:val="auto"/>
          <w:sz w:val="28"/>
          <w:szCs w:val="28"/>
          <w:highlight w:val="none"/>
        </w:rPr>
        <w:fldChar w:fldCharType="begin"/>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instrText xml:space="preserve">HYPERLINK \l "_Toc476436436"</w:instrText>
      </w:r>
      <w:r>
        <w:rPr>
          <w:rStyle w:val="55"/>
          <w:rFonts w:hint="eastAsia" w:ascii="宋体" w:eastAsia="宋体"/>
          <w:color w:val="auto"/>
          <w:sz w:val="28"/>
          <w:szCs w:val="28"/>
          <w:highlight w:val="none"/>
        </w:rPr>
        <w:instrText xml:space="preserve">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第六章　投标文件格式</w:t>
      </w:r>
      <w:r>
        <w:rPr>
          <w:rFonts w:hint="eastAsia" w:ascii="宋体" w:eastAsia="宋体"/>
          <w:color w:val="auto"/>
          <w:sz w:val="28"/>
          <w:szCs w:val="28"/>
          <w:highlight w:val="none"/>
        </w:rPr>
        <w:tab/>
      </w:r>
      <w:r>
        <w:rPr>
          <w:rFonts w:hint="eastAsia" w:ascii="宋体" w:eastAsia="宋体"/>
          <w:color w:val="auto"/>
          <w:sz w:val="28"/>
          <w:szCs w:val="28"/>
          <w:highlight w:val="none"/>
        </w:rPr>
        <w:fldChar w:fldCharType="begin"/>
      </w:r>
      <w:r>
        <w:rPr>
          <w:rFonts w:hint="eastAsia" w:ascii="宋体" w:eastAsia="宋体"/>
          <w:color w:val="auto"/>
          <w:sz w:val="28"/>
          <w:szCs w:val="28"/>
          <w:highlight w:val="none"/>
        </w:rPr>
        <w:instrText xml:space="preserve"> PAGEREF _Toc476436436 \h </w:instrText>
      </w:r>
      <w:r>
        <w:rPr>
          <w:rFonts w:hint="eastAsia" w:ascii="宋体" w:eastAsia="宋体"/>
          <w:color w:val="auto"/>
          <w:sz w:val="28"/>
          <w:szCs w:val="28"/>
          <w:highlight w:val="none"/>
        </w:rPr>
        <w:fldChar w:fldCharType="separate"/>
      </w:r>
      <w:r>
        <w:rPr>
          <w:rFonts w:hint="eastAsia" w:ascii="宋体" w:eastAsia="宋体"/>
          <w:color w:val="auto"/>
          <w:sz w:val="28"/>
          <w:szCs w:val="28"/>
          <w:highlight w:val="none"/>
        </w:rPr>
        <w:t>56</w:t>
      </w:r>
      <w:r>
        <w:rPr>
          <w:rFonts w:hint="eastAsia" w:ascii="宋体" w:eastAsia="宋体"/>
          <w:color w:val="auto"/>
          <w:sz w:val="28"/>
          <w:szCs w:val="28"/>
          <w:highlight w:val="none"/>
        </w:rPr>
        <w:fldChar w:fldCharType="end"/>
      </w:r>
      <w:r>
        <w:rPr>
          <w:rFonts w:hint="eastAsia" w:ascii="宋体" w:eastAsia="宋体"/>
          <w:color w:val="auto"/>
          <w:sz w:val="28"/>
          <w:szCs w:val="28"/>
          <w:highlight w:val="none"/>
        </w:rPr>
        <w:fldChar w:fldCharType="end"/>
      </w:r>
    </w:p>
    <w:p w14:paraId="678D423D">
      <w:pPr>
        <w:spacing w:line="600" w:lineRule="exact"/>
        <w:rPr>
          <w:rFonts w:hint="eastAsia"/>
          <w:color w:val="auto"/>
          <w:highlight w:val="none"/>
        </w:rPr>
      </w:pPr>
      <w:r>
        <w:rPr>
          <w:color w:val="auto"/>
          <w:highlight w:val="none"/>
        </w:rPr>
        <w:fldChar w:fldCharType="end"/>
      </w:r>
    </w:p>
    <w:p w14:paraId="03602751">
      <w:pPr>
        <w:rPr>
          <w:rFonts w:hint="eastAsia"/>
          <w:color w:val="auto"/>
          <w:highlight w:val="none"/>
        </w:rPr>
      </w:pPr>
    </w:p>
    <w:p w14:paraId="44A1A2EA">
      <w:pPr>
        <w:rPr>
          <w:rFonts w:hint="eastAsia"/>
          <w:color w:val="auto"/>
          <w:highlight w:val="none"/>
        </w:rPr>
      </w:pPr>
    </w:p>
    <w:p w14:paraId="461CF7AC">
      <w:pPr>
        <w:spacing w:line="400" w:lineRule="exact"/>
        <w:jc w:val="center"/>
        <w:rPr>
          <w:rFonts w:hint="eastAsia" w:ascii="宋体"/>
          <w:color w:val="auto"/>
          <w:sz w:val="32"/>
          <w:szCs w:val="32"/>
          <w:highlight w:val="none"/>
        </w:rPr>
      </w:pPr>
      <w:r>
        <w:rPr>
          <w:rFonts w:hint="eastAsia" w:ascii="宋体"/>
          <w:color w:val="auto"/>
          <w:sz w:val="32"/>
          <w:szCs w:val="32"/>
          <w:highlight w:val="none"/>
        </w:rPr>
        <w:br w:type="page"/>
      </w:r>
    </w:p>
    <w:p w14:paraId="4E010FCB">
      <w:pPr>
        <w:spacing w:line="400" w:lineRule="exact"/>
        <w:jc w:val="center"/>
        <w:rPr>
          <w:rFonts w:hint="eastAsia" w:ascii="宋体"/>
          <w:color w:val="auto"/>
          <w:sz w:val="32"/>
          <w:szCs w:val="32"/>
          <w:highlight w:val="none"/>
        </w:rPr>
      </w:pPr>
    </w:p>
    <w:p w14:paraId="4ABA7F4D">
      <w:pPr>
        <w:spacing w:line="400" w:lineRule="exact"/>
        <w:jc w:val="center"/>
        <w:rPr>
          <w:rFonts w:hint="eastAsia" w:ascii="宋体"/>
          <w:color w:val="auto"/>
          <w:sz w:val="32"/>
          <w:szCs w:val="32"/>
          <w:highlight w:val="none"/>
        </w:rPr>
      </w:pPr>
    </w:p>
    <w:p w14:paraId="4194AEE6">
      <w:pPr>
        <w:spacing w:line="400" w:lineRule="exact"/>
        <w:jc w:val="center"/>
        <w:rPr>
          <w:rFonts w:hint="eastAsia" w:ascii="宋体"/>
          <w:color w:val="auto"/>
          <w:sz w:val="32"/>
          <w:szCs w:val="32"/>
          <w:highlight w:val="none"/>
        </w:rPr>
      </w:pPr>
    </w:p>
    <w:p w14:paraId="41C734B9">
      <w:pPr>
        <w:spacing w:line="400" w:lineRule="exact"/>
        <w:jc w:val="center"/>
        <w:rPr>
          <w:rFonts w:hint="eastAsia" w:ascii="宋体"/>
          <w:color w:val="auto"/>
          <w:sz w:val="32"/>
          <w:szCs w:val="32"/>
          <w:highlight w:val="none"/>
        </w:rPr>
      </w:pPr>
    </w:p>
    <w:p w14:paraId="2FC9CE09">
      <w:pPr>
        <w:spacing w:line="400" w:lineRule="exact"/>
        <w:jc w:val="center"/>
        <w:rPr>
          <w:rFonts w:hint="eastAsia" w:ascii="宋体"/>
          <w:color w:val="auto"/>
          <w:sz w:val="32"/>
          <w:szCs w:val="32"/>
          <w:highlight w:val="none"/>
        </w:rPr>
      </w:pPr>
    </w:p>
    <w:p w14:paraId="327B94E8">
      <w:pPr>
        <w:spacing w:line="400" w:lineRule="exact"/>
        <w:jc w:val="center"/>
        <w:rPr>
          <w:rFonts w:hint="eastAsia" w:ascii="宋体"/>
          <w:color w:val="auto"/>
          <w:sz w:val="32"/>
          <w:szCs w:val="32"/>
          <w:highlight w:val="none"/>
        </w:rPr>
      </w:pPr>
    </w:p>
    <w:p w14:paraId="6813BC5C">
      <w:pPr>
        <w:spacing w:line="400" w:lineRule="exact"/>
        <w:jc w:val="center"/>
        <w:rPr>
          <w:rFonts w:hint="eastAsia" w:ascii="宋体"/>
          <w:color w:val="auto"/>
          <w:sz w:val="32"/>
          <w:szCs w:val="32"/>
          <w:highlight w:val="none"/>
        </w:rPr>
      </w:pPr>
    </w:p>
    <w:p w14:paraId="77FED3C2">
      <w:pPr>
        <w:spacing w:line="400" w:lineRule="exact"/>
        <w:jc w:val="center"/>
        <w:rPr>
          <w:rFonts w:hint="eastAsia" w:ascii="宋体"/>
          <w:color w:val="auto"/>
          <w:sz w:val="32"/>
          <w:szCs w:val="32"/>
          <w:highlight w:val="none"/>
        </w:rPr>
      </w:pPr>
    </w:p>
    <w:p w14:paraId="62A19FEF">
      <w:pPr>
        <w:spacing w:line="400" w:lineRule="exact"/>
        <w:jc w:val="center"/>
        <w:rPr>
          <w:rFonts w:hint="eastAsia" w:ascii="宋体"/>
          <w:color w:val="auto"/>
          <w:sz w:val="32"/>
          <w:szCs w:val="32"/>
          <w:highlight w:val="none"/>
        </w:rPr>
      </w:pPr>
    </w:p>
    <w:p w14:paraId="12B81B67">
      <w:pPr>
        <w:spacing w:line="400" w:lineRule="exact"/>
        <w:jc w:val="center"/>
        <w:rPr>
          <w:rFonts w:hint="eastAsia" w:ascii="宋体"/>
          <w:color w:val="auto"/>
          <w:sz w:val="32"/>
          <w:szCs w:val="32"/>
          <w:highlight w:val="none"/>
        </w:rPr>
      </w:pPr>
    </w:p>
    <w:p w14:paraId="2B089902">
      <w:pPr>
        <w:spacing w:line="400" w:lineRule="exact"/>
        <w:jc w:val="center"/>
        <w:rPr>
          <w:rFonts w:hint="eastAsia" w:ascii="宋体"/>
          <w:color w:val="auto"/>
          <w:sz w:val="32"/>
          <w:szCs w:val="32"/>
          <w:highlight w:val="none"/>
        </w:rPr>
      </w:pPr>
    </w:p>
    <w:p w14:paraId="1AC84BC0">
      <w:pPr>
        <w:spacing w:line="400" w:lineRule="exact"/>
        <w:jc w:val="center"/>
        <w:rPr>
          <w:rFonts w:hint="eastAsia" w:ascii="宋体"/>
          <w:color w:val="auto"/>
          <w:sz w:val="32"/>
          <w:szCs w:val="32"/>
          <w:highlight w:val="none"/>
        </w:rPr>
      </w:pPr>
    </w:p>
    <w:p w14:paraId="518591D9">
      <w:pPr>
        <w:spacing w:line="400" w:lineRule="exact"/>
        <w:jc w:val="center"/>
        <w:rPr>
          <w:rFonts w:hint="eastAsia" w:ascii="宋体"/>
          <w:color w:val="auto"/>
          <w:sz w:val="32"/>
          <w:szCs w:val="32"/>
          <w:highlight w:val="none"/>
        </w:rPr>
      </w:pPr>
    </w:p>
    <w:p w14:paraId="499AC569">
      <w:pPr>
        <w:spacing w:line="400" w:lineRule="exact"/>
        <w:jc w:val="center"/>
        <w:rPr>
          <w:rFonts w:hint="eastAsia" w:ascii="宋体"/>
          <w:color w:val="auto"/>
          <w:sz w:val="32"/>
          <w:szCs w:val="32"/>
          <w:highlight w:val="none"/>
        </w:rPr>
      </w:pPr>
    </w:p>
    <w:p w14:paraId="0D2A8B1F">
      <w:pPr>
        <w:pStyle w:val="47"/>
        <w:rPr>
          <w:rFonts w:hint="eastAsia"/>
          <w:color w:val="auto"/>
          <w:sz w:val="44"/>
          <w:szCs w:val="44"/>
          <w:highlight w:val="none"/>
        </w:rPr>
      </w:pPr>
      <w:bookmarkStart w:id="7" w:name="_Toc476436172"/>
      <w:bookmarkStart w:id="8" w:name="_Toc476436431"/>
      <w:r>
        <w:rPr>
          <w:rFonts w:hint="eastAsia"/>
          <w:color w:val="auto"/>
          <w:sz w:val="44"/>
          <w:szCs w:val="44"/>
          <w:highlight w:val="none"/>
        </w:rPr>
        <w:t>第一章  公开招标公告</w:t>
      </w:r>
      <w:bookmarkEnd w:id="7"/>
      <w:bookmarkEnd w:id="8"/>
    </w:p>
    <w:p w14:paraId="004C8998">
      <w:pPr>
        <w:rPr>
          <w:rFonts w:hint="eastAsia"/>
          <w:color w:val="auto"/>
          <w:highlight w:val="none"/>
        </w:rPr>
      </w:pPr>
    </w:p>
    <w:p w14:paraId="0F212B59">
      <w:pPr>
        <w:rPr>
          <w:rFonts w:hint="eastAsia"/>
          <w:color w:val="auto"/>
          <w:highlight w:val="none"/>
        </w:rPr>
      </w:pPr>
    </w:p>
    <w:p w14:paraId="179A1B0F">
      <w:pPr>
        <w:jc w:val="center"/>
        <w:rPr>
          <w:rFonts w:hint="eastAsia"/>
          <w:color w:val="auto"/>
          <w:highlight w:val="none"/>
        </w:rPr>
      </w:pPr>
      <w:r>
        <w:rPr>
          <w:color w:val="auto"/>
          <w:highlight w:val="none"/>
        </w:rPr>
        <w:br w:type="page"/>
      </w:r>
    </w:p>
    <w:p w14:paraId="3DD36114">
      <w:pPr>
        <w:jc w:val="center"/>
        <w:rPr>
          <w:rFonts w:hint="eastAsia" w:ascii="华文新魏" w:eastAsia="华文新魏"/>
          <w:color w:val="auto"/>
          <w:sz w:val="44"/>
          <w:szCs w:val="44"/>
          <w:highlight w:val="none"/>
        </w:rPr>
      </w:pPr>
      <w:r>
        <w:rPr>
          <w:rFonts w:hint="eastAsia" w:ascii="华文新魏" w:eastAsia="华文新魏"/>
          <w:color w:val="auto"/>
          <w:sz w:val="44"/>
          <w:szCs w:val="44"/>
          <w:highlight w:val="none"/>
        </w:rPr>
        <w:t>广西国力招标有限公司</w:t>
      </w:r>
    </w:p>
    <w:p w14:paraId="1488F70C">
      <w:pPr>
        <w:jc w:val="center"/>
        <w:rPr>
          <w:rFonts w:hint="eastAsia" w:ascii="华文新魏" w:eastAsia="华文新魏"/>
          <w:color w:val="auto"/>
          <w:sz w:val="44"/>
          <w:szCs w:val="44"/>
          <w:highlight w:val="none"/>
        </w:rPr>
      </w:pPr>
      <w:r>
        <w:rPr>
          <w:rFonts w:hint="eastAsia" w:ascii="华文新魏" w:eastAsia="华文新魏"/>
          <w:color w:val="auto"/>
          <w:sz w:val="44"/>
          <w:szCs w:val="44"/>
          <w:highlight w:val="none"/>
        </w:rPr>
        <w:t>公开招标公告</w:t>
      </w:r>
    </w:p>
    <w:p w14:paraId="68DA9834">
      <w:pPr>
        <w:rPr>
          <w:rFonts w:ascii="宋体" w:hAnsi="宋体"/>
          <w:color w:val="auto"/>
          <w:highlight w:val="none"/>
        </w:rPr>
      </w:pPr>
    </w:p>
    <w:p w14:paraId="71D4B130">
      <w:pPr>
        <w:pBdr>
          <w:top w:val="single" w:color="auto" w:sz="4" w:space="1"/>
          <w:left w:val="single" w:color="auto" w:sz="4" w:space="4"/>
          <w:bottom w:val="single" w:color="auto" w:sz="4" w:space="1"/>
          <w:right w:val="single" w:color="auto" w:sz="4" w:space="4"/>
        </w:pBdr>
        <w:spacing w:line="380" w:lineRule="exact"/>
        <w:rPr>
          <w:rFonts w:ascii="宋体" w:hAnsi="宋体"/>
          <w:color w:val="auto"/>
          <w:szCs w:val="21"/>
          <w:highlight w:val="none"/>
        </w:rPr>
      </w:pPr>
      <w:r>
        <w:rPr>
          <w:rFonts w:hint="eastAsia" w:ascii="宋体" w:hAnsi="宋体"/>
          <w:color w:val="auto"/>
          <w:szCs w:val="21"/>
          <w:highlight w:val="none"/>
        </w:rPr>
        <w:t>项目概况</w:t>
      </w:r>
    </w:p>
    <w:p w14:paraId="750D37E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广西博物馆陈列大楼沉浸式夜游光影项目</w:t>
      </w:r>
      <w:r>
        <w:rPr>
          <w:rFonts w:hint="eastAsia" w:ascii="宋体" w:hAnsi="宋体"/>
          <w:color w:val="auto"/>
          <w:szCs w:val="21"/>
          <w:highlight w:val="none"/>
        </w:rPr>
        <w:t>招标项目的潜在投标人应在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获取招标文件，并于</w:t>
      </w:r>
      <w:r>
        <w:rPr>
          <w:rFonts w:hint="eastAsia" w:ascii="宋体" w:hAnsi="宋体"/>
          <w:color w:val="auto"/>
          <w:szCs w:val="21"/>
          <w:highlight w:val="none"/>
          <w:u w:val="single"/>
          <w:lang w:eastAsia="zh-CN"/>
        </w:rPr>
        <w:t>2026</w:t>
      </w:r>
      <w:r>
        <w:rPr>
          <w:rFonts w:ascii="宋体" w:hAnsi="宋体"/>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27日9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北京时间）前递交投标</w:t>
      </w:r>
      <w:r>
        <w:rPr>
          <w:rFonts w:ascii="宋体" w:hAnsi="宋体"/>
          <w:bCs/>
          <w:color w:val="auto"/>
          <w:szCs w:val="21"/>
          <w:highlight w:val="none"/>
        </w:rPr>
        <w:t>文件</w:t>
      </w:r>
      <w:r>
        <w:rPr>
          <w:rFonts w:hint="eastAsia" w:ascii="宋体" w:hAnsi="宋体"/>
          <w:color w:val="auto"/>
          <w:szCs w:val="21"/>
          <w:highlight w:val="none"/>
        </w:rPr>
        <w:t>。</w:t>
      </w:r>
    </w:p>
    <w:p w14:paraId="37999C97">
      <w:pPr>
        <w:spacing w:line="380" w:lineRule="exact"/>
        <w:rPr>
          <w:rFonts w:ascii="宋体" w:hAnsi="宋体"/>
          <w:color w:val="auto"/>
          <w:szCs w:val="21"/>
          <w:highlight w:val="none"/>
        </w:rPr>
      </w:pPr>
    </w:p>
    <w:p w14:paraId="6FBF12FE">
      <w:pPr>
        <w:spacing w:line="380" w:lineRule="exact"/>
        <w:rPr>
          <w:rFonts w:ascii="宋体" w:hAnsi="宋体"/>
          <w:b/>
          <w:color w:val="auto"/>
          <w:highlight w:val="none"/>
        </w:rPr>
      </w:pPr>
      <w:bookmarkStart w:id="9" w:name="_Toc28359079"/>
      <w:bookmarkStart w:id="10" w:name="_Toc35393790"/>
      <w:bookmarkStart w:id="11" w:name="_Toc28359002"/>
      <w:bookmarkStart w:id="12" w:name="_Toc35393621"/>
      <w:bookmarkStart w:id="13" w:name="_Hlk24379207"/>
      <w:r>
        <w:rPr>
          <w:rFonts w:hint="eastAsia" w:ascii="宋体" w:hAnsi="宋体"/>
          <w:b/>
          <w:color w:val="auto"/>
          <w:highlight w:val="none"/>
        </w:rPr>
        <w:t>一、项目基本情况</w:t>
      </w:r>
      <w:bookmarkEnd w:id="9"/>
      <w:bookmarkEnd w:id="10"/>
      <w:bookmarkEnd w:id="11"/>
      <w:bookmarkEnd w:id="12"/>
    </w:p>
    <w:bookmarkEnd w:id="13"/>
    <w:p w14:paraId="2F308B48">
      <w:pPr>
        <w:widowControl/>
        <w:adjustRightInd w:val="0"/>
        <w:snapToGrid w:val="0"/>
        <w:spacing w:line="400" w:lineRule="exact"/>
        <w:jc w:val="left"/>
        <w:rPr>
          <w:rFonts w:hint="eastAsia" w:ascii="宋体" w:hAnsi="宋体" w:eastAsia="宋体" w:cs="宋体"/>
          <w:color w:val="auto"/>
          <w:kern w:val="0"/>
          <w:szCs w:val="21"/>
          <w:highlight w:val="none"/>
          <w:lang w:eastAsia="zh-CN"/>
        </w:rPr>
      </w:pPr>
      <w:bookmarkStart w:id="14" w:name="_Toc28359004"/>
      <w:bookmarkStart w:id="15" w:name="_Toc28359081"/>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GXZC2026-G3-000585-GLZB</w:t>
      </w:r>
    </w:p>
    <w:p w14:paraId="54504CCC">
      <w:pPr>
        <w:widowControl/>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eastAsia="zh-CN"/>
        </w:rPr>
        <w:t>广西博物馆陈列大楼沉浸式夜游光影项目</w:t>
      </w:r>
    </w:p>
    <w:p w14:paraId="7ABBA782">
      <w:pPr>
        <w:widowControl/>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eastAsia="zh-CN"/>
        </w:rPr>
        <w:t>5,920,000.00</w:t>
      </w:r>
    </w:p>
    <w:p w14:paraId="641E907B">
      <w:pPr>
        <w:widowControl/>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03C9B539">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1项</w:t>
      </w:r>
    </w:p>
    <w:p w14:paraId="38552013">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预算金额（元）：</w:t>
      </w:r>
      <w:r>
        <w:rPr>
          <w:rFonts w:hint="eastAsia" w:ascii="宋体" w:hAnsi="宋体"/>
          <w:color w:val="auto"/>
          <w:highlight w:val="none"/>
          <w:lang w:eastAsia="zh-CN"/>
        </w:rPr>
        <w:t>5,920,000.00</w:t>
      </w:r>
    </w:p>
    <w:p w14:paraId="407E7EB1">
      <w:pP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s="宋体"/>
          <w:bCs/>
          <w:color w:val="auto"/>
          <w:kern w:val="0"/>
          <w:szCs w:val="21"/>
          <w:highlight w:val="none"/>
          <w:lang w:eastAsia="zh-CN"/>
        </w:rPr>
        <w:t>广西博物馆陈列大楼沉浸式夜游光影项目</w:t>
      </w:r>
      <w:r>
        <w:rPr>
          <w:rFonts w:hint="eastAsia" w:ascii="宋体" w:hAnsi="宋体" w:eastAsia="宋体" w:cs="宋体"/>
          <w:bCs/>
          <w:color w:val="auto"/>
          <w:kern w:val="0"/>
          <w:szCs w:val="21"/>
          <w:highlight w:val="none"/>
          <w:lang w:val="en-US" w:eastAsia="zh-CN"/>
        </w:rPr>
        <w:t>1项</w:t>
      </w:r>
      <w:r>
        <w:rPr>
          <w:rFonts w:hint="eastAsia"/>
          <w:bCs/>
          <w:color w:val="auto"/>
          <w:kern w:val="0"/>
          <w:szCs w:val="21"/>
          <w:highlight w:val="none"/>
        </w:rPr>
        <w:t>。</w:t>
      </w:r>
      <w:r>
        <w:rPr>
          <w:rFonts w:hint="eastAsia" w:ascii="宋体" w:cs="Arial"/>
          <w:color w:val="auto"/>
          <w:szCs w:val="21"/>
          <w:highlight w:val="none"/>
        </w:rPr>
        <w:t>如需进一步了解详细内容，详见招标文件。</w:t>
      </w:r>
    </w:p>
    <w:p w14:paraId="69FDC1DE">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最高限价（</w:t>
      </w:r>
      <w:r>
        <w:rPr>
          <w:rFonts w:hint="eastAsia" w:ascii="宋体" w:hAnsi="宋体"/>
          <w:color w:val="auto"/>
          <w:highlight w:val="none"/>
          <w:lang w:val="en-US" w:eastAsia="zh-CN"/>
        </w:rPr>
        <w:t>有</w:t>
      </w:r>
      <w:r>
        <w:rPr>
          <w:rFonts w:hint="eastAsia" w:ascii="宋体" w:hAnsi="宋体"/>
          <w:color w:val="auto"/>
          <w:highlight w:val="none"/>
        </w:rPr>
        <w:t>）：</w:t>
      </w:r>
      <w:r>
        <w:rPr>
          <w:rFonts w:hint="eastAsia" w:ascii="宋体" w:hAnsi="宋体"/>
          <w:color w:val="auto"/>
          <w:highlight w:val="none"/>
          <w:lang w:eastAsia="zh-CN"/>
        </w:rPr>
        <w:t>5,920,000.00</w:t>
      </w:r>
      <w:r>
        <w:rPr>
          <w:rFonts w:hint="eastAsia" w:ascii="宋体" w:hAnsi="宋体"/>
          <w:color w:val="auto"/>
          <w:highlight w:val="none"/>
          <w:lang w:val="en-US" w:eastAsia="zh-CN"/>
        </w:rPr>
        <w:t>元</w:t>
      </w:r>
    </w:p>
    <w:p w14:paraId="111B3CAF">
      <w:pP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合同履约期限：</w:t>
      </w:r>
      <w:r>
        <w:rPr>
          <w:rFonts w:hint="eastAsia" w:ascii="宋体" w:hAnsi="宋体"/>
          <w:color w:val="auto"/>
          <w:highlight w:val="none"/>
          <w:lang w:val="en-US" w:eastAsia="zh-CN"/>
        </w:rPr>
        <w:t>详见招标项目采购需求。</w:t>
      </w:r>
    </w:p>
    <w:p w14:paraId="198042B4">
      <w:pP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13952ABD">
      <w:pPr>
        <w:spacing w:line="380" w:lineRule="exact"/>
        <w:ind w:firstLine="420" w:firstLineChars="200"/>
        <w:rPr>
          <w:rFonts w:hint="eastAsia"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38BF4725">
      <w:pPr>
        <w:spacing w:line="380" w:lineRule="exact"/>
        <w:rPr>
          <w:rFonts w:ascii="宋体" w:hAnsi="宋体"/>
          <w:b/>
          <w:color w:val="auto"/>
          <w:highlight w:val="none"/>
        </w:rPr>
      </w:pPr>
      <w:bookmarkStart w:id="16" w:name="_Toc28359003"/>
      <w:bookmarkStart w:id="17" w:name="_Toc28359080"/>
      <w:bookmarkStart w:id="18" w:name="_Toc35393622"/>
      <w:bookmarkStart w:id="19" w:name="_Toc35393791"/>
      <w:r>
        <w:rPr>
          <w:rFonts w:hint="eastAsia" w:ascii="宋体" w:hAnsi="宋体"/>
          <w:b/>
          <w:color w:val="auto"/>
          <w:highlight w:val="none"/>
        </w:rPr>
        <w:t>二、申请人的资格要求：</w:t>
      </w:r>
      <w:bookmarkEnd w:id="16"/>
      <w:bookmarkEnd w:id="17"/>
      <w:bookmarkEnd w:id="18"/>
      <w:bookmarkEnd w:id="19"/>
    </w:p>
    <w:p w14:paraId="7656DCCD">
      <w:pP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485BD690">
      <w:pPr>
        <w:spacing w:line="38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.落实政府采购政策需满足的资格要求：</w:t>
      </w:r>
      <w:r>
        <w:rPr>
          <w:rFonts w:hint="eastAsia"/>
          <w:color w:val="auto"/>
          <w:highlight w:val="none"/>
          <w:lang w:eastAsia="zh-CN"/>
        </w:rPr>
        <w:t>本项目</w:t>
      </w:r>
      <w:r>
        <w:rPr>
          <w:rFonts w:hint="eastAsia"/>
          <w:color w:val="auto"/>
          <w:highlight w:val="none"/>
        </w:rPr>
        <w:t>属于专门面向中小企业采购的项目</w:t>
      </w:r>
      <w:r>
        <w:rPr>
          <w:rFonts w:hint="eastAsia"/>
          <w:color w:val="auto"/>
          <w:highlight w:val="none"/>
          <w:lang w:eastAsia="zh-CN"/>
        </w:rPr>
        <w:t>，</w:t>
      </w:r>
      <w:r>
        <w:rPr>
          <w:rFonts w:hint="eastAsia"/>
          <w:color w:val="auto"/>
          <w:highlight w:val="none"/>
        </w:rPr>
        <w:t>供应商</w:t>
      </w:r>
      <w:r>
        <w:rPr>
          <w:rFonts w:hint="eastAsia"/>
          <w:color w:val="auto"/>
          <w:highlight w:val="none"/>
          <w:lang w:eastAsia="zh-CN"/>
        </w:rPr>
        <w:t>须</w:t>
      </w:r>
      <w:r>
        <w:rPr>
          <w:rFonts w:hint="eastAsia"/>
          <w:color w:val="auto"/>
          <w:highlight w:val="none"/>
        </w:rPr>
        <w:t>为中小企业</w:t>
      </w:r>
      <w:r>
        <w:rPr>
          <w:rFonts w:hint="eastAsia"/>
          <w:color w:val="auto"/>
          <w:highlight w:val="none"/>
          <w:lang w:eastAsia="zh-CN"/>
        </w:rPr>
        <w:t>（</w:t>
      </w:r>
      <w:r>
        <w:rPr>
          <w:rFonts w:hint="eastAsia"/>
          <w:color w:val="auto"/>
          <w:highlight w:val="none"/>
        </w:rPr>
        <w:t>监狱企业、残疾人福利性单位视同小型、微型企业</w:t>
      </w:r>
      <w:r>
        <w:rPr>
          <w:rFonts w:hint="eastAsia"/>
          <w:color w:val="auto"/>
          <w:highlight w:val="none"/>
          <w:lang w:eastAsia="zh-CN"/>
        </w:rPr>
        <w:t>）</w:t>
      </w:r>
      <w:r>
        <w:rPr>
          <w:rFonts w:hint="eastAsia" w:ascii="宋体" w:hAnsi="宋体"/>
          <w:color w:val="auto"/>
          <w:highlight w:val="none"/>
        </w:rPr>
        <w:t>；</w:t>
      </w:r>
    </w:p>
    <w:p w14:paraId="52E17A95">
      <w:pP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color w:val="auto"/>
          <w:highlight w:val="none"/>
        </w:rPr>
        <w:t>。</w:t>
      </w:r>
    </w:p>
    <w:p w14:paraId="79BD642F">
      <w:pPr>
        <w:spacing w:line="380" w:lineRule="exact"/>
        <w:rPr>
          <w:rFonts w:ascii="宋体" w:hAnsi="宋体"/>
          <w:b/>
          <w:color w:val="auto"/>
          <w:highlight w:val="none"/>
        </w:rPr>
      </w:pPr>
      <w:bookmarkStart w:id="20" w:name="_Toc35393623"/>
      <w:bookmarkStart w:id="21" w:name="_Toc35393792"/>
      <w:r>
        <w:rPr>
          <w:rFonts w:hint="eastAsia" w:ascii="宋体" w:hAnsi="宋体"/>
          <w:b/>
          <w:color w:val="auto"/>
          <w:highlight w:val="none"/>
        </w:rPr>
        <w:t>三、获取招标文件</w:t>
      </w:r>
      <w:bookmarkEnd w:id="14"/>
      <w:bookmarkEnd w:id="15"/>
      <w:bookmarkEnd w:id="20"/>
      <w:bookmarkEnd w:id="21"/>
    </w:p>
    <w:p w14:paraId="510F1D7B">
      <w:pP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3</w:t>
      </w:r>
      <w:r>
        <w:rPr>
          <w:rFonts w:hint="eastAsia" w:ascii="宋体" w:hAnsi="宋体"/>
          <w:color w:val="auto"/>
          <w:highlight w:val="none"/>
          <w:u w:val="none"/>
        </w:rPr>
        <w:t>月</w:t>
      </w:r>
      <w:r>
        <w:rPr>
          <w:rFonts w:hint="eastAsia" w:ascii="宋体" w:hAnsi="宋体"/>
          <w:color w:val="auto"/>
          <w:highlight w:val="none"/>
          <w:u w:val="none"/>
          <w:lang w:val="en-US" w:eastAsia="zh-CN"/>
        </w:rPr>
        <w:t>31</w:t>
      </w:r>
      <w:r>
        <w:rPr>
          <w:rFonts w:hint="eastAsia" w:ascii="宋体" w:hAnsi="宋体"/>
          <w:color w:val="auto"/>
          <w:highlight w:val="none"/>
          <w:u w:val="none"/>
        </w:rPr>
        <w:t>日至</w:t>
      </w:r>
      <w:r>
        <w:rPr>
          <w:rFonts w:hint="eastAsia" w:ascii="宋体" w:hAnsi="宋体"/>
          <w:color w:val="auto"/>
          <w:highlight w:val="none"/>
          <w:u w:val="none"/>
          <w:lang w:eastAsia="zh-CN"/>
        </w:rPr>
        <w:t>2026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8</w:t>
      </w:r>
      <w:r>
        <w:rPr>
          <w:rFonts w:hint="eastAsia" w:ascii="宋体" w:hAnsi="宋体"/>
          <w:color w:val="auto"/>
          <w:highlight w:val="none"/>
          <w:u w:val="none"/>
        </w:rPr>
        <w:t>日，每天上午8时30分至11时59分，下午12时00分至18时00分（北京时间，</w:t>
      </w:r>
      <w:r>
        <w:rPr>
          <w:rFonts w:ascii="宋体" w:hAnsi="宋体"/>
          <w:color w:val="auto"/>
          <w:highlight w:val="none"/>
          <w:u w:val="none"/>
        </w:rPr>
        <w:t>法定节假日</w:t>
      </w:r>
      <w:r>
        <w:rPr>
          <w:rFonts w:hint="eastAsia" w:ascii="宋体" w:hAnsi="宋体"/>
          <w:color w:val="auto"/>
          <w:highlight w:val="none"/>
          <w:u w:val="none"/>
        </w:rPr>
        <w:t>除外）</w:t>
      </w:r>
    </w:p>
    <w:p w14:paraId="214B14F4">
      <w:pPr>
        <w:spacing w:line="380" w:lineRule="exact"/>
        <w:ind w:firstLine="420" w:firstLineChars="200"/>
        <w:rPr>
          <w:rFonts w:hint="eastAsia" w:ascii="宋体" w:hAnsi="宋体"/>
          <w:color w:val="auto"/>
          <w:highlight w:val="none"/>
        </w:rPr>
      </w:pPr>
      <w:r>
        <w:rPr>
          <w:rFonts w:hint="eastAsia" w:ascii="宋体" w:hAnsi="宋体"/>
          <w:color w:val="auto"/>
          <w:highlight w:val="none"/>
        </w:rPr>
        <w:t>地点（网址）：广西政府采购云平台（https://www.gcy.zfcg.gxzf.gov.cn/）</w:t>
      </w:r>
    </w:p>
    <w:p w14:paraId="626B1199">
      <w:pP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6F3D382E">
      <w:pPr>
        <w:spacing w:line="380" w:lineRule="exact"/>
        <w:ind w:firstLine="420" w:firstLineChars="200"/>
        <w:rPr>
          <w:rFonts w:hint="eastAsia"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0D8FE9C4">
      <w:pPr>
        <w:spacing w:line="380" w:lineRule="exact"/>
        <w:rPr>
          <w:rFonts w:ascii="宋体" w:hAnsi="宋体"/>
          <w:b/>
          <w:color w:val="auto"/>
          <w:highlight w:val="none"/>
        </w:rPr>
      </w:pPr>
      <w:bookmarkStart w:id="22" w:name="_Toc28359082"/>
      <w:bookmarkStart w:id="23" w:name="_Toc28359005"/>
      <w:bookmarkStart w:id="24" w:name="_Toc35393793"/>
      <w:bookmarkStart w:id="25" w:name="_Toc35393624"/>
      <w:r>
        <w:rPr>
          <w:rFonts w:hint="eastAsia" w:ascii="宋体" w:hAnsi="宋体"/>
          <w:b/>
          <w:color w:val="auto"/>
          <w:highlight w:val="none"/>
        </w:rPr>
        <w:t>四、提交投标文件</w:t>
      </w:r>
      <w:bookmarkEnd w:id="22"/>
      <w:bookmarkEnd w:id="23"/>
      <w:r>
        <w:rPr>
          <w:rFonts w:hint="eastAsia" w:ascii="宋体" w:hAnsi="宋体"/>
          <w:b/>
          <w:color w:val="auto"/>
          <w:highlight w:val="none"/>
        </w:rPr>
        <w:t>截止时间、开标时间和地点</w:t>
      </w:r>
      <w:bookmarkEnd w:id="24"/>
      <w:bookmarkEnd w:id="25"/>
    </w:p>
    <w:p w14:paraId="5187CAF3">
      <w:pPr>
        <w:spacing w:line="380" w:lineRule="exact"/>
        <w:ind w:firstLine="420" w:firstLineChars="200"/>
        <w:rPr>
          <w:rFonts w:hint="eastAsia" w:ascii="宋体" w:hAnsi="宋体"/>
          <w:bCs/>
          <w:color w:val="auto"/>
          <w:highlight w:val="none"/>
        </w:rPr>
      </w:pPr>
      <w:r>
        <w:rPr>
          <w:rFonts w:hint="eastAsia" w:ascii="宋体" w:hAnsi="宋体"/>
          <w:bCs/>
          <w:color w:val="auto"/>
          <w:highlight w:val="none"/>
        </w:rPr>
        <w:t>提交投标文件截止时间：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27日</w:t>
      </w:r>
      <w:r>
        <w:rPr>
          <w:rFonts w:hint="eastAsia" w:ascii="宋体" w:hAnsi="宋体"/>
          <w:bCs/>
          <w:color w:val="auto"/>
          <w:highlight w:val="none"/>
        </w:rPr>
        <w:t xml:space="preserve"> 09:30（北京时间）</w:t>
      </w:r>
    </w:p>
    <w:p w14:paraId="38660805">
      <w:pPr>
        <w:spacing w:line="380" w:lineRule="exact"/>
        <w:ind w:firstLine="420" w:firstLineChars="200"/>
        <w:rPr>
          <w:rFonts w:hint="eastAsia" w:ascii="宋体" w:hAnsi="宋体"/>
          <w:bCs/>
          <w:color w:val="auto"/>
          <w:highlight w:val="none"/>
        </w:rPr>
      </w:pPr>
      <w:r>
        <w:rPr>
          <w:rFonts w:hint="eastAsia" w:ascii="宋体" w:hAnsi="宋体"/>
          <w:bCs/>
          <w:color w:val="auto"/>
          <w:highlight w:val="none"/>
        </w:rPr>
        <w:t>投标地点（网址）：广西政府采购云平台（https://www.gcy.zfcg.gxzf.gov.cn/）（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r>
        <w:rPr>
          <w:rFonts w:hint="eastAsia" w:ascii="宋体" w:hAnsi="宋体"/>
          <w:bCs/>
          <w:color w:val="auto"/>
          <w:highlight w:val="none"/>
        </w:rPr>
        <w:t>）</w:t>
      </w:r>
    </w:p>
    <w:p w14:paraId="70B96847">
      <w:pPr>
        <w:spacing w:line="380" w:lineRule="exact"/>
        <w:ind w:firstLine="420" w:firstLineChars="200"/>
        <w:rPr>
          <w:rFonts w:hint="eastAsia" w:ascii="宋体" w:hAnsi="宋体"/>
          <w:bCs/>
          <w:color w:val="auto"/>
          <w:highlight w:val="none"/>
        </w:rPr>
      </w:pPr>
      <w:r>
        <w:rPr>
          <w:rFonts w:hint="eastAsia" w:ascii="宋体" w:hAnsi="宋体"/>
          <w:bCs/>
          <w:color w:val="auto"/>
          <w:highlight w:val="none"/>
        </w:rPr>
        <w:t>开标时间：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27日</w:t>
      </w:r>
      <w:bookmarkStart w:id="96" w:name="_GoBack"/>
      <w:bookmarkEnd w:id="96"/>
      <w:r>
        <w:rPr>
          <w:rFonts w:hint="eastAsia" w:ascii="宋体" w:hAnsi="宋体"/>
          <w:bCs/>
          <w:color w:val="auto"/>
          <w:highlight w:val="none"/>
        </w:rPr>
        <w:t xml:space="preserve"> 09:30（北京时间）</w:t>
      </w:r>
    </w:p>
    <w:p w14:paraId="1323D8F1">
      <w:pPr>
        <w:spacing w:line="380" w:lineRule="exact"/>
        <w:ind w:firstLine="420" w:firstLineChars="200"/>
        <w:rPr>
          <w:rFonts w:hint="eastAsia" w:ascii="宋体" w:hAnsi="宋体"/>
          <w:color w:val="auto"/>
          <w:highlight w:val="none"/>
        </w:rPr>
      </w:pPr>
      <w:r>
        <w:rPr>
          <w:rFonts w:hint="eastAsia" w:ascii="宋体" w:hAnsi="宋体"/>
          <w:bCs/>
          <w:color w:val="auto"/>
          <w:highlight w:val="none"/>
        </w:rPr>
        <w:t>开标地点：广西政府采购云平台电子开标大厅</w:t>
      </w:r>
    </w:p>
    <w:p w14:paraId="7155F109">
      <w:pPr>
        <w:spacing w:line="380" w:lineRule="exact"/>
        <w:rPr>
          <w:rFonts w:ascii="宋体" w:hAnsi="宋体"/>
          <w:b/>
          <w:color w:val="auto"/>
          <w:highlight w:val="none"/>
        </w:rPr>
      </w:pPr>
      <w:bookmarkStart w:id="26" w:name="_Toc28359084"/>
      <w:bookmarkStart w:id="27" w:name="_Toc35393625"/>
      <w:bookmarkStart w:id="28" w:name="_Toc35393794"/>
      <w:bookmarkStart w:id="29" w:name="_Toc28359007"/>
      <w:r>
        <w:rPr>
          <w:rFonts w:hint="eastAsia" w:ascii="宋体" w:hAnsi="宋体"/>
          <w:b/>
          <w:color w:val="auto"/>
          <w:highlight w:val="none"/>
        </w:rPr>
        <w:t>五、公告期限</w:t>
      </w:r>
      <w:bookmarkEnd w:id="26"/>
      <w:bookmarkEnd w:id="27"/>
      <w:bookmarkEnd w:id="28"/>
      <w:bookmarkEnd w:id="29"/>
    </w:p>
    <w:p w14:paraId="47A1D247">
      <w:pP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05CAE569">
      <w:pPr>
        <w:spacing w:line="380" w:lineRule="exact"/>
        <w:rPr>
          <w:rFonts w:ascii="宋体" w:hAnsi="宋体"/>
          <w:b/>
          <w:color w:val="auto"/>
          <w:highlight w:val="none"/>
        </w:rPr>
      </w:pPr>
      <w:bookmarkStart w:id="30" w:name="_Toc35393626"/>
      <w:bookmarkStart w:id="31" w:name="_Toc35393795"/>
      <w:r>
        <w:rPr>
          <w:rFonts w:hint="eastAsia" w:ascii="宋体" w:hAnsi="宋体"/>
          <w:b/>
          <w:color w:val="auto"/>
          <w:highlight w:val="none"/>
        </w:rPr>
        <w:t>六、其他补充事宜</w:t>
      </w:r>
      <w:bookmarkEnd w:id="30"/>
      <w:bookmarkEnd w:id="31"/>
    </w:p>
    <w:p w14:paraId="7166CA64">
      <w:pPr>
        <w:spacing w:line="380" w:lineRule="exact"/>
        <w:ind w:firstLine="420" w:firstLineChars="200"/>
        <w:rPr>
          <w:rFonts w:hint="default" w:ascii="宋体" w:hAnsi="宋体"/>
          <w:color w:val="auto"/>
          <w:highlight w:val="none"/>
          <w:lang w:val="en-US"/>
        </w:rPr>
      </w:pPr>
      <w:r>
        <w:rPr>
          <w:rFonts w:hint="eastAsia" w:ascii="宋体" w:hAnsi="宋体"/>
          <w:color w:val="auto"/>
          <w:highlight w:val="none"/>
        </w:rPr>
        <w:t>1.</w:t>
      </w:r>
      <w:r>
        <w:rPr>
          <w:rFonts w:hint="eastAsia" w:ascii="宋体" w:hAnsi="宋体"/>
          <w:bCs/>
          <w:color w:val="auto"/>
          <w:highlight w:val="none"/>
        </w:rPr>
        <w:t>投标保证金</w:t>
      </w:r>
      <w:r>
        <w:rPr>
          <w:rFonts w:hint="eastAsia" w:ascii="宋体" w:hAnsi="宋体"/>
          <w:color w:val="auto"/>
          <w:highlight w:val="none"/>
        </w:rPr>
        <w:t>（人民币）：</w:t>
      </w:r>
      <w:r>
        <w:rPr>
          <w:rFonts w:hint="eastAsia" w:ascii="宋体" w:hAnsi="宋体"/>
          <w:color w:val="auto"/>
          <w:highlight w:val="none"/>
          <w:lang w:val="en-US" w:eastAsia="zh-CN"/>
        </w:rPr>
        <w:t>本项目不收取投标保证金。</w:t>
      </w:r>
    </w:p>
    <w:p w14:paraId="25C67C3C">
      <w:pPr>
        <w:spacing w:line="380" w:lineRule="exact"/>
        <w:ind w:firstLine="420" w:firstLineChars="200"/>
        <w:rPr>
          <w:rFonts w:hint="eastAsia" w:ascii="宋体" w:hAnsi="宋体"/>
          <w:color w:val="auto"/>
          <w:highlight w:val="none"/>
        </w:rPr>
      </w:pPr>
      <w:r>
        <w:rPr>
          <w:rFonts w:hint="eastAsia" w:ascii="宋体" w:hAnsi="宋体"/>
          <w:color w:val="auto"/>
          <w:highlight w:val="none"/>
        </w:rPr>
        <w:t>2.本项目需要落实的政府采购政策</w:t>
      </w:r>
    </w:p>
    <w:p w14:paraId="6492ECFF">
      <w:pPr>
        <w:spacing w:line="380" w:lineRule="exact"/>
        <w:ind w:firstLine="420" w:firstLineChars="200"/>
        <w:rPr>
          <w:rFonts w:hint="eastAsia" w:ascii="宋体" w:hAnsi="宋体"/>
          <w:color w:val="auto"/>
          <w:highlight w:val="none"/>
        </w:rPr>
      </w:pPr>
      <w:r>
        <w:rPr>
          <w:rFonts w:hint="eastAsia" w:ascii="宋体" w:hAnsi="宋体"/>
          <w:color w:val="auto"/>
          <w:highlight w:val="none"/>
        </w:rPr>
        <w:t>政府采购促进中小企业发展；政府采购支持采用本国产品的政策；政府采购促进残疾人就业政策；政府采购支持监狱企业发展等。</w:t>
      </w:r>
    </w:p>
    <w:p w14:paraId="66E031B1">
      <w:pPr>
        <w:spacing w:line="380" w:lineRule="exact"/>
        <w:ind w:firstLine="420" w:firstLineChars="200"/>
        <w:rPr>
          <w:rFonts w:hint="eastAsia" w:ascii="宋体" w:hAnsi="宋体"/>
          <w:color w:val="auto"/>
          <w:highlight w:val="none"/>
        </w:rPr>
      </w:pPr>
      <w:r>
        <w:rPr>
          <w:rFonts w:hint="eastAsia" w:ascii="宋体" w:hAnsi="宋体"/>
          <w:color w:val="auto"/>
          <w:highlight w:val="none"/>
        </w:rPr>
        <w:t>3.网上公告媒体查询</w:t>
      </w:r>
    </w:p>
    <w:p w14:paraId="3A33ED70">
      <w:pPr>
        <w:spacing w:line="380" w:lineRule="exact"/>
        <w:ind w:firstLine="420" w:firstLineChars="200"/>
        <w:rPr>
          <w:rFonts w:hint="eastAsia" w:ascii="宋体" w:hAnsi="宋体"/>
          <w:color w:val="auto"/>
          <w:highlight w:val="none"/>
        </w:rPr>
      </w:pPr>
      <w:r>
        <w:rPr>
          <w:rFonts w:hint="eastAsia" w:ascii="宋体" w:hAnsi="宋体"/>
          <w:color w:val="auto"/>
          <w:highlight w:val="none"/>
        </w:rPr>
        <w:t>中国政府采购网（www.ccgp.gov.cn）、广西壮族自治区政府采购网（zfcg.gxzf.gov.cn）、广西壮族自治区公共资源交易中心网（gxggzy.gxzf.gov.cn）。</w:t>
      </w:r>
    </w:p>
    <w:p w14:paraId="1B605132">
      <w:pPr>
        <w:spacing w:line="380" w:lineRule="exact"/>
        <w:ind w:firstLine="420" w:firstLineChars="200"/>
        <w:rPr>
          <w:rFonts w:hint="eastAsia" w:ascii="宋体" w:hAnsi="宋体"/>
          <w:color w:val="auto"/>
          <w:highlight w:val="none"/>
        </w:rPr>
      </w:pPr>
      <w:r>
        <w:rPr>
          <w:rFonts w:hint="eastAsia" w:ascii="宋体" w:hAnsi="宋体"/>
          <w:color w:val="auto"/>
          <w:highlight w:val="none"/>
        </w:rPr>
        <w:t>4.其他注意事项</w:t>
      </w:r>
    </w:p>
    <w:p w14:paraId="21EAC7F3">
      <w:pPr>
        <w:spacing w:line="380" w:lineRule="exact"/>
        <w:ind w:firstLine="420" w:firstLineChars="200"/>
        <w:rPr>
          <w:rFonts w:hint="eastAsia" w:ascii="宋体" w:hAnsi="宋体"/>
          <w:color w:val="auto"/>
          <w:highlight w:val="none"/>
        </w:rPr>
      </w:pPr>
      <w:r>
        <w:rPr>
          <w:rFonts w:hint="eastAsia" w:ascii="宋体" w:hAnsi="宋体"/>
          <w:color w:val="auto"/>
          <w:highlight w:val="none"/>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w:t>
      </w:r>
      <w:r>
        <w:rPr>
          <w:rFonts w:ascii="宋体" w:hAnsi="宋体"/>
          <w:color w:val="auto"/>
          <w:highlight w:val="none"/>
        </w:rPr>
        <w:t>95763</w:t>
      </w:r>
      <w:r>
        <w:rPr>
          <w:rFonts w:hint="eastAsia" w:ascii="宋体" w:hAnsi="宋体"/>
          <w:color w:val="auto"/>
          <w:highlight w:val="none"/>
        </w:rPr>
        <w:t xml:space="preserve">。 </w:t>
      </w:r>
    </w:p>
    <w:p w14:paraId="5E8747CE">
      <w:pP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（2）供应商应及时熟悉掌握电子标系统操作指南（见广西政府采购云平台电子卖场首页右上角—服务中心—帮助中心—项目采购）。 </w:t>
      </w:r>
    </w:p>
    <w:p w14:paraId="6875A486">
      <w:pP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（3）供应商应及时完成CA申领和绑定（见广西壮族自治区政府采购网—办事服务—下载专区-政采云CA证书办理操作指南） </w:t>
      </w:r>
    </w:p>
    <w:p w14:paraId="4003EBC9">
      <w:pP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 </w:t>
      </w:r>
    </w:p>
    <w:p w14:paraId="75B2080C">
      <w:pPr>
        <w:spacing w:line="380" w:lineRule="exact"/>
        <w:ind w:firstLine="420" w:firstLineChars="200"/>
        <w:rPr>
          <w:rFonts w:hint="eastAsia" w:ascii="宋体" w:hAnsi="宋体"/>
          <w:color w:val="auto"/>
          <w:highlight w:val="none"/>
        </w:rPr>
      </w:pPr>
      <w:r>
        <w:rPr>
          <w:rFonts w:hint="eastAsia" w:ascii="宋体" w:hAnsi="宋体"/>
          <w:color w:val="auto"/>
          <w:highlight w:val="none"/>
        </w:rPr>
        <w:t xml:space="preserve">（5）因未注册入库、未办理CA数字证书、CA证书故障、操作不当等原因造成无法投标或投标失败等后果由供应商自行承担。 </w:t>
      </w:r>
    </w:p>
    <w:p w14:paraId="57E16930">
      <w:pPr>
        <w:spacing w:line="380" w:lineRule="exact"/>
        <w:ind w:firstLine="420" w:firstLineChars="200"/>
        <w:rPr>
          <w:rFonts w:ascii="宋体" w:hAnsi="宋体"/>
          <w:color w:val="auto"/>
          <w:highlight w:val="none"/>
        </w:rPr>
      </w:pPr>
      <w:r>
        <w:rPr>
          <w:rFonts w:hint="eastAsia" w:ascii="宋体" w:hAnsi="宋体"/>
          <w:color w:val="auto"/>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0FABC206">
      <w:pPr>
        <w:spacing w:line="380" w:lineRule="exact"/>
        <w:rPr>
          <w:rFonts w:ascii="宋体" w:hAnsi="宋体"/>
          <w:b/>
          <w:color w:val="auto"/>
          <w:highlight w:val="none"/>
        </w:rPr>
      </w:pPr>
      <w:bookmarkStart w:id="32" w:name="_Toc28359085"/>
      <w:bookmarkStart w:id="33" w:name="_Toc28359008"/>
      <w:bookmarkStart w:id="34" w:name="_Toc35393796"/>
      <w:bookmarkStart w:id="35" w:name="_Toc35393627"/>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32"/>
      <w:bookmarkEnd w:id="33"/>
      <w:bookmarkEnd w:id="34"/>
      <w:bookmarkEnd w:id="35"/>
    </w:p>
    <w:p w14:paraId="04650A1F">
      <w:pPr>
        <w:spacing w:line="380" w:lineRule="exact"/>
        <w:ind w:firstLine="420" w:firstLineChars="200"/>
        <w:rPr>
          <w:rFonts w:hint="eastAsia" w:ascii="宋体" w:hAnsi="宋体"/>
          <w:color w:val="auto"/>
          <w:highlight w:val="none"/>
        </w:rPr>
      </w:pPr>
      <w:r>
        <w:rPr>
          <w:rFonts w:hint="eastAsia" w:ascii="宋体" w:hAnsi="宋体"/>
          <w:color w:val="auto"/>
          <w:highlight w:val="none"/>
        </w:rPr>
        <w:t>1.采购人信息</w:t>
      </w:r>
    </w:p>
    <w:p w14:paraId="2D015DBE">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广西壮族自治区博物馆</w:t>
      </w:r>
    </w:p>
    <w:p w14:paraId="3660B8BF">
      <w:pPr>
        <w:spacing w:line="380" w:lineRule="exact"/>
        <w:ind w:firstLine="420" w:firstLineChars="200"/>
        <w:rPr>
          <w:rFonts w:hint="eastAsia" w:ascii="宋体" w:hAnsi="宋体"/>
          <w:color w:val="auto"/>
          <w:highlight w:val="none"/>
        </w:rPr>
      </w:pPr>
      <w:r>
        <w:rPr>
          <w:rFonts w:hint="eastAsia" w:ascii="宋体" w:hAnsi="宋体"/>
          <w:color w:val="auto"/>
          <w:highlight w:val="none"/>
        </w:rPr>
        <w:t>地    址：南宁市青秀区民族大道34号</w:t>
      </w:r>
    </w:p>
    <w:p w14:paraId="3154EA70">
      <w:pPr>
        <w:spacing w:line="380" w:lineRule="exact"/>
        <w:ind w:firstLine="420" w:firstLineChars="200"/>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李老师</w:t>
      </w:r>
    </w:p>
    <w:p w14:paraId="21B45455">
      <w:pPr>
        <w:spacing w:line="380" w:lineRule="exact"/>
        <w:ind w:firstLine="420" w:firstLineChars="200"/>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项目联系方式：</w:t>
      </w:r>
      <w:r>
        <w:rPr>
          <w:rFonts w:hint="eastAsia" w:ascii="宋体" w:hAnsi="宋体" w:cs="宋体"/>
          <w:color w:val="auto"/>
          <w:kern w:val="0"/>
          <w:szCs w:val="21"/>
          <w:highlight w:val="none"/>
          <w:lang w:val="en-US" w:eastAsia="zh-CN"/>
        </w:rPr>
        <w:t>0771-2707056</w:t>
      </w:r>
    </w:p>
    <w:p w14:paraId="77B7EEF6">
      <w:pPr>
        <w:spacing w:line="380" w:lineRule="exact"/>
        <w:ind w:firstLine="420" w:firstLineChars="200"/>
        <w:rPr>
          <w:rFonts w:hint="eastAsia" w:ascii="宋体" w:hAnsi="宋体"/>
          <w:color w:val="auto"/>
          <w:highlight w:val="none"/>
        </w:rPr>
      </w:pPr>
    </w:p>
    <w:p w14:paraId="6A18DA89">
      <w:pPr>
        <w:spacing w:line="380" w:lineRule="exact"/>
        <w:ind w:firstLine="420" w:firstLineChars="200"/>
        <w:rPr>
          <w:rFonts w:hint="eastAsia" w:ascii="宋体" w:hAnsi="宋体"/>
          <w:color w:val="auto"/>
          <w:highlight w:val="none"/>
        </w:rPr>
      </w:pPr>
      <w:r>
        <w:rPr>
          <w:rFonts w:hint="eastAsia" w:ascii="宋体" w:hAnsi="宋体"/>
          <w:color w:val="auto"/>
          <w:highlight w:val="none"/>
        </w:rPr>
        <w:t>2.采购代理机构信息</w:t>
      </w:r>
    </w:p>
    <w:p w14:paraId="6582381C">
      <w:pPr>
        <w:spacing w:line="380" w:lineRule="exact"/>
        <w:ind w:firstLine="420" w:firstLineChars="200"/>
        <w:rPr>
          <w:rFonts w:hint="eastAsia" w:ascii="宋体" w:hAnsi="宋体"/>
          <w:color w:val="auto"/>
          <w:highlight w:val="none"/>
        </w:rPr>
      </w:pPr>
      <w:r>
        <w:rPr>
          <w:rFonts w:hint="eastAsia" w:ascii="宋体" w:hAnsi="宋体"/>
          <w:color w:val="auto"/>
          <w:highlight w:val="none"/>
        </w:rPr>
        <w:t>名    称：广西国力招标有限公司</w:t>
      </w:r>
    </w:p>
    <w:p w14:paraId="71F647B0">
      <w:pPr>
        <w:spacing w:line="380" w:lineRule="exact"/>
        <w:ind w:firstLine="420" w:firstLineChars="200"/>
        <w:rPr>
          <w:rFonts w:hint="eastAsia" w:ascii="宋体" w:hAnsi="宋体"/>
          <w:color w:val="auto"/>
          <w:highlight w:val="none"/>
        </w:rPr>
      </w:pPr>
      <w:r>
        <w:rPr>
          <w:rFonts w:hint="eastAsia" w:ascii="宋体" w:hAnsi="宋体"/>
          <w:color w:val="auto"/>
          <w:highlight w:val="none"/>
        </w:rPr>
        <w:t>地    址：南宁市白沙大道53号松宇时代13楼</w:t>
      </w:r>
    </w:p>
    <w:p w14:paraId="47D51460">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何云飞、徐康</w:t>
      </w:r>
    </w:p>
    <w:p w14:paraId="4D170958">
      <w:pPr>
        <w:spacing w:line="38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4856DE71">
      <w:pPr>
        <w:spacing w:line="380" w:lineRule="exact"/>
        <w:ind w:firstLine="420" w:firstLineChars="200"/>
        <w:rPr>
          <w:rFonts w:hint="eastAsia" w:ascii="宋体" w:hAnsi="宋体"/>
          <w:color w:val="auto"/>
          <w:highlight w:val="none"/>
          <w:u w:val="single"/>
        </w:rPr>
      </w:pPr>
    </w:p>
    <w:p w14:paraId="0E3606C7">
      <w:pPr>
        <w:spacing w:line="380" w:lineRule="exact"/>
        <w:ind w:firstLine="420" w:firstLineChars="200"/>
        <w:rPr>
          <w:rFonts w:hint="eastAsia" w:ascii="宋体" w:hAnsi="宋体"/>
          <w:color w:val="auto"/>
          <w:highlight w:val="none"/>
          <w:u w:val="single"/>
        </w:rPr>
      </w:pPr>
    </w:p>
    <w:p w14:paraId="601A4BC1">
      <w:pP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136E433A">
      <w:pP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lang w:eastAsia="zh-CN"/>
        </w:rPr>
        <w:t>2026</w:t>
      </w:r>
      <w:r>
        <w:rPr>
          <w:rFonts w:hint="eastAsia" w:ascii="宋体" w:hAnsi="宋体" w:cs="Arial"/>
          <w:color w:val="auto"/>
          <w:highlight w:val="none"/>
        </w:rPr>
        <w:t>年</w:t>
      </w:r>
      <w:r>
        <w:rPr>
          <w:rFonts w:hint="eastAsia" w:ascii="宋体" w:hAnsi="宋体" w:cs="Arial"/>
          <w:color w:val="auto"/>
          <w:highlight w:val="none"/>
          <w:lang w:val="en-US" w:eastAsia="zh-CN"/>
        </w:rPr>
        <w:t>3</w:t>
      </w:r>
      <w:r>
        <w:rPr>
          <w:rFonts w:hint="eastAsia" w:ascii="宋体" w:hAnsi="宋体" w:cs="Arial"/>
          <w:color w:val="auto"/>
          <w:highlight w:val="none"/>
        </w:rPr>
        <w:t>月</w:t>
      </w:r>
      <w:r>
        <w:rPr>
          <w:rFonts w:hint="eastAsia" w:ascii="宋体" w:hAnsi="宋体" w:cs="Arial"/>
          <w:color w:val="auto"/>
          <w:highlight w:val="none"/>
          <w:lang w:val="en-US" w:eastAsia="zh-CN"/>
        </w:rPr>
        <w:t>31</w:t>
      </w:r>
      <w:r>
        <w:rPr>
          <w:rFonts w:hint="eastAsia" w:ascii="宋体" w:hAnsi="宋体" w:cs="Arial"/>
          <w:color w:val="auto"/>
          <w:highlight w:val="none"/>
        </w:rPr>
        <w:t>日</w:t>
      </w:r>
    </w:p>
    <w:p w14:paraId="6AB9CAE0">
      <w:pPr>
        <w:spacing w:line="400" w:lineRule="exact"/>
        <w:jc w:val="center"/>
        <w:rPr>
          <w:rFonts w:hint="eastAsia" w:ascii="宋体"/>
          <w:color w:val="auto"/>
          <w:sz w:val="32"/>
          <w:szCs w:val="32"/>
          <w:highlight w:val="none"/>
        </w:rPr>
      </w:pPr>
      <w:r>
        <w:rPr>
          <w:rFonts w:hint="eastAsia" w:ascii="宋体"/>
          <w:color w:val="auto"/>
          <w:sz w:val="32"/>
          <w:szCs w:val="32"/>
          <w:highlight w:val="none"/>
        </w:rPr>
        <w:br w:type="page"/>
      </w:r>
    </w:p>
    <w:p w14:paraId="55CE04E3">
      <w:pPr>
        <w:spacing w:line="400" w:lineRule="exact"/>
        <w:jc w:val="center"/>
        <w:rPr>
          <w:rFonts w:hint="eastAsia" w:ascii="宋体"/>
          <w:color w:val="auto"/>
          <w:sz w:val="32"/>
          <w:szCs w:val="32"/>
          <w:highlight w:val="none"/>
        </w:rPr>
      </w:pPr>
    </w:p>
    <w:p w14:paraId="020C4761">
      <w:pPr>
        <w:spacing w:line="400" w:lineRule="exact"/>
        <w:jc w:val="center"/>
        <w:rPr>
          <w:rFonts w:hint="eastAsia" w:ascii="宋体"/>
          <w:color w:val="auto"/>
          <w:sz w:val="32"/>
          <w:szCs w:val="32"/>
          <w:highlight w:val="none"/>
        </w:rPr>
      </w:pPr>
    </w:p>
    <w:p w14:paraId="0B0AE1F3">
      <w:pPr>
        <w:spacing w:line="400" w:lineRule="exact"/>
        <w:jc w:val="center"/>
        <w:rPr>
          <w:rFonts w:hint="eastAsia" w:ascii="宋体"/>
          <w:color w:val="auto"/>
          <w:sz w:val="32"/>
          <w:szCs w:val="32"/>
          <w:highlight w:val="none"/>
        </w:rPr>
      </w:pPr>
    </w:p>
    <w:p w14:paraId="7AC47CF8">
      <w:pPr>
        <w:spacing w:line="400" w:lineRule="exact"/>
        <w:jc w:val="center"/>
        <w:rPr>
          <w:rFonts w:hint="eastAsia" w:ascii="宋体"/>
          <w:color w:val="auto"/>
          <w:sz w:val="32"/>
          <w:szCs w:val="32"/>
          <w:highlight w:val="none"/>
        </w:rPr>
      </w:pPr>
    </w:p>
    <w:p w14:paraId="46BA15DE">
      <w:pPr>
        <w:spacing w:line="400" w:lineRule="exact"/>
        <w:jc w:val="center"/>
        <w:rPr>
          <w:rFonts w:hint="eastAsia" w:ascii="宋体"/>
          <w:color w:val="auto"/>
          <w:sz w:val="32"/>
          <w:szCs w:val="32"/>
          <w:highlight w:val="none"/>
        </w:rPr>
      </w:pPr>
    </w:p>
    <w:p w14:paraId="17E4F50F">
      <w:pPr>
        <w:spacing w:line="400" w:lineRule="exact"/>
        <w:jc w:val="center"/>
        <w:rPr>
          <w:rFonts w:hint="eastAsia" w:ascii="宋体"/>
          <w:color w:val="auto"/>
          <w:sz w:val="32"/>
          <w:szCs w:val="32"/>
          <w:highlight w:val="none"/>
        </w:rPr>
      </w:pPr>
    </w:p>
    <w:p w14:paraId="4E7E71FD">
      <w:pPr>
        <w:spacing w:line="400" w:lineRule="exact"/>
        <w:jc w:val="center"/>
        <w:rPr>
          <w:rFonts w:hint="eastAsia" w:ascii="宋体"/>
          <w:color w:val="auto"/>
          <w:sz w:val="32"/>
          <w:szCs w:val="32"/>
          <w:highlight w:val="none"/>
        </w:rPr>
      </w:pPr>
    </w:p>
    <w:p w14:paraId="4EDC66D6">
      <w:pPr>
        <w:spacing w:line="400" w:lineRule="exact"/>
        <w:jc w:val="center"/>
        <w:rPr>
          <w:rFonts w:hint="eastAsia" w:ascii="宋体"/>
          <w:color w:val="auto"/>
          <w:sz w:val="32"/>
          <w:szCs w:val="32"/>
          <w:highlight w:val="none"/>
        </w:rPr>
      </w:pPr>
    </w:p>
    <w:p w14:paraId="718D4C14">
      <w:pPr>
        <w:spacing w:line="400" w:lineRule="exact"/>
        <w:jc w:val="center"/>
        <w:rPr>
          <w:rFonts w:hint="eastAsia" w:ascii="宋体"/>
          <w:color w:val="auto"/>
          <w:sz w:val="32"/>
          <w:szCs w:val="32"/>
          <w:highlight w:val="none"/>
        </w:rPr>
      </w:pPr>
    </w:p>
    <w:p w14:paraId="77DB5B64">
      <w:pPr>
        <w:spacing w:line="400" w:lineRule="exact"/>
        <w:jc w:val="center"/>
        <w:rPr>
          <w:rFonts w:hint="eastAsia" w:ascii="宋体"/>
          <w:color w:val="auto"/>
          <w:sz w:val="32"/>
          <w:szCs w:val="32"/>
          <w:highlight w:val="none"/>
        </w:rPr>
      </w:pPr>
    </w:p>
    <w:p w14:paraId="784FC95B">
      <w:pPr>
        <w:spacing w:line="400" w:lineRule="exact"/>
        <w:jc w:val="center"/>
        <w:rPr>
          <w:rFonts w:hint="eastAsia" w:ascii="宋体"/>
          <w:color w:val="auto"/>
          <w:sz w:val="32"/>
          <w:szCs w:val="32"/>
          <w:highlight w:val="none"/>
        </w:rPr>
      </w:pPr>
    </w:p>
    <w:p w14:paraId="61406391">
      <w:pPr>
        <w:spacing w:line="400" w:lineRule="exact"/>
        <w:jc w:val="center"/>
        <w:rPr>
          <w:rFonts w:hint="eastAsia" w:ascii="宋体"/>
          <w:color w:val="auto"/>
          <w:sz w:val="32"/>
          <w:szCs w:val="32"/>
          <w:highlight w:val="none"/>
        </w:rPr>
      </w:pPr>
    </w:p>
    <w:p w14:paraId="411A30A4">
      <w:pPr>
        <w:spacing w:line="400" w:lineRule="exact"/>
        <w:jc w:val="center"/>
        <w:rPr>
          <w:rFonts w:hint="eastAsia" w:ascii="宋体"/>
          <w:color w:val="auto"/>
          <w:sz w:val="32"/>
          <w:szCs w:val="32"/>
          <w:highlight w:val="none"/>
        </w:rPr>
      </w:pPr>
    </w:p>
    <w:p w14:paraId="334CCA31">
      <w:pPr>
        <w:spacing w:line="400" w:lineRule="exact"/>
        <w:jc w:val="center"/>
        <w:rPr>
          <w:rFonts w:hint="eastAsia" w:ascii="宋体"/>
          <w:color w:val="auto"/>
          <w:sz w:val="32"/>
          <w:szCs w:val="32"/>
          <w:highlight w:val="none"/>
        </w:rPr>
      </w:pPr>
    </w:p>
    <w:p w14:paraId="5D40BD9D">
      <w:pPr>
        <w:pStyle w:val="47"/>
        <w:rPr>
          <w:rFonts w:hint="eastAsia"/>
          <w:color w:val="auto"/>
          <w:sz w:val="44"/>
          <w:szCs w:val="44"/>
          <w:highlight w:val="none"/>
        </w:rPr>
      </w:pPr>
      <w:bookmarkStart w:id="36" w:name="_Toc476436173"/>
      <w:bookmarkStart w:id="37" w:name="_Toc476436432"/>
      <w:r>
        <w:rPr>
          <w:rFonts w:hint="eastAsia"/>
          <w:color w:val="auto"/>
          <w:sz w:val="44"/>
          <w:szCs w:val="44"/>
          <w:highlight w:val="none"/>
        </w:rPr>
        <w:t>第二章  招标项目采购需求</w:t>
      </w:r>
      <w:bookmarkEnd w:id="36"/>
      <w:bookmarkEnd w:id="37"/>
    </w:p>
    <w:p w14:paraId="4AFEA3DE">
      <w:pPr>
        <w:snapToGrid w:val="0"/>
        <w:spacing w:before="156" w:beforeLines="50" w:after="156" w:afterLines="50"/>
        <w:ind w:left="238"/>
        <w:jc w:val="center"/>
        <w:rPr>
          <w:rFonts w:hint="eastAsia" w:ascii="黑体" w:eastAsia="黑体"/>
          <w:color w:val="auto"/>
          <w:sz w:val="32"/>
          <w:szCs w:val="32"/>
          <w:highlight w:val="none"/>
        </w:rPr>
      </w:pPr>
    </w:p>
    <w:p w14:paraId="7F02ADE9">
      <w:pPr>
        <w:snapToGrid w:val="0"/>
        <w:spacing w:before="156" w:beforeLines="50" w:after="156" w:afterLines="50"/>
        <w:ind w:left="238"/>
        <w:jc w:val="center"/>
        <w:rPr>
          <w:rFonts w:hint="eastAsia" w:ascii="黑体" w:eastAsia="黑体"/>
          <w:color w:val="auto"/>
          <w:sz w:val="32"/>
          <w:szCs w:val="32"/>
          <w:highlight w:val="none"/>
        </w:rPr>
      </w:pPr>
    </w:p>
    <w:p w14:paraId="6B6A38CF">
      <w:pPr>
        <w:snapToGrid w:val="0"/>
        <w:spacing w:before="156" w:beforeLines="50" w:after="156" w:afterLines="50"/>
        <w:ind w:left="238"/>
        <w:jc w:val="center"/>
        <w:rPr>
          <w:rFonts w:hint="eastAsia" w:ascii="黑体" w:eastAsia="黑体"/>
          <w:color w:val="auto"/>
          <w:sz w:val="32"/>
          <w:szCs w:val="32"/>
          <w:highlight w:val="none"/>
        </w:rPr>
      </w:pPr>
    </w:p>
    <w:p w14:paraId="1DB7533E">
      <w:pPr>
        <w:snapToGrid w:val="0"/>
        <w:spacing w:before="156" w:beforeLines="50" w:after="156" w:afterLines="50"/>
        <w:ind w:left="238"/>
        <w:jc w:val="center"/>
        <w:rPr>
          <w:rFonts w:hint="eastAsia" w:ascii="黑体" w:eastAsia="黑体"/>
          <w:color w:val="auto"/>
          <w:sz w:val="32"/>
          <w:szCs w:val="32"/>
          <w:highlight w:val="none"/>
        </w:rPr>
      </w:pPr>
    </w:p>
    <w:p w14:paraId="77F7D80A">
      <w:pPr>
        <w:snapToGrid w:val="0"/>
        <w:spacing w:before="156" w:beforeLines="50" w:after="156" w:afterLines="50"/>
        <w:ind w:left="238"/>
        <w:jc w:val="center"/>
        <w:rPr>
          <w:rFonts w:hint="eastAsia" w:ascii="黑体" w:eastAsia="黑体"/>
          <w:color w:val="auto"/>
          <w:sz w:val="32"/>
          <w:szCs w:val="32"/>
          <w:highlight w:val="none"/>
        </w:rPr>
      </w:pPr>
    </w:p>
    <w:p w14:paraId="666E631D">
      <w:pPr>
        <w:snapToGrid w:val="0"/>
        <w:spacing w:before="156" w:beforeLines="50" w:after="156" w:afterLines="50"/>
        <w:ind w:left="238"/>
        <w:jc w:val="center"/>
        <w:rPr>
          <w:rFonts w:hint="eastAsia" w:ascii="黑体" w:eastAsia="黑体"/>
          <w:color w:val="auto"/>
          <w:sz w:val="32"/>
          <w:szCs w:val="32"/>
          <w:highlight w:val="none"/>
        </w:rPr>
      </w:pPr>
    </w:p>
    <w:p w14:paraId="2F064501">
      <w:pPr>
        <w:spacing w:line="720" w:lineRule="auto"/>
        <w:jc w:val="center"/>
        <w:rPr>
          <w:rFonts w:hint="eastAsia"/>
          <w:b/>
          <w:color w:val="auto"/>
          <w:sz w:val="32"/>
          <w:szCs w:val="32"/>
          <w:highlight w:val="none"/>
        </w:rPr>
      </w:pPr>
      <w:r>
        <w:rPr>
          <w:rFonts w:hint="eastAsia" w:ascii="仿宋_GB2312" w:eastAsia="仿宋_GB2312"/>
          <w:bCs/>
          <w:color w:val="auto"/>
          <w:highlight w:val="none"/>
        </w:rPr>
        <w:br w:type="page"/>
      </w:r>
      <w:r>
        <w:rPr>
          <w:rFonts w:hint="eastAsia"/>
          <w:b/>
          <w:color w:val="auto"/>
          <w:sz w:val="32"/>
          <w:szCs w:val="32"/>
          <w:highlight w:val="none"/>
        </w:rPr>
        <w:t>招标项目采购需求</w:t>
      </w:r>
    </w:p>
    <w:p w14:paraId="3A2970ED">
      <w:pPr>
        <w:widowControl/>
        <w:spacing w:line="320" w:lineRule="exact"/>
        <w:jc w:val="center"/>
        <w:rPr>
          <w:rFonts w:hint="eastAsia" w:ascii="宋体" w:cs="Arial"/>
          <w:b/>
          <w:bCs/>
          <w:color w:val="auto"/>
          <w:kern w:val="0"/>
          <w:sz w:val="32"/>
          <w:szCs w:val="32"/>
          <w:highlight w:val="none"/>
        </w:rPr>
      </w:pPr>
    </w:p>
    <w:p w14:paraId="10396A63">
      <w:pPr>
        <w:spacing w:line="400" w:lineRule="exact"/>
        <w:rPr>
          <w:rFonts w:hint="eastAsia" w:ascii="宋体"/>
          <w:color w:val="auto"/>
          <w:szCs w:val="21"/>
          <w:highlight w:val="none"/>
        </w:rPr>
      </w:pPr>
      <w:r>
        <w:rPr>
          <w:rFonts w:hint="eastAsia" w:ascii="宋体"/>
          <w:b/>
          <w:color w:val="auto"/>
          <w:szCs w:val="21"/>
          <w:highlight w:val="none"/>
        </w:rPr>
        <w:t>说明：</w:t>
      </w:r>
    </w:p>
    <w:p w14:paraId="706061B4">
      <w:pPr>
        <w:spacing w:line="400" w:lineRule="exact"/>
        <w:ind w:firstLine="437"/>
        <w:rPr>
          <w:rFonts w:ascii="宋体"/>
          <w:b/>
          <w:color w:val="auto"/>
          <w:szCs w:val="21"/>
          <w:highlight w:val="none"/>
        </w:rPr>
      </w:pPr>
      <w:r>
        <w:rPr>
          <w:rFonts w:hint="eastAsia" w:ascii="宋体"/>
          <w:b/>
          <w:bCs/>
          <w:color w:val="auto"/>
          <w:szCs w:val="21"/>
          <w:highlight w:val="none"/>
        </w:rPr>
        <w:t>一、本需求表</w:t>
      </w:r>
      <w:r>
        <w:rPr>
          <w:rFonts w:hint="eastAsia" w:ascii="宋体" w:hAnsi="宋体"/>
          <w:b/>
          <w:color w:val="auto"/>
          <w:szCs w:val="21"/>
          <w:highlight w:val="none"/>
        </w:rPr>
        <w:t>中</w:t>
      </w:r>
      <w:r>
        <w:rPr>
          <w:rFonts w:hint="eastAsia" w:ascii="宋体"/>
          <w:b/>
          <w:color w:val="auto"/>
          <w:szCs w:val="21"/>
          <w:highlight w:val="none"/>
        </w:rPr>
        <w:t>标注“▲”的条款均为实质性要求或条件，投标人必须作出满足或者优于该要求和条件的承诺</w:t>
      </w:r>
      <w:r>
        <w:rPr>
          <w:rFonts w:hint="eastAsia" w:ascii="宋体" w:hAnsi="宋体"/>
          <w:b/>
          <w:color w:val="auto"/>
          <w:szCs w:val="21"/>
          <w:highlight w:val="none"/>
        </w:rPr>
        <w:t>（另有要求的除外）</w:t>
      </w:r>
      <w:r>
        <w:rPr>
          <w:rFonts w:hint="eastAsia" w:ascii="宋体"/>
          <w:b/>
          <w:color w:val="auto"/>
          <w:szCs w:val="21"/>
          <w:highlight w:val="none"/>
        </w:rPr>
        <w:t>，否则投标无效。</w:t>
      </w:r>
    </w:p>
    <w:p w14:paraId="09C3F677">
      <w:pPr>
        <w:spacing w:line="400" w:lineRule="exact"/>
        <w:ind w:firstLine="437"/>
        <w:rPr>
          <w:rFonts w:hint="eastAsia" w:ascii="宋体"/>
          <w:b/>
          <w:bCs/>
          <w:color w:val="auto"/>
          <w:szCs w:val="21"/>
          <w:highlight w:val="none"/>
        </w:rPr>
      </w:pPr>
      <w:r>
        <w:rPr>
          <w:rFonts w:hint="eastAsia" w:ascii="宋体"/>
          <w:b/>
          <w:color w:val="auto"/>
          <w:szCs w:val="21"/>
          <w:highlight w:val="none"/>
        </w:rPr>
        <w:t>二、</w:t>
      </w:r>
      <w:r>
        <w:rPr>
          <w:rFonts w:hint="eastAsia" w:ascii="宋体"/>
          <w:b/>
          <w:bCs/>
          <w:color w:val="auto"/>
          <w:szCs w:val="21"/>
          <w:highlight w:val="none"/>
        </w:rPr>
        <w:t>投标人所投标货物或服务如有国家相关标准、行业标准、地方标准或者其他标准、规范要求的按相关规定执行，若执行标准有修改或更新按最新版本执行</w:t>
      </w:r>
      <w:r>
        <w:rPr>
          <w:rFonts w:hint="eastAsia" w:ascii="宋体"/>
          <w:b/>
          <w:color w:val="auto"/>
          <w:szCs w:val="21"/>
          <w:highlight w:val="none"/>
        </w:rPr>
        <w:t>。</w:t>
      </w:r>
    </w:p>
    <w:p w14:paraId="725BD615">
      <w:pPr>
        <w:spacing w:line="400" w:lineRule="exact"/>
        <w:ind w:firstLine="437"/>
        <w:rPr>
          <w:rFonts w:hint="eastAsia" w:ascii="宋体" w:hAnsi="宋体"/>
          <w:b/>
          <w:color w:val="auto"/>
          <w:szCs w:val="21"/>
          <w:highlight w:val="none"/>
          <w:lang w:eastAsia="zh-CN"/>
        </w:rPr>
      </w:pPr>
      <w:r>
        <w:rPr>
          <w:rFonts w:hint="eastAsia" w:ascii="宋体"/>
          <w:b/>
          <w:bCs/>
          <w:color w:val="auto"/>
          <w:szCs w:val="21"/>
          <w:highlight w:val="none"/>
        </w:rPr>
        <w:t>三、</w:t>
      </w:r>
      <w:r>
        <w:rPr>
          <w:rFonts w:hint="eastAsia" w:ascii="宋体" w:hAnsi="宋体"/>
          <w:b/>
          <w:color w:val="auto"/>
          <w:szCs w:val="21"/>
          <w:highlight w:val="none"/>
        </w:rPr>
        <w:t>采购标的对应的中小企业划分标准所属行业：根据《关于印发中小企业划型标准规定的通知》（工信部联企业〔2011〕300号），本次采购标的属于：租赁和商务服务业</w:t>
      </w:r>
      <w:r>
        <w:rPr>
          <w:rFonts w:hint="eastAsia" w:ascii="宋体" w:hAnsi="宋体"/>
          <w:b/>
          <w:color w:val="auto"/>
          <w:szCs w:val="21"/>
          <w:highlight w:val="none"/>
          <w:lang w:eastAsia="zh-CN"/>
        </w:rPr>
        <w:t>。</w:t>
      </w:r>
    </w:p>
    <w:p w14:paraId="02A1C736">
      <w:pPr>
        <w:spacing w:line="360" w:lineRule="exact"/>
        <w:ind w:firstLine="424" w:firstLineChars="202"/>
        <w:jc w:val="left"/>
        <w:rPr>
          <w:rFonts w:hint="eastAsia"/>
          <w:color w:val="auto"/>
          <w:highlight w:val="none"/>
        </w:rPr>
      </w:pPr>
    </w:p>
    <w:p w14:paraId="5EB38317">
      <w:pPr>
        <w:spacing w:line="400" w:lineRule="exact"/>
        <w:ind w:firstLine="435"/>
        <w:rPr>
          <w:rFonts w:hint="eastAsia" w:ascii="宋体"/>
          <w:b/>
          <w:bCs/>
          <w:color w:val="auto"/>
          <w:sz w:val="28"/>
          <w:szCs w:val="28"/>
          <w:highlight w:val="none"/>
        </w:rPr>
      </w:pPr>
      <w:r>
        <w:rPr>
          <w:rFonts w:hint="eastAsia" w:ascii="宋体"/>
          <w:b/>
          <w:bCs/>
          <w:color w:val="auto"/>
          <w:sz w:val="28"/>
          <w:szCs w:val="28"/>
          <w:highlight w:val="none"/>
        </w:rPr>
        <w:t>本项目采购预算：</w:t>
      </w:r>
      <w:r>
        <w:rPr>
          <w:rFonts w:hint="eastAsia" w:ascii="宋体"/>
          <w:b/>
          <w:bCs/>
          <w:color w:val="auto"/>
          <w:sz w:val="28"/>
          <w:szCs w:val="28"/>
          <w:highlight w:val="none"/>
          <w:lang w:eastAsia="zh-CN"/>
        </w:rPr>
        <w:t>5,920,000.00</w:t>
      </w:r>
      <w:r>
        <w:rPr>
          <w:rFonts w:hint="eastAsia" w:ascii="宋体"/>
          <w:b/>
          <w:bCs/>
          <w:color w:val="auto"/>
          <w:sz w:val="28"/>
          <w:szCs w:val="28"/>
          <w:highlight w:val="none"/>
        </w:rPr>
        <w:t>元</w:t>
      </w:r>
      <w:r>
        <w:rPr>
          <w:rFonts w:hint="eastAsia" w:ascii="宋体" w:hAnsi="宋体"/>
          <w:color w:val="auto"/>
          <w:szCs w:val="21"/>
          <w:highlight w:val="none"/>
        </w:rPr>
        <w:t>（最高限价金额：</w:t>
      </w:r>
      <w:r>
        <w:rPr>
          <w:rFonts w:hint="eastAsia" w:ascii="宋体" w:hAnsi="宋体"/>
          <w:color w:val="auto"/>
          <w:szCs w:val="21"/>
          <w:highlight w:val="none"/>
          <w:lang w:eastAsia="zh-CN"/>
        </w:rPr>
        <w:t>5,920,000.00</w:t>
      </w:r>
      <w:r>
        <w:rPr>
          <w:rFonts w:hint="eastAsia" w:ascii="宋体" w:hAnsi="宋体"/>
          <w:color w:val="auto"/>
          <w:szCs w:val="21"/>
          <w:highlight w:val="none"/>
        </w:rPr>
        <w:t>元）</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30"/>
        <w:gridCol w:w="870"/>
        <w:gridCol w:w="7278"/>
      </w:tblGrid>
      <w:tr w14:paraId="01AD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7C47597E">
            <w:pPr>
              <w:jc w:val="center"/>
              <w:rPr>
                <w:rFonts w:hint="eastAsia" w:ascii="宋体" w:hAnsi="宋体" w:eastAsia="宋体" w:cs="宋体"/>
                <w:b/>
                <w:color w:val="auto"/>
                <w:highlight w:val="none"/>
              </w:rPr>
            </w:pPr>
            <w:r>
              <w:rPr>
                <w:rFonts w:hint="eastAsia" w:ascii="宋体" w:hAnsi="宋体" w:eastAsia="宋体" w:cs="宋体"/>
                <w:b/>
                <w:color w:val="auto"/>
                <w:highlight w:val="none"/>
              </w:rPr>
              <w:t>项号</w:t>
            </w: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D52A466">
            <w:pPr>
              <w:jc w:val="center"/>
              <w:rPr>
                <w:rFonts w:hint="eastAsia" w:ascii="宋体" w:hAnsi="宋体" w:eastAsia="宋体" w:cs="宋体"/>
                <w:b/>
                <w:color w:val="auto"/>
                <w:highlight w:val="none"/>
              </w:rPr>
            </w:pPr>
            <w:r>
              <w:rPr>
                <w:rFonts w:hint="eastAsia" w:ascii="宋体" w:hAnsi="宋体" w:eastAsia="宋体" w:cs="宋体"/>
                <w:b/>
                <w:color w:val="auto"/>
                <w:highlight w:val="none"/>
              </w:rPr>
              <w:t>服务</w:t>
            </w:r>
          </w:p>
          <w:p w14:paraId="0CEDDD85">
            <w:pPr>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7278" w:type="dxa"/>
            <w:tcBorders>
              <w:top w:val="single" w:color="auto" w:sz="4" w:space="0"/>
              <w:left w:val="single" w:color="auto" w:sz="4" w:space="0"/>
              <w:bottom w:val="single" w:color="auto" w:sz="4" w:space="0"/>
              <w:right w:val="single" w:color="auto" w:sz="4" w:space="0"/>
            </w:tcBorders>
            <w:noWrap w:val="0"/>
            <w:vAlign w:val="center"/>
          </w:tcPr>
          <w:p w14:paraId="42DD672B">
            <w:pPr>
              <w:jc w:val="center"/>
              <w:rPr>
                <w:rFonts w:hint="eastAsia" w:ascii="宋体" w:hAnsi="宋体" w:eastAsia="宋体" w:cs="宋体"/>
                <w:b/>
                <w:color w:val="auto"/>
                <w:highlight w:val="none"/>
              </w:rPr>
            </w:pPr>
            <w:r>
              <w:rPr>
                <w:rFonts w:hint="eastAsia" w:ascii="宋体" w:hAnsi="宋体" w:eastAsia="宋体" w:cs="宋体"/>
                <w:b/>
                <w:color w:val="auto"/>
                <w:szCs w:val="21"/>
                <w:highlight w:val="none"/>
              </w:rPr>
              <w:t>服务内容和要求</w:t>
            </w:r>
          </w:p>
        </w:tc>
      </w:tr>
      <w:tr w14:paraId="1A1F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DA66C07">
            <w:pPr>
              <w:ind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05B1CAE3">
            <w:pPr>
              <w:spacing w:line="4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广西博物馆陈列大楼沉浸式夜游光影项目</w:t>
            </w:r>
          </w:p>
        </w:tc>
        <w:tc>
          <w:tcPr>
            <w:tcW w:w="7278" w:type="dxa"/>
            <w:tcBorders>
              <w:top w:val="single" w:color="auto" w:sz="4" w:space="0"/>
              <w:left w:val="single" w:color="auto" w:sz="4" w:space="0"/>
              <w:bottom w:val="single" w:color="auto" w:sz="4" w:space="0"/>
              <w:right w:val="single" w:color="auto" w:sz="4" w:space="0"/>
            </w:tcBorders>
            <w:noWrap w:val="0"/>
            <w:vAlign w:val="top"/>
          </w:tcPr>
          <w:p w14:paraId="1C33B3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一</w:t>
            </w:r>
            <w:r>
              <w:rPr>
                <w:rFonts w:hint="eastAsia" w:ascii="宋体" w:hAnsi="宋体" w:eastAsia="宋体" w:cs="宋体"/>
                <w:color w:val="auto"/>
                <w:highlight w:val="none"/>
              </w:rPr>
              <w:t>、项目概况</w:t>
            </w:r>
          </w:p>
          <w:p w14:paraId="456ADB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为深入贯彻落实国家文化数字化战略与夜间经济发展部署，充分激活广西博物馆文化资源与区位优势，项目依托馆内现有资源，立足广西文化资源禀赋与数字化发展趋势，以“文化+旅游+夜间经济”为核心，兼顾文化叙事逻辑、空间艺术表现及观众沉浸体验，致力于建设成为引领全区文博行业创新发展的“智慧文化体验标杆”与“博物馆夜间经济示范项目”，打造全国首个“馆苑双栖、昼夜联动”的沉浸式夜游示范项目。</w:t>
            </w:r>
          </w:p>
          <w:p w14:paraId="49313E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项目包含陈列大楼二楼南北大厅、东西天井以及一层公共空间沉浸式改造，构建夜游主框架。</w:t>
            </w:r>
          </w:p>
          <w:p w14:paraId="3208C0A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二</w:t>
            </w:r>
            <w:r>
              <w:rPr>
                <w:rFonts w:hint="eastAsia" w:ascii="宋体" w:hAnsi="宋体" w:eastAsia="宋体" w:cs="宋体"/>
                <w:color w:val="auto"/>
                <w:highlight w:val="none"/>
              </w:rPr>
              <w:t>、指导思想及原则</w:t>
            </w:r>
          </w:p>
          <w:p w14:paraId="275FD3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深入贯彻落实国务院办公厅《关于进一步培育新增长点繁荣文化和旅游消费的若干措施》（国办发〔2025〕2号）提出：“支持在文博场馆、景区、街区、邮轮、大巴等打造沉浸式体验空间，推出一批沉浸式文旅新产品新场景”的决策部署，以及自治区人民政府办公厅《关于加快文化旅游业全面恢复振兴的若干政策措施》（桂政办发〔2023〕4号）关于“大力发展夜间经济，鼓励举办夜间文化和旅游消费主题活动，拓展夜间消费场景”的具体要求，我馆拟依托现有资源，以“文化+旅游+夜间经济”为核心，打造一个集“展、游、娱、购、学”于一体的综合性夜间文旅目的地。</w:t>
            </w:r>
          </w:p>
          <w:p w14:paraId="07CA2C9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三</w:t>
            </w:r>
            <w:r>
              <w:rPr>
                <w:rFonts w:hint="eastAsia" w:ascii="宋体" w:hAnsi="宋体" w:eastAsia="宋体" w:cs="宋体"/>
                <w:color w:val="auto"/>
                <w:highlight w:val="none"/>
              </w:rPr>
              <w:t>、项目内容</w:t>
            </w:r>
          </w:p>
          <w:p w14:paraId="46A2A8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（一）招标范围</w:t>
            </w:r>
          </w:p>
          <w:p w14:paraId="55D109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次招标范围包括根据本招标文件等相关文件要求，完成广西博物馆陈列大楼沉浸式夜游光影项目，围绕馆内二楼南北大厅、东西天井以及一层公共空间等，依托数字光影、多媒体互动、智能控制与AI技术运用、青少年活动中心迁移等，系统构建可持续运营的夜游体验体系。具体实施内容包括但不限于以下内容：</w:t>
            </w:r>
          </w:p>
          <w:p w14:paraId="6268F1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1.1夜游空间设计与深化</w:t>
            </w:r>
          </w:p>
          <w:p w14:paraId="07B54A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1.1.1明确夜游展项主题定位、文化主线、叙事结构与体验形式，形成项目设计方案。</w:t>
            </w:r>
          </w:p>
          <w:p w14:paraId="161116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1.1.2结合广西博物馆陈列大楼建筑格局与现有空间条件，对二楼南北大厅、东西天井及一层公共空间进行夜游功能与展示空间深化设计。</w:t>
            </w:r>
          </w:p>
          <w:p w14:paraId="4F565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1.2文化主题内容策划与数字化转化</w:t>
            </w:r>
          </w:p>
          <w:p w14:paraId="44E4CD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1.2.1围绕广西地域文化、历史文化与文物意象，策划夜游核心主题与分区内容结构。对现有馆藏资源、文化符号与展示素材进行梳理与再创作，完成夜游专用的内容传达与数字化表达方案。</w:t>
            </w:r>
          </w:p>
          <w:p w14:paraId="0031F1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1.2.2编制内容展示文本、视觉脚本与叙事大纲，确保文化表达准确、逻辑清晰、叙事连贯。</w:t>
            </w:r>
          </w:p>
          <w:p w14:paraId="20274D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1.2.3着重考虑不影响白天正常开放，所有夜游展项要实现与白天正常开放相兼容。</w:t>
            </w:r>
          </w:p>
          <w:p w14:paraId="6D25EB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1.3沉浸式空间实施</w:t>
            </w:r>
          </w:p>
          <w:p w14:paraId="7D23A1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1.3.1依据深化方案，针对南北大厅、东西天井、一楼公共空间，定制项目实施方案。</w:t>
            </w:r>
          </w:p>
          <w:p w14:paraId="0A5E58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1.3.2结合建筑结构特点进行光影设备布点与隐蔽式安装设计，确保展示效果与建筑安全相协调。</w:t>
            </w:r>
          </w:p>
          <w:p w14:paraId="5E35EB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1.4互动体验、AI技术运用与智能控制系统建设</w:t>
            </w:r>
          </w:p>
          <w:p w14:paraId="178E7C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1.4.1根据夜游体验需求，设计观众参与型互动内容。</w:t>
            </w:r>
          </w:p>
          <w:p w14:paraId="0F8745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1.4.2配置统一的智能控制与中控系统，实现灯光、投影、多媒体、音效等设备的集中管理与联动控制。</w:t>
            </w:r>
          </w:p>
          <w:p w14:paraId="357363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1.4.3预留系统扩展接口，满足后续夜游内容升级需求。</w:t>
            </w:r>
          </w:p>
          <w:p w14:paraId="1304E8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1.5多媒体内容制作与数字资产交付</w:t>
            </w:r>
          </w:p>
          <w:p w14:paraId="345B6E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1.5.1制作夜游专用多媒体内容，包括沉浸式影片、场景视觉素材与动态影像内容。</w:t>
            </w:r>
          </w:p>
          <w:p w14:paraId="48FEA6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1.5.2多媒体内容分辨率不低于4K标准，南大厅主视觉墙多媒体内容分辨率不低于16K标准。</w:t>
            </w:r>
          </w:p>
          <w:p w14:paraId="33E883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1.5.3完成全部数字内容的版权整理、源文件归档与项目数字资产交付。</w:t>
            </w:r>
          </w:p>
          <w:p w14:paraId="649205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1.6声光电系统集成与设备实施</w:t>
            </w:r>
          </w:p>
          <w:p w14:paraId="1005D9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1.6.1根据夜游展示需求，完成投影设备、灯光系统、音响系统及相关控制设备的配置与集成。</w:t>
            </w:r>
          </w:p>
          <w:p w14:paraId="18F2D6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1.6.2负责设备安装、调试与系统联调，确保夜游运行稳定、画面同步、响应准确。</w:t>
            </w:r>
          </w:p>
          <w:p w14:paraId="148A85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1.6.3提供符合夜间运营要求的节能、安全与稳定性解决方案。</w:t>
            </w:r>
          </w:p>
          <w:p w14:paraId="7F87FB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1.7相关服务</w:t>
            </w:r>
          </w:p>
          <w:p w14:paraId="60A5A1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1.7.1配合开展夜游系统试运行，进行内容效果测试、运行稳定性测试与体验优化调整。</w:t>
            </w:r>
          </w:p>
          <w:p w14:paraId="7EB19D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1.7.2为馆方提供系统操作、内容管理及基础维护培训。</w:t>
            </w:r>
          </w:p>
          <w:p w14:paraId="067912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1.7.3配合完成项目验收资料整理、技术文档编制及验收支持工作。</w:t>
            </w:r>
          </w:p>
          <w:p w14:paraId="7E0FAC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1.8运维与技术保障服务</w:t>
            </w:r>
          </w:p>
          <w:p w14:paraId="479D68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1.8.1提供项目运行初期的技术保障与维护支持方案。</w:t>
            </w:r>
          </w:p>
          <w:p w14:paraId="3D59D4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1.8.2制定设备维护、系统巡检及应急处理预案，确保夜游项目稳定运行。</w:t>
            </w:r>
          </w:p>
          <w:p w14:paraId="3A1A8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1.9青少年活动中心迁移</w:t>
            </w:r>
          </w:p>
          <w:p w14:paraId="30294C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1.9.1将原有青少年活动中心迁移至指定位置，原墙面储物柜、教学桌椅、教学设备迁移。</w:t>
            </w:r>
          </w:p>
          <w:p w14:paraId="44F4C0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1.9.2根据搬迁后区域实际需求，新增设玻璃隔断及开合门。</w:t>
            </w:r>
          </w:p>
          <w:p w14:paraId="19208D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1.9.3配合完成设备调试，保证迁移后墙面储物柜、教学桌椅、教学设备正常使用。</w:t>
            </w:r>
          </w:p>
          <w:p w14:paraId="2C29D1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将根据项目实际需要安排和组织不少于2次的深化设计方案论证或评审会议。论证或评审专家需获采购人认可，相关费用已含在中标单位的投标报价中，由中标单位支付；具体组织专家会次数由采购人根据项目实际情况决定。</w:t>
            </w:r>
          </w:p>
          <w:p w14:paraId="40EC69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3.设计阶段：</w:t>
            </w:r>
          </w:p>
          <w:p w14:paraId="3E98DC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广西博物馆陈列大楼沉浸式夜游光影项目包括内容设计、形式深化设计、施工图编制等阶段。</w:t>
            </w:r>
          </w:p>
          <w:p w14:paraId="093054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4.实施阶段：</w:t>
            </w:r>
          </w:p>
          <w:p w14:paraId="277EA1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广西博物馆陈列大楼沉浸式夜游光影项目包括但不限于空间装饰装修、设备工程和电气、暖通、消防系统局部改造施工、智能和技术防范系统工程协作施工，以及展项后续的设备联动调试、专项检测工作配合、专业工程验收、试运营和竣工档案整理移交、日常运营维护等工作。</w:t>
            </w:r>
          </w:p>
          <w:p w14:paraId="73C13F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（二）采购人提供的有关技术资料</w:t>
            </w:r>
          </w:p>
          <w:p w14:paraId="4CB268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馆内建筑工程各专业施工图</w:t>
            </w:r>
          </w:p>
          <w:p w14:paraId="2D7F0D8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四</w:t>
            </w:r>
            <w:r>
              <w:rPr>
                <w:rFonts w:hint="eastAsia" w:ascii="宋体" w:hAnsi="宋体" w:eastAsia="宋体" w:cs="宋体"/>
                <w:color w:val="auto"/>
                <w:highlight w:val="none"/>
              </w:rPr>
              <w:t>、采购内容及技术要求</w:t>
            </w:r>
          </w:p>
          <w:p w14:paraId="3C9B15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（一）设计方案内容要求</w:t>
            </w:r>
          </w:p>
          <w:p w14:paraId="61C455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1.设计依据</w:t>
            </w:r>
          </w:p>
          <w:p w14:paraId="1E627E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包括但不限于：</w:t>
            </w:r>
          </w:p>
          <w:p w14:paraId="34B636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《关于推进广西博物馆改革发展的实施意见》的通知（桂文旅发〔2022〕90号）</w:t>
            </w:r>
          </w:p>
          <w:p w14:paraId="02935A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《关于推进博物馆改革发展的实施意见》（2022年）</w:t>
            </w:r>
          </w:p>
          <w:p w14:paraId="69EAF0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《虚拟现实与行业应用融合发展行动计划（2022—2026年）》</w:t>
            </w:r>
          </w:p>
          <w:p w14:paraId="6E9D72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《加大力度推动社会领域公共服务补短板强弱项提质量促进形成强大国内市场的行动方案》（发改社会〔2019〕0160号）；</w:t>
            </w:r>
          </w:p>
          <w:p w14:paraId="69F05F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《博物馆条例》（中华人民共和国国务院令第659号）；</w:t>
            </w:r>
          </w:p>
          <w:p w14:paraId="311544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《中华人民共和国公共文化服务保障法》（中华人民共和国主席令第60号）</w:t>
            </w:r>
          </w:p>
          <w:p w14:paraId="425517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《博物馆管理办法》；</w:t>
            </w:r>
          </w:p>
          <w:p w14:paraId="6482D4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《博物馆陈列展览形式设计与施工规范》（WW/T0089-2018）</w:t>
            </w:r>
          </w:p>
          <w:p w14:paraId="132E4B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《建筑装饰装修工程质量验收标准》（GB50210-2018）</w:t>
            </w:r>
          </w:p>
          <w:p w14:paraId="298D6A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《建筑内部装修设计防火规范》（GB50222-2017）</w:t>
            </w:r>
          </w:p>
          <w:p w14:paraId="0DCD3D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《建筑电气工程施工质量验收规范》（GB 50303-2015）</w:t>
            </w:r>
          </w:p>
          <w:p w14:paraId="692B39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《无障碍设计规范》（GB50763-2012）</w:t>
            </w:r>
          </w:p>
          <w:p w14:paraId="077A5F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《建筑设计防火规范（2018年版）》（GB50016-2014）</w:t>
            </w:r>
          </w:p>
          <w:p w14:paraId="4DB0F9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《建筑采光设计标准》（GB50033-2013）</w:t>
            </w:r>
          </w:p>
          <w:p w14:paraId="03A752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《博物馆照明设计规范》（GB/T 23863-2024）</w:t>
            </w:r>
          </w:p>
          <w:p w14:paraId="5374FE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《文物系统博物馆风险等级和安全防护级别的规定》（GA27-2002）</w:t>
            </w:r>
          </w:p>
          <w:p w14:paraId="451BFE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《博物馆和文物保护单位安全防范系统要求》（GB/T16571-2012）</w:t>
            </w:r>
          </w:p>
          <w:p w14:paraId="6E2883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《博物馆建筑设计规范》（JGJ66-2015）</w:t>
            </w:r>
          </w:p>
          <w:p w14:paraId="21B8E0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《声环境质量标准》（GB3096-2008）</w:t>
            </w:r>
          </w:p>
          <w:p w14:paraId="703896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《公共信息图形符号 第1部分：通用符号》（GB/T 10001.1-2012）</w:t>
            </w:r>
          </w:p>
          <w:p w14:paraId="284FEE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《旅游景区质量等级划分》（GB/T 17775-2024‌）</w:t>
            </w:r>
          </w:p>
          <w:p w14:paraId="075533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《气体灭火系统施工及验收规范》（GB50263-2007)</w:t>
            </w:r>
          </w:p>
          <w:p w14:paraId="2611C2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《环境空气质量标准》（GB3095-2012)</w:t>
            </w:r>
          </w:p>
          <w:p w14:paraId="3CDC33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《民用建筑工程室内环境污染控制标准》（GB 50325-2020）</w:t>
            </w:r>
          </w:p>
          <w:p w14:paraId="15DE95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《建筑照明设计标准》 (GB 50034-2013)</w:t>
            </w:r>
          </w:p>
          <w:p w14:paraId="20EC27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《室内工作场所的照明标准》（GB/T 26189-2010)</w:t>
            </w:r>
          </w:p>
          <w:p w14:paraId="4BFBD1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地方其他相关规范</w:t>
            </w:r>
          </w:p>
          <w:p w14:paraId="05093C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2.总体设计要求</w:t>
            </w:r>
          </w:p>
          <w:p w14:paraId="5C4BB7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2.1内容设计要求：</w:t>
            </w:r>
          </w:p>
          <w:p w14:paraId="1D9B51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按照项目要求，编制内容设计方案，打造出与形式设计方案融合为一体的数字展示和体验项目。</w:t>
            </w:r>
          </w:p>
          <w:p w14:paraId="6930D4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2.2形式设计要求：</w:t>
            </w:r>
          </w:p>
          <w:p w14:paraId="3DAE9E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以文化体验为核心、以科技手段为驱动，为观众打造沉浸式互动体验空间。</w:t>
            </w:r>
          </w:p>
          <w:p w14:paraId="55C8C0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2.2.1数字展示和体验项目</w:t>
            </w:r>
          </w:p>
          <w:p w14:paraId="027C92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应充分采用当前先进的数字科技手段，提交整体设计方案和实施方案、重点展项分解技术方案等。</w:t>
            </w:r>
          </w:p>
          <w:p w14:paraId="7500ED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所使用的多媒体项目必须由运营管理系统中的线下展示设备中控管理子系统进行统一管理，实现功能包括但不限于：多媒体软硬件控制系统、后台维护、硬件电源集中控制维护、全局及分点音效控制、全局系统运行监控等。 </w:t>
            </w:r>
          </w:p>
          <w:p w14:paraId="07F4A1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应采用符合采购参数的激光投影机、智能交互屏、虚拟现实设备、智能机器人等设施设备，并通过中控系统集中控制管理。设置展厅综合系统集成、中控方案、综合布线方案、各展项相关硬件系统图及参数、综合集成及各展项软件系统图及参数、灯光照明系统设计及主要参数、声学设计及主要设备参数、5G、AI运用设计及主要参数。</w:t>
            </w:r>
          </w:p>
          <w:p w14:paraId="6879A7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采用声光电综合多媒体科技展示方式，结合多种展示手法，让整体展示氛围兼具趣味性和艺术感。各展示和体验项目应尽量避免声音干扰。</w:t>
            </w:r>
          </w:p>
          <w:p w14:paraId="45DC0D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2.2.2展项设计</w:t>
            </w:r>
          </w:p>
          <w:p w14:paraId="5DE453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展项要为内容和功能服务，充分考虑展示空间、流程设计以及通风、采光、节能、消防安全等，形式与内容相结合。包含平面布局设计和立体设计；基本造型风格设计；灯光照明系统设计；施工主要材料和施工技术要点。设计范围主要包括：空间墙面、顶面、地面的艺术效果装饰设计、建筑声学工程设计及其他与内容相关设计等。</w:t>
            </w:r>
          </w:p>
          <w:p w14:paraId="62EBE2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2.2.3配套智能化设计</w:t>
            </w:r>
          </w:p>
          <w:p w14:paraId="691101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包括但不限于展项设计中涉及的多媒体设备及内容、高科技智能互动项目等。 </w:t>
            </w:r>
          </w:p>
          <w:p w14:paraId="2B0940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2.2.4施工图编制</w:t>
            </w:r>
          </w:p>
          <w:p w14:paraId="26EB87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施工内容包括项目施工图纸（含设计变更）及工程量清单所规定内容；项目施工范围内所涉及的设备及材料采购。</w:t>
            </w:r>
          </w:p>
          <w:p w14:paraId="463B5C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3.竞标阶段设计要求 </w:t>
            </w:r>
          </w:p>
          <w:p w14:paraId="33FF66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3.1设计成果</w:t>
            </w:r>
          </w:p>
          <w:p w14:paraId="594182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表现形式为书面文件和电子文件，供应商要以国家现行有关规范、标准为依据，符合现行设计技术要求和建筑功能要求。其内容应包括： </w:t>
            </w:r>
          </w:p>
          <w:p w14:paraId="339DC8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设计说明书：项目背景与定位、主要构思及创意、设计效果、创意脚本等设计说明。 </w:t>
            </w:r>
          </w:p>
          <w:p w14:paraId="29CD33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设计图纸：平面布局图、重点展项效果图、辅助设计图等。其它应该说明的内容。 </w:t>
            </w:r>
          </w:p>
          <w:p w14:paraId="79B3F5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3.2项目实施组织方案</w:t>
            </w:r>
          </w:p>
          <w:p w14:paraId="3845FC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拟采用的针对本项目的实施方案和进度计划等（主要包括组织机构、劳动力组织、工期计划及工期保证措施、质量保证措施、安全保障措施等）。</w:t>
            </w:r>
          </w:p>
          <w:p w14:paraId="7EBDD1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4.设计成果清单</w:t>
            </w:r>
          </w:p>
          <w:p w14:paraId="13CE93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4.1成果内容</w:t>
            </w:r>
          </w:p>
          <w:p w14:paraId="6AD21B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4.1.1广西博物馆陈列大楼沉浸式夜游光影项目设计总体方案</w:t>
            </w:r>
          </w:p>
          <w:p w14:paraId="1CA017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a.内部空间沉浸式夜游展示内容设计方案；</w:t>
            </w:r>
          </w:p>
          <w:p w14:paraId="3BB35F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b.内部空间沉浸式夜游形式设计方案；</w:t>
            </w:r>
          </w:p>
          <w:p w14:paraId="555F77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c.内部空间沉浸式夜游平面布局；</w:t>
            </w:r>
          </w:p>
          <w:p w14:paraId="32AA56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d.内部空间沉浸式夜游设计图纸（效果图、施工图）；</w:t>
            </w:r>
          </w:p>
          <w:p w14:paraId="774A0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包括：</w:t>
            </w:r>
          </w:p>
          <w:p w14:paraId="211181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①平面布局图、天花图、立面图、三维彩色效果图；</w:t>
            </w:r>
          </w:p>
          <w:p w14:paraId="11A181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②多媒体演示（5分钟）；</w:t>
            </w:r>
          </w:p>
          <w:p w14:paraId="749632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③展项安装基础图及要求说明；展项电气系统图、接线图，设备、原（器）件表；展项AV系统图、接线图；展项灯光的系统图、接线图；</w:t>
            </w:r>
          </w:p>
          <w:p w14:paraId="43ADDC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④照明设计图；</w:t>
            </w:r>
          </w:p>
          <w:p w14:paraId="2ACD3B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⑤制作方式、技术手段、工艺材料、主要技术指标、特殊技术指标。</w:t>
            </w:r>
          </w:p>
          <w:p w14:paraId="6E7E56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e.广西博物馆陈列大楼沉浸式夜游光影项目配套智能化方案；</w:t>
            </w:r>
          </w:p>
          <w:p w14:paraId="70700C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4.1.2项目预结算编制 </w:t>
            </w:r>
          </w:p>
          <w:p w14:paraId="4343C6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a.项目预算编制与调整</w:t>
            </w:r>
          </w:p>
          <w:p w14:paraId="741191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b.工作量预算编制</w:t>
            </w:r>
          </w:p>
          <w:p w14:paraId="20BCF7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c.日常增减预算编制</w:t>
            </w:r>
          </w:p>
          <w:p w14:paraId="0693DF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d.项目结算编制</w:t>
            </w:r>
          </w:p>
          <w:p w14:paraId="1B6B5E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4.2成果格式</w:t>
            </w:r>
          </w:p>
          <w:p w14:paraId="5DBBF3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4.2.1纸质版文件成果 </w:t>
            </w:r>
          </w:p>
          <w:p w14:paraId="665424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以上成果的提交需将文件装订成册，A3图幅，一正一副，包括：封面、目录、说明、图纸（图纸标准参照《博物馆陈列展览设计与施工规范》中所列图纸要求）。 </w:t>
            </w:r>
          </w:p>
          <w:p w14:paraId="3BF062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4.2.2设计文件U盘/硬盘 </w:t>
            </w:r>
          </w:p>
          <w:p w14:paraId="1642BD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包括全部设计内容，其中设计说明采用 word 格式；设计图形文件、表现图、渲染图等根据需要采用相对应的格式（CAD\DWG\JPG\TIF\PSD 等）。 </w:t>
            </w:r>
          </w:p>
          <w:p w14:paraId="6753A9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5.设计成果检查与验收要求</w:t>
            </w:r>
          </w:p>
          <w:p w14:paraId="248602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方案在深化设计过程中，召开每周例会，每个设计阶段至少进行一次检查及方案汇报；深化设计（含广西博物馆陈列大楼沉浸式夜游光影项目的展示内容脚本设计、形式设计、多媒体展项设计等）完成后，应进行成果验收。</w:t>
            </w:r>
          </w:p>
          <w:p w14:paraId="19F91A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深化设计检查与成果验收：</w:t>
            </w:r>
          </w:p>
          <w:p w14:paraId="0F039F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5.1在深化设计检查和设计成果验收时，中标单位应提交已完成的各种文件和图纸，并进行深化设计工作完成或进展情况汇报。</w:t>
            </w:r>
          </w:p>
          <w:p w14:paraId="3E4BF2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5.2采购人和监理单位对中标单位提交的各种文件和图纸进行初步审查，提出初步审查意见。</w:t>
            </w:r>
          </w:p>
          <w:p w14:paraId="53D92E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5.3采购人听取中标单位深化设计工作完成或进展情况的汇报和监理单位的初步审查意见的汇报后，中标单位应当按照初步审查意见进行修编。</w:t>
            </w:r>
          </w:p>
          <w:p w14:paraId="36CB83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5.4采购人和监理单位对深化设计工作完成或进展情况、各种文件和图纸数量及质量提出检查意见。</w:t>
            </w:r>
          </w:p>
          <w:p w14:paraId="798E04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6.设计方案创作实施要求</w:t>
            </w:r>
          </w:p>
          <w:p w14:paraId="020BFC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6.1中标单位在投标阶段根据采购人所提供的招标文件等文件要求，结合项目实际情况及需要，编制投标设计方案，投标方案作为评标方案，不作为最终施工方案。</w:t>
            </w:r>
          </w:p>
          <w:p w14:paraId="30A9DF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6.2中标后，中标单位须提交深化设计方案，组织不少于2次专家论证会，并根据专家论证会意见和上级主管部门的意见进行修改和完善，经采购人同意后进行施工图设计工作，设计图纸经采购人确认后方可实施。中标单位按照最终确定的施工图或深化设计文件编制项目预算，项目预算价不得超过中标价，否则，不予审核批准，因此造成工期延误的由中标单位负责。</w:t>
            </w:r>
          </w:p>
          <w:p w14:paraId="551F09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6.3知识产权的归属：本服务项目的所有成果内容涉及的知识产权均归采购人所有，中标单位享有相应的署名权。投标人所递交的设计方案须为原创方案，拥有独立的知识产权，由此引发的知识产权纠纷，由投标单位自行负责。中标单位应保证其提供的工作成果未侵犯第三方的知识产权及其他权利，否则必须承担由此而引起的全部法律责任；中标单位不得以任何形式向采购人及项目使用单位以外的任何单位或个人提供涉及本服务项目的任何资料（包括但不限于电子档案、图纸、技术和设计创意等），如有违反，必须赔偿采购人及项目使用单位的损失并承担相应的法律责任。</w:t>
            </w:r>
          </w:p>
          <w:p w14:paraId="5AFFAD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6.4在项目实施过程中，必须服从采购人及相关部门的监督、管理和指挥。</w:t>
            </w:r>
          </w:p>
          <w:p w14:paraId="5A134D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（二）项目技术要求</w:t>
            </w:r>
          </w:p>
          <w:p w14:paraId="0D2765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1.基础装修改造工程</w:t>
            </w:r>
          </w:p>
          <w:p w14:paraId="05FD8C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1.1本工程的设计、施工和展览材料要符合建筑、装饰装修工程、环保、安防、消防等要求以及国家相关规范的要求。</w:t>
            </w:r>
          </w:p>
          <w:p w14:paraId="4CF7D7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1.2材料及设备的选用不低于采购人提供的技术参数。</w:t>
            </w:r>
          </w:p>
          <w:p w14:paraId="28A41A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1.3装饰装修、电气、消防、暖通、给排水、智能化等各专业工程设计须满足各项规范要求，并须通过施工图审查及验收。</w:t>
            </w:r>
          </w:p>
          <w:p w14:paraId="01BAD9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2.基础装饰及专业定制实施要求</w:t>
            </w:r>
          </w:p>
          <w:p w14:paraId="053DCB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2.1结构部分</w:t>
            </w:r>
          </w:p>
          <w:p w14:paraId="7172AC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2.1.1应满足本项目的要求，结构和安装方式科学、环保。</w:t>
            </w:r>
          </w:p>
          <w:p w14:paraId="3B3A1D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2.1.2应确保安全可靠，结构合理、并保证其强度、稳定性和可靠性达到采购人的要求；符合场馆结构负荷要求。</w:t>
            </w:r>
          </w:p>
          <w:p w14:paraId="725116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2.1.3实施的结构完善应与展示主题以及各展项的展示设计要求相结合。</w:t>
            </w:r>
          </w:p>
          <w:p w14:paraId="181817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2.2材料部分</w:t>
            </w:r>
          </w:p>
          <w:p w14:paraId="66376B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2.2.1博物馆内展项材料的品种、规格、性能应符合国家现行有关标准的规定。</w:t>
            </w:r>
          </w:p>
          <w:p w14:paraId="60EE46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2.2.2一律选用符合防火要求的阻燃和难燃材料，性能符合现行国家防火标准的规定；环保要求达到E1级。</w:t>
            </w:r>
          </w:p>
          <w:p w14:paraId="4B2414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2.2.3材料在3年内不得出现明显变质，表面装饰涂覆材料至少3年内不得出现明显褪变色。</w:t>
            </w:r>
          </w:p>
          <w:p w14:paraId="53EBAF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2.2.4有放射和电磁辐射的用材要符合国家防护规定。</w:t>
            </w:r>
          </w:p>
          <w:p w14:paraId="54F698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2.2.5使用的各种材料不得对环境和人员造成污染和伤害，其所含有害物质溢出量不能高于国家规定的标准。符合国家有关环保节能标准要求，使用环保节能材料。</w:t>
            </w:r>
          </w:p>
          <w:p w14:paraId="2454CF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2.2.6装修完成后展厅空气中烟雾灰尘和有害气体浓度限值应符合相关要求。</w:t>
            </w:r>
          </w:p>
          <w:p w14:paraId="29C2C6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3.多媒体展项设计制作要求</w:t>
            </w:r>
          </w:p>
          <w:p w14:paraId="4442B5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3.1整体制作实施要求</w:t>
            </w:r>
          </w:p>
          <w:p w14:paraId="24373B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展项的设备产品，满足使用寿命长，技术成熟及市场保有量多的设备，最低标准必须满足技术参数，不得偏离，采用知名品牌产品；</w:t>
            </w:r>
          </w:p>
          <w:p w14:paraId="3027B6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系统集成软件的开发必须达到运行稳定，人性化的控制，满足硬件的需求均需稳定、安全、合法等要求，如感应程序需实现体感播放功能；地面互动程序支持多人多点感应功能；融合控制程序需含图形纠正功能、影视边缘融合功能并支持多台显示终端画面无缝融合等多种功能；</w:t>
            </w:r>
          </w:p>
          <w:p w14:paraId="15D24A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线下展示设备中控管理子系统需含展项运行的开关控制、灯光开关控制及影视播放控制功能；所有展项的控制管理须配备一个可移动终端遥控器用于线下管理。</w:t>
            </w:r>
          </w:p>
          <w:p w14:paraId="4291BA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展示内容的策划与制作必须结合整体的设计方案，达到主题鲜明、具有视觉的冲击力，可逆性的修改，满足采购人的需求等；</w:t>
            </w:r>
          </w:p>
          <w:p w14:paraId="304ECD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完成强弱电布管布线工作并投入使用移动便携式的强弱电、灯光、音响中央控制系统，实现智能化控制，集成度高，技术成熟、安全可靠，做到环保节能标准。</w:t>
            </w:r>
          </w:p>
          <w:p w14:paraId="359EF4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展项中多媒体及数字化设备选配科学、合理，用材适当，应与陈列环境相协调，且不易损坏，经久耐用。辅助陈列品、模型制作要求题材运用得当，表现形式得体，工艺精良，艺术水准高。声、光、电效果设计科学、合理，并富有创意。</w:t>
            </w:r>
          </w:p>
          <w:p w14:paraId="124D23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3.2硬件设备质量</w:t>
            </w:r>
          </w:p>
          <w:p w14:paraId="6BEFAA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需选用性价比高、知名品牌和质量可靠的声光电设备，系统设备操作简单，易于维护，成本合理，若投标人选用如下类型硬件设备，需满足如下核心参数要求：</w:t>
            </w:r>
          </w:p>
          <w:p w14:paraId="663A01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3.2.1投影设备参数：</w:t>
            </w:r>
          </w:p>
          <w:p w14:paraId="69221A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分辨率：≥1920×1200</w:t>
            </w:r>
          </w:p>
          <w:p w14:paraId="13CEE0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亮度：≥8000流明</w:t>
            </w:r>
          </w:p>
          <w:p w14:paraId="6D2364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南大厅沉浸式空间（不少于3台）亮度：≥20000流明</w:t>
            </w:r>
          </w:p>
          <w:p w14:paraId="4C12D7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南大厅沉浸式空间视频制作总分辨率不低于16K</w:t>
            </w:r>
          </w:p>
          <w:p w14:paraId="5FFC0C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对比度：≥3,000,000:1</w:t>
            </w:r>
          </w:p>
          <w:p w14:paraId="447EE0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亮度均匀性：≥90%</w:t>
            </w:r>
          </w:p>
          <w:p w14:paraId="2F4EBF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信号接口：输入：HDMI×2；VGA×1；DVI×1</w:t>
            </w:r>
          </w:p>
          <w:p w14:paraId="7533BA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控制接口：输入：RS232×1；RJ45*1（网络控制）输出：IR 3D OUT×1；USB-A×1；M3×1（有线红外）</w:t>
            </w:r>
          </w:p>
          <w:p w14:paraId="77BC84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投影产品必须通过国家CCC认证</w:t>
            </w:r>
          </w:p>
          <w:p w14:paraId="6526D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说明：如选用此类产品，项目验收时须提供参数确认函原件，作为验收依据。</w:t>
            </w:r>
          </w:p>
          <w:p w14:paraId="705DC8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 电子显示屏</w:t>
            </w:r>
          </w:p>
          <w:p w14:paraId="79F281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像素点间距：≤1.25mm</w:t>
            </w:r>
          </w:p>
          <w:p w14:paraId="516697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单元板分辨率：≥32768Dots</w:t>
            </w:r>
          </w:p>
          <w:p w14:paraId="064F1A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刷新率：≥3840Hz</w:t>
            </w:r>
          </w:p>
          <w:p w14:paraId="1D3941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像素构成：1R、1G、1B</w:t>
            </w:r>
          </w:p>
          <w:p w14:paraId="6F8C0C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维护方式：前后双向维护</w:t>
            </w:r>
          </w:p>
          <w:p w14:paraId="73B6C0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整屏平整度≤0.04mm</w:t>
            </w:r>
          </w:p>
          <w:p w14:paraId="07CCA9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白平衡亮度：0-700cd/㎡可调；亮度调节：0—100%亮度可调，256级手动/自动调节，屏幕亮度具有随环境照度的变化任意调整功能；亮度均匀性：≥99%</w:t>
            </w:r>
          </w:p>
          <w:p w14:paraId="51C7A9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色温800K—18000K可调；白平衡状态下色温在6500K±5%；色温为6500K时，100%75%50%25%档电平白场调节色温误差≤100K"</w:t>
            </w:r>
          </w:p>
          <w:p w14:paraId="74EBDF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水平视角≥170°；垂直视角≥170°</w:t>
            </w:r>
          </w:p>
          <w:p w14:paraId="2C0216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对比度≥8500:1</w:t>
            </w:r>
          </w:p>
          <w:p w14:paraId="5A0C54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防护性能：具有防静电、防电磁干扰、防腐蚀、防霉菌、防虫、防潮、抗震动、抗雷击等功能；具有电源过压、过流、断电保护、分布上电措施、防护等级达到IP60，具有列下消隐功能、倍频刷新率提升2/4/8倍、低灰偏色改善</w:t>
            </w:r>
          </w:p>
          <w:p w14:paraId="247FFC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显示屏所使用的材料及元器件需符合相关环保要求。</w:t>
            </w:r>
          </w:p>
          <w:p w14:paraId="75700E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为保证产品信息传输稳定性，辐射干扰和传导干扰，均需符合GB/T9254-2021 ClassB限值要求</w:t>
            </w:r>
          </w:p>
          <w:p w14:paraId="6F4634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本项目不接受ODM产品，电子显示屏在项目验收时须提供本产品的3C认证证书复印件，要求3C认证证书中申请人、制造商、生产企业三者名称须一致或为同一集团、法人企业。</w:t>
            </w:r>
          </w:p>
          <w:p w14:paraId="5FAD36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为保障产品质量及品质，投标人必须在投标文件承诺（承诺格式自拟）在合同签订后向采购人提供本产品来源合法性证明（如：生产厂家针对此项目的售后服务保证原件、供货证明原件、经销证书或购买发票等）。</w:t>
            </w:r>
          </w:p>
          <w:p w14:paraId="384B32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3.2.3扩声系统</w:t>
            </w:r>
          </w:p>
          <w:p w14:paraId="614DAA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a.音箱</w:t>
            </w:r>
          </w:p>
          <w:p w14:paraId="35BDEE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阻抗：8Ω</w:t>
            </w:r>
          </w:p>
          <w:p w14:paraId="58C2CD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频响：48Hz~20KHz</w:t>
            </w:r>
          </w:p>
          <w:p w14:paraId="3F8F41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额定功率：400W</w:t>
            </w:r>
          </w:p>
          <w:p w14:paraId="09BAB3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峰值功率：800W</w:t>
            </w:r>
          </w:p>
          <w:p w14:paraId="32685E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灵敏度：107dB/W/M</w:t>
            </w:r>
          </w:p>
          <w:p w14:paraId="080BA0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最大声压级（额定/峰值）：129dB peak,@1m</w:t>
            </w:r>
          </w:p>
          <w:p w14:paraId="31B301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覆盖角度：（H）80°(V)50°</w:t>
            </w:r>
          </w:p>
          <w:p w14:paraId="786618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b.功率放大器</w:t>
            </w:r>
          </w:p>
          <w:p w14:paraId="5FAEF0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功率：8Ω：≥4*400W，4Ω：≥4*800W</w:t>
            </w:r>
          </w:p>
          <w:p w14:paraId="09FAF9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保护：短路保护，过载保护，过流保护，过热保护，压限保护</w:t>
            </w:r>
          </w:p>
          <w:p w14:paraId="15D3B1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模式：立体声/并接</w:t>
            </w:r>
          </w:p>
          <w:p w14:paraId="145AF7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灵敏度：0.775/1.0/1.4V，</w:t>
            </w:r>
          </w:p>
          <w:p w14:paraId="53F0BC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失真率：＜0.5%，</w:t>
            </w:r>
          </w:p>
          <w:p w14:paraId="5B965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频率响应：20HZ-20KHZ，</w:t>
            </w:r>
          </w:p>
          <w:p w14:paraId="29F95D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阻尼系数：&gt;700@8Ω,</w:t>
            </w:r>
          </w:p>
          <w:p w14:paraId="71308B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信噪比：98DB</w:t>
            </w:r>
          </w:p>
          <w:p w14:paraId="47E56B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c.调音台</w:t>
            </w:r>
          </w:p>
          <w:p w14:paraId="115E2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≥2编组6母线调音台，每路编组选择带LED指示状态灯                                                                        </w:t>
            </w:r>
          </w:p>
          <w:p w14:paraId="77EFBD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≥8路线路输入+≥2组立体声输入                                                                                                                   </w:t>
            </w:r>
          </w:p>
          <w:p w14:paraId="21766C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≥24种DSP效果器                                                                                                                                                                                                       </w:t>
            </w:r>
          </w:p>
          <w:p w14:paraId="2B74D3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≥6路母线（BUS）：主输出+两编组+监听室输出+录音输出返回                                                 </w:t>
            </w:r>
          </w:p>
          <w:p w14:paraId="5F399C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在无需外置设备下独立完成6路不同音源的输出                                              </w:t>
            </w:r>
          </w:p>
          <w:p w14:paraId="320891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≥3路AUX外接与返回，1组立体声录音输出与返回</w:t>
            </w:r>
          </w:p>
          <w:p w14:paraId="4B605C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≥电平独立显示，可分别显示主声道，编组和监听的实时状态                                                                                                                </w:t>
            </w:r>
          </w:p>
          <w:p w14:paraId="3D6482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本机监听功能可分别监听各分路和各编组信号，效果器信号和各AUX输出信号。                                    </w:t>
            </w:r>
          </w:p>
          <w:p w14:paraId="2FA2C1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3.2.4全媒体总控系统服务器：</w:t>
            </w:r>
          </w:p>
          <w:p w14:paraId="75DAB1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专业交互服务器，符合7*24小时长期运行需求</w:t>
            </w:r>
          </w:p>
          <w:p w14:paraId="282B61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专业级图形显示处理能力，</w:t>
            </w:r>
          </w:p>
          <w:p w14:paraId="60D375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支持协议 TCP/IP，UDP/IP</w:t>
            </w:r>
          </w:p>
          <w:p w14:paraId="383814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出厂做网络唤醒功能的BIOS </w:t>
            </w:r>
          </w:p>
          <w:p w14:paraId="28D4B4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处理器：不低于I9/I9 14900K 8核16线程 3.7G</w:t>
            </w:r>
          </w:p>
          <w:p w14:paraId="38FA28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显卡：不低于RTX4080</w:t>
            </w:r>
          </w:p>
          <w:p w14:paraId="1C5BF1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主板：不低于Z790 工作站主板</w:t>
            </w:r>
          </w:p>
          <w:p w14:paraId="281A7F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内存：不低于 DDR532G6000高频内存（最高可支持192G内存）</w:t>
            </w:r>
          </w:p>
          <w:p w14:paraId="65B8E0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固态硬盘：不低于 500GNVME PCIE4.0高速固态</w:t>
            </w:r>
          </w:p>
          <w:p w14:paraId="168975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机箱：全塔式工作站机箱 </w:t>
            </w:r>
          </w:p>
          <w:p w14:paraId="6E1B50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电源：≥1000W80PLUS金牌模组服务器电源</w:t>
            </w:r>
          </w:p>
          <w:p w14:paraId="743742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3.2.5聚音罩：</w:t>
            </w:r>
          </w:p>
          <w:p w14:paraId="791EE2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阻抗：8Q</w:t>
            </w:r>
          </w:p>
          <w:p w14:paraId="4D9998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直径：500mm</w:t>
            </w:r>
          </w:p>
          <w:p w14:paraId="747986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频响：143Hz-21.5KHz</w:t>
            </w:r>
          </w:p>
          <w:p w14:paraId="43D3F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高度：300mm</w:t>
            </w:r>
          </w:p>
          <w:p w14:paraId="4323D4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总谐波失真：0.8%</w:t>
            </w:r>
          </w:p>
          <w:p w14:paraId="735250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最大声压级：80db最大输出功率30W</w:t>
            </w:r>
          </w:p>
          <w:p w14:paraId="1F23AC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涵盖角度：40%%D平均</w:t>
            </w:r>
          </w:p>
          <w:p w14:paraId="513F06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3.2.6视频处理器：</w:t>
            </w:r>
          </w:p>
          <w:p w14:paraId="6C5E8B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支持常见的视频接口，包括 1 路 3G-SDI，2 路 HDMI1.3，1 路 DVI，1 路无线投屏（选配），1 路 USB 播放（选配）。</w:t>
            </w:r>
          </w:p>
          <w:p w14:paraId="4D6A2F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 3 个窗口和 1 路 OSD。</w:t>
            </w:r>
          </w:p>
          <w:p w14:paraId="7E684F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支持快捷配屏和高级配屏功能。</w:t>
            </w:r>
          </w:p>
          <w:p w14:paraId="1CC978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 HDMI、DVI 输入分辨率自定义调节。</w:t>
            </w:r>
          </w:p>
          <w:p w14:paraId="0D1E6A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支持设备间备份设置。</w:t>
            </w:r>
          </w:p>
          <w:p w14:paraId="7D3D25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视频输出最大带载高达 390 万像素。</w:t>
            </w:r>
          </w:p>
          <w:p w14:paraId="55DD57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支持带载屏体亮度调节，通过旋钮可实现100级亮度调节。</w:t>
            </w:r>
          </w:p>
          <w:p w14:paraId="7BFD21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3.2.7中控服务器主机：</w:t>
            </w:r>
          </w:p>
          <w:p w14:paraId="4EDC7F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采用四核四线程（4C/4T）64 位高性能系列内嵌式处理器芯片 Cortex-A53，处理速度高达 1.4GMHz。核心显卡 ARM Mali-G31 MP2 可以连接显示器操作中控系统。</w:t>
            </w:r>
          </w:p>
          <w:p w14:paraId="31EAFD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主机内置 2GB LPDDR3 及 16GB EMMC Flash，双频 WiFi+蓝牙 5.0, GPU Mali T720. ，调试串口 UART-TX,UART-RX 以及 GND</w:t>
            </w:r>
          </w:p>
          <w:p w14:paraId="2300A1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最大 8 路独立双向可编程 RS-232/422/485 控制接口，用户可编程设置多种控制协议和代码；</w:t>
            </w:r>
          </w:p>
          <w:p w14:paraId="3E4D5C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 路弱电继电器接口；</w:t>
            </w:r>
          </w:p>
          <w:p w14:paraId="4BBE13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 路数字输入/ 输出 IO 接口， 通过扩展以太网控制接口实现计算机远程控制；</w:t>
            </w:r>
          </w:p>
          <w:p w14:paraId="2C4313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 USB3.0 和以太网编程通讯；</w:t>
            </w:r>
          </w:p>
          <w:p w14:paraId="47FF47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主机保存指令，平板按下一键全开或一键全关，即可立即关闭平板，主机会把保存的指令按顺序发送到终端设备。误差 1ms 以内。</w:t>
            </w:r>
          </w:p>
          <w:p w14:paraId="7BAF10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（三）项目施工要求</w:t>
            </w:r>
          </w:p>
          <w:p w14:paraId="1A091A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1.项目实施场地情况及要求</w:t>
            </w:r>
          </w:p>
          <w:p w14:paraId="002370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1.1材料堆场设置：材料堆场应设置在中标单位的承包区域范围内。室外临时堆放场的设置应服从采购人或监理单位管理。</w:t>
            </w:r>
          </w:p>
          <w:p w14:paraId="3AD64C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1.2服从采购人或监理单位的总体协调管理，做好与其他专业单位的交叉施工与协调管理工作，按各专业工种界面做到有序施工。</w:t>
            </w:r>
          </w:p>
          <w:p w14:paraId="688A2D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成品保护，在施工过程中，对于由土建总包单位及其他专业单位已完成的工程，中标单位需要对成品采取妥善保护措施，中标单位的承包区域范围内中标单位承担成品保护责任，避免造成损毁或破坏，影响结构和观感质量。若因布展工程实施对成品造成损毁或破坏的，相应损失由实施单位承担。</w:t>
            </w:r>
          </w:p>
          <w:p w14:paraId="5CEE5F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1.4项目移交工作中，除按相关工程移交管理办法执行外，展陈实施单位须向业主进行全面的技术交底，包括以下但不限于设备使用和维护培训、易损及应急材料配备、较易发生各类安全隐患部位及防范措施等。</w:t>
            </w:r>
          </w:p>
          <w:p w14:paraId="122A30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2.设备安装与作业要求</w:t>
            </w:r>
          </w:p>
          <w:p w14:paraId="029D30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2.1展项实施过程中，利用建筑结构作为起吊、搬运大构件的承力点时，应对结构的承载力进行核算，经采购人及相关设计单位书面同意，方可利用。</w:t>
            </w:r>
          </w:p>
          <w:p w14:paraId="19298F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2.2管线敷设要求：强弱电布管布线应遵循隐蔽、安全、合规原则，所有户外及天井区域的线缆须具备防潮、防紫外线及耐高温性能。</w:t>
            </w:r>
          </w:p>
          <w:p w14:paraId="07247B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2.3展项实施过程中，严禁擅自改动建筑主体，承重结构或主要使用功能，严禁未经设计确认和有关部门的批准擅自拆改水、电、气、通讯等配套设施。</w:t>
            </w:r>
          </w:p>
          <w:p w14:paraId="165D57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2.4所有光影设备、投影箱体、灯具及音响的安装须结合博物馆既有建筑结构，采取隐蔽式或嵌入式安装方案，经采购人及相关设计单位书面同意，方可实施。</w:t>
            </w:r>
          </w:p>
          <w:p w14:paraId="545592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2.5展项实施应遵守有关环境保护的法律法规，并应采取有效措施控制实施现场的各种粉尘、废弃物、噪声、振动等对周围环境造成的污染和危害。</w:t>
            </w:r>
          </w:p>
          <w:p w14:paraId="7C3E30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2.6凡列为质量监理控制点（包括文件见证点、现场见证点、停止见证点）的监理对象，如达不到质量要求，监理有权责令返工。</w:t>
            </w:r>
          </w:p>
          <w:p w14:paraId="28F763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3.工期节点与进度控制</w:t>
            </w:r>
          </w:p>
          <w:p w14:paraId="5823F9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因本项设计除装饰装修还有多专业的协同配合，要在保证安全的基础上，确保施工进度，以总进度网络图为依据，按不同施工阶段、不同专业工种分解为不同的进度分目标，以各项技术、管理措施为保证手段，进行施工全过程的动态控制。</w:t>
            </w:r>
          </w:p>
          <w:p w14:paraId="229206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3.2建立周例会制度，实时比对实际进度与计划。若发现进度滞后，中标单位应通过增加技术力量或调整施工班次等方式确保在规定时间内完成验收 。</w:t>
            </w:r>
          </w:p>
          <w:p w14:paraId="5DEA50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3.3计划执行过程中，如发现未能按期完成计划，必须及时检查分析原因，立即调整计划和采取补救措施，以保证工作进度计划的实现。</w:t>
            </w:r>
          </w:p>
          <w:p w14:paraId="0D27E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3.4建立严格的工序施工日记制度，逐日详细记录工程进度，质量、设计修改，以及工程施工过程中必须记录的有关问题。</w:t>
            </w:r>
          </w:p>
          <w:p w14:paraId="09303D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4.安全文明施工承诺</w:t>
            </w:r>
          </w:p>
          <w:p w14:paraId="1056E3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4.1针对天井及大厅的高空挂装作业，必须编制专项安全施工方案。馆内严禁未经审批的动火作业，所有焊接或切割须在指定区域并配齐消防设施后进行。</w:t>
            </w:r>
          </w:p>
          <w:p w14:paraId="3F9BCB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杜绝一般事故等级以上的伤亡事故，且工伤责任事故死亡人数为零。项目实施过程中必须考虑项目施工现场的各类安全防护工作，由中标单位统一协调管理，安全责任由中标单位承担，确保人员安全，且中标单位须做好文明施工的相关措施，并确保围蔽设施美观，按照规定进行项目开展进度控制。</w:t>
            </w:r>
          </w:p>
          <w:p w14:paraId="5AEF60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4.3中标单位须按采购人的要求及安排负责设置现场办公用房；由于实施现场在博物馆内，博物馆内不允许实施人员留宿，中标单位在项目实施时对实施场地必须实行全封闭。</w:t>
            </w:r>
          </w:p>
          <w:p w14:paraId="09C62B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4.4实施服务、辅助设施符合展示需求以及符合公共场所安全消防规范，对参与人员的安全、事故应急措施的保障，设计制造的成品符合相应国家标准、规范要求。</w:t>
            </w:r>
          </w:p>
          <w:p w14:paraId="17945B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4.5中标单位应遵守有关安全劳动保护防火和防毒的法律法规，应建立相应的管理制度并应配备必要的设备器具和标识。</w:t>
            </w:r>
          </w:p>
          <w:p w14:paraId="3FD2C9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中标单位应充分考虑中考、高考、节假日及城市有关部门重大活动等期间限制夜间施工而对工期造成的影响，由于施工可能对周围居民、企事业等单位造成影响，可能由此而引发各种争议，这些争议应由中标单位负责协调解决。</w:t>
            </w:r>
          </w:p>
          <w:p w14:paraId="1B580C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5.其他要求</w:t>
            </w:r>
          </w:p>
          <w:p w14:paraId="229851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单位在进行项目实施过程中必须遵循国家相关通用标准和行业规范；遵循相关防火、环保要求；遵循优化、深化实体及多媒体数字内容创作成果与采购人要求的原则进行；中标单位必须协助采购人办理项目竣工后的消防验收及环评手续，并承担相关费用；中标单位必须负责布展实施过程中产生的垃圾处理及相关费用。</w:t>
            </w:r>
          </w:p>
          <w:p w14:paraId="6D731B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5.1与优化设计成果图纸一致性原则。</w:t>
            </w:r>
          </w:p>
          <w:p w14:paraId="79227C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5.2中标单位应有完善的质量保证体系，有明确的质量方针、切实可行的程序文件和质量保证手册，确保质量体系有效期的运行，并具备完整的质量体系运行记录。</w:t>
            </w:r>
          </w:p>
          <w:p w14:paraId="3F68C3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5.3实施技术文件准备。</w:t>
            </w:r>
          </w:p>
          <w:p w14:paraId="13681B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5.4实施现场作业环境的技术准备。</w:t>
            </w:r>
          </w:p>
          <w:p w14:paraId="472264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5.5参与设计图纸会审和技术交底。</w:t>
            </w:r>
          </w:p>
          <w:p w14:paraId="1282CF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5.6编制材料、加工机具、检测器具的使用计划。</w:t>
            </w:r>
          </w:p>
        </w:tc>
      </w:tr>
      <w:tr w14:paraId="11B9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4"/>
            <w:tcBorders>
              <w:top w:val="single" w:color="auto" w:sz="4" w:space="0"/>
              <w:left w:val="single" w:color="auto" w:sz="4" w:space="0"/>
              <w:bottom w:val="single" w:color="auto" w:sz="4" w:space="0"/>
              <w:right w:val="single" w:color="auto" w:sz="4" w:space="0"/>
            </w:tcBorders>
            <w:noWrap w:val="0"/>
            <w:vAlign w:val="center"/>
          </w:tcPr>
          <w:p w14:paraId="6F4D6905">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商务要求表</w:t>
            </w:r>
          </w:p>
        </w:tc>
      </w:tr>
      <w:tr w14:paraId="14BD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5A1C13E0">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sz w:val="21"/>
                <w:szCs w:val="21"/>
                <w:highlight w:val="none"/>
                <w:lang w:val="en-US" w:eastAsia="zh-CN"/>
              </w:rPr>
              <w:t>▲服务期与工期</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07524079">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1.本项目服务期包括设计周期、施工周期、试运行周期及不少于1年质量保修期，质量保修期自项目竣工验收合格之日起计算。如有改动，以采购人要求为准。</w:t>
            </w:r>
          </w:p>
          <w:p w14:paraId="5C645E2A">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2.合同签订之日起20天内完成夜游空间内容设计方案、形式设计方案、施工图的深化设计并通过审核。</w:t>
            </w:r>
          </w:p>
          <w:p w14:paraId="7124F1C2">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3.本项目设计施工自合同签订之日起至2026年6月15日止。2026年6月25日前完成整改、竣工验收及结算。</w:t>
            </w:r>
          </w:p>
        </w:tc>
      </w:tr>
      <w:tr w14:paraId="2369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729929B7">
            <w:pPr>
              <w:keepNext w:val="0"/>
              <w:keepLines w:val="0"/>
              <w:pageBreakBefore w:val="0"/>
              <w:widowControl w:val="0"/>
              <w:kinsoku/>
              <w:wordWrap/>
              <w:overflowPunct/>
              <w:topLinePunct w:val="0"/>
              <w:bidi w:val="0"/>
              <w:adjustRightInd/>
              <w:snapToGrid/>
              <w:spacing w:beforeLines="0" w:afterLines="0" w:line="360" w:lineRule="exact"/>
              <w:ind w:firstLine="0" w:firstLineChars="0"/>
              <w:jc w:val="center"/>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服务地点</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26BDC026">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南宁市（</w:t>
            </w:r>
            <w:r>
              <w:rPr>
                <w:rFonts w:hint="eastAsia" w:ascii="宋体" w:hAnsi="宋体" w:eastAsia="宋体" w:cs="宋体"/>
                <w:color w:val="auto"/>
                <w:sz w:val="21"/>
                <w:szCs w:val="21"/>
                <w:highlight w:val="none"/>
              </w:rPr>
              <w:t>采购人指定地点</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14:paraId="136B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39E6E56C">
            <w:pPr>
              <w:tabs>
                <w:tab w:val="left" w:pos="180"/>
                <w:tab w:val="left" w:pos="1620"/>
              </w:tabs>
              <w:spacing w:beforeLines="0" w:afterLines="0" w:line="400" w:lineRule="exact"/>
              <w:jc w:val="center"/>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报价要求</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0F20B547">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报价是履行合同的最终价格，包括装备投入、人工、保险等所有费用。对于本文件中未列明，而</w:t>
            </w:r>
            <w:r>
              <w:rPr>
                <w:rFonts w:hint="eastAsia" w:ascii="宋体" w:hAnsi="宋体" w:eastAsia="宋体"/>
                <w:color w:val="auto"/>
                <w:sz w:val="21"/>
                <w:szCs w:val="24"/>
                <w:highlight w:val="none"/>
                <w:lang w:val="en-US" w:eastAsia="zh-CN"/>
              </w:rPr>
              <w:t>投标人</w:t>
            </w:r>
            <w:r>
              <w:rPr>
                <w:rFonts w:hint="eastAsia" w:ascii="宋体" w:hAnsi="宋体" w:eastAsia="宋体"/>
                <w:color w:val="auto"/>
                <w:sz w:val="21"/>
                <w:szCs w:val="24"/>
                <w:highlight w:val="none"/>
              </w:rPr>
              <w:t>认为必需的费用也需列入总报价。在合同实施时，采购人将不予支付</w:t>
            </w:r>
            <w:r>
              <w:rPr>
                <w:rFonts w:hint="eastAsia" w:ascii="宋体" w:hAnsi="宋体" w:eastAsia="宋体"/>
                <w:color w:val="auto"/>
                <w:sz w:val="21"/>
                <w:szCs w:val="24"/>
                <w:highlight w:val="none"/>
                <w:lang w:val="en-US" w:eastAsia="zh-CN"/>
              </w:rPr>
              <w:t>中标</w:t>
            </w:r>
            <w:r>
              <w:rPr>
                <w:rFonts w:hint="eastAsia" w:ascii="宋体" w:hAnsi="宋体" w:eastAsia="宋体"/>
                <w:color w:val="auto"/>
                <w:sz w:val="21"/>
                <w:szCs w:val="24"/>
                <w:highlight w:val="none"/>
              </w:rPr>
              <w:t>供应商没有列入的项目费用，并认为此项目的费用已包括在总报价中。因</w:t>
            </w:r>
            <w:r>
              <w:rPr>
                <w:rFonts w:hint="eastAsia" w:ascii="宋体" w:hAnsi="宋体" w:eastAsia="宋体"/>
                <w:color w:val="auto"/>
                <w:sz w:val="21"/>
                <w:szCs w:val="24"/>
                <w:highlight w:val="none"/>
                <w:lang w:val="en-US" w:eastAsia="zh-CN"/>
              </w:rPr>
              <w:t>投标人</w:t>
            </w:r>
            <w:r>
              <w:rPr>
                <w:rFonts w:hint="eastAsia" w:ascii="宋体" w:hAnsi="宋体" w:eastAsia="宋体"/>
                <w:color w:val="auto"/>
                <w:sz w:val="21"/>
                <w:szCs w:val="24"/>
                <w:highlight w:val="none"/>
              </w:rPr>
              <w:t>自身原因造成漏报、少报皆由投标人自行承担责任，采购人不再补偿。除政策性文件规定以外，投标人所报价格在合同实施期间不因市场变化因素而变动。</w:t>
            </w:r>
          </w:p>
        </w:tc>
      </w:tr>
      <w:tr w14:paraId="7C6D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3197B55E">
            <w:pPr>
              <w:tabs>
                <w:tab w:val="left" w:pos="180"/>
                <w:tab w:val="left" w:pos="1620"/>
              </w:tabs>
              <w:spacing w:beforeLines="0" w:afterLines="0" w:line="400" w:lineRule="exact"/>
              <w:jc w:val="center"/>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付款方式</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64ABF4B5">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1.本合同签订后</w:t>
            </w:r>
            <w:r>
              <w:rPr>
                <w:rFonts w:hint="eastAsia" w:ascii="宋体" w:hAnsi="宋体"/>
                <w:color w:val="auto"/>
                <w:kern w:val="2"/>
                <w:sz w:val="21"/>
                <w:szCs w:val="24"/>
                <w:highlight w:val="none"/>
                <w:lang w:val="en-US" w:eastAsia="zh-CN" w:bidi="ar-SA"/>
              </w:rPr>
              <w:t>5</w:t>
            </w:r>
            <w:r>
              <w:rPr>
                <w:rFonts w:hint="eastAsia" w:ascii="宋体" w:hAnsi="宋体" w:eastAsia="宋体"/>
                <w:color w:val="auto"/>
                <w:kern w:val="2"/>
                <w:sz w:val="21"/>
                <w:szCs w:val="24"/>
                <w:highlight w:val="none"/>
                <w:lang w:val="en-US" w:eastAsia="zh-CN" w:bidi="ar-SA"/>
              </w:rPr>
              <w:t>个工作日内，</w:t>
            </w:r>
            <w:r>
              <w:rPr>
                <w:rFonts w:hint="eastAsia" w:ascii="宋体" w:hAnsi="宋体"/>
                <w:color w:val="auto"/>
                <w:kern w:val="2"/>
                <w:sz w:val="21"/>
                <w:szCs w:val="24"/>
                <w:highlight w:val="none"/>
                <w:lang w:val="en-US" w:eastAsia="zh-CN" w:bidi="ar-SA"/>
              </w:rPr>
              <w:t>采购人</w:t>
            </w:r>
            <w:r>
              <w:rPr>
                <w:rFonts w:hint="eastAsia" w:ascii="宋体" w:hAnsi="宋体" w:eastAsia="宋体"/>
                <w:color w:val="auto"/>
                <w:kern w:val="2"/>
                <w:sz w:val="21"/>
                <w:szCs w:val="24"/>
                <w:highlight w:val="none"/>
                <w:lang w:val="en-US" w:eastAsia="zh-CN" w:bidi="ar-SA"/>
              </w:rPr>
              <w:t>向</w:t>
            </w:r>
            <w:r>
              <w:rPr>
                <w:rFonts w:hint="eastAsia" w:ascii="宋体" w:hAnsi="宋体"/>
                <w:color w:val="auto"/>
                <w:kern w:val="2"/>
                <w:sz w:val="21"/>
                <w:szCs w:val="24"/>
                <w:highlight w:val="none"/>
                <w:lang w:val="en-US" w:eastAsia="zh-CN" w:bidi="ar-SA"/>
              </w:rPr>
              <w:t>中标供应商</w:t>
            </w:r>
            <w:r>
              <w:rPr>
                <w:rFonts w:hint="eastAsia" w:ascii="宋体" w:hAnsi="宋体" w:eastAsia="宋体"/>
                <w:color w:val="auto"/>
                <w:kern w:val="2"/>
                <w:sz w:val="21"/>
                <w:szCs w:val="24"/>
                <w:highlight w:val="none"/>
                <w:lang w:val="en-US" w:eastAsia="zh-CN" w:bidi="ar-SA"/>
              </w:rPr>
              <w:t>支付合同暂定总价（或签约合同价）的</w:t>
            </w:r>
            <w:r>
              <w:rPr>
                <w:rFonts w:hint="eastAsia" w:ascii="宋体" w:hAnsi="宋体"/>
                <w:color w:val="auto"/>
                <w:kern w:val="2"/>
                <w:sz w:val="21"/>
                <w:szCs w:val="24"/>
                <w:highlight w:val="none"/>
                <w:lang w:val="en-US" w:eastAsia="zh-CN" w:bidi="ar-SA"/>
              </w:rPr>
              <w:t>30%</w:t>
            </w:r>
            <w:r>
              <w:rPr>
                <w:rFonts w:hint="eastAsia" w:ascii="宋体" w:hAnsi="宋体" w:eastAsia="宋体"/>
                <w:color w:val="auto"/>
                <w:kern w:val="2"/>
                <w:sz w:val="21"/>
                <w:szCs w:val="24"/>
                <w:highlight w:val="none"/>
                <w:lang w:val="en-US" w:eastAsia="zh-CN" w:bidi="ar-SA"/>
              </w:rPr>
              <w:t>作为预付款。</w:t>
            </w:r>
          </w:p>
          <w:p w14:paraId="21B629A8">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2.施工图审查完成后并经采购人确认后5个工作日内，支付合同总额的50%作为进度款</w:t>
            </w:r>
            <w:r>
              <w:rPr>
                <w:rFonts w:hint="eastAsia" w:ascii="宋体" w:hAnsi="宋体"/>
                <w:color w:val="auto"/>
                <w:kern w:val="2"/>
                <w:sz w:val="21"/>
                <w:szCs w:val="24"/>
                <w:highlight w:val="none"/>
                <w:lang w:val="en-US" w:eastAsia="zh-CN" w:bidi="ar-SA"/>
              </w:rPr>
              <w:t>。</w:t>
            </w:r>
          </w:p>
          <w:p w14:paraId="315363A4">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3.项目竣工验收合格后</w:t>
            </w:r>
            <w:r>
              <w:rPr>
                <w:rFonts w:hint="eastAsia" w:ascii="宋体" w:hAnsi="宋体"/>
                <w:color w:val="auto"/>
                <w:kern w:val="2"/>
                <w:sz w:val="21"/>
                <w:szCs w:val="24"/>
                <w:highlight w:val="none"/>
                <w:lang w:val="en-US" w:eastAsia="zh-CN" w:bidi="ar-SA"/>
              </w:rPr>
              <w:t>5个工作</w:t>
            </w:r>
            <w:r>
              <w:rPr>
                <w:rFonts w:hint="eastAsia" w:ascii="宋体" w:hAnsi="宋体" w:eastAsia="宋体"/>
                <w:color w:val="auto"/>
                <w:kern w:val="2"/>
                <w:sz w:val="21"/>
                <w:szCs w:val="24"/>
                <w:highlight w:val="none"/>
                <w:lang w:val="en-US" w:eastAsia="zh-CN" w:bidi="ar-SA"/>
              </w:rPr>
              <w:t>日内，</w:t>
            </w:r>
            <w:r>
              <w:rPr>
                <w:rFonts w:hint="eastAsia" w:ascii="宋体" w:hAnsi="宋体"/>
                <w:color w:val="auto"/>
                <w:kern w:val="2"/>
                <w:sz w:val="21"/>
                <w:szCs w:val="24"/>
                <w:highlight w:val="none"/>
                <w:lang w:val="en-US" w:eastAsia="zh-CN" w:bidi="ar-SA"/>
              </w:rPr>
              <w:t>中标供应商</w:t>
            </w:r>
            <w:r>
              <w:rPr>
                <w:rFonts w:hint="eastAsia" w:ascii="宋体" w:hAnsi="宋体" w:eastAsia="宋体"/>
                <w:color w:val="auto"/>
                <w:kern w:val="2"/>
                <w:sz w:val="21"/>
                <w:szCs w:val="24"/>
                <w:highlight w:val="none"/>
                <w:lang w:val="en-US" w:eastAsia="zh-CN" w:bidi="ar-SA"/>
              </w:rPr>
              <w:t>向</w:t>
            </w:r>
            <w:r>
              <w:rPr>
                <w:rFonts w:hint="eastAsia" w:ascii="宋体" w:hAnsi="宋体"/>
                <w:color w:val="auto"/>
                <w:kern w:val="2"/>
                <w:sz w:val="21"/>
                <w:szCs w:val="24"/>
                <w:highlight w:val="none"/>
                <w:lang w:val="en-US" w:eastAsia="zh-CN" w:bidi="ar-SA"/>
              </w:rPr>
              <w:t>采购人</w:t>
            </w:r>
            <w:r>
              <w:rPr>
                <w:rFonts w:hint="eastAsia" w:ascii="宋体" w:hAnsi="宋体" w:eastAsia="宋体"/>
                <w:color w:val="auto"/>
                <w:kern w:val="2"/>
                <w:sz w:val="21"/>
                <w:szCs w:val="24"/>
                <w:highlight w:val="none"/>
                <w:lang w:val="en-US" w:eastAsia="zh-CN" w:bidi="ar-SA"/>
              </w:rPr>
              <w:t>提交完整的《竣工结算书》及结算依据资料（含图纸、签证、变更单等）。</w:t>
            </w:r>
            <w:r>
              <w:rPr>
                <w:rFonts w:hint="eastAsia" w:ascii="宋体" w:hAnsi="宋体"/>
                <w:color w:val="auto"/>
                <w:kern w:val="2"/>
                <w:sz w:val="21"/>
                <w:szCs w:val="24"/>
                <w:highlight w:val="none"/>
                <w:lang w:val="en-US" w:eastAsia="zh-CN" w:bidi="ar-SA"/>
              </w:rPr>
              <w:t>采购人</w:t>
            </w:r>
            <w:r>
              <w:rPr>
                <w:rFonts w:hint="eastAsia" w:ascii="宋体" w:hAnsi="宋体" w:eastAsia="宋体"/>
                <w:color w:val="auto"/>
                <w:kern w:val="2"/>
                <w:sz w:val="21"/>
                <w:szCs w:val="24"/>
                <w:highlight w:val="none"/>
                <w:lang w:val="en-US" w:eastAsia="zh-CN" w:bidi="ar-SA"/>
              </w:rPr>
              <w:t>应在收到完整结算资料后</w:t>
            </w:r>
            <w:r>
              <w:rPr>
                <w:rFonts w:hint="eastAsia" w:ascii="宋体" w:hAnsi="宋体"/>
                <w:color w:val="auto"/>
                <w:kern w:val="2"/>
                <w:sz w:val="21"/>
                <w:szCs w:val="24"/>
                <w:highlight w:val="none"/>
                <w:lang w:val="en-US" w:eastAsia="zh-CN" w:bidi="ar-SA"/>
              </w:rPr>
              <w:t>30</w:t>
            </w:r>
            <w:r>
              <w:rPr>
                <w:rFonts w:hint="eastAsia" w:ascii="宋体" w:hAnsi="宋体" w:eastAsia="宋体"/>
                <w:color w:val="auto"/>
                <w:kern w:val="2"/>
                <w:sz w:val="21"/>
                <w:szCs w:val="24"/>
                <w:highlight w:val="none"/>
                <w:lang w:val="en-US" w:eastAsia="zh-CN" w:bidi="ar-SA"/>
              </w:rPr>
              <w:t>日内委托第三方机构完成竣工结算审核；双方共同签字确认《竣工结算审定单》后</w:t>
            </w:r>
            <w:r>
              <w:rPr>
                <w:rFonts w:hint="eastAsia" w:ascii="宋体" w:hAnsi="宋体"/>
                <w:color w:val="auto"/>
                <w:kern w:val="2"/>
                <w:sz w:val="21"/>
                <w:szCs w:val="24"/>
                <w:highlight w:val="none"/>
                <w:lang w:val="en-US" w:eastAsia="zh-CN" w:bidi="ar-SA"/>
              </w:rPr>
              <w:t>14</w:t>
            </w:r>
            <w:r>
              <w:rPr>
                <w:rFonts w:hint="eastAsia" w:ascii="宋体" w:hAnsi="宋体" w:eastAsia="宋体"/>
                <w:color w:val="auto"/>
                <w:kern w:val="2"/>
                <w:sz w:val="21"/>
                <w:szCs w:val="24"/>
                <w:highlight w:val="none"/>
                <w:lang w:val="en-US" w:eastAsia="zh-CN" w:bidi="ar-SA"/>
              </w:rPr>
              <w:t>日内，</w:t>
            </w:r>
            <w:r>
              <w:rPr>
                <w:rFonts w:hint="eastAsia" w:ascii="宋体" w:hAnsi="宋体"/>
                <w:color w:val="auto"/>
                <w:kern w:val="2"/>
                <w:sz w:val="21"/>
                <w:szCs w:val="24"/>
                <w:highlight w:val="none"/>
                <w:lang w:val="en-US" w:eastAsia="zh-CN" w:bidi="ar-SA"/>
              </w:rPr>
              <w:t>采购人</w:t>
            </w:r>
            <w:r>
              <w:rPr>
                <w:rFonts w:hint="eastAsia" w:ascii="宋体" w:hAnsi="宋体" w:eastAsia="宋体"/>
                <w:color w:val="auto"/>
                <w:kern w:val="2"/>
                <w:sz w:val="21"/>
                <w:szCs w:val="24"/>
                <w:highlight w:val="none"/>
                <w:lang w:val="en-US" w:eastAsia="zh-CN" w:bidi="ar-SA"/>
              </w:rPr>
              <w:t>向</w:t>
            </w:r>
            <w:r>
              <w:rPr>
                <w:rFonts w:hint="eastAsia" w:ascii="宋体" w:hAnsi="宋体"/>
                <w:color w:val="auto"/>
                <w:kern w:val="2"/>
                <w:sz w:val="21"/>
                <w:szCs w:val="24"/>
                <w:highlight w:val="none"/>
                <w:lang w:val="en-US" w:eastAsia="zh-CN" w:bidi="ar-SA"/>
              </w:rPr>
              <w:t>中标供应商</w:t>
            </w:r>
            <w:r>
              <w:rPr>
                <w:rFonts w:hint="eastAsia" w:ascii="宋体" w:hAnsi="宋体" w:eastAsia="宋体"/>
                <w:color w:val="auto"/>
                <w:kern w:val="2"/>
                <w:sz w:val="21"/>
                <w:szCs w:val="24"/>
                <w:highlight w:val="none"/>
                <w:lang w:val="en-US" w:eastAsia="zh-CN" w:bidi="ar-SA"/>
              </w:rPr>
              <w:t>支付至结算审核总价且不超过招标签约合同价。</w:t>
            </w:r>
          </w:p>
        </w:tc>
      </w:tr>
      <w:tr w14:paraId="1FCF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20B81FA2">
            <w:pPr>
              <w:tabs>
                <w:tab w:val="left" w:pos="180"/>
                <w:tab w:val="left" w:pos="1620"/>
              </w:tabs>
              <w:spacing w:beforeLines="0" w:afterLines="0" w:line="400" w:lineRule="exact"/>
              <w:jc w:val="center"/>
              <w:rPr>
                <w:rFonts w:hint="eastAsia" w:ascii="宋体" w:hAnsi="宋体" w:eastAsia="宋体"/>
                <w:color w:val="auto"/>
                <w:sz w:val="21"/>
                <w:szCs w:val="24"/>
                <w:highlight w:val="none"/>
              </w:rPr>
            </w:pPr>
            <w:r>
              <w:rPr>
                <w:rFonts w:hint="eastAsia" w:ascii="宋体" w:hAnsi="宋体" w:eastAsia="宋体"/>
                <w:color w:val="auto"/>
                <w:sz w:val="21"/>
                <w:szCs w:val="24"/>
                <w:highlight w:val="none"/>
              </w:rPr>
              <w:t>验收要求</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31AA0C2F">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1.验收方式：由采购方组织内部验收，经相关人员签字认可方能通过；</w:t>
            </w:r>
          </w:p>
          <w:p w14:paraId="7DF9D5C8">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2.中标单位应该认真按照标准、规范和设计的要求以及采购人发出的指令进行项目实施。对达不到约定标准的部分，采购人有权要求返工，中标单位应按要求的时间返工，直到质量达到本合同约定标准；</w:t>
            </w:r>
          </w:p>
          <w:p w14:paraId="6E0ACEEF">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 xml:space="preserve">3.活动结束后，中标单位需向采购人提交所有与活动相关的定稿文字和设计方案源文件，以及图片、视频源文件等材料。并提交一份数据详实的总结报告。 </w:t>
            </w:r>
          </w:p>
          <w:p w14:paraId="2E398ECE">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4.中标单位需结合本项目工作实际，确保符合项目绩效管理要求，中标单位应参与采购人对该项目的绩效评价工作，按照《项目绩效自评表》收集、整理、提供绩效评价佐证材料，确保本项目的各项目绩效目标指标满足招标文件规定条款和中标单位投标文件及其承诺内容。</w:t>
            </w:r>
          </w:p>
          <w:p w14:paraId="2CE09171">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5.中标单位需积极配合采购人委托的第三方审计工作，并按审计要求提供相关材料。若中标单位无正当理由拒绝配合或提供虚假资料，采购人有权暂停支付尾款，并追究其违约责任。</w:t>
            </w:r>
          </w:p>
        </w:tc>
      </w:tr>
      <w:tr w14:paraId="12FD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40225061">
            <w:pPr>
              <w:tabs>
                <w:tab w:val="left" w:pos="180"/>
                <w:tab w:val="left" w:pos="1620"/>
              </w:tabs>
              <w:spacing w:beforeLines="0" w:afterLines="0" w:line="400" w:lineRule="exact"/>
              <w:jc w:val="center"/>
              <w:rPr>
                <w:rFonts w:hint="eastAsia" w:ascii="宋体" w:hAnsi="宋体" w:eastAsia="宋体"/>
                <w:color w:val="auto"/>
                <w:sz w:val="21"/>
                <w:szCs w:val="24"/>
                <w:highlight w:val="none"/>
              </w:rPr>
            </w:pPr>
            <w:r>
              <w:rPr>
                <w:rFonts w:hint="eastAsia" w:ascii="宋体" w:hAnsi="宋体" w:eastAsia="宋体"/>
                <w:color w:val="auto"/>
                <w:sz w:val="21"/>
                <w:szCs w:val="24"/>
                <w:highlight w:val="none"/>
              </w:rPr>
              <w:t>知识产权</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77310FBC">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1.本服务项目所有工作成果的知识产权（包括软件源代码）归采购人所有（署名权除外），中标单位享有工作成果的署名权，采购人享有本项目所有工作成果的永久无偿使用权。</w:t>
            </w:r>
          </w:p>
          <w:p w14:paraId="2B8B5C09">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kern w:val="2"/>
                <w:sz w:val="21"/>
                <w:szCs w:val="24"/>
                <w:highlight w:val="none"/>
                <w:lang w:val="en-US" w:eastAsia="zh-CN" w:bidi="ar-SA"/>
              </w:rPr>
              <w:t>2.中标单位应保证其提供的工作成果未侵犯第三方的知识产权及其他权利，否则必须承担由此而引起的全部法律责任。中标单位不得以任何形式向甲方以外的任何单位或个人提供涉及本服务项目的任何资料（包括但不限于电子档案、图纸、技术和设计创意等），如有违反，必须赔偿采购人的损失并承担相应的法律责任。</w:t>
            </w:r>
          </w:p>
        </w:tc>
      </w:tr>
      <w:tr w14:paraId="69A2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14" w:type="dxa"/>
            <w:gridSpan w:val="2"/>
            <w:tcBorders>
              <w:top w:val="single" w:color="auto" w:sz="4" w:space="0"/>
              <w:left w:val="single" w:color="auto" w:sz="4" w:space="0"/>
              <w:bottom w:val="single" w:color="auto" w:sz="4" w:space="0"/>
              <w:right w:val="single" w:color="auto" w:sz="4" w:space="0"/>
            </w:tcBorders>
            <w:noWrap w:val="0"/>
            <w:vAlign w:val="center"/>
          </w:tcPr>
          <w:p w14:paraId="72FA72E0">
            <w:pPr>
              <w:spacing w:beforeLines="0" w:afterLines="0" w:line="400" w:lineRule="exact"/>
              <w:jc w:val="center"/>
              <w:rPr>
                <w:rFonts w:hint="default"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其他要求</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14:paraId="13B5C344">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一、总体要求</w:t>
            </w:r>
          </w:p>
          <w:p w14:paraId="56B0A2A7">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sz w:val="21"/>
                <w:szCs w:val="24"/>
                <w:highlight w:val="none"/>
              </w:rPr>
            </w:pPr>
            <w:r>
              <w:rPr>
                <w:rFonts w:hint="eastAsia" w:ascii="宋体" w:hAnsi="宋体" w:eastAsia="宋体"/>
                <w:color w:val="auto"/>
                <w:sz w:val="21"/>
                <w:szCs w:val="24"/>
                <w:highlight w:val="none"/>
              </w:rPr>
              <w:t>1</w:t>
            </w:r>
            <w:r>
              <w:rPr>
                <w:rFonts w:hint="eastAsia" w:ascii="宋体" w:hAnsi="宋体" w:eastAsia="宋体"/>
                <w:color w:val="auto"/>
                <w:sz w:val="21"/>
                <w:szCs w:val="24"/>
                <w:highlight w:val="none"/>
                <w:lang w:val="en-US" w:eastAsia="zh-CN"/>
              </w:rPr>
              <w:t>.</w:t>
            </w:r>
            <w:r>
              <w:rPr>
                <w:rFonts w:hint="eastAsia" w:ascii="宋体" w:hAnsi="宋体" w:eastAsia="宋体"/>
                <w:color w:val="auto"/>
                <w:sz w:val="21"/>
                <w:szCs w:val="24"/>
                <w:highlight w:val="none"/>
              </w:rPr>
              <w:t>供应商可按照采购需求在</w:t>
            </w:r>
            <w:r>
              <w:rPr>
                <w:rFonts w:hint="eastAsia" w:ascii="宋体" w:hAnsi="宋体" w:eastAsia="宋体"/>
                <w:color w:val="auto"/>
                <w:sz w:val="21"/>
                <w:szCs w:val="24"/>
                <w:highlight w:val="none"/>
                <w:lang w:val="en-US" w:eastAsia="zh-CN"/>
              </w:rPr>
              <w:t>投标</w:t>
            </w:r>
            <w:r>
              <w:rPr>
                <w:rFonts w:hint="eastAsia" w:ascii="宋体" w:hAnsi="宋体" w:eastAsia="宋体"/>
                <w:color w:val="auto"/>
                <w:sz w:val="21"/>
                <w:szCs w:val="24"/>
                <w:highlight w:val="none"/>
              </w:rPr>
              <w:t>文件中提供详细、科学、可行的技术方案。</w:t>
            </w:r>
          </w:p>
          <w:p w14:paraId="7F8D74B7">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sz w:val="21"/>
                <w:szCs w:val="24"/>
                <w:highlight w:val="none"/>
              </w:rPr>
            </w:pPr>
            <w:r>
              <w:rPr>
                <w:rFonts w:hint="eastAsia" w:ascii="宋体" w:hAnsi="宋体" w:eastAsia="宋体"/>
                <w:color w:val="auto"/>
                <w:sz w:val="21"/>
                <w:szCs w:val="24"/>
                <w:highlight w:val="none"/>
              </w:rPr>
              <w:t>2</w:t>
            </w:r>
            <w:r>
              <w:rPr>
                <w:rFonts w:hint="eastAsia" w:ascii="宋体" w:hAnsi="宋体" w:eastAsia="宋体"/>
                <w:color w:val="auto"/>
                <w:sz w:val="21"/>
                <w:szCs w:val="24"/>
                <w:highlight w:val="none"/>
                <w:lang w:val="en-US" w:eastAsia="zh-CN"/>
              </w:rPr>
              <w:t>.</w:t>
            </w:r>
            <w:r>
              <w:rPr>
                <w:rFonts w:hint="eastAsia" w:ascii="宋体" w:hAnsi="宋体" w:eastAsia="宋体"/>
                <w:color w:val="auto"/>
                <w:sz w:val="21"/>
                <w:szCs w:val="24"/>
                <w:highlight w:val="none"/>
              </w:rPr>
              <w:t>供应商如有可在</w:t>
            </w:r>
            <w:r>
              <w:rPr>
                <w:rFonts w:hint="eastAsia" w:ascii="宋体" w:hAnsi="宋体" w:eastAsia="宋体"/>
                <w:color w:val="auto"/>
                <w:sz w:val="21"/>
                <w:szCs w:val="24"/>
                <w:highlight w:val="none"/>
                <w:lang w:val="en-US" w:eastAsia="zh-CN"/>
              </w:rPr>
              <w:t>投标</w:t>
            </w:r>
            <w:r>
              <w:rPr>
                <w:rFonts w:hint="eastAsia" w:ascii="宋体" w:hAnsi="宋体" w:eastAsia="宋体"/>
                <w:color w:val="auto"/>
                <w:sz w:val="21"/>
                <w:szCs w:val="24"/>
                <w:highlight w:val="none"/>
              </w:rPr>
              <w:t>文件中提供服务承诺以及与本项目相关的信誉、业绩、奖项等证明材料。</w:t>
            </w:r>
          </w:p>
          <w:p w14:paraId="461C8505">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sz w:val="21"/>
                <w:szCs w:val="24"/>
                <w:highlight w:val="none"/>
              </w:rPr>
            </w:pPr>
            <w:r>
              <w:rPr>
                <w:rFonts w:hint="eastAsia" w:ascii="宋体" w:hAnsi="宋体" w:eastAsia="宋体"/>
                <w:color w:val="auto"/>
                <w:sz w:val="21"/>
                <w:szCs w:val="24"/>
                <w:highlight w:val="none"/>
              </w:rPr>
              <w:t>二、其它要求</w:t>
            </w:r>
          </w:p>
          <w:p w14:paraId="2F70E260">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sz w:val="21"/>
                <w:szCs w:val="24"/>
                <w:highlight w:val="none"/>
              </w:rPr>
            </w:pPr>
            <w:r>
              <w:rPr>
                <w:rFonts w:hint="eastAsia" w:ascii="宋体" w:hAnsi="宋体" w:eastAsia="宋体"/>
                <w:color w:val="auto"/>
                <w:sz w:val="21"/>
                <w:szCs w:val="24"/>
                <w:highlight w:val="none"/>
              </w:rPr>
              <w:t>1</w:t>
            </w:r>
            <w:r>
              <w:rPr>
                <w:rFonts w:hint="eastAsia" w:ascii="宋体" w:hAnsi="宋体" w:eastAsia="宋体"/>
                <w:color w:val="auto"/>
                <w:sz w:val="21"/>
                <w:szCs w:val="24"/>
                <w:highlight w:val="none"/>
                <w:lang w:val="en-US" w:eastAsia="zh-CN"/>
              </w:rPr>
              <w:t>.</w:t>
            </w:r>
            <w:r>
              <w:rPr>
                <w:rFonts w:hint="eastAsia" w:ascii="宋体" w:hAnsi="宋体" w:eastAsia="宋体"/>
                <w:color w:val="auto"/>
                <w:sz w:val="21"/>
                <w:szCs w:val="24"/>
                <w:highlight w:val="none"/>
              </w:rPr>
              <w:t>供应商须为本项目服务实施投入充足的服务人员，并确保</w:t>
            </w:r>
            <w:r>
              <w:rPr>
                <w:rFonts w:hint="eastAsia" w:ascii="宋体" w:hAnsi="宋体" w:eastAsia="宋体"/>
                <w:color w:val="auto"/>
                <w:sz w:val="21"/>
                <w:szCs w:val="24"/>
                <w:highlight w:val="none"/>
                <w:lang w:eastAsia="zh-CN"/>
              </w:rPr>
              <w:t>投标文件</w:t>
            </w:r>
            <w:r>
              <w:rPr>
                <w:rFonts w:hint="eastAsia" w:ascii="宋体" w:hAnsi="宋体" w:eastAsia="宋体"/>
                <w:color w:val="auto"/>
                <w:sz w:val="21"/>
                <w:szCs w:val="24"/>
                <w:highlight w:val="none"/>
              </w:rPr>
              <w:t>中的人员信息真实、有效。</w:t>
            </w:r>
          </w:p>
          <w:p w14:paraId="0EC88714">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olor w:val="auto"/>
                <w:sz w:val="21"/>
                <w:szCs w:val="24"/>
                <w:highlight w:val="none"/>
              </w:rPr>
            </w:pPr>
            <w:r>
              <w:rPr>
                <w:rFonts w:hint="eastAsia" w:ascii="宋体" w:hAnsi="宋体" w:eastAsia="宋体"/>
                <w:color w:val="auto"/>
                <w:sz w:val="21"/>
                <w:szCs w:val="24"/>
                <w:highlight w:val="none"/>
              </w:rPr>
              <w:t>2</w:t>
            </w:r>
            <w:r>
              <w:rPr>
                <w:rFonts w:hint="eastAsia" w:ascii="宋体" w:hAnsi="宋体" w:eastAsia="宋体"/>
                <w:color w:val="auto"/>
                <w:sz w:val="21"/>
                <w:szCs w:val="24"/>
                <w:highlight w:val="none"/>
                <w:lang w:val="en-US" w:eastAsia="zh-CN"/>
              </w:rPr>
              <w:t>.</w:t>
            </w:r>
            <w:r>
              <w:rPr>
                <w:rFonts w:hint="eastAsia" w:ascii="宋体" w:hAnsi="宋体" w:eastAsia="宋体"/>
                <w:color w:val="auto"/>
                <w:sz w:val="21"/>
                <w:szCs w:val="24"/>
                <w:highlight w:val="none"/>
              </w:rPr>
              <w:t>未经采购人允许，不得使用或以其它方式给任何第三方提供本项目的相关信息或数据。</w:t>
            </w:r>
          </w:p>
          <w:p w14:paraId="2597B857">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3</w:t>
            </w:r>
            <w:r>
              <w:rPr>
                <w:rFonts w:hint="eastAsia" w:ascii="宋体" w:hAnsi="宋体" w:eastAsia="宋体"/>
                <w:color w:val="auto"/>
                <w:sz w:val="21"/>
                <w:szCs w:val="24"/>
                <w:highlight w:val="none"/>
                <w:lang w:val="en-US" w:eastAsia="zh-CN"/>
              </w:rPr>
              <w:t>.本项目不接受联合体投标。中标</w:t>
            </w:r>
            <w:r>
              <w:rPr>
                <w:rFonts w:hint="eastAsia" w:ascii="宋体" w:hAnsi="宋体" w:eastAsia="宋体"/>
                <w:color w:val="auto"/>
                <w:sz w:val="21"/>
                <w:szCs w:val="24"/>
                <w:highlight w:val="none"/>
              </w:rPr>
              <w:t>供应商不得将项目非法分包或转包给任何单位和个人，否则采购人有权即刻终止合同，并要求</w:t>
            </w:r>
            <w:r>
              <w:rPr>
                <w:rFonts w:hint="eastAsia" w:ascii="宋体" w:hAnsi="宋体" w:eastAsia="宋体"/>
                <w:color w:val="auto"/>
                <w:sz w:val="21"/>
                <w:szCs w:val="24"/>
                <w:highlight w:val="none"/>
                <w:lang w:val="en-US" w:eastAsia="zh-CN"/>
              </w:rPr>
              <w:t>中标</w:t>
            </w:r>
            <w:r>
              <w:rPr>
                <w:rFonts w:hint="eastAsia" w:ascii="宋体" w:hAnsi="宋体" w:eastAsia="宋体"/>
                <w:color w:val="auto"/>
                <w:sz w:val="21"/>
                <w:szCs w:val="24"/>
                <w:highlight w:val="none"/>
              </w:rPr>
              <w:t>供应商赔偿相应损失。</w:t>
            </w:r>
          </w:p>
        </w:tc>
      </w:tr>
      <w:tr w14:paraId="775E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0" w:type="auto"/>
            <w:gridSpan w:val="2"/>
            <w:noWrap w:val="0"/>
            <w:vAlign w:val="center"/>
          </w:tcPr>
          <w:p w14:paraId="706FDF13">
            <w:pPr>
              <w:spacing w:beforeLines="0" w:afterLines="0"/>
              <w:jc w:val="center"/>
              <w:rPr>
                <w:rFonts w:hint="default" w:ascii="宋体" w:hAnsi="宋体" w:eastAsia="宋体"/>
                <w:color w:val="auto"/>
                <w:kern w:val="2"/>
                <w:sz w:val="21"/>
                <w:szCs w:val="24"/>
                <w:highlight w:val="none"/>
                <w:lang w:val="en-US" w:eastAsia="zh-CN" w:bidi="ar-SA"/>
              </w:rPr>
            </w:pPr>
            <w:r>
              <w:rPr>
                <w:rFonts w:hint="default" w:ascii="宋体" w:hAnsi="宋体" w:eastAsia="宋体"/>
                <w:color w:val="auto"/>
                <w:kern w:val="2"/>
                <w:sz w:val="21"/>
                <w:szCs w:val="24"/>
                <w:highlight w:val="none"/>
                <w:lang w:val="en-US" w:eastAsia="zh-CN" w:bidi="ar-SA"/>
              </w:rPr>
              <w:t>履约保证金</w:t>
            </w:r>
          </w:p>
        </w:tc>
        <w:tc>
          <w:tcPr>
            <w:tcW w:w="0" w:type="auto"/>
            <w:gridSpan w:val="2"/>
            <w:noWrap w:val="0"/>
            <w:vAlign w:val="center"/>
          </w:tcPr>
          <w:p w14:paraId="211D50D6">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履约保证金金额：本项目中标金额的</w:t>
            </w: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w:t>
            </w:r>
          </w:p>
          <w:p w14:paraId="629572A4">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履约保证金提交方式：支票、汇票、本票、银行转账或者金融机构、担保机构出具的保函等非现金形式。</w:t>
            </w:r>
          </w:p>
          <w:p w14:paraId="6794B38F">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履约保证金指定账户：</w:t>
            </w:r>
          </w:p>
          <w:p w14:paraId="2E145639">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开户名：广西壮族自治区博物馆</w:t>
            </w:r>
          </w:p>
          <w:p w14:paraId="7BE98613">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开户行：农行南宁古城支行营业厅</w:t>
            </w:r>
          </w:p>
          <w:p w14:paraId="204739F2">
            <w:pPr>
              <w:keepNext w:val="0"/>
              <w:keepLines w:val="0"/>
              <w:pageBreakBefore w:val="0"/>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账  号：20 0091 0104 0000 330</w:t>
            </w:r>
          </w:p>
        </w:tc>
      </w:tr>
    </w:tbl>
    <w:p w14:paraId="36152A47">
      <w:pPr>
        <w:rPr>
          <w:rFonts w:hint="eastAsia" w:ascii="宋体"/>
          <w:color w:val="auto"/>
          <w:szCs w:val="21"/>
          <w:highlight w:val="none"/>
        </w:rPr>
      </w:pPr>
    </w:p>
    <w:p w14:paraId="6D6FD6D7">
      <w:pPr>
        <w:rPr>
          <w:rFonts w:hint="eastAsia" w:ascii="宋体"/>
          <w:color w:val="auto"/>
          <w:szCs w:val="21"/>
          <w:highlight w:val="none"/>
        </w:rPr>
      </w:pPr>
    </w:p>
    <w:p w14:paraId="493F92D4">
      <w:pPr>
        <w:snapToGrid w:val="0"/>
        <w:spacing w:line="400" w:lineRule="exact"/>
        <w:jc w:val="center"/>
        <w:rPr>
          <w:rFonts w:hint="eastAsia" w:ascii="宋体"/>
          <w:b/>
          <w:color w:val="auto"/>
          <w:sz w:val="32"/>
          <w:szCs w:val="32"/>
          <w:highlight w:val="none"/>
        </w:rPr>
      </w:pPr>
      <w:r>
        <w:rPr>
          <w:rFonts w:hint="eastAsia" w:ascii="宋体"/>
          <w:b/>
          <w:color w:val="auto"/>
          <w:sz w:val="32"/>
          <w:szCs w:val="32"/>
          <w:highlight w:val="none"/>
        </w:rPr>
        <w:br w:type="page"/>
      </w:r>
    </w:p>
    <w:p w14:paraId="33A84099">
      <w:pPr>
        <w:snapToGrid w:val="0"/>
        <w:spacing w:line="400" w:lineRule="exact"/>
        <w:jc w:val="center"/>
        <w:rPr>
          <w:rFonts w:hint="eastAsia" w:ascii="宋体"/>
          <w:b/>
          <w:color w:val="auto"/>
          <w:sz w:val="32"/>
          <w:szCs w:val="32"/>
          <w:highlight w:val="none"/>
        </w:rPr>
      </w:pPr>
    </w:p>
    <w:p w14:paraId="732760D9">
      <w:pPr>
        <w:snapToGrid w:val="0"/>
        <w:spacing w:line="400" w:lineRule="exact"/>
        <w:jc w:val="center"/>
        <w:rPr>
          <w:rFonts w:hint="eastAsia" w:ascii="宋体"/>
          <w:b/>
          <w:color w:val="auto"/>
          <w:sz w:val="32"/>
          <w:szCs w:val="32"/>
          <w:highlight w:val="none"/>
        </w:rPr>
      </w:pPr>
    </w:p>
    <w:p w14:paraId="474125BA">
      <w:pPr>
        <w:snapToGrid w:val="0"/>
        <w:spacing w:line="400" w:lineRule="exact"/>
        <w:jc w:val="center"/>
        <w:rPr>
          <w:rFonts w:hint="eastAsia" w:ascii="宋体"/>
          <w:b/>
          <w:color w:val="auto"/>
          <w:sz w:val="32"/>
          <w:szCs w:val="32"/>
          <w:highlight w:val="none"/>
        </w:rPr>
      </w:pPr>
    </w:p>
    <w:p w14:paraId="434FAA97">
      <w:pPr>
        <w:snapToGrid w:val="0"/>
        <w:spacing w:line="400" w:lineRule="exact"/>
        <w:jc w:val="center"/>
        <w:rPr>
          <w:rFonts w:hint="eastAsia" w:ascii="宋体"/>
          <w:b/>
          <w:color w:val="auto"/>
          <w:sz w:val="32"/>
          <w:szCs w:val="32"/>
          <w:highlight w:val="none"/>
        </w:rPr>
      </w:pPr>
    </w:p>
    <w:p w14:paraId="23504F1B">
      <w:pPr>
        <w:snapToGrid w:val="0"/>
        <w:spacing w:line="400" w:lineRule="exact"/>
        <w:jc w:val="center"/>
        <w:rPr>
          <w:rFonts w:hint="eastAsia" w:ascii="宋体"/>
          <w:b/>
          <w:color w:val="auto"/>
          <w:sz w:val="32"/>
          <w:szCs w:val="32"/>
          <w:highlight w:val="none"/>
        </w:rPr>
      </w:pPr>
    </w:p>
    <w:p w14:paraId="6A9BFE75">
      <w:pPr>
        <w:snapToGrid w:val="0"/>
        <w:spacing w:line="400" w:lineRule="exact"/>
        <w:jc w:val="center"/>
        <w:rPr>
          <w:rFonts w:hint="eastAsia" w:ascii="宋体"/>
          <w:b/>
          <w:color w:val="auto"/>
          <w:sz w:val="32"/>
          <w:szCs w:val="32"/>
          <w:highlight w:val="none"/>
        </w:rPr>
      </w:pPr>
    </w:p>
    <w:p w14:paraId="08257736">
      <w:pPr>
        <w:snapToGrid w:val="0"/>
        <w:spacing w:line="400" w:lineRule="exact"/>
        <w:jc w:val="center"/>
        <w:rPr>
          <w:rFonts w:hint="eastAsia" w:ascii="宋体"/>
          <w:b/>
          <w:color w:val="auto"/>
          <w:sz w:val="32"/>
          <w:szCs w:val="32"/>
          <w:highlight w:val="none"/>
        </w:rPr>
      </w:pPr>
    </w:p>
    <w:p w14:paraId="241311A1">
      <w:pPr>
        <w:snapToGrid w:val="0"/>
        <w:spacing w:line="400" w:lineRule="exact"/>
        <w:jc w:val="center"/>
        <w:rPr>
          <w:rFonts w:hint="eastAsia" w:ascii="宋体"/>
          <w:b/>
          <w:color w:val="auto"/>
          <w:sz w:val="32"/>
          <w:szCs w:val="32"/>
          <w:highlight w:val="none"/>
        </w:rPr>
      </w:pPr>
    </w:p>
    <w:p w14:paraId="6C2DA40C">
      <w:pPr>
        <w:snapToGrid w:val="0"/>
        <w:spacing w:line="400" w:lineRule="exact"/>
        <w:jc w:val="center"/>
        <w:rPr>
          <w:rFonts w:hint="eastAsia" w:ascii="宋体"/>
          <w:b/>
          <w:color w:val="auto"/>
          <w:sz w:val="32"/>
          <w:szCs w:val="32"/>
          <w:highlight w:val="none"/>
        </w:rPr>
      </w:pPr>
    </w:p>
    <w:p w14:paraId="7959D0D9">
      <w:pPr>
        <w:snapToGrid w:val="0"/>
        <w:spacing w:line="400" w:lineRule="exact"/>
        <w:jc w:val="center"/>
        <w:rPr>
          <w:rFonts w:hint="eastAsia" w:ascii="宋体"/>
          <w:b/>
          <w:color w:val="auto"/>
          <w:sz w:val="32"/>
          <w:szCs w:val="32"/>
          <w:highlight w:val="none"/>
        </w:rPr>
      </w:pPr>
    </w:p>
    <w:p w14:paraId="48F5766D">
      <w:pPr>
        <w:snapToGrid w:val="0"/>
        <w:spacing w:line="400" w:lineRule="exact"/>
        <w:jc w:val="center"/>
        <w:rPr>
          <w:rFonts w:hint="eastAsia" w:ascii="宋体"/>
          <w:b/>
          <w:color w:val="auto"/>
          <w:sz w:val="32"/>
          <w:szCs w:val="32"/>
          <w:highlight w:val="none"/>
        </w:rPr>
      </w:pPr>
    </w:p>
    <w:p w14:paraId="5EF4BE68">
      <w:pPr>
        <w:snapToGrid w:val="0"/>
        <w:spacing w:line="400" w:lineRule="exact"/>
        <w:jc w:val="center"/>
        <w:rPr>
          <w:rFonts w:hint="eastAsia" w:ascii="宋体"/>
          <w:b/>
          <w:color w:val="auto"/>
          <w:sz w:val="32"/>
          <w:szCs w:val="32"/>
          <w:highlight w:val="none"/>
        </w:rPr>
      </w:pPr>
    </w:p>
    <w:p w14:paraId="3B71ED40">
      <w:pPr>
        <w:snapToGrid w:val="0"/>
        <w:spacing w:line="400" w:lineRule="exact"/>
        <w:jc w:val="center"/>
        <w:rPr>
          <w:rFonts w:hint="eastAsia" w:ascii="宋体"/>
          <w:b/>
          <w:color w:val="auto"/>
          <w:sz w:val="32"/>
          <w:szCs w:val="32"/>
          <w:highlight w:val="none"/>
        </w:rPr>
      </w:pPr>
    </w:p>
    <w:p w14:paraId="0E9EB436">
      <w:pPr>
        <w:snapToGrid w:val="0"/>
        <w:spacing w:line="400" w:lineRule="exact"/>
        <w:jc w:val="center"/>
        <w:rPr>
          <w:rFonts w:hint="eastAsia" w:ascii="宋体"/>
          <w:b/>
          <w:color w:val="auto"/>
          <w:sz w:val="32"/>
          <w:szCs w:val="32"/>
          <w:highlight w:val="none"/>
        </w:rPr>
      </w:pPr>
    </w:p>
    <w:p w14:paraId="3670BC5F">
      <w:pPr>
        <w:snapToGrid w:val="0"/>
        <w:spacing w:line="400" w:lineRule="exact"/>
        <w:jc w:val="center"/>
        <w:rPr>
          <w:rFonts w:hint="eastAsia" w:ascii="宋体"/>
          <w:b/>
          <w:color w:val="auto"/>
          <w:sz w:val="32"/>
          <w:szCs w:val="32"/>
          <w:highlight w:val="none"/>
        </w:rPr>
      </w:pPr>
    </w:p>
    <w:p w14:paraId="4C67B50F">
      <w:pPr>
        <w:pStyle w:val="47"/>
        <w:rPr>
          <w:rFonts w:hint="eastAsia"/>
          <w:color w:val="auto"/>
          <w:sz w:val="44"/>
          <w:szCs w:val="44"/>
          <w:highlight w:val="none"/>
        </w:rPr>
      </w:pPr>
      <w:bookmarkStart w:id="38" w:name="_Toc476436174"/>
      <w:bookmarkStart w:id="39" w:name="_Toc476436433"/>
      <w:r>
        <w:rPr>
          <w:rFonts w:hint="eastAsia"/>
          <w:color w:val="auto"/>
          <w:sz w:val="44"/>
          <w:szCs w:val="44"/>
          <w:highlight w:val="none"/>
        </w:rPr>
        <w:t>第三章  投标人须知</w:t>
      </w:r>
      <w:bookmarkEnd w:id="38"/>
      <w:bookmarkEnd w:id="39"/>
    </w:p>
    <w:p w14:paraId="7CE90725">
      <w:pPr>
        <w:snapToGrid w:val="0"/>
        <w:jc w:val="center"/>
        <w:rPr>
          <w:rFonts w:hint="eastAsia" w:ascii="黑体" w:eastAsia="黑体"/>
          <w:color w:val="auto"/>
          <w:sz w:val="32"/>
          <w:szCs w:val="32"/>
          <w:highlight w:val="none"/>
        </w:rPr>
      </w:pPr>
    </w:p>
    <w:p w14:paraId="010FB591">
      <w:pPr>
        <w:snapToGrid w:val="0"/>
        <w:jc w:val="center"/>
        <w:rPr>
          <w:rFonts w:hint="eastAsia" w:ascii="黑体" w:eastAsia="黑体"/>
          <w:color w:val="auto"/>
          <w:sz w:val="32"/>
          <w:szCs w:val="32"/>
          <w:highlight w:val="none"/>
        </w:rPr>
      </w:pPr>
    </w:p>
    <w:p w14:paraId="25A9438F">
      <w:pPr>
        <w:snapToGrid w:val="0"/>
        <w:jc w:val="center"/>
        <w:rPr>
          <w:rFonts w:hint="eastAsia" w:ascii="黑体" w:eastAsia="黑体"/>
          <w:color w:val="auto"/>
          <w:sz w:val="32"/>
          <w:szCs w:val="32"/>
          <w:highlight w:val="none"/>
        </w:rPr>
      </w:pPr>
    </w:p>
    <w:p w14:paraId="7B21E494">
      <w:pPr>
        <w:snapToGrid w:val="0"/>
        <w:jc w:val="center"/>
        <w:rPr>
          <w:rFonts w:hint="eastAsia" w:ascii="黑体" w:eastAsia="黑体"/>
          <w:color w:val="auto"/>
          <w:sz w:val="32"/>
          <w:szCs w:val="32"/>
          <w:highlight w:val="none"/>
        </w:rPr>
      </w:pPr>
    </w:p>
    <w:p w14:paraId="44E654C2">
      <w:pPr>
        <w:snapToGrid w:val="0"/>
        <w:jc w:val="center"/>
        <w:rPr>
          <w:rFonts w:hint="eastAsia" w:ascii="黑体" w:eastAsia="黑体"/>
          <w:color w:val="auto"/>
          <w:sz w:val="32"/>
          <w:szCs w:val="32"/>
          <w:highlight w:val="none"/>
        </w:rPr>
      </w:pPr>
    </w:p>
    <w:p w14:paraId="0B96FC9A">
      <w:pPr>
        <w:snapToGrid w:val="0"/>
        <w:jc w:val="center"/>
        <w:rPr>
          <w:rFonts w:hint="eastAsia" w:ascii="黑体" w:eastAsia="黑体"/>
          <w:color w:val="auto"/>
          <w:sz w:val="32"/>
          <w:szCs w:val="32"/>
          <w:highlight w:val="none"/>
        </w:rPr>
      </w:pPr>
    </w:p>
    <w:p w14:paraId="4DA48AF1">
      <w:pPr>
        <w:snapToGrid w:val="0"/>
        <w:jc w:val="center"/>
        <w:rPr>
          <w:rFonts w:hint="eastAsia" w:ascii="黑体" w:eastAsia="黑体"/>
          <w:color w:val="auto"/>
          <w:sz w:val="32"/>
          <w:szCs w:val="32"/>
          <w:highlight w:val="none"/>
        </w:rPr>
      </w:pPr>
    </w:p>
    <w:p w14:paraId="0D758AD5">
      <w:pPr>
        <w:snapToGrid w:val="0"/>
        <w:jc w:val="center"/>
        <w:rPr>
          <w:rFonts w:hint="eastAsia" w:ascii="黑体" w:eastAsia="黑体"/>
          <w:color w:val="auto"/>
          <w:sz w:val="32"/>
          <w:szCs w:val="32"/>
          <w:highlight w:val="none"/>
        </w:rPr>
      </w:pPr>
    </w:p>
    <w:p w14:paraId="1EB62C66">
      <w:pPr>
        <w:snapToGrid w:val="0"/>
        <w:jc w:val="center"/>
        <w:rPr>
          <w:rFonts w:hint="eastAsia" w:ascii="黑体" w:eastAsia="黑体"/>
          <w:color w:val="auto"/>
          <w:sz w:val="32"/>
          <w:szCs w:val="32"/>
          <w:highlight w:val="none"/>
        </w:rPr>
      </w:pPr>
    </w:p>
    <w:p w14:paraId="48425520">
      <w:pPr>
        <w:snapToGrid w:val="0"/>
        <w:jc w:val="center"/>
        <w:rPr>
          <w:rFonts w:hint="eastAsia" w:ascii="黑体" w:eastAsia="黑体"/>
          <w:color w:val="auto"/>
          <w:sz w:val="32"/>
          <w:szCs w:val="32"/>
          <w:highlight w:val="none"/>
        </w:rPr>
      </w:pPr>
    </w:p>
    <w:p w14:paraId="406C4953">
      <w:pPr>
        <w:snapToGrid w:val="0"/>
        <w:jc w:val="center"/>
        <w:rPr>
          <w:rFonts w:hint="eastAsia" w:ascii="黑体" w:eastAsia="黑体"/>
          <w:color w:val="auto"/>
          <w:sz w:val="32"/>
          <w:szCs w:val="32"/>
          <w:highlight w:val="none"/>
        </w:rPr>
      </w:pPr>
    </w:p>
    <w:p w14:paraId="26B48AC1">
      <w:pPr>
        <w:snapToGrid w:val="0"/>
        <w:jc w:val="center"/>
        <w:rPr>
          <w:rFonts w:hint="eastAsia" w:ascii="黑体" w:eastAsia="黑体"/>
          <w:color w:val="auto"/>
          <w:sz w:val="32"/>
          <w:szCs w:val="32"/>
          <w:highlight w:val="none"/>
        </w:rPr>
      </w:pPr>
    </w:p>
    <w:p w14:paraId="17F1DBE8">
      <w:pPr>
        <w:snapToGrid w:val="0"/>
        <w:jc w:val="center"/>
        <w:rPr>
          <w:rFonts w:hint="eastAsia" w:ascii="黑体" w:eastAsia="黑体"/>
          <w:color w:val="auto"/>
          <w:sz w:val="32"/>
          <w:szCs w:val="32"/>
          <w:highlight w:val="none"/>
        </w:rPr>
      </w:pPr>
    </w:p>
    <w:p w14:paraId="3D3CBF8C">
      <w:pPr>
        <w:spacing w:line="720" w:lineRule="auto"/>
        <w:jc w:val="center"/>
        <w:rPr>
          <w:rFonts w:hint="eastAsia"/>
          <w:b/>
          <w:color w:val="auto"/>
          <w:sz w:val="32"/>
          <w:szCs w:val="32"/>
          <w:highlight w:val="none"/>
        </w:rPr>
      </w:pPr>
      <w:r>
        <w:rPr>
          <w:rFonts w:hint="eastAsia" w:ascii="仿宋_GB2312" w:eastAsia="仿宋_GB2312"/>
          <w:color w:val="auto"/>
          <w:highlight w:val="none"/>
        </w:rPr>
        <w:br w:type="page"/>
      </w:r>
      <w:r>
        <w:rPr>
          <w:rFonts w:hint="eastAsia"/>
          <w:b/>
          <w:color w:val="auto"/>
          <w:sz w:val="32"/>
          <w:szCs w:val="32"/>
          <w:highlight w:val="none"/>
        </w:rPr>
        <w:t>投标</w:t>
      </w:r>
      <w:bookmarkStart w:id="40" w:name="_Toc254970667"/>
      <w:bookmarkStart w:id="41" w:name="_Toc254970526"/>
      <w:r>
        <w:rPr>
          <w:rFonts w:hint="eastAsia"/>
          <w:b/>
          <w:color w:val="auto"/>
          <w:sz w:val="32"/>
          <w:szCs w:val="32"/>
          <w:highlight w:val="none"/>
        </w:rPr>
        <w:t>人须知及前附表</w:t>
      </w:r>
      <w:bookmarkEnd w:id="40"/>
      <w:bookmarkEnd w:id="41"/>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031BF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71601D">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5479592">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内容、要求</w:t>
            </w:r>
          </w:p>
        </w:tc>
      </w:tr>
      <w:tr w14:paraId="01971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4B92861">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2E45633">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cs="宋体"/>
                <w:color w:val="auto"/>
                <w:sz w:val="21"/>
                <w:szCs w:val="21"/>
                <w:highlight w:val="none"/>
                <w:lang w:eastAsia="zh-CN"/>
              </w:rPr>
              <w:t>广西博物馆陈列大楼沉浸式夜游光影项目</w:t>
            </w:r>
            <w:r>
              <w:rPr>
                <w:rFonts w:hint="eastAsia" w:ascii="宋体" w:hAnsi="宋体" w:eastAsia="宋体" w:cs="宋体"/>
                <w:color w:val="auto"/>
                <w:sz w:val="21"/>
                <w:szCs w:val="21"/>
                <w:highlight w:val="none"/>
              </w:rPr>
              <w:t xml:space="preserve"> </w:t>
            </w:r>
          </w:p>
          <w:p w14:paraId="16C8E119">
            <w:pPr>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采购项目编号：</w:t>
            </w:r>
            <w:r>
              <w:rPr>
                <w:rFonts w:hint="eastAsia" w:ascii="宋体" w:hAnsi="宋体" w:cs="宋体"/>
                <w:color w:val="auto"/>
                <w:sz w:val="21"/>
                <w:szCs w:val="21"/>
                <w:highlight w:val="none"/>
                <w:lang w:eastAsia="zh-CN"/>
              </w:rPr>
              <w:t>GXZC2026-G3-000585-GLZB</w:t>
            </w:r>
          </w:p>
        </w:tc>
      </w:tr>
      <w:tr w14:paraId="60C8B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7AFEC2">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3999288">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及费用：1、本项目投标应以人民币报价；2、不论投标结果如何，投标人均应自行承担所有与投标有关的全部费用；3、本项目的代理服务费按投标人须知第九条规定的（服务类）标准采用差额定率累进计费方式计算，由中标人向采购代理机构支付。</w:t>
            </w:r>
          </w:p>
        </w:tc>
      </w:tr>
      <w:tr w14:paraId="4B4F7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EA4C4F2">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C254283">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投标保证金（人民币）：详见本项目公开招标公告。</w:t>
            </w:r>
          </w:p>
          <w:p w14:paraId="478D2C94">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投标保证金必须根据招标公告的要求进行缴纳，否则视为无效投标保证金。本项目不接受现金形式或从个人账户转出的投标保证金。</w:t>
            </w:r>
          </w:p>
        </w:tc>
      </w:tr>
      <w:tr w14:paraId="1A046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40DA3BD">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0E9DDE8">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tc>
      </w:tr>
      <w:tr w14:paraId="7E3A1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C3D500E">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DD75841">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演示时间及地点：</w:t>
            </w:r>
            <w:r>
              <w:rPr>
                <w:rFonts w:hint="eastAsia" w:ascii="宋体" w:hAnsi="宋体" w:cs="宋体"/>
                <w:color w:val="auto"/>
                <w:sz w:val="21"/>
                <w:szCs w:val="21"/>
                <w:highlight w:val="none"/>
                <w:u w:val="single"/>
                <w:lang w:val="en-US" w:eastAsia="zh-CN"/>
              </w:rPr>
              <w:t>详见采购需求</w:t>
            </w:r>
            <w:r>
              <w:rPr>
                <w:rFonts w:hint="eastAsia" w:ascii="宋体" w:hAnsi="宋体" w:eastAsia="宋体" w:cs="宋体"/>
                <w:color w:val="auto"/>
                <w:sz w:val="21"/>
                <w:szCs w:val="21"/>
                <w:highlight w:val="none"/>
              </w:rPr>
              <w:t>。</w:t>
            </w:r>
          </w:p>
        </w:tc>
      </w:tr>
      <w:tr w14:paraId="1CADA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CBDEDCF">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273C093">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答疑、澄清：投标人如认为招标文件表述不清晰、有误或有不合理要求的，应以书面形式要求采购人或者本公司作出书面答疑、澄清；</w:t>
            </w:r>
          </w:p>
          <w:p w14:paraId="6D81BA47">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询问、质疑：投标人如认为招标文件存在歧视性、排他性或者其他违法内容的，按投标人须知“一、总则（九）询问、质疑和投诉”中的要求向采购人或者本公司提出书面询问、质疑。</w:t>
            </w:r>
          </w:p>
          <w:p w14:paraId="3DB00326">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澄清内容是招标文件的组成部份，本公司将以书面形式送达所有已报名的投标人；本公司可以视采购具体情况，延长招标文件或者资格预审文件提供期限，并在财政部门指定的政府采购信息发布媒体上发布公告。</w:t>
            </w:r>
          </w:p>
        </w:tc>
      </w:tr>
      <w:tr w14:paraId="0A99D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8C75ECF">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CC80293">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投标文件形式：投标供应商应准备电子投标文件。</w:t>
            </w:r>
          </w:p>
          <w:p w14:paraId="31CA3CBD">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电子投标文件是指通过“广西政府采购云平台电子投标客户端”完成投标文件编制后生成并加密的数据电文形式的电子加密投标文件。</w:t>
            </w:r>
          </w:p>
        </w:tc>
      </w:tr>
      <w:tr w14:paraId="6380C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486E46">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33FFABD">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投标文件的编制：供应商应先安装“广西政府采购云平台电子投标客户端”，并按照本招标文件和“广西政府采购云平台”的要求，通过“广西政府采购云平台电子投标客户端”编制并加密投标文件。</w:t>
            </w:r>
          </w:p>
        </w:tc>
      </w:tr>
      <w:tr w14:paraId="60201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22D2EC">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2DF1CDF">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投标文件的盖章：投标文件中所涉及的加盖公章均采用CA电子签章。</w:t>
            </w:r>
          </w:p>
        </w:tc>
      </w:tr>
      <w:tr w14:paraId="2FEB1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E6DE8BB">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6F31921">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48703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853DC5B">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9AAA663">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投标文件份数：电子加密投标文件在线上传提交一份。</w:t>
            </w:r>
          </w:p>
        </w:tc>
      </w:tr>
      <w:tr w14:paraId="4F64A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91AF405">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897716A">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投标文件的上传和提交：本项目通过“广西政府采购云平台”实行在线投标响应（电子投标），投标供应商应当在投标截止时间前，将生成的“电子加密投标文件”上传提交至“广西政府采购云平台”。</w:t>
            </w:r>
          </w:p>
          <w:p w14:paraId="5509A8C8">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“电子加密投标文件”的上传、提交：</w:t>
            </w:r>
          </w:p>
          <w:p w14:paraId="23BEB4F5">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a.投标供应商应在投标截止时间前将“电子加密投标文件”成功上传提交至“广西政府采购云平台”，否则投标无效。</w:t>
            </w:r>
          </w:p>
          <w:p w14:paraId="62B2344C">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b.“电子加密投标文件”成功上传提交后，供应商可自行打印投标文件接收回执。</w:t>
            </w:r>
          </w:p>
        </w:tc>
      </w:tr>
      <w:tr w14:paraId="2580C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A317AAB">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6A9DB5C">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电子加密投标文件的解密：</w:t>
            </w:r>
          </w:p>
          <w:p w14:paraId="087BD768">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29546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E087262">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313ECC5">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提交投标文件截止时间、开标时间和地点：</w:t>
            </w:r>
            <w:r>
              <w:rPr>
                <w:rFonts w:hint="eastAsia" w:ascii="宋体" w:hAnsi="宋体" w:eastAsia="宋体" w:cs="宋体"/>
                <w:b/>
                <w:color w:val="auto"/>
                <w:sz w:val="21"/>
                <w:szCs w:val="21"/>
                <w:highlight w:val="none"/>
              </w:rPr>
              <w:t>详见本项目公开招标公告。</w:t>
            </w:r>
          </w:p>
        </w:tc>
      </w:tr>
      <w:tr w14:paraId="04213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4052E81">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68451D6">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66BB8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C0F6A1">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789FDDF">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中标公告及中标通知书：采购代理机构在采购人依法确认中标人后二个工作日内发布中标公告和中标通知书，中标公告发布于财政部门指定的政府采购信息发布媒体。</w:t>
            </w:r>
          </w:p>
        </w:tc>
      </w:tr>
      <w:tr w14:paraId="16A14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7867F4">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704D971">
            <w:pPr>
              <w:autoSpaceDE w:val="0"/>
              <w:autoSpaceDN w:val="0"/>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采购资金来源：财政性资金。</w:t>
            </w:r>
          </w:p>
        </w:tc>
      </w:tr>
      <w:tr w14:paraId="79A45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959415D">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82CF766">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r>
              <w:rPr>
                <w:rFonts w:hint="eastAsia" w:ascii="宋体" w:hAnsi="宋体" w:eastAsia="宋体" w:cs="宋体"/>
                <w:color w:val="auto"/>
                <w:kern w:val="0"/>
                <w:sz w:val="21"/>
                <w:szCs w:val="21"/>
                <w:highlight w:val="none"/>
              </w:rPr>
              <w:t>见招标项目采购需求。</w:t>
            </w:r>
          </w:p>
        </w:tc>
      </w:tr>
      <w:tr w14:paraId="5422A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0E3712B">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58B00BE">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投标文件有效期：</w:t>
            </w:r>
            <w:r>
              <w:rPr>
                <w:rFonts w:hint="eastAsia" w:ascii="宋体" w:hAnsi="宋体" w:eastAsia="宋体" w:cs="宋体"/>
                <w:color w:val="auto"/>
                <w:sz w:val="21"/>
                <w:szCs w:val="21"/>
                <w:highlight w:val="none"/>
                <w:u w:val="single"/>
              </w:rPr>
              <w:t xml:space="preserve"> 60</w:t>
            </w:r>
            <w:r>
              <w:rPr>
                <w:rFonts w:hint="eastAsia" w:ascii="宋体" w:hAnsi="宋体" w:eastAsia="宋体" w:cs="宋体"/>
                <w:color w:val="auto"/>
                <w:sz w:val="21"/>
                <w:szCs w:val="21"/>
                <w:highlight w:val="none"/>
              </w:rPr>
              <w:t>天。</w:t>
            </w:r>
          </w:p>
        </w:tc>
      </w:tr>
      <w:tr w14:paraId="607BD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D1F38E">
            <w:pPr>
              <w:numPr>
                <w:ilvl w:val="0"/>
                <w:numId w:val="1"/>
              </w:numPr>
              <w:snapToGrid w:val="0"/>
              <w:spacing w:line="360" w:lineRule="exact"/>
              <w:jc w:val="center"/>
              <w:rPr>
                <w:rFonts w:hint="eastAsia" w:ascii="宋体" w:hAnsi="宋体" w:eastAsia="宋体" w:cs="宋体"/>
                <w:color w:val="auto"/>
                <w:sz w:val="21"/>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B0AD647">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本招标文件解释权属广西国力招标有限公司。</w:t>
            </w:r>
          </w:p>
        </w:tc>
      </w:tr>
    </w:tbl>
    <w:p w14:paraId="04D0BE7D">
      <w:pPr>
        <w:spacing w:line="240" w:lineRule="auto"/>
        <w:jc w:val="center"/>
        <w:rPr>
          <w:rFonts w:hint="eastAsia"/>
          <w:b/>
          <w:color w:val="auto"/>
          <w:sz w:val="32"/>
          <w:szCs w:val="32"/>
          <w:highlight w:val="none"/>
        </w:rPr>
      </w:pPr>
      <w:r>
        <w:rPr>
          <w:color w:val="auto"/>
          <w:highlight w:val="none"/>
        </w:rPr>
        <w:br w:type="page"/>
      </w:r>
      <w:r>
        <w:rPr>
          <w:rFonts w:hint="eastAsia"/>
          <w:b/>
          <w:color w:val="auto"/>
          <w:sz w:val="32"/>
          <w:szCs w:val="32"/>
          <w:highlight w:val="none"/>
        </w:rPr>
        <w:t>投标人须知</w:t>
      </w:r>
    </w:p>
    <w:p w14:paraId="4E2FECE8">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一、总  则</w:t>
      </w:r>
      <w:bookmarkStart w:id="42" w:name="_Toc254970668"/>
      <w:bookmarkStart w:id="43" w:name="_Toc254970527"/>
    </w:p>
    <w:p w14:paraId="7DFC5873">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 适用范围</w:t>
      </w:r>
      <w:bookmarkEnd w:id="42"/>
      <w:bookmarkEnd w:id="43"/>
    </w:p>
    <w:p w14:paraId="7FA35BB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本招标文件适用于</w:t>
      </w:r>
      <w:r>
        <w:rPr>
          <w:rFonts w:hint="eastAsia"/>
          <w:bCs/>
          <w:color w:val="auto"/>
          <w:highlight w:val="none"/>
          <w:lang w:eastAsia="zh-CN"/>
        </w:rPr>
        <w:t>本项目</w:t>
      </w:r>
      <w:r>
        <w:rPr>
          <w:rFonts w:hint="eastAsia"/>
          <w:color w:val="auto"/>
          <w:highlight w:val="none"/>
        </w:rPr>
        <w:t>的招标、投标、评标、定标、验收、合同履约、付款等行为（法律、法规另有规定的，从其规定）。</w:t>
      </w:r>
      <w:bookmarkStart w:id="44" w:name="_Toc254970669"/>
      <w:bookmarkStart w:id="45" w:name="_Toc254970528"/>
    </w:p>
    <w:p w14:paraId="74DE44D7">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（二）定义</w:t>
      </w:r>
      <w:bookmarkEnd w:id="44"/>
      <w:bookmarkEnd w:id="45"/>
    </w:p>
    <w:p w14:paraId="0677BDF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1.“采购人”系指组织本次招标的采购单位。</w:t>
      </w:r>
    </w:p>
    <w:p w14:paraId="3335083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2.“采购代理机构”系指广西国力招标有限公司（以下简称“本公司”）。</w:t>
      </w:r>
    </w:p>
    <w:p w14:paraId="1524940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3.“投标人”系指响应招标、参加投标竞争的法人、其他组织或者自然人。</w:t>
      </w:r>
    </w:p>
    <w:p w14:paraId="0AD367B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4.“产品”系指供方按招标文件规定，须向采购人提供的一切设备、保险、税金、备品备件、工具、手册及其它有关技术资料和材料。</w:t>
      </w:r>
    </w:p>
    <w:p w14:paraId="77917D2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5.“服务”系指招标文件规定投标人须承担的安装、调试、技术协助、校准、培训、技术指导以及其他类似的义务。</w:t>
      </w:r>
    </w:p>
    <w:p w14:paraId="0BCA8D7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6.“项目”系指投标人按招标文件规定向采购人提供的产品和服务。</w:t>
      </w:r>
    </w:p>
    <w:p w14:paraId="3795A4F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7.“书面形式”包括信函、传真、电报等。</w:t>
      </w:r>
    </w:p>
    <w:p w14:paraId="202F7C2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8.“▲”系指实质性要求条款。</w:t>
      </w:r>
      <w:bookmarkStart w:id="46" w:name="_Toc254970670"/>
      <w:bookmarkStart w:id="47" w:name="_Toc254970529"/>
    </w:p>
    <w:p w14:paraId="4793373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9.“允许偏离的技术、性能指标或者辅助功能项目”系指不带“▲”的非实质性要求的技术指标、主要功能项目条款。</w:t>
      </w:r>
    </w:p>
    <w:p w14:paraId="0165192B">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（三）招标方式</w:t>
      </w:r>
      <w:bookmarkEnd w:id="46"/>
      <w:bookmarkEnd w:id="47"/>
    </w:p>
    <w:p w14:paraId="10615FE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公开招标方式。</w:t>
      </w:r>
      <w:bookmarkStart w:id="48" w:name="_Toc254970671"/>
      <w:bookmarkStart w:id="49" w:name="_Toc254970530"/>
    </w:p>
    <w:p w14:paraId="7486A844">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（四）投标委托</w:t>
      </w:r>
      <w:bookmarkEnd w:id="48"/>
      <w:bookmarkEnd w:id="49"/>
    </w:p>
    <w:p w14:paraId="17C7F91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如投标人代表不是法定代表人(负责人)，须有法定代表人(负责人)出具的授权委托书（格式见第六章《投标文件格式》）。</w:t>
      </w:r>
      <w:bookmarkStart w:id="50" w:name="_Toc254970672"/>
      <w:bookmarkStart w:id="51" w:name="_Toc254970531"/>
    </w:p>
    <w:p w14:paraId="6C99B6AB">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（五）投标费用</w:t>
      </w:r>
      <w:bookmarkEnd w:id="50"/>
      <w:bookmarkEnd w:id="51"/>
    </w:p>
    <w:p w14:paraId="759DB73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投标人均应自行承担所有与投标有关的全部费用（招标文件有相关的规定除外）。</w:t>
      </w:r>
    </w:p>
    <w:p w14:paraId="2404FE5E">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（六）联合体投标</w:t>
      </w:r>
    </w:p>
    <w:p w14:paraId="3D0801F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本项目明确不接受联合体形式投标，本招标文件所有相关联合体要求及格式文件均不适用。投标人以联合体形式参加投标的，投标无效。</w:t>
      </w:r>
    </w:p>
    <w:p w14:paraId="5A0EF85C">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（七）转包与分包</w:t>
      </w:r>
    </w:p>
    <w:p w14:paraId="045029C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1.本项目不允许转包。</w:t>
      </w:r>
    </w:p>
    <w:p w14:paraId="59900B9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2.本项目不可以分包。</w:t>
      </w:r>
      <w:bookmarkStart w:id="52" w:name="_Toc254970673"/>
      <w:bookmarkStart w:id="53" w:name="_Toc254970532"/>
    </w:p>
    <w:p w14:paraId="3428ACFC">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（八）特别说明：</w:t>
      </w:r>
      <w:bookmarkEnd w:id="52"/>
      <w:bookmarkEnd w:id="53"/>
    </w:p>
    <w:p w14:paraId="6FEFDF59">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bookmarkStart w:id="54" w:name="_Toc254970674"/>
      <w:bookmarkStart w:id="55" w:name="_Toc254970533"/>
      <w:r>
        <w:rPr>
          <w:rFonts w:hint="eastAsia" w:hAnsi="Times New Roman" w:cs="Times New Roman"/>
          <w:color w:val="auto"/>
          <w:highlight w:val="none"/>
        </w:rPr>
        <w:t>▲1.单位负责人为同一人或者存在直接控股、管理关系的不同供应商，不得参加同一合同项下的政府采购活动。</w:t>
      </w:r>
    </w:p>
    <w:p w14:paraId="37F47B6E">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hAnsi="Times New Roman" w:cs="Times New Roman"/>
          <w:color w:val="auto"/>
          <w:highlight w: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747935D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非单一产品采购项目中，多家投标人提供的招标文件中载明的核心产品品牌相同的，视为提供相同品牌产品。</w:t>
      </w:r>
    </w:p>
    <w:p w14:paraId="24D4AED8">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eastAsia="zh-CN"/>
        </w:rPr>
        <w:t>3</w:t>
      </w:r>
      <w:r>
        <w:rPr>
          <w:rFonts w:hint="eastAsia" w:hAnsi="Times New Roman" w:cs="Times New Roman"/>
          <w:color w:val="auto"/>
          <w:highlight w:val="none"/>
        </w:rPr>
        <w:t>.投标人应仔细阅读招标文件的所有内容，按照招标文件的要求提交投标文件，并对所提供的全部资料的真实性承担法律责任。</w:t>
      </w:r>
    </w:p>
    <w:p w14:paraId="4D8184BA">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eastAsia="zh-CN"/>
        </w:rPr>
        <w:t>4</w:t>
      </w:r>
      <w:r>
        <w:rPr>
          <w:rFonts w:hint="eastAsia" w:hAnsi="Times New Roman" w:cs="Times New Roman"/>
          <w:color w:val="auto"/>
          <w:highlight w:val="none"/>
        </w:rPr>
        <w:t>.投标人在投标活动中提供任何虚假材料、互相串通投标，其投标无效，并报监管部门查处。</w:t>
      </w:r>
    </w:p>
    <w:p w14:paraId="7177F25E">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（九）</w:t>
      </w:r>
      <w:bookmarkEnd w:id="54"/>
      <w:bookmarkEnd w:id="55"/>
      <w:r>
        <w:rPr>
          <w:rFonts w:hint="eastAsia" w:hAnsi="Times New Roman" w:cs="Times New Roman"/>
          <w:b/>
          <w:color w:val="auto"/>
          <w:highlight w:val="none"/>
        </w:rPr>
        <w:t>询问、质疑和投诉</w:t>
      </w:r>
    </w:p>
    <w:p w14:paraId="1D0E701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1.投标人对政府采购活动事项有疑问的，可以向采购人、采购代理机构提出询问。</w:t>
      </w:r>
    </w:p>
    <w:p w14:paraId="5B38616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2CB6E62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（1）对可以质疑的采购文件提出质疑的，为收到采购文件之日或者采购文件公告期限届满之日；</w:t>
      </w:r>
    </w:p>
    <w:p w14:paraId="12B8D77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（2）对</w:t>
      </w:r>
      <w:r>
        <w:rPr>
          <w:rFonts w:hint="eastAsia" w:hAnsi="Times New Roman" w:cs="Times New Roman"/>
          <w:color w:val="auto"/>
          <w:highlight w:val="none"/>
          <w:lang w:eastAsia="zh-CN"/>
        </w:rPr>
        <w:t>采购</w:t>
      </w:r>
      <w:r>
        <w:rPr>
          <w:rFonts w:hint="eastAsia" w:hAnsi="Times New Roman" w:cs="Times New Roman"/>
          <w:color w:val="auto"/>
          <w:highlight w:val="none"/>
        </w:rPr>
        <w:t>过程提出质疑的，为各采购程序环节结束之日；</w:t>
      </w:r>
    </w:p>
    <w:p w14:paraId="7DB87D6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（3）对中标结果提出质疑的，为中标结果公告期限届满之日。</w:t>
      </w:r>
    </w:p>
    <w:p w14:paraId="7B8A008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投标人对招标采购单位的质疑答复不满意或者招标采购单位未在规定时间内作出答复的，可以在答复期满后十五个工作日内向同级采购监管部门投诉。</w:t>
      </w:r>
    </w:p>
    <w:p w14:paraId="7C4246C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lang w:eastAsia="zh-CN"/>
        </w:rPr>
      </w:pPr>
      <w:r>
        <w:rPr>
          <w:rFonts w:hint="eastAsia" w:hAnsi="Times New Roman" w:cs="Times New Roman"/>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56" w:name="_Toc254970534"/>
      <w:bookmarkStart w:id="57" w:name="_Toc254970675"/>
    </w:p>
    <w:p w14:paraId="78C577A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4.供应商提出质疑应当提交质疑函和必要的证明材料。质疑函应当包括下列内容：</w:t>
      </w:r>
    </w:p>
    <w:p w14:paraId="01FDD12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（1）供应商的姓名或者名称、地址、邮编、联系人及联系电话；</w:t>
      </w:r>
    </w:p>
    <w:p w14:paraId="36165A0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（2）质疑项目的名称、编号；</w:t>
      </w:r>
    </w:p>
    <w:p w14:paraId="47B9E7D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（3）具体、明确的质疑事项和与质疑事项相关的请求；</w:t>
      </w:r>
    </w:p>
    <w:p w14:paraId="1F67C87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（4）事实依据；</w:t>
      </w:r>
    </w:p>
    <w:p w14:paraId="1E28BA8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（5）必要的法律依据；</w:t>
      </w:r>
    </w:p>
    <w:p w14:paraId="3750FA7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（6）提出质疑的日期。</w:t>
      </w:r>
    </w:p>
    <w:p w14:paraId="4FC994F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供应商为自然人的，应当由本人签字；供应商为法人或者其他组织的，应当由法定代表人、主要负责人，或者其授权代表签字或者盖章，并加盖公章。</w:t>
      </w:r>
    </w:p>
    <w:p w14:paraId="05C5BAE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代理人提出质疑和投诉，应当提交供应商签署的授权委托书。</w:t>
      </w:r>
    </w:p>
    <w:p w14:paraId="310FDFA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lang w:eastAsia="zh-CN"/>
        </w:rPr>
        <w:t>5</w:t>
      </w:r>
      <w:r>
        <w:rPr>
          <w:rFonts w:hint="eastAsia" w:hAnsi="Times New Roman" w:cs="Times New Roman"/>
          <w:color w:val="auto"/>
          <w:highlight w:val="none"/>
        </w:rPr>
        <w:t>.采购人、采购代理机构认为供应商质疑不成立，或者成立但未对中标结果构成影响的，继续开展采购活动；认为供应商质疑成立且影响或者可能影响中标结果的，按照下列情况处理：</w:t>
      </w:r>
    </w:p>
    <w:p w14:paraId="5195C20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val="en-US" w:eastAsia="zh-CN"/>
        </w:rPr>
        <w:t>1</w:t>
      </w:r>
      <w:r>
        <w:rPr>
          <w:rFonts w:hint="eastAsia" w:hAnsi="Times New Roman" w:cs="Times New Roman"/>
          <w:color w:val="auto"/>
          <w:highlight w:val="none"/>
        </w:rPr>
        <w:t>）对采购文件提出的质疑，依法通过澄清或者修改可以继续开展采购活动的，澄清或者修改采购文件后继续开展采购活动；否则应当修改采购文件后重新开展采购活动。</w:t>
      </w:r>
    </w:p>
    <w:p w14:paraId="7859371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w:t>
      </w:r>
      <w:r>
        <w:rPr>
          <w:rFonts w:hint="eastAsia" w:hAnsi="Times New Roman" w:cs="Times New Roman"/>
          <w:color w:val="auto"/>
          <w:highlight w:val="none"/>
          <w:lang w:val="en-US" w:eastAsia="zh-CN"/>
        </w:rPr>
        <w:t>2</w:t>
      </w:r>
      <w:r>
        <w:rPr>
          <w:rFonts w:hint="eastAsia" w:hAnsi="Times New Roman" w:cs="Times New Roman"/>
          <w:color w:val="auto"/>
          <w:highlight w:val="none"/>
        </w:rPr>
        <w:t>）对采购过程、中标结果提出的质疑，合格供应商符合法定数量时，可以从合格的中标候选人中另行确定中标供应商的，应当依法根据中标候选人推荐原则另行确定中标供应商；否则应当重新开展采购活动。</w:t>
      </w:r>
    </w:p>
    <w:p w14:paraId="00CC254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质疑答复导致中标结果改变的，采购人或者采购代理机构应当将有关情况书面报告本级财政部门。</w:t>
      </w:r>
    </w:p>
    <w:p w14:paraId="522F51A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①质疑联系部门及电话为：广西国力招标有限公司                      0771-4915558</w:t>
      </w:r>
    </w:p>
    <w:p w14:paraId="1518919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通讯地址：广西南宁市白沙大道53号松宇时代13楼</w:t>
      </w:r>
    </w:p>
    <w:p w14:paraId="705A957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②投诉联系部门及电话为：广西壮族自治区财政厅政府采购监督管理处    0771-5331544</w:t>
      </w:r>
    </w:p>
    <w:p w14:paraId="0DAB0F8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color w:val="auto"/>
          <w:highlight w:val="none"/>
          <w:lang w:val="en-US"/>
        </w:rPr>
      </w:pPr>
      <w:r>
        <w:rPr>
          <w:rFonts w:hint="eastAsia" w:hAnsi="Times New Roman" w:cs="Times New Roman"/>
          <w:color w:val="auto"/>
          <w:highlight w:val="none"/>
        </w:rPr>
        <w:t>通讯地址：广西南宁市桃源路69号</w:t>
      </w:r>
    </w:p>
    <w:p w14:paraId="0E170F1B">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二、招标文件</w:t>
      </w:r>
      <w:bookmarkEnd w:id="56"/>
      <w:bookmarkEnd w:id="57"/>
    </w:p>
    <w:p w14:paraId="283BE0A5">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（一）招标文件的构成</w:t>
      </w:r>
    </w:p>
    <w:p w14:paraId="3C91812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1.公开招标公告；</w:t>
      </w:r>
    </w:p>
    <w:p w14:paraId="4E1E253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2.招标项目采购需求</w:t>
      </w:r>
    </w:p>
    <w:p w14:paraId="4CD45D6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3.投标人须知；</w:t>
      </w:r>
    </w:p>
    <w:p w14:paraId="1FBD8B7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4.评标方法及评分标准；</w:t>
      </w:r>
    </w:p>
    <w:p w14:paraId="4ED5C57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5.政府采购合同主要条款；</w:t>
      </w:r>
    </w:p>
    <w:p w14:paraId="3B92AE1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6.投标文件格式。</w:t>
      </w:r>
    </w:p>
    <w:p w14:paraId="0FD06725">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（二）投标人的风险</w:t>
      </w:r>
    </w:p>
    <w:p w14:paraId="145E72C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4023421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2.对招标文件提出的实质性要求和条件作出响应是指投标人必须对招标文件中涉及招标项目的价格、采购</w:t>
      </w:r>
      <w:r>
        <w:rPr>
          <w:rFonts w:hint="eastAsia" w:hAnsi="Times New Roman" w:cs="Times New Roman"/>
          <w:color w:val="auto"/>
          <w:highlight w:val="none"/>
          <w:lang w:eastAsia="zh-CN"/>
        </w:rPr>
        <w:t>服务</w:t>
      </w:r>
      <w:r>
        <w:rPr>
          <w:rFonts w:hint="eastAsia" w:hAnsi="Times New Roman" w:cs="Times New Roman"/>
          <w:color w:val="auto"/>
          <w:highlight w:val="none"/>
        </w:rPr>
        <w:t>的</w:t>
      </w:r>
      <w:r>
        <w:rPr>
          <w:rFonts w:hint="eastAsia" w:hAnsi="Times New Roman" w:cs="Times New Roman"/>
          <w:color w:val="auto"/>
          <w:highlight w:val="none"/>
          <w:lang w:eastAsia="zh-CN"/>
        </w:rPr>
        <w:t>服务要求</w:t>
      </w:r>
      <w:r>
        <w:rPr>
          <w:rFonts w:hint="eastAsia" w:hAnsi="Times New Roman" w:cs="Times New Roman"/>
          <w:color w:val="auto"/>
          <w:highlight w:val="none"/>
        </w:rPr>
        <w:t>及其它要求、合同主要条款等内容作出响应。</w:t>
      </w:r>
    </w:p>
    <w:p w14:paraId="6384988B">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（三）招标文件的澄清与修改</w:t>
      </w:r>
    </w:p>
    <w:p w14:paraId="5E36FF3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 xml:space="preserve">1. </w:t>
      </w:r>
      <w:r>
        <w:rPr>
          <w:rFonts w:hint="eastAsia"/>
          <w:bCs/>
          <w:color w:val="auto"/>
          <w:highlight w:val="none"/>
        </w:rPr>
        <w:t>投标人应认真阅读本招标文件，发现其中有误或有不合理要求的，</w:t>
      </w:r>
      <w:r>
        <w:rPr>
          <w:rFonts w:hint="eastAsia" w:hAnsi="宋体"/>
          <w:bCs/>
          <w:color w:val="auto"/>
          <w:highlight w:val="none"/>
        </w:rPr>
        <w:t>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w:t>
      </w:r>
      <w:r>
        <w:rPr>
          <w:rFonts w:hAnsi="宋体"/>
          <w:color w:val="auto"/>
          <w:highlight w:val="none"/>
        </w:rPr>
        <w:t>采购人或者采购代理机构</w:t>
      </w:r>
      <w:r>
        <w:rPr>
          <w:rFonts w:hint="eastAsia" w:hAnsi="宋体"/>
          <w:color w:val="auto"/>
          <w:highlight w:val="none"/>
        </w:rPr>
        <w:t>答疑、澄清</w:t>
      </w:r>
      <w:r>
        <w:rPr>
          <w:rFonts w:hint="eastAsia" w:hAnsi="宋体"/>
          <w:bCs/>
          <w:color w:val="auto"/>
          <w:highlight w:val="none"/>
        </w:rPr>
        <w:t>。</w:t>
      </w:r>
      <w:r>
        <w:rPr>
          <w:rFonts w:hint="eastAsia"/>
          <w:bCs/>
          <w:color w:val="auto"/>
          <w:highlight w:val="none"/>
        </w:rPr>
        <w:t>采购代理机构对已发出的招标文件进行必要澄清、答复、修改或补充</w:t>
      </w:r>
      <w:r>
        <w:rPr>
          <w:rFonts w:hint="eastAsia" w:hAnsi="宋体"/>
          <w:b/>
          <w:bCs/>
          <w:color w:val="auto"/>
          <w:highlight w:val="none"/>
          <w:lang w:eastAsia="zh-CN"/>
        </w:rPr>
        <w:t>的内容</w:t>
      </w:r>
      <w:r>
        <w:rPr>
          <w:rFonts w:hint="eastAsia" w:hAnsi="宋体"/>
          <w:b/>
          <w:bCs/>
          <w:color w:val="auto"/>
          <w:highlight w:val="none"/>
        </w:rPr>
        <w:t>可能影响投标文件编制的</w:t>
      </w:r>
      <w:r>
        <w:rPr>
          <w:rFonts w:hint="eastAsia"/>
          <w:bCs/>
          <w:color w:val="auto"/>
          <w:highlight w:val="none"/>
        </w:rPr>
        <w:t>，应当在招标文件要求提交投标文件截止时间</w:t>
      </w:r>
      <w:r>
        <w:rPr>
          <w:rFonts w:hint="eastAsia"/>
          <w:bCs/>
          <w:color w:val="auto"/>
          <w:highlight w:val="none"/>
          <w:lang w:eastAsia="zh-CN"/>
        </w:rPr>
        <w:t>15</w:t>
      </w:r>
      <w:r>
        <w:rPr>
          <w:rFonts w:hint="eastAsia"/>
          <w:bCs/>
          <w:color w:val="auto"/>
          <w:highlight w:val="none"/>
        </w:rPr>
        <w:t>日前，在财政部门指定的政府采购信息发布媒体上发布更正公告，并以书面形式通知所有招标文件收受人。</w:t>
      </w:r>
    </w:p>
    <w:p w14:paraId="3E2BB2D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2. 招标文件澄清、答复、修改、补充的内容为招标文件的组成部分。当招标文件与招标文件的答复、澄清、修改、补充通知就同一内容的表述不一致时，以最后发出的书面文件为准。</w:t>
      </w:r>
    </w:p>
    <w:p w14:paraId="2362BF2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3. 招标文件的澄清、答复、修改、补充都应该通过本采购代理机构以法定形式发布，采购人非通过本机构，不得擅自澄清、答复、修改、补充招标文件。</w:t>
      </w:r>
    </w:p>
    <w:p w14:paraId="4CD26A2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 采购代理机构</w:t>
      </w:r>
      <w:r>
        <w:rPr>
          <w:rFonts w:hint="eastAsia" w:hAnsi="宋体"/>
          <w:color w:val="auto"/>
          <w:highlight w:val="none"/>
        </w:rPr>
        <w:t>可以视采购具体情况，延长招标文件或者资格预审文件提供期限，并在财政部门指定的政府采购信息发布媒体上发布公告。</w:t>
      </w:r>
      <w:bookmarkStart w:id="58" w:name="_Toc254970535"/>
      <w:bookmarkStart w:id="59" w:name="_Toc254970676"/>
    </w:p>
    <w:p w14:paraId="1AE9DCF0">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hAnsi="Times New Roman" w:cs="Times New Roman"/>
          <w:b/>
          <w:color w:val="auto"/>
          <w:highlight w:val="none"/>
        </w:rPr>
      </w:pPr>
      <w:r>
        <w:rPr>
          <w:rFonts w:hint="eastAsia" w:hAnsi="Times New Roman" w:cs="Times New Roman"/>
          <w:b/>
          <w:color w:val="auto"/>
          <w:highlight w:val="none"/>
        </w:rPr>
        <w:t>三、投标文件的编制</w:t>
      </w:r>
      <w:bookmarkEnd w:id="58"/>
      <w:bookmarkEnd w:id="59"/>
      <w:bookmarkStart w:id="60" w:name="_Toc254970536"/>
      <w:bookmarkStart w:id="61" w:name="_Toc254970677"/>
    </w:p>
    <w:p w14:paraId="2B102E01">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（一）投标文件的组成</w:t>
      </w:r>
      <w:bookmarkEnd w:id="60"/>
      <w:bookmarkEnd w:id="61"/>
      <w:r>
        <w:rPr>
          <w:rFonts w:hint="eastAsia" w:hAnsi="Times New Roman" w:cs="Times New Roman"/>
          <w:b/>
          <w:color w:val="auto"/>
          <w:highlight w:val="none"/>
        </w:rPr>
        <w:t>（以下要求“必须提供”的，请按要求在投标文件中提供，否则作投标无效处理；其他如有请提供）</w:t>
      </w:r>
    </w:p>
    <w:p w14:paraId="445DC7F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hAnsi="宋体"/>
          <w:color w:val="auto"/>
          <w:highlight w:val="none"/>
        </w:rPr>
        <w:t>投标文件由资格文件、商务技术文件、报价文件</w:t>
      </w:r>
      <w:r>
        <w:rPr>
          <w:rFonts w:hint="eastAsia" w:ascii="宋体"/>
          <w:b/>
          <w:color w:val="auto"/>
          <w:szCs w:val="21"/>
          <w:highlight w:val="none"/>
        </w:rPr>
        <w:t>三部分</w:t>
      </w:r>
      <w:r>
        <w:rPr>
          <w:rFonts w:hint="eastAsia" w:ascii="宋体"/>
          <w:color w:val="auto"/>
          <w:szCs w:val="21"/>
          <w:highlight w:val="none"/>
        </w:rPr>
        <w:t>组成。</w:t>
      </w:r>
      <w:r>
        <w:rPr>
          <w:rFonts w:hint="eastAsia" w:ascii="宋体"/>
          <w:b/>
          <w:color w:val="auto"/>
          <w:szCs w:val="21"/>
          <w:highlight w:val="none"/>
        </w:rPr>
        <w:t>（扫描件或其他电子文件）</w:t>
      </w:r>
    </w:p>
    <w:p w14:paraId="4972170F">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1.资格文件：</w:t>
      </w:r>
    </w:p>
    <w:p w14:paraId="44A764C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ascii="宋体" w:hAnsi="宋体"/>
          <w:color w:val="auto"/>
          <w:szCs w:val="21"/>
          <w:highlight w:val="none"/>
        </w:rPr>
        <w:t>（1）有效的主体资格证明文件；</w:t>
      </w:r>
    </w:p>
    <w:p w14:paraId="58EBD81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ascii="宋体" w:hAnsi="宋体"/>
          <w:color w:val="auto"/>
          <w:highlight w:val="none"/>
        </w:rPr>
        <w:t>投标人有效的“主体资格证明文件”（如营业执照、事业单位法人证书、执业许可证、自然人身份证等）</w:t>
      </w:r>
      <w:r>
        <w:rPr>
          <w:rFonts w:hint="eastAsia" w:hAnsi="宋体"/>
          <w:color w:val="auto"/>
          <w:highlight w:val="none"/>
        </w:rPr>
        <w:t>复印件</w:t>
      </w:r>
      <w:r>
        <w:rPr>
          <w:rFonts w:hint="eastAsia" w:ascii="宋体" w:hAnsi="宋体"/>
          <w:color w:val="auto"/>
          <w:highlight w:val="none"/>
        </w:rPr>
        <w:t>，同时要加盖单位公章；</w:t>
      </w:r>
      <w:r>
        <w:rPr>
          <w:rFonts w:hint="eastAsia" w:ascii="宋体" w:hAnsi="宋体"/>
          <w:b/>
          <w:color w:val="auto"/>
          <w:highlight w:val="none"/>
        </w:rPr>
        <w:t>（必须提供）</w:t>
      </w:r>
    </w:p>
    <w:p w14:paraId="443B8D2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（2）投标截止之日前一年内投标人</w:t>
      </w:r>
      <w:r>
        <w:rPr>
          <w:rFonts w:hint="eastAsia" w:hAnsi="宋体"/>
          <w:color w:val="auto"/>
          <w:szCs w:val="21"/>
          <w:highlight w:val="none"/>
          <w:lang w:eastAsia="zh-CN"/>
        </w:rPr>
        <w:t>任意三个月</w:t>
      </w:r>
      <w:r>
        <w:rPr>
          <w:rFonts w:hint="eastAsia" w:ascii="宋体" w:hAnsi="宋体"/>
          <w:color w:val="auto"/>
          <w:szCs w:val="21"/>
          <w:highlight w:val="none"/>
        </w:rPr>
        <w:t>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759914B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ascii="宋体" w:hAnsi="宋体"/>
          <w:color w:val="auto"/>
          <w:szCs w:val="21"/>
          <w:highlight w:val="none"/>
        </w:rPr>
        <w:t>（3）投标截止之日前一年内投标人</w:t>
      </w:r>
      <w:r>
        <w:rPr>
          <w:rFonts w:hint="eastAsia" w:hAnsi="宋体"/>
          <w:color w:val="auto"/>
          <w:szCs w:val="21"/>
          <w:highlight w:val="none"/>
          <w:lang w:eastAsia="zh-CN"/>
        </w:rPr>
        <w:t>任意三个月</w:t>
      </w:r>
      <w:r>
        <w:rPr>
          <w:rFonts w:hint="eastAsia" w:ascii="宋体" w:hAnsi="宋体"/>
          <w:color w:val="auto"/>
          <w:szCs w:val="21"/>
          <w:highlight w:val="none"/>
        </w:rPr>
        <w:t>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147F017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b/>
          <w:color w:val="auto"/>
          <w:szCs w:val="21"/>
          <w:highlight w:val="none"/>
        </w:rPr>
      </w:pPr>
      <w:r>
        <w:rPr>
          <w:rFonts w:hint="eastAsia" w:hAnsi="Times New Roman" w:cs="Times New Roman"/>
          <w:color w:val="auto"/>
          <w:highlight w:val="none"/>
        </w:rPr>
        <w:t>（</w:t>
      </w:r>
      <w:r>
        <w:rPr>
          <w:rFonts w:hint="eastAsia" w:ascii="宋体" w:hAnsi="宋体"/>
          <w:color w:val="auto"/>
          <w:szCs w:val="21"/>
          <w:highlight w:val="none"/>
        </w:rPr>
        <w:t>4）</w:t>
      </w:r>
      <w:r>
        <w:rPr>
          <w:rFonts w:hint="eastAsia" w:hAnsi="宋体"/>
          <w:color w:val="auto"/>
          <w:szCs w:val="21"/>
          <w:highlight w:val="none"/>
          <w:lang w:eastAsia="zh-CN"/>
        </w:rPr>
        <w:t>财务状况报告。</w:t>
      </w:r>
      <w:r>
        <w:rPr>
          <w:rFonts w:hint="eastAsia" w:ascii="宋体" w:hAnsi="宋体"/>
          <w:b/>
          <w:color w:val="auto"/>
          <w:szCs w:val="21"/>
          <w:highlight w:val="none"/>
        </w:rPr>
        <w:t>（格式自拟，必须提供）</w:t>
      </w:r>
    </w:p>
    <w:p w14:paraId="55D3D27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（内容、格式自拟，必须提供）</w:t>
      </w:r>
    </w:p>
    <w:p w14:paraId="6A1AF26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3D255783">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76B08EAD">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21BD7581">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4F630089">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2692CAD3">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434FF4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（7）中小企业声明函。</w:t>
      </w:r>
      <w:r>
        <w:rPr>
          <w:rFonts w:hint="eastAsia" w:ascii="宋体" w:hAnsi="宋体" w:eastAsia="宋体" w:cs="Times New Roman"/>
          <w:b w:val="0"/>
          <w:bCs/>
          <w:color w:val="auto"/>
          <w:kern w:val="2"/>
          <w:sz w:val="21"/>
          <w:szCs w:val="21"/>
          <w:highlight w:val="none"/>
          <w:lang w:val="en-US" w:eastAsia="zh-CN" w:bidi="ar-SA"/>
        </w:rPr>
        <w:t>（按最新相关政策执行，格式见第六章，必须提供）</w:t>
      </w:r>
    </w:p>
    <w:p w14:paraId="2B95DB87">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color w:val="auto"/>
          <w:highlight w:val="none"/>
          <w:lang w:eastAsia="zh-CN"/>
        </w:rPr>
      </w:pPr>
      <w:r>
        <w:rPr>
          <w:rFonts w:hint="eastAsia"/>
          <w:b/>
          <w:color w:val="auto"/>
          <w:highlight w:val="none"/>
        </w:rPr>
        <w:t>2.商务技术文件：</w:t>
      </w:r>
    </w:p>
    <w:p w14:paraId="7E57CDAF">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color w:val="auto"/>
          <w:highlight w:val="none"/>
        </w:rPr>
      </w:pPr>
      <w:r>
        <w:rPr>
          <w:rFonts w:hint="eastAsia"/>
          <w:b/>
          <w:color w:val="auto"/>
          <w:highlight w:val="none"/>
        </w:rPr>
        <w:t>2.</w:t>
      </w:r>
      <w:r>
        <w:rPr>
          <w:rFonts w:hint="eastAsia"/>
          <w:b/>
          <w:color w:val="auto"/>
          <w:highlight w:val="none"/>
          <w:lang w:eastAsia="zh-CN"/>
        </w:rPr>
        <w:t>1</w:t>
      </w:r>
      <w:r>
        <w:rPr>
          <w:rFonts w:hint="eastAsia"/>
          <w:b/>
          <w:color w:val="auto"/>
          <w:highlight w:val="none"/>
        </w:rPr>
        <w:t>商务文件：</w:t>
      </w:r>
    </w:p>
    <w:p w14:paraId="64DDA8B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1</w:t>
      </w:r>
      <w:r>
        <w:rPr>
          <w:rFonts w:hint="eastAsia" w:ascii="宋体"/>
          <w:color w:val="auto"/>
          <w:szCs w:val="21"/>
          <w:highlight w:val="none"/>
        </w:rPr>
        <w:t>）投标声明书 (格式见第六章)；</w:t>
      </w:r>
      <w:r>
        <w:rPr>
          <w:rFonts w:hint="eastAsia" w:ascii="宋体"/>
          <w:b/>
          <w:color w:val="auto"/>
          <w:szCs w:val="21"/>
          <w:highlight w:val="none"/>
        </w:rPr>
        <w:t>（必须提供）</w:t>
      </w:r>
    </w:p>
    <w:p w14:paraId="66125CC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2</w:t>
      </w:r>
      <w:r>
        <w:rPr>
          <w:rFonts w:hint="eastAsia" w:ascii="宋体"/>
          <w:color w:val="auto"/>
          <w:szCs w:val="21"/>
          <w:highlight w:val="none"/>
        </w:rPr>
        <w:t>）法定代表人(负责人)授权委托书和委托代理人身份证正、反面复印件（格式见第六章)</w:t>
      </w:r>
      <w:r>
        <w:rPr>
          <w:rFonts w:hint="eastAsia" w:ascii="宋体"/>
          <w:b/>
          <w:color w:val="auto"/>
          <w:szCs w:val="21"/>
          <w:highlight w:val="none"/>
        </w:rPr>
        <w:t>（委托时必须提供）</w:t>
      </w:r>
      <w:r>
        <w:rPr>
          <w:rFonts w:hint="eastAsia" w:ascii="宋体"/>
          <w:color w:val="auto"/>
          <w:szCs w:val="21"/>
          <w:highlight w:val="none"/>
        </w:rPr>
        <w:t>；</w:t>
      </w:r>
    </w:p>
    <w:p w14:paraId="1179440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3</w:t>
      </w:r>
      <w:r>
        <w:rPr>
          <w:rFonts w:hint="eastAsia" w:ascii="宋体"/>
          <w:color w:val="auto"/>
          <w:szCs w:val="21"/>
          <w:highlight w:val="none"/>
        </w:rPr>
        <w:t>）法定代表人(负责人)身份证明书（格式见附件)、法定代表人（负责人）有效身份证正反面复印件</w:t>
      </w:r>
      <w:r>
        <w:rPr>
          <w:rFonts w:hint="eastAsia" w:ascii="宋体"/>
          <w:b/>
          <w:color w:val="auto"/>
          <w:szCs w:val="21"/>
          <w:highlight w:val="none"/>
        </w:rPr>
        <w:t>（必须提供）</w:t>
      </w:r>
      <w:r>
        <w:rPr>
          <w:rFonts w:hint="eastAsia" w:ascii="宋体"/>
          <w:color w:val="auto"/>
          <w:szCs w:val="21"/>
          <w:highlight w:val="none"/>
        </w:rPr>
        <w:t xml:space="preserve">； </w:t>
      </w:r>
    </w:p>
    <w:p w14:paraId="288F9A1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b/>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4</w:t>
      </w:r>
      <w:r>
        <w:rPr>
          <w:rFonts w:hint="eastAsia" w:ascii="宋体"/>
          <w:color w:val="auto"/>
          <w:szCs w:val="21"/>
          <w:highlight w:val="none"/>
        </w:rPr>
        <w:t>）商务响应表（格式见第六章）；</w:t>
      </w:r>
      <w:r>
        <w:rPr>
          <w:rFonts w:hint="eastAsia" w:ascii="宋体"/>
          <w:b/>
          <w:color w:val="auto"/>
          <w:szCs w:val="21"/>
          <w:highlight w:val="none"/>
        </w:rPr>
        <w:t>（必须提供）</w:t>
      </w:r>
    </w:p>
    <w:p w14:paraId="268242A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b/>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5</w:t>
      </w:r>
      <w:r>
        <w:rPr>
          <w:rFonts w:hint="eastAsia" w:ascii="宋体"/>
          <w:color w:val="auto"/>
          <w:szCs w:val="21"/>
          <w:highlight w:val="none"/>
        </w:rPr>
        <w:t>）招标项目采购需求中要求必须提供的材料等；</w:t>
      </w:r>
      <w:r>
        <w:rPr>
          <w:rFonts w:hint="eastAsia"/>
          <w:color w:val="auto"/>
          <w:highlight w:val="none"/>
        </w:rPr>
        <w:t>（招标项目采购需求中要求必须提供的材料，据实提供）</w:t>
      </w:r>
    </w:p>
    <w:p w14:paraId="51FF7FD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b/>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6</w:t>
      </w:r>
      <w:r>
        <w:rPr>
          <w:rFonts w:hint="eastAsia" w:ascii="宋体"/>
          <w:color w:val="auto"/>
          <w:szCs w:val="21"/>
          <w:highlight w:val="none"/>
        </w:rPr>
        <w:t>）具备法律、行政法规规定的其他条件的证明材料。</w:t>
      </w:r>
      <w:r>
        <w:rPr>
          <w:rFonts w:hint="eastAsia" w:ascii="宋体"/>
          <w:b/>
          <w:color w:val="auto"/>
          <w:szCs w:val="21"/>
          <w:highlight w:val="none"/>
        </w:rPr>
        <w:t xml:space="preserve"> (如有规定,则必须提供)</w:t>
      </w:r>
    </w:p>
    <w:p w14:paraId="16825208">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b/>
          <w:bCs/>
          <w:color w:val="auto"/>
          <w:szCs w:val="21"/>
          <w:highlight w:val="none"/>
        </w:rPr>
      </w:pPr>
      <w:r>
        <w:rPr>
          <w:rFonts w:hint="eastAsia" w:ascii="宋体"/>
          <w:b/>
          <w:bCs/>
          <w:color w:val="auto"/>
          <w:szCs w:val="21"/>
          <w:highlight w:val="none"/>
        </w:rPr>
        <w:t xml:space="preserve">可作为投标人资信评分的资质证明材料（可选）  </w:t>
      </w:r>
    </w:p>
    <w:p w14:paraId="5FC1881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7</w:t>
      </w:r>
      <w:r>
        <w:rPr>
          <w:rFonts w:hint="eastAsia" w:ascii="宋体"/>
          <w:color w:val="auto"/>
          <w:szCs w:val="21"/>
          <w:highlight w:val="none"/>
        </w:rPr>
        <w:t>）类似成功案例的业绩（投标人同类项目实施情况一览表、合同扫描件等，格式可自行调整）；</w:t>
      </w:r>
    </w:p>
    <w:p w14:paraId="3F12EC0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8</w:t>
      </w:r>
      <w:r>
        <w:rPr>
          <w:rFonts w:hint="eastAsia" w:ascii="宋体"/>
          <w:color w:val="auto"/>
          <w:szCs w:val="21"/>
          <w:highlight w:val="none"/>
        </w:rPr>
        <w:t>）其他特殊资质证书；</w:t>
      </w:r>
    </w:p>
    <w:p w14:paraId="0E7DAD4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color w:val="auto"/>
          <w:szCs w:val="21"/>
          <w:highlight w:val="none"/>
        </w:rPr>
        <w:t>（</w:t>
      </w:r>
      <w:r>
        <w:rPr>
          <w:rFonts w:hint="eastAsia"/>
          <w:color w:val="auto"/>
          <w:szCs w:val="21"/>
          <w:highlight w:val="none"/>
          <w:lang w:val="en-US" w:eastAsia="zh-CN"/>
        </w:rPr>
        <w:t>9</w:t>
      </w:r>
      <w:r>
        <w:rPr>
          <w:rFonts w:hint="eastAsia" w:ascii="宋体"/>
          <w:color w:val="auto"/>
          <w:szCs w:val="21"/>
          <w:highlight w:val="none"/>
        </w:rPr>
        <w:t>）投标</w:t>
      </w:r>
      <w:r>
        <w:rPr>
          <w:rFonts w:hint="eastAsia" w:ascii="宋体" w:hAnsi="宋体"/>
          <w:color w:val="auto"/>
          <w:szCs w:val="21"/>
          <w:highlight w:val="none"/>
        </w:rPr>
        <w:t>人质量管理和质量保证体系等方面的认证证书；</w:t>
      </w:r>
    </w:p>
    <w:p w14:paraId="458F592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lang w:val="en-US" w:eastAsia="zh-CN"/>
        </w:rPr>
        <w:t>0</w:t>
      </w:r>
      <w:r>
        <w:rPr>
          <w:rFonts w:hint="eastAsia" w:ascii="宋体" w:hAnsi="宋体"/>
          <w:color w:val="auto"/>
          <w:szCs w:val="21"/>
          <w:highlight w:val="none"/>
        </w:rPr>
        <w:t>）投标人认为可以证明其能力或业绩的其他材料；</w:t>
      </w:r>
    </w:p>
    <w:p w14:paraId="4EB9CE7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lang w:val="en-US" w:eastAsia="zh-CN"/>
        </w:rPr>
        <w:t>1</w:t>
      </w:r>
      <w:r>
        <w:rPr>
          <w:rFonts w:hint="eastAsia" w:ascii="宋体" w:hAnsi="宋体"/>
          <w:color w:val="auto"/>
          <w:szCs w:val="21"/>
          <w:highlight w:val="none"/>
        </w:rPr>
        <w:t>）投标人关于服务升级以及本单位债务纠纷、违法违规记录等方面的情况（内容见投标声明书）；</w:t>
      </w:r>
    </w:p>
    <w:p w14:paraId="0C74439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lang w:val="en-US" w:eastAsia="zh-CN"/>
        </w:rPr>
        <w:t>2</w:t>
      </w:r>
      <w:r>
        <w:rPr>
          <w:rFonts w:hint="eastAsia" w:ascii="宋体" w:hAnsi="宋体"/>
          <w:color w:val="auto"/>
          <w:szCs w:val="21"/>
          <w:highlight w:val="none"/>
        </w:rPr>
        <w:t>）投标人情况介绍。</w:t>
      </w:r>
    </w:p>
    <w:p w14:paraId="48BB94F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color w:val="auto"/>
          <w:szCs w:val="21"/>
          <w:highlight w:val="none"/>
        </w:rPr>
        <w:t>（1</w:t>
      </w:r>
      <w:r>
        <w:rPr>
          <w:rFonts w:hint="eastAsia"/>
          <w:color w:val="auto"/>
          <w:szCs w:val="21"/>
          <w:highlight w:val="none"/>
          <w:lang w:val="en-US" w:eastAsia="zh-CN"/>
        </w:rPr>
        <w:t>3</w:t>
      </w:r>
      <w:r>
        <w:rPr>
          <w:rFonts w:hint="eastAsia" w:ascii="宋体"/>
          <w:color w:val="auto"/>
          <w:szCs w:val="21"/>
          <w:highlight w:val="none"/>
        </w:rPr>
        <w:t>）投标人认为需要提供的其他材料。</w:t>
      </w:r>
    </w:p>
    <w:p w14:paraId="556611C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）本国产品适用政府采购政策相关资料。（格式见第六章，如有请提供）</w:t>
      </w:r>
    </w:p>
    <w:p w14:paraId="62822C82">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2.2技术文件：</w:t>
      </w:r>
    </w:p>
    <w:p w14:paraId="17583F8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（1）服务响应表；</w:t>
      </w:r>
      <w:r>
        <w:rPr>
          <w:rFonts w:hint="eastAsia" w:ascii="宋体" w:hAnsi="宋体"/>
          <w:b/>
          <w:color w:val="auto"/>
          <w:szCs w:val="21"/>
          <w:highlight w:val="none"/>
        </w:rPr>
        <w:t>（必须提供）</w:t>
      </w:r>
    </w:p>
    <w:p w14:paraId="676A899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highlight w:val="none"/>
        </w:rPr>
        <w:t>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0B00781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（3）投标人拥有主要服务设施的情况和现状（格式自拟）及项目实施人员一览表；</w:t>
      </w:r>
    </w:p>
    <w:p w14:paraId="7F7E6A0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（4）优惠条件：投标人承诺给予招标人的各种优惠条件；</w:t>
      </w:r>
    </w:p>
    <w:p w14:paraId="7A765A4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（5）投标人对本项目的合理化建议和改进措施；</w:t>
      </w:r>
    </w:p>
    <w:p w14:paraId="6B4357A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（6）投标人认为需要提供的其他材料；</w:t>
      </w:r>
    </w:p>
    <w:p w14:paraId="2D132CF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（7）招标项目采购需求中要求必须提供的材料。</w:t>
      </w:r>
      <w:r>
        <w:rPr>
          <w:rFonts w:hint="eastAsia" w:ascii="宋体" w:hAnsi="宋体"/>
          <w:color w:val="auto"/>
          <w:highlight w:val="none"/>
        </w:rPr>
        <w:t>（招标项目采购需求中要求必须提供的材料，据实提供）</w:t>
      </w:r>
    </w:p>
    <w:p w14:paraId="106A7D44">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3.报价文件：</w:t>
      </w:r>
    </w:p>
    <w:p w14:paraId="130FFC8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b/>
          <w:color w:val="auto"/>
          <w:szCs w:val="21"/>
          <w:highlight w:val="none"/>
        </w:rPr>
        <w:t>（必须提供）</w:t>
      </w:r>
    </w:p>
    <w:p w14:paraId="7CB4533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b/>
          <w:color w:val="auto"/>
          <w:szCs w:val="21"/>
          <w:highlight w:val="none"/>
        </w:rPr>
        <w:t>（必须提供）</w:t>
      </w:r>
    </w:p>
    <w:p w14:paraId="542F52B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02A1B3D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（4）开标一览表（格式见第六章）。</w:t>
      </w:r>
      <w:r>
        <w:rPr>
          <w:rFonts w:hint="eastAsia" w:ascii="宋体" w:hAnsi="宋体"/>
          <w:b/>
          <w:color w:val="auto"/>
          <w:szCs w:val="21"/>
          <w:highlight w:val="none"/>
        </w:rPr>
        <w:t>（必须提供）</w:t>
      </w:r>
    </w:p>
    <w:p w14:paraId="2EF07D54">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w:t>
      </w:r>
      <w:r>
        <w:rPr>
          <w:rFonts w:hint="eastAsia" w:hAnsi="Times New Roman" w:cs="Times New Roman"/>
          <w:b/>
          <w:bCs/>
          <w:color w:val="auto"/>
          <w:highlight w:val="none"/>
        </w:rPr>
        <w:t>法定</w:t>
      </w:r>
      <w:r>
        <w:rPr>
          <w:rFonts w:hint="eastAsia" w:ascii="宋体" w:hAnsi="宋体"/>
          <w:b/>
          <w:bCs/>
          <w:color w:val="auto"/>
          <w:szCs w:val="21"/>
          <w:highlight w:val="none"/>
        </w:rPr>
        <w:t>代表人(负责人)授权委托书、投标声明书、投标函、开标一览表必须按照招标文件格式要求签署和加盖单位公章，否则作投标无效处理。</w:t>
      </w:r>
    </w:p>
    <w:p w14:paraId="3DDCFC18">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bookmarkStart w:id="62" w:name="_Toc254970678"/>
      <w:bookmarkStart w:id="63" w:name="_Toc254970537"/>
      <w:r>
        <w:rPr>
          <w:rFonts w:hint="eastAsia" w:hAnsi="Times New Roman" w:cs="Times New Roman"/>
          <w:b/>
          <w:color w:val="auto"/>
          <w:highlight w:val="none"/>
        </w:rPr>
        <w:t>（二）投标文件的语言及计量</w:t>
      </w:r>
      <w:bookmarkEnd w:id="62"/>
      <w:bookmarkEnd w:id="63"/>
    </w:p>
    <w:p w14:paraId="169A1284">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r>
        <w:rPr>
          <w:rFonts w:hint="eastAsia" w:ascii="宋体" w:hAnsi="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14:paraId="5A0A1028">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olor w:val="auto"/>
          <w:highlight w:val="none"/>
        </w:rPr>
      </w:pPr>
      <w:r>
        <w:rPr>
          <w:rFonts w:hint="eastAsia" w:ascii="宋体" w:hAnsi="宋体"/>
          <w:color w:val="auto"/>
          <w:highlight w:val="none"/>
        </w:rPr>
        <w:t>▲2.投标计量单位，招标文件已有明确规定的，使用招标文件规定的计量单位；招标文件没有规定的，应采用中华人民共和国法定计量单位（货币单位：人民币元），否则视同未响应。</w:t>
      </w:r>
      <w:bookmarkStart w:id="64" w:name="_Toc254970538"/>
      <w:bookmarkStart w:id="65" w:name="_Toc254970679"/>
    </w:p>
    <w:p w14:paraId="0CAA440F">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（三）投标报价</w:t>
      </w:r>
      <w:bookmarkEnd w:id="64"/>
      <w:bookmarkEnd w:id="65"/>
    </w:p>
    <w:p w14:paraId="0C292C2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1.投标报价应按招标文件中相关附表格式填写。</w:t>
      </w:r>
    </w:p>
    <w:p w14:paraId="422A442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2.投标报价是履行合同的最终价格。</w:t>
      </w:r>
    </w:p>
    <w:p w14:paraId="4E6C93D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3.投标文件只允许有一个报价，有选择的或有条件的报价将不予接受。</w:t>
      </w:r>
    </w:p>
    <w:p w14:paraId="5D7E98E9">
      <w:pPr>
        <w:pStyle w:val="27"/>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b/>
          <w:color w:val="auto"/>
          <w:highlight w:val="none"/>
        </w:rPr>
      </w:pPr>
      <w:r>
        <w:rPr>
          <w:rFonts w:hint="eastAsia" w:ascii="宋体" w:hAnsi="宋体"/>
          <w:b/>
          <w:color w:val="auto"/>
          <w:highlight w:val="none"/>
        </w:rPr>
        <w:t>▲4.</w:t>
      </w:r>
      <w:r>
        <w:rPr>
          <w:rFonts w:hint="eastAsia" w:ascii="宋体" w:hAnsi="宋体"/>
          <w:b/>
          <w:bCs/>
          <w:color w:val="auto"/>
          <w:highlight w:val="none"/>
        </w:rPr>
        <w:t>评标委员会认为某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理。</w:t>
      </w:r>
    </w:p>
    <w:p w14:paraId="69CC335E">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（四）投标文件的有效期</w:t>
      </w:r>
    </w:p>
    <w:p w14:paraId="2C7F0EA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1.自投标截止日起</w:t>
      </w:r>
      <w:r>
        <w:rPr>
          <w:rFonts w:hint="eastAsia"/>
          <w:color w:val="auto"/>
          <w:highlight w:val="none"/>
          <w:u w:val="single"/>
        </w:rPr>
        <w:t>60</w:t>
      </w:r>
      <w:r>
        <w:rPr>
          <w:rFonts w:hint="eastAsia"/>
          <w:color w:val="auto"/>
          <w:highlight w:val="none"/>
        </w:rPr>
        <w:t>日投标文件应保持有效。有效期不足的投标文件将被拒绝。</w:t>
      </w:r>
    </w:p>
    <w:p w14:paraId="10BAA9A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2.在特殊情况下，采购人可与投标人协商延长投标书的有效期，这种要求和答复均以书面形式进行。</w:t>
      </w:r>
      <w:bookmarkStart w:id="66" w:name="_Toc254970539"/>
      <w:bookmarkStart w:id="67" w:name="_Toc254970680"/>
    </w:p>
    <w:p w14:paraId="6AD1143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3.投标人可拒绝接受延期要求而不会导致投标保证金被没收。同意延长有效期的投标人需要相应延长投标保证金的有效期，但不能修改投标文件。</w:t>
      </w:r>
      <w:bookmarkEnd w:id="66"/>
      <w:bookmarkEnd w:id="67"/>
      <w:r>
        <w:rPr>
          <w:rFonts w:hint="eastAsia"/>
          <w:color w:val="auto"/>
          <w:highlight w:val="none"/>
        </w:rPr>
        <w:t xml:space="preserve"> </w:t>
      </w:r>
      <w:bookmarkStart w:id="68" w:name="_Toc254970681"/>
      <w:bookmarkStart w:id="69" w:name="_Toc254970540"/>
    </w:p>
    <w:p w14:paraId="7484E81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4.中标人的投标文件自开标之日起至合同履行完毕止均应保持有效。</w:t>
      </w:r>
      <w:bookmarkEnd w:id="68"/>
      <w:bookmarkEnd w:id="69"/>
      <w:bookmarkStart w:id="70" w:name="_Toc254970682"/>
      <w:bookmarkStart w:id="71" w:name="_Toc254970541"/>
    </w:p>
    <w:p w14:paraId="6B1409FC">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（五）投标保证金</w:t>
      </w:r>
      <w:bookmarkEnd w:id="70"/>
      <w:bookmarkEnd w:id="71"/>
    </w:p>
    <w:p w14:paraId="6134B2D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1.投标人须按须知前附表的规定提交投标保证金。否则，其投标将被拒绝。</w:t>
      </w:r>
    </w:p>
    <w:p w14:paraId="4ED254C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2.</w:t>
      </w:r>
      <w:r>
        <w:rPr>
          <w:rFonts w:hint="eastAsia" w:cs="Arial"/>
          <w:color w:val="auto"/>
          <w:highlight w:val="none"/>
        </w:rPr>
        <w:t>投标保证金的交纳方式：详见本项目公开招标公告。</w:t>
      </w:r>
    </w:p>
    <w:p w14:paraId="3CC9267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3.投标保证金的退还均以转账形式退回到投标人银行账户。</w:t>
      </w:r>
    </w:p>
    <w:p w14:paraId="14F05D1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4.未中标人的投标保证金在中标通知书发出后5个工作日内退还。</w:t>
      </w:r>
    </w:p>
    <w:p w14:paraId="0111482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5.中标人的投标保证金在合同签订后（合同签订后送达本公司）5个工作日内退还。</w:t>
      </w:r>
    </w:p>
    <w:p w14:paraId="209E5E7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6.投标保证金不计息。</w:t>
      </w:r>
    </w:p>
    <w:p w14:paraId="3B92DC0D">
      <w:pPr>
        <w:spacing w:line="370" w:lineRule="exact"/>
        <w:rPr>
          <w:rFonts w:hint="eastAsia" w:ascii="宋体"/>
          <w:b/>
          <w:color w:val="auto"/>
          <w:sz w:val="18"/>
          <w:szCs w:val="18"/>
          <w:highlight w:val="none"/>
        </w:rPr>
      </w:pPr>
      <w:r>
        <w:rPr>
          <w:rFonts w:hint="eastAsia" w:ascii="宋体"/>
          <w:b/>
          <w:color w:val="auto"/>
          <w:sz w:val="18"/>
          <w:szCs w:val="18"/>
          <w:highlight w:val="none"/>
        </w:rPr>
        <w:t xml:space="preserve">    注：办理投标保证金手续时，请务必在银行相关票据（非现金）或凭证的用途或空白栏上注明采购项目名称及采购项目编号，分标号（如有），以免耽误投标。        </w:t>
      </w:r>
    </w:p>
    <w:p w14:paraId="4F9A104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7.</w:t>
      </w:r>
      <w:r>
        <w:rPr>
          <w:color w:val="auto"/>
          <w:highlight w:val="none"/>
        </w:rPr>
        <w:t>中标人应在中标通知书发出</w:t>
      </w:r>
      <w:r>
        <w:rPr>
          <w:rFonts w:hint="eastAsia"/>
          <w:color w:val="auto"/>
          <w:highlight w:val="none"/>
        </w:rPr>
        <w:t>之日起</w:t>
      </w:r>
      <w:r>
        <w:rPr>
          <w:rFonts w:hint="eastAsia"/>
          <w:color w:val="auto"/>
          <w:highlight w:val="none"/>
          <w:u w:val="single"/>
        </w:rPr>
        <w:t>25</w:t>
      </w:r>
      <w:r>
        <w:rPr>
          <w:rFonts w:hint="eastAsia"/>
          <w:color w:val="auto"/>
          <w:highlight w:val="none"/>
        </w:rPr>
        <w:t>日内与采购人签订合同。</w:t>
      </w:r>
    </w:p>
    <w:p w14:paraId="77D92194">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color w:val="auto"/>
          <w:highlight w:val="none"/>
        </w:rPr>
      </w:pPr>
      <w:r>
        <w:rPr>
          <w:rFonts w:hint="eastAsia"/>
          <w:b/>
          <w:color w:val="auto"/>
          <w:highlight w:val="none"/>
          <w:lang w:val="en-US" w:eastAsia="zh-CN"/>
        </w:rPr>
        <w:t>8</w:t>
      </w:r>
      <w:r>
        <w:rPr>
          <w:rFonts w:hint="eastAsia"/>
          <w:b/>
          <w:color w:val="auto"/>
          <w:highlight w:val="none"/>
        </w:rPr>
        <w:t>.投标人有下列情形之一的，投标保证金将不予退还：</w:t>
      </w:r>
    </w:p>
    <w:p w14:paraId="3FF847A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（1）投标人在投标有效期内撤回投标文件的；</w:t>
      </w:r>
    </w:p>
    <w:p w14:paraId="58DF92A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（2）投标人在投标过程中弄虚作假，提供虚假材料的；</w:t>
      </w:r>
    </w:p>
    <w:p w14:paraId="20987D8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（3）中标人无正当理由不与采购人签订合同的；</w:t>
      </w:r>
    </w:p>
    <w:p w14:paraId="2B5F05D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（4）将中标项目转让给他人或者在投标文件中未说明，且未经采购人同意，将中标项目分包给他人的；</w:t>
      </w:r>
    </w:p>
    <w:p w14:paraId="5495F11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（5）其他严重扰乱招投标程序的</w:t>
      </w:r>
      <w:bookmarkStart w:id="72" w:name="_Toc254970542"/>
      <w:bookmarkStart w:id="73" w:name="_Toc254970683"/>
      <w:r>
        <w:rPr>
          <w:rFonts w:hint="eastAsia" w:hAnsi="Times New Roman" w:cs="Times New Roman"/>
          <w:color w:val="auto"/>
          <w:highlight w:val="none"/>
        </w:rPr>
        <w:t>；</w:t>
      </w:r>
    </w:p>
    <w:p w14:paraId="69BB84D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（6）未按规定提交履约保证金的。</w:t>
      </w:r>
    </w:p>
    <w:p w14:paraId="1B204A43">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（六）投标文件的签署和份数</w:t>
      </w:r>
      <w:bookmarkEnd w:id="72"/>
      <w:bookmarkEnd w:id="73"/>
    </w:p>
    <w:p w14:paraId="4A8794F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1.投标人应按本招标文件规定的格式和顺序编制投标文件并标注页码，投标文件内容不完整、编排混乱导致投标文件被误读、漏读或者查找不到相关内容的，是投标人的责任。</w:t>
      </w:r>
    </w:p>
    <w:p w14:paraId="0A1026A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2.投标文件份数：见投标人须知及前附表。</w:t>
      </w:r>
    </w:p>
    <w:p w14:paraId="07DA9C5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3.投标文件须由投标人在规定位置盖章并由法定代表人或法定代表人的授权委托人签署，投标人应写全称。</w:t>
      </w:r>
    </w:p>
    <w:p w14:paraId="0ECB39C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4.投标文件不得涂改，若有修改错漏处，须加盖单位公章或者法定代表人或授权委托人签字或盖章。投标文件因扫描不清晰或乱码或表达不清所引起的后果由投标人负责。</w:t>
      </w:r>
    </w:p>
    <w:p w14:paraId="7DD1FFE7">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（七）投标文件的上传、提交、修改、撤回和解密</w:t>
      </w:r>
    </w:p>
    <w:p w14:paraId="62BC0302">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Times New Roman" w:cs="Times New Roman"/>
          <w:color w:val="auto"/>
          <w:highlight w:val="none"/>
        </w:rPr>
      </w:pPr>
      <w:bookmarkStart w:id="74" w:name="_Toc254970684"/>
      <w:bookmarkStart w:id="75" w:name="_Toc254970543"/>
      <w:r>
        <w:rPr>
          <w:rFonts w:hint="eastAsia" w:hAnsi="Times New Roman" w:cs="Times New Roman"/>
          <w:color w:val="auto"/>
          <w:highlight w:val="none"/>
        </w:rPr>
        <w:t>▲1. 投标文件的上传、提交：见投标人须知及前附表。</w:t>
      </w:r>
    </w:p>
    <w:p w14:paraId="165DDE4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6B9A40B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0E6BEF9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4.投标人已经被推荐为第一中标候选供应商后撤回投标或放弃中标的，其投标保证金将不予退还，并上缴国库，给采购人造成损失的，还应当赔偿损失，并作为不良行为记录在案。</w:t>
      </w:r>
    </w:p>
    <w:p w14:paraId="387C9CA8">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（八）投标无效的情形</w:t>
      </w:r>
      <w:bookmarkEnd w:id="74"/>
      <w:bookmarkEnd w:id="75"/>
    </w:p>
    <w:p w14:paraId="27A6932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11BB81FA">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b/>
          <w:bCs/>
          <w:color w:val="auto"/>
          <w:szCs w:val="21"/>
          <w:highlight w:val="none"/>
        </w:rPr>
      </w:pPr>
      <w:r>
        <w:rPr>
          <w:rFonts w:hint="eastAsia" w:ascii="宋体"/>
          <w:b/>
          <w:bCs/>
          <w:color w:val="auto"/>
          <w:szCs w:val="21"/>
          <w:highlight w:val="none"/>
        </w:rPr>
        <w:t>1.在资格、符合性审查时，如发现下列情形之一的，投标文件将被视为无效：</w:t>
      </w:r>
    </w:p>
    <w:p w14:paraId="38D8C2B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（1）超越了按照法律法规规定必须获得行政许可或者行政审批的经营范围的；</w:t>
      </w:r>
    </w:p>
    <w:p w14:paraId="3DE7E07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（2）资格证明文件不全的，或者不符合招标文件标明的资格要求的；</w:t>
      </w:r>
    </w:p>
    <w:p w14:paraId="7671F99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（3）投标文件无法定代表人(负责人)或其授权委托代理人签字，或未提供法定代表人(负责人)授权委托书、投标声明书或者填写内容不齐全的；</w:t>
      </w:r>
    </w:p>
    <w:p w14:paraId="6BF7C50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 xml:space="preserve">（4）投标代表人未能出具身份证明或与法定代表人(负责人)授权委托人身份不符的； </w:t>
      </w:r>
    </w:p>
    <w:p w14:paraId="61893D7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（5）项目填写不齐全或者内容虚假的；</w:t>
      </w:r>
    </w:p>
    <w:p w14:paraId="56E0CB1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（6）投标文件的实质性内容未使用中文表述、意思表述不明确、前后矛盾或者使用计量单位不符合招标文件要求的（经评标委员会认定并允许其当场更正的笔误除外）；</w:t>
      </w:r>
    </w:p>
    <w:p w14:paraId="4CED64C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（7）未实质性响应招标文件要求或者投标文件有招标方不能接受的附加条件的；</w:t>
      </w:r>
    </w:p>
    <w:p w14:paraId="0509D84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（8）未按照招标文件的规定提交投标保证金的；（说明：评标时，评标委员会将以本采购代理财务室编制的《项目投标保证金到账信息表》作为评审参考依据）。</w:t>
      </w:r>
    </w:p>
    <w:p w14:paraId="57157C5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（9）法律、法规和招标文件规定的其他无效情形。</w:t>
      </w:r>
    </w:p>
    <w:p w14:paraId="69EBCBBF">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eastAsia="宋体"/>
          <w:b/>
          <w:bCs/>
          <w:color w:val="auto"/>
          <w:sz w:val="21"/>
          <w:szCs w:val="21"/>
          <w:highlight w:val="none"/>
        </w:rPr>
      </w:pPr>
      <w:r>
        <w:rPr>
          <w:rFonts w:hint="eastAsia" w:ascii="宋体" w:eastAsia="宋体"/>
          <w:b/>
          <w:bCs/>
          <w:color w:val="auto"/>
          <w:sz w:val="21"/>
          <w:szCs w:val="21"/>
          <w:highlight w:val="none"/>
        </w:rPr>
        <w:t>2.在商务、技术评审时，如发现下列情形之一的，投标文件将被视为无效：</w:t>
      </w:r>
    </w:p>
    <w:p w14:paraId="2797631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（1）投标有效期等商务条款不能满足招标文件要求的；</w:t>
      </w:r>
    </w:p>
    <w:p w14:paraId="70DF9D0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（2）未实质性响应招标文件要求或者投标文件有采购人不能接受的附加条件的；</w:t>
      </w:r>
    </w:p>
    <w:p w14:paraId="0D97214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（3）未提供或未如实提供投标服务的服务承诺，或者投标文件标明的响应或偏离与事实不符或虚假投标的；</w:t>
      </w:r>
    </w:p>
    <w:p w14:paraId="072709B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（4）明显不符合招标文件要求的服务要求，或者与招标文件中标“▲”的技术指标、主要功能项目发生实质性负偏离的；</w:t>
      </w:r>
    </w:p>
    <w:p w14:paraId="3D0243D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（5）允许偏离的商务、技术、性能指标或者辅助功能项目发生负偏离超出允许的范围以上的；</w:t>
      </w:r>
    </w:p>
    <w:p w14:paraId="58BDD33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（6）投标技术方案不明确，存在一个或一个以上备选（替代）投标方案的；</w:t>
      </w:r>
    </w:p>
    <w:p w14:paraId="2476FB7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（7）与其他参加本次投标供应商的投标文件（技术文件）的文字表述内容差错相同二处以上的；</w:t>
      </w:r>
    </w:p>
    <w:p w14:paraId="2BEC85DB">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eastAsia="宋体"/>
          <w:b/>
          <w:bCs/>
          <w:color w:val="auto"/>
          <w:sz w:val="21"/>
          <w:szCs w:val="21"/>
          <w:highlight w:val="none"/>
        </w:rPr>
      </w:pPr>
      <w:r>
        <w:rPr>
          <w:rFonts w:hint="eastAsia" w:ascii="宋体" w:eastAsia="宋体"/>
          <w:b/>
          <w:bCs/>
          <w:color w:val="auto"/>
          <w:sz w:val="21"/>
          <w:szCs w:val="21"/>
          <w:highlight w:val="none"/>
        </w:rPr>
        <w:t>3.在报价评审时，如发现下列情形之一的，投标文件将被视为无效：</w:t>
      </w:r>
    </w:p>
    <w:p w14:paraId="5FDB656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（1）未采用人民币报价或者未按照招标文件标明的币种报价的；</w:t>
      </w:r>
    </w:p>
    <w:p w14:paraId="3C091C7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（2）报价超出最高限价，或者超出采购预算金额，采购人不能支付的；</w:t>
      </w:r>
    </w:p>
    <w:p w14:paraId="5900810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（3）投标报价具有选择性，或者开标价格与投标文件承诺的优惠（折扣）价格不一致的；</w:t>
      </w:r>
    </w:p>
    <w:p w14:paraId="65A4A1D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（4）评标委员会认为投标人的报价明显低于其他通过符合性审查投标人的报价，有可能影响产品（服务）质量或者不能诚信履约，投标人不能证明其报价合理性的。</w:t>
      </w:r>
    </w:p>
    <w:p w14:paraId="64ACA787">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eastAsia="宋体"/>
          <w:b/>
          <w:color w:val="auto"/>
          <w:sz w:val="21"/>
          <w:szCs w:val="21"/>
          <w:highlight w:val="none"/>
        </w:rPr>
      </w:pPr>
      <w:r>
        <w:rPr>
          <w:rFonts w:hint="eastAsia" w:ascii="宋体" w:eastAsia="宋体"/>
          <w:b/>
          <w:color w:val="auto"/>
          <w:sz w:val="21"/>
          <w:szCs w:val="21"/>
          <w:highlight w:val="none"/>
        </w:rPr>
        <w:t>4.有下列情形之一的视为投标人相互串通投标，投标文件将被视为无效：</w:t>
      </w:r>
    </w:p>
    <w:p w14:paraId="7B05DBD7">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（1）不同投标人的投标文件由同一单位或者个人编制；或不同投标人报名的IP地址一致的；</w:t>
      </w:r>
    </w:p>
    <w:p w14:paraId="37C3096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（2）不同投标人委托同一单位或者个人办理投标事宜；</w:t>
      </w:r>
    </w:p>
    <w:p w14:paraId="46E1977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（3）不同投标人的投标文件载明的项目管理成员或者联系人员为同一人；</w:t>
      </w:r>
    </w:p>
    <w:p w14:paraId="7EE91B5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（4）不同投标人的投标文件异常一致或投标报价呈规律性差异；</w:t>
      </w:r>
    </w:p>
    <w:p w14:paraId="4235836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（5）不同投标人的投标文件相互混装；</w:t>
      </w:r>
    </w:p>
    <w:p w14:paraId="4F6ADA8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（6）不同投标人的投标保证金从同一个单位或者个人账户转出。</w:t>
      </w:r>
    </w:p>
    <w:p w14:paraId="4901161A">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eastAsia="宋体"/>
          <w:b/>
          <w:color w:val="auto"/>
          <w:sz w:val="21"/>
          <w:szCs w:val="21"/>
          <w:highlight w:val="none"/>
        </w:rPr>
      </w:pPr>
      <w:r>
        <w:rPr>
          <w:rFonts w:hint="eastAsia" w:ascii="宋体" w:eastAsia="宋体"/>
          <w:b/>
          <w:color w:val="auto"/>
          <w:sz w:val="21"/>
          <w:szCs w:val="21"/>
          <w:highlight w:val="none"/>
        </w:rPr>
        <w:t>5.其他投标无效的情形：</w:t>
      </w:r>
    </w:p>
    <w:p w14:paraId="49156B4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（1）投标文件未按招标文件要求签署或CA电子签章的；</w:t>
      </w:r>
    </w:p>
    <w:p w14:paraId="025D45A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（2）供应商提交两份或两份以上内容不同的投标文件；</w:t>
      </w:r>
    </w:p>
    <w:p w14:paraId="6E57133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（3）投标供应商在线制作投标文件时填写的报价金额与解密后“电子加密投标文件”中《开标一览表》填写的金额不一致并拒绝按招标文件要求接受调整的；</w:t>
      </w:r>
    </w:p>
    <w:p w14:paraId="18269AB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（4）法律、法规和招标文件规定的其他无效情形（或出现重大偏差）。</w:t>
      </w:r>
    </w:p>
    <w:p w14:paraId="14807918">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color w:val="auto"/>
          <w:highlight w:val="none"/>
        </w:rPr>
      </w:pPr>
      <w:r>
        <w:rPr>
          <w:rFonts w:hint="eastAsia" w:ascii="宋体" w:eastAsia="宋体"/>
          <w:b/>
          <w:color w:val="auto"/>
          <w:sz w:val="21"/>
          <w:szCs w:val="21"/>
          <w:highlight w:val="none"/>
        </w:rPr>
        <w:t>6.被拒绝的投标文件为无效。</w:t>
      </w:r>
      <w:bookmarkStart w:id="76" w:name="_Toc254970544"/>
      <w:bookmarkStart w:id="77" w:name="_Toc254970685"/>
    </w:p>
    <w:p w14:paraId="309189AD">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四、开  标</w:t>
      </w:r>
      <w:bookmarkEnd w:id="76"/>
      <w:bookmarkEnd w:id="77"/>
    </w:p>
    <w:p w14:paraId="2C2650FF">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（一）开标准备</w:t>
      </w:r>
    </w:p>
    <w:p w14:paraId="16EAF7D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采购代理机构将在规定的时间和地点通过“广西政府采购云平台”组织开标、开启投标文件，所有供应商均应当准时在线参加。投标供应商因未在线参加开标而导致投标文件无法按时解密等一切后果由供应商自行承担。</w:t>
      </w:r>
    </w:p>
    <w:p w14:paraId="2959A678">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（二）开标程序</w:t>
      </w:r>
    </w:p>
    <w:p w14:paraId="44226EC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bookmarkStart w:id="78" w:name="_Toc254970545"/>
      <w:bookmarkStart w:id="79" w:name="_Toc254970686"/>
      <w:r>
        <w:rPr>
          <w:rFonts w:hint="eastAsia" w:hAnsi="Times New Roman" w:cs="Times New Roman"/>
          <w:color w:val="auto"/>
          <w:highlight w:val="none"/>
        </w:rPr>
        <w:t>1.电子开标会由本采购代理机构主持。</w:t>
      </w:r>
    </w:p>
    <w:p w14:paraId="29E9121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1DFA8C7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48B1DE9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4.进入资格文件审查环节，采购人、采购代理机构根据双方签订的代理协议约定，依法对投标供应商的资格进行审查。</w:t>
      </w:r>
    </w:p>
    <w:p w14:paraId="38BE6F1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5.开启资格审查通过的投标供应商的商务技术文件进入符合性审查及商务技术评审。</w:t>
      </w:r>
    </w:p>
    <w:p w14:paraId="443C0B5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注：①当整个招标项目的投标人不足3家的不开标，本采购代理机构将按政府采购管理的有关规定处理。</w:t>
      </w:r>
    </w:p>
    <w:p w14:paraId="61C398C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②开标后，某分标投标人不足3家的，本采购代理机构将按政府采购管理的有关规定处理。</w:t>
      </w:r>
    </w:p>
    <w:p w14:paraId="680FF630">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color w:val="auto"/>
          <w:highlight w:val="none"/>
        </w:rPr>
      </w:pPr>
      <w:r>
        <w:rPr>
          <w:rFonts w:hint="eastAsia" w:ascii="宋体" w:hAnsi="宋体"/>
          <w:b/>
          <w:color w:val="auto"/>
          <w:highlight w:val="none"/>
        </w:rPr>
        <w:t>特别说明：如遇“广西政府采购云平台”电子化开标或评审程序调整的，按调整后程序执行。</w:t>
      </w:r>
    </w:p>
    <w:p w14:paraId="374578D3">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五、资格审查</w:t>
      </w:r>
    </w:p>
    <w:p w14:paraId="701D7CC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Times New Roman" w:cs="Times New Roman"/>
          <w:color w:val="auto"/>
          <w:highlight w:val="none"/>
        </w:rPr>
        <w:t>采购人、采购代理机构根据双方签订的代理协议约定，依法对投标人的资格进行审查。合格投标人不足3家的，不得评标。</w:t>
      </w:r>
    </w:p>
    <w:p w14:paraId="4B0841C7">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rPr>
        <w:t>六、评  标</w:t>
      </w:r>
      <w:bookmarkEnd w:id="78"/>
      <w:bookmarkEnd w:id="79"/>
    </w:p>
    <w:p w14:paraId="69FBD286">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（一）组建评标委员会</w:t>
      </w:r>
    </w:p>
    <w:p w14:paraId="1071075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本招标采购项目的评标委员会由采购人代表和评审专家组成，成员人数应当为五人以上单数。其中，评审专家不得少于成员总数的三分之二。</w:t>
      </w:r>
    </w:p>
    <w:p w14:paraId="23B16411">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（二）评标的方式</w:t>
      </w:r>
    </w:p>
    <w:p w14:paraId="1036E7B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本项目采用不公开方式评标，评标的依据为招标文件和投标文件。</w:t>
      </w:r>
    </w:p>
    <w:p w14:paraId="5E295643">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（三）评标程序</w:t>
      </w:r>
    </w:p>
    <w:p w14:paraId="65BC07BF">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b/>
          <w:bCs/>
          <w:color w:val="auto"/>
          <w:szCs w:val="21"/>
          <w:highlight w:val="none"/>
        </w:rPr>
      </w:pPr>
      <w:r>
        <w:rPr>
          <w:rFonts w:hint="eastAsia" w:ascii="宋体"/>
          <w:b/>
          <w:bCs/>
          <w:color w:val="auto"/>
          <w:szCs w:val="21"/>
          <w:highlight w:val="none"/>
        </w:rPr>
        <w:t>实质审查与比较</w:t>
      </w:r>
    </w:p>
    <w:p w14:paraId="08FFD51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（1）评标委员会审查、评价投标文件是否符合招标文件的商务、技术等实质性要求。</w:t>
      </w:r>
    </w:p>
    <w:p w14:paraId="586E4B5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（2）评标委员会对投标文件进行评价,如有疑问,将以电子询标函的形式要求投标人在线对投标文件有关事项作出澄清或者说明。投标人向评标委员会澄清或者说明有关问题,并最终以盖章的电子文件进行回复。</w:t>
      </w:r>
    </w:p>
    <w:p w14:paraId="0DD242D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投标人代表超过规定时间或者拒绝澄清或者澄清的内容改变了投标文件的实质性内容的，评标委员会有权视该投标文件无效。</w:t>
      </w:r>
    </w:p>
    <w:p w14:paraId="6AFE6C9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（3）各投标人的技术得分为所有评委的有效评分的算术平均数，由指定专人进行计算复核。</w:t>
      </w:r>
    </w:p>
    <w:p w14:paraId="6AEF691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（4）采购代理机构工作人员协助评标委员会根据本项目的评分标准计算各投标人的商务报价得分。</w:t>
      </w:r>
    </w:p>
    <w:p w14:paraId="0C190C7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评标委员会完成评标后,由广西政府采购云平台系统对各部分得分汇总,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F6CFCAE">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（四）澄清问题的形式</w:t>
      </w:r>
    </w:p>
    <w:p w14:paraId="54629E0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50EAAED0">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（五）错误修正</w:t>
      </w:r>
    </w:p>
    <w:p w14:paraId="3CC632E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投标文件如果出现计算或表达上的错误，修正错误的原则如下：</w:t>
      </w:r>
    </w:p>
    <w:p w14:paraId="6B1D5E8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1.投标文件中开标一览表（报价表）内容与投标文件中相应内容不一致的，以开标一览表（报价表）为准；</w:t>
      </w:r>
    </w:p>
    <w:p w14:paraId="72E923B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2.大写金额和小写金额不一致的，以大写金额为准；</w:t>
      </w:r>
    </w:p>
    <w:p w14:paraId="15A5ECE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3.单价金额小数点或者百分比有明显错位的，以开标一览表的总价为准，并修改单价；</w:t>
      </w:r>
    </w:p>
    <w:p w14:paraId="1E054BF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4.总价金额与按单价汇总金额不一致的，以单价金额计算结果为准。</w:t>
      </w:r>
    </w:p>
    <w:p w14:paraId="5647BD3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5.对不同文字文本投标文件的解释发生异议的，以中文文本为准。</w:t>
      </w:r>
    </w:p>
    <w:p w14:paraId="26C192B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同时出现两种以上不一致的，按照前款规定的顺序修正。</w:t>
      </w:r>
    </w:p>
    <w:p w14:paraId="6DBB29B1">
      <w:pPr>
        <w:pStyle w:val="27"/>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highlight w:val="none"/>
        </w:rPr>
      </w:pPr>
      <w:r>
        <w:rPr>
          <w:rFonts w:hint="eastAsia" w:hAnsi="宋体"/>
          <w:b/>
          <w:bCs/>
          <w:color w:val="auto"/>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58D9B2E6">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w:t>
      </w:r>
      <w:r>
        <w:rPr>
          <w:rFonts w:hint="eastAsia" w:hAnsi="Times New Roman" w:cs="Times New Roman"/>
          <w:b/>
          <w:color w:val="auto"/>
          <w:highlight w:val="none"/>
          <w:lang w:eastAsia="zh-CN"/>
        </w:rPr>
        <w:t>六</w:t>
      </w:r>
      <w:r>
        <w:rPr>
          <w:rFonts w:hint="eastAsia" w:hAnsi="Times New Roman" w:cs="Times New Roman"/>
          <w:b/>
          <w:color w:val="auto"/>
          <w:highlight w:val="none"/>
        </w:rPr>
        <w:t>）评委表决</w:t>
      </w:r>
    </w:p>
    <w:p w14:paraId="5BD0D464">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在评标过程中出现法律法规和招标文件均没有明确规定的情形时，由评标委员会现场协商解决，协商不一致的，由全体评委投票表决，以得票率二分之一以上专家的意见为准。</w:t>
      </w:r>
    </w:p>
    <w:p w14:paraId="1D1EE9C0">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w:t>
      </w:r>
      <w:r>
        <w:rPr>
          <w:rFonts w:hint="eastAsia" w:hAnsi="Times New Roman" w:cs="Times New Roman"/>
          <w:b/>
          <w:color w:val="auto"/>
          <w:highlight w:val="none"/>
          <w:lang w:eastAsia="zh-CN"/>
        </w:rPr>
        <w:t>七</w:t>
      </w:r>
      <w:r>
        <w:rPr>
          <w:rFonts w:hint="eastAsia" w:hAnsi="Times New Roman" w:cs="Times New Roman"/>
          <w:b/>
          <w:color w:val="auto"/>
          <w:highlight w:val="none"/>
        </w:rPr>
        <w:t>）评标原则和评标方法</w:t>
      </w:r>
    </w:p>
    <w:p w14:paraId="651C8F5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EC8830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2.评标方法。本项目评标方法是</w:t>
      </w:r>
      <w:r>
        <w:rPr>
          <w:rFonts w:hint="eastAsia"/>
          <w:b/>
          <w:color w:val="auto"/>
          <w:highlight w:val="none"/>
          <w:u w:val="single"/>
        </w:rPr>
        <w:t>综合评分法</w:t>
      </w:r>
      <w:r>
        <w:rPr>
          <w:rFonts w:hint="eastAsia"/>
          <w:color w:val="auto"/>
          <w:highlight w:val="none"/>
        </w:rPr>
        <w:t>，具体评标内容及评分标准等详见第四章：评标方法及评分标准。</w:t>
      </w:r>
    </w:p>
    <w:p w14:paraId="60868E39">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w:t>
      </w:r>
      <w:r>
        <w:rPr>
          <w:rFonts w:hint="eastAsia" w:hAnsi="Times New Roman" w:cs="Times New Roman"/>
          <w:b/>
          <w:color w:val="auto"/>
          <w:highlight w:val="none"/>
          <w:lang w:eastAsia="zh-CN"/>
        </w:rPr>
        <w:t>八</w:t>
      </w:r>
      <w:r>
        <w:rPr>
          <w:rFonts w:hint="eastAsia" w:hAnsi="Times New Roman" w:cs="Times New Roman"/>
          <w:b/>
          <w:color w:val="auto"/>
          <w:highlight w:val="none"/>
        </w:rPr>
        <w:t>）评标过程的监控</w:t>
      </w:r>
    </w:p>
    <w:p w14:paraId="73EBD851">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Times New Roman" w:cs="Times New Roman"/>
          <w:color w:val="auto"/>
          <w:highlight w:val="none"/>
        </w:rPr>
        <w:t>本项目评标过程实行全程录音、录像监控，投标人在评标过程中所进行的试图影响评标结果的不公正活动，可能导致其投标被拒绝。</w:t>
      </w:r>
      <w:bookmarkStart w:id="80" w:name="_Toc254970546"/>
      <w:bookmarkStart w:id="81" w:name="_Toc254970687"/>
    </w:p>
    <w:p w14:paraId="559C16A9">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lang w:eastAsia="zh-CN"/>
        </w:rPr>
        <w:t>七</w:t>
      </w:r>
      <w:r>
        <w:rPr>
          <w:rFonts w:hint="eastAsia" w:ascii="宋体" w:hAnsi="Times New Roman" w:eastAsia="宋体" w:cs="Times New Roman"/>
          <w:b/>
          <w:color w:val="auto"/>
          <w:highlight w:val="none"/>
        </w:rPr>
        <w:t>、评标结果</w:t>
      </w:r>
      <w:bookmarkEnd w:id="80"/>
      <w:bookmarkEnd w:id="81"/>
    </w:p>
    <w:p w14:paraId="5AC7027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（一）本采购代理机构将在评标结束后2个工作日内将评标报告送采购人，采购人在5个工作日内按照评标报告中推荐的中标候选人顺序确定中标人。采购人也可以事先授权评标委员会直接确定中标人。</w:t>
      </w:r>
    </w:p>
    <w:p w14:paraId="7DA2951E">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（二）中标人确定后，采购代理机构在财政部门指定的政府采购信息发布媒体发布中标公告。</w:t>
      </w:r>
    </w:p>
    <w:p w14:paraId="38D9D9D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（三）在发布中标公告的同时，采购代理机构向中标人发出中标通知书。</w:t>
      </w:r>
    </w:p>
    <w:p w14:paraId="01E0F34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（四）投标人认为招标文件、招标过程和中标结果使自己的权益受到损害的，可以在知道或者应知其权益受到损害之日起七个工作日内，以书面形式向采购代理机构提出质疑，并及时索要书面回执。</w:t>
      </w:r>
    </w:p>
    <w:p w14:paraId="09F9AF1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Cs/>
          <w:color w:val="auto"/>
          <w:highlight w:val="none"/>
        </w:rPr>
      </w:pPr>
      <w:r>
        <w:rPr>
          <w:rFonts w:hint="eastAsia" w:hAnsi="Times New Roman" w:cs="Times New Roman"/>
          <w:color w:val="auto"/>
          <w:highlight w:val="none"/>
        </w:rPr>
        <w:t>（五）采购代理机构应当按照有关规定就采购人委托授权范围内的事项在收到投标人的书面质疑后七个工作日内做出答复，但答复的内容不得涉及商业秘密。</w:t>
      </w:r>
    </w:p>
    <w:p w14:paraId="041B051D">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lang w:eastAsia="zh-CN"/>
        </w:rPr>
        <w:t>八</w:t>
      </w:r>
      <w:r>
        <w:rPr>
          <w:rFonts w:hint="eastAsia" w:ascii="宋体" w:hAnsi="Times New Roman" w:eastAsia="宋体" w:cs="Times New Roman"/>
          <w:b/>
          <w:color w:val="auto"/>
          <w:highlight w:val="none"/>
        </w:rPr>
        <w:t>、签订合同</w:t>
      </w:r>
    </w:p>
    <w:p w14:paraId="525EEE1B">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（一）合同授予标准</w:t>
      </w:r>
    </w:p>
    <w:p w14:paraId="73C3D038">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合同将授予被确定投标文件满足招标文件全部实质性要求，具备履行合同能力，评审得分最高，综合评分排名第一的供应商。</w:t>
      </w:r>
    </w:p>
    <w:p w14:paraId="1B9A38B0">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（二）履约保证金</w:t>
      </w:r>
    </w:p>
    <w:p w14:paraId="0C91141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1.中标人须于签订合同前按本项目关于履约保证金的规定进行办理。否则，不予签订合同。</w:t>
      </w:r>
    </w:p>
    <w:p w14:paraId="1429738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2.签订合同后，如中标人不按双方签订的合同规定履约，则没收其全部履约保证金，履约保证金不足以赔偿损失的，按实际损失赔偿。</w:t>
      </w:r>
    </w:p>
    <w:p w14:paraId="00DEE8F2">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3.履约保证金在中标人按合同约定交货验收合格后，由中标人提供《政府采购项目履约保证金退付意见书》及《政府采购项目合同验收报告》（详见附件），履约保证金在收到合格材料后5个工作日内以银行转账方式如数退还（不计利息）。</w:t>
      </w:r>
    </w:p>
    <w:p w14:paraId="4CB5C8CA">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Ansi="Times New Roman" w:eastAsia="宋体" w:cs="Times New Roman"/>
          <w:color w:val="auto"/>
          <w:highlight w:val="none"/>
          <w:lang w:val="en-US" w:eastAsia="zh-CN"/>
        </w:rPr>
      </w:pPr>
      <w:r>
        <w:rPr>
          <w:rFonts w:hint="eastAsia" w:cs="Times New Roman"/>
          <w:color w:val="auto"/>
          <w:highlight w:val="none"/>
          <w:lang w:val="en-US" w:eastAsia="zh-CN"/>
        </w:rPr>
        <w:t>4.在履约保证金退还日期前，若中标人的开户名称、开户银行、账号有变动的，请以书面形式通知履约保证金收取机构，否则由此产生的后果由中标人自负。</w:t>
      </w:r>
    </w:p>
    <w:p w14:paraId="63B74671">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（三）签订合同</w:t>
      </w:r>
    </w:p>
    <w:p w14:paraId="5C6E116D">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lang w:val="en-US" w:eastAsia="zh-CN"/>
        </w:rPr>
      </w:pPr>
      <w:r>
        <w:rPr>
          <w:rFonts w:hint="eastAsia" w:hAnsi="Times New Roman" w:cs="Times New Roman"/>
          <w:color w:val="auto"/>
          <w:highlight w:val="none"/>
        </w:rPr>
        <w:t>（1）投标人接到中标通知书后，应按中标通知书规定的时间、地点与采购人签订合同。中标人无正</w:t>
      </w:r>
      <w:r>
        <w:rPr>
          <w:rFonts w:hint="eastAsia" w:hAnsi="Times New Roman" w:cs="Times New Roman"/>
          <w:color w:val="auto"/>
          <w:highlight w:val="none"/>
          <w:lang w:val="en-US" w:eastAsia="zh-CN"/>
        </w:rPr>
        <w:t>当理由不得放弃中标。</w:t>
      </w:r>
    </w:p>
    <w:p w14:paraId="541AE2D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（2）如中标人不按中标通知书的规定签订合同，则按中标人违约处理，采购代理机构将没收中标人投标的全部投标保证金。</w:t>
      </w:r>
    </w:p>
    <w:p w14:paraId="2907802C">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Times New Roman" w:cs="Times New Roman"/>
          <w:color w:val="auto"/>
          <w:highlight w:val="none"/>
        </w:rPr>
        <w:t>（</w:t>
      </w:r>
      <w:r>
        <w:rPr>
          <w:rFonts w:hint="eastAsia"/>
          <w:color w:val="auto"/>
          <w:highlight w:val="none"/>
        </w:rPr>
        <w:t>3）中标人</w:t>
      </w:r>
      <w:r>
        <w:rPr>
          <w:rFonts w:hint="eastAsia"/>
          <w:b/>
          <w:color w:val="auto"/>
          <w:highlight w:val="none"/>
        </w:rPr>
        <w:t>拒绝与采购人签订合同或</w:t>
      </w:r>
      <w:r>
        <w:rPr>
          <w:rFonts w:hint="eastAsia"/>
          <w:color w:val="auto"/>
          <w:highlight w:val="none"/>
        </w:rPr>
        <w:t>因不可抗力或者自身原因不能履行采购合同的，采购人可以与中标人之后排名第一的中标候选</w:t>
      </w:r>
      <w:r>
        <w:rPr>
          <w:rFonts w:hint="eastAsia"/>
          <w:bCs/>
          <w:color w:val="auto"/>
          <w:highlight w:val="none"/>
        </w:rPr>
        <w:t>人</w:t>
      </w:r>
      <w:r>
        <w:rPr>
          <w:rFonts w:hint="eastAsia"/>
          <w:color w:val="auto"/>
          <w:highlight w:val="none"/>
        </w:rPr>
        <w:t>签订采购合同，以此类推,也可以重新招标。中标人</w:t>
      </w:r>
      <w:r>
        <w:rPr>
          <w:color w:val="auto"/>
          <w:highlight w:val="none"/>
        </w:rPr>
        <w:t>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color w:val="auto"/>
          <w:highlight w:val="none"/>
        </w:rPr>
        <w:t>。</w:t>
      </w:r>
    </w:p>
    <w:p w14:paraId="1FDC456A">
      <w:pPr>
        <w:pStyle w:val="27"/>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宋体" w:hAnsi="Times New Roman" w:eastAsia="宋体" w:cs="Times New Roman"/>
          <w:b/>
          <w:color w:val="auto"/>
          <w:highlight w:val="none"/>
        </w:rPr>
      </w:pPr>
      <w:r>
        <w:rPr>
          <w:rFonts w:hint="eastAsia" w:ascii="宋体" w:hAnsi="Times New Roman" w:eastAsia="宋体" w:cs="Times New Roman"/>
          <w:b/>
          <w:color w:val="auto"/>
          <w:highlight w:val="none"/>
          <w:lang w:eastAsia="zh-CN"/>
        </w:rPr>
        <w:t>九</w:t>
      </w:r>
      <w:r>
        <w:rPr>
          <w:rFonts w:hint="eastAsia" w:ascii="宋体" w:hAnsi="Times New Roman" w:eastAsia="宋体" w:cs="Times New Roman"/>
          <w:b/>
          <w:color w:val="auto"/>
          <w:highlight w:val="none"/>
        </w:rPr>
        <w:t>、其他事项</w:t>
      </w:r>
    </w:p>
    <w:p w14:paraId="099BCFA1">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（一）中标服务费</w:t>
      </w:r>
    </w:p>
    <w:p w14:paraId="23443523">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（1）采购代理机构按（桂价费〔2011〕55号）的收费标准，按差额定率累进法计取中标服务费。</w:t>
      </w:r>
      <w:r>
        <w:rPr>
          <w:rFonts w:hint="eastAsia" w:hAnsi="Times New Roman" w:cs="Times New Roman"/>
          <w:color w:val="auto"/>
          <w:highlight w:val="none"/>
          <w:lang w:eastAsia="zh-CN"/>
        </w:rPr>
        <w:t>发布中标结果公告后</w:t>
      </w:r>
      <w:r>
        <w:rPr>
          <w:rFonts w:hint="eastAsia" w:hAnsi="Times New Roman" w:cs="Times New Roman"/>
          <w:color w:val="auto"/>
          <w:highlight w:val="none"/>
        </w:rPr>
        <w:t>，中标人须向广西国力招标有限公司一次付清中标服务费。</w:t>
      </w:r>
      <w:bookmarkStart w:id="82" w:name="_Toc254970689"/>
      <w:bookmarkStart w:id="83" w:name="_Toc254970548"/>
    </w:p>
    <w:p w14:paraId="4C6CDB30">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（2）代理服务收费标准：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2E8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6735E2CC">
            <w:pPr>
              <w:rPr>
                <w:rFonts w:hint="eastAsia"/>
                <w:color w:val="auto"/>
                <w:szCs w:val="21"/>
                <w:highlight w:val="none"/>
              </w:rPr>
            </w:pPr>
            <w:r>
              <w:rPr>
                <w:rFonts w:hint="eastAsia"/>
                <w:color w:val="auto"/>
                <w:szCs w:val="21"/>
                <w:highlight w:val="none"/>
              </w:rPr>
              <w:t xml:space="preserve">               费率</w:t>
            </w:r>
          </w:p>
          <w:p w14:paraId="4A5DE378">
            <w:pPr>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6D0F4642">
            <w:pPr>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254C1D5F">
            <w:pPr>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164680D8">
            <w:pPr>
              <w:jc w:val="center"/>
              <w:rPr>
                <w:rFonts w:hint="eastAsia"/>
                <w:color w:val="auto"/>
                <w:szCs w:val="21"/>
                <w:highlight w:val="none"/>
              </w:rPr>
            </w:pPr>
            <w:r>
              <w:rPr>
                <w:rFonts w:hint="eastAsia"/>
                <w:color w:val="auto"/>
                <w:szCs w:val="21"/>
                <w:highlight w:val="none"/>
              </w:rPr>
              <w:t>工程招标</w:t>
            </w:r>
          </w:p>
        </w:tc>
      </w:tr>
      <w:tr w14:paraId="036A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AA32770">
            <w:pPr>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659D139E">
            <w:pPr>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66BEBEDD">
            <w:pPr>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3B9277C2">
            <w:pP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458F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3DFDA5C">
            <w:pPr>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5D49BCBC">
            <w:pPr>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266276C3">
            <w:pPr>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1288EB92">
            <w:pP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785A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9EE7C03">
            <w:pPr>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0C2E730C">
            <w:pPr>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61718F38">
            <w:pPr>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2E5FD6F6">
            <w:pPr>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7B98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C30850D">
            <w:pPr>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2CDD54E2">
            <w:pPr>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2A29E224">
            <w:pPr>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39CF7ADA">
            <w:pP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1255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B8F70EE">
            <w:pPr>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049A00F9">
            <w:pPr>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610C71D1">
            <w:pPr>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4A8DD015">
            <w:pPr>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051A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D8D762B">
            <w:pPr>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52A33690">
            <w:pPr>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32973875">
            <w:pPr>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7CD61218">
            <w:pPr>
              <w:rPr>
                <w:rFonts w:hint="eastAsia" w:ascii="宋体" w:hAnsi="宋体"/>
                <w:color w:val="auto"/>
                <w:szCs w:val="21"/>
                <w:highlight w:val="none"/>
              </w:rPr>
            </w:pPr>
            <w:r>
              <w:rPr>
                <w:rFonts w:hint="eastAsia" w:ascii="宋体" w:hAnsi="宋体"/>
                <w:color w:val="auto"/>
                <w:szCs w:val="21"/>
                <w:highlight w:val="none"/>
              </w:rPr>
              <w:t xml:space="preserve">  0.05%</w:t>
            </w:r>
          </w:p>
        </w:tc>
      </w:tr>
      <w:tr w14:paraId="1576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93850D8">
            <w:pPr>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185697FC">
            <w:pPr>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2C24D9A9">
            <w:pPr>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6D9700B4">
            <w:pPr>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30C5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2ACBE95">
            <w:pPr>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2E6B357D">
            <w:pPr>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2797E536">
            <w:pPr>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4DAC30DA">
            <w:pPr>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46F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FBC160F">
            <w:pPr>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2F866166">
            <w:pPr>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71FE5193">
            <w:pPr>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795467FF">
            <w:pPr>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6480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4D9A5AA">
            <w:pPr>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5B70F6D5">
            <w:pPr>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6A52E202">
            <w:pPr>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6DF77DEF">
            <w:pPr>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68D3AC6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color w:val="auto"/>
          <w:highlight w:val="none"/>
        </w:rPr>
        <w:t>注:招标代理服务收费</w:t>
      </w:r>
      <w:r>
        <w:rPr>
          <w:rFonts w:hint="eastAsia" w:hAnsi="Times New Roman" w:cs="Times New Roman"/>
          <w:color w:val="auto"/>
          <w:highlight w:val="none"/>
        </w:rPr>
        <w:t>按差额定率累进法计算。</w:t>
      </w:r>
    </w:p>
    <w:p w14:paraId="449349E6">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（3）服务费指定银行账户：</w:t>
      </w:r>
    </w:p>
    <w:p w14:paraId="2239EDC5">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开户名称：广西国力招标有限公司</w:t>
      </w:r>
    </w:p>
    <w:p w14:paraId="15DCD17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开户银行：广西北部湾银行股份有限公司南宁市白沙支行（网银支付可选广西北部湾银行江南支行）</w:t>
      </w:r>
    </w:p>
    <w:p w14:paraId="551ADCB9">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 xml:space="preserve">银行账号：800109057400039 </w:t>
      </w:r>
    </w:p>
    <w:p w14:paraId="6939A2BF">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lang w:eastAsia="zh-CN"/>
        </w:rPr>
      </w:pPr>
      <w:r>
        <w:rPr>
          <w:rFonts w:hint="eastAsia" w:hAnsi="Times New Roman" w:cs="Times New Roman"/>
          <w:color w:val="auto"/>
          <w:highlight w:val="none"/>
        </w:rPr>
        <w:t>银行行号：313611002051</w:t>
      </w:r>
    </w:p>
    <w:p w14:paraId="111668AB">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t>（4）开具代理服务费发票事宜的联系方式：0771-4915100、4915200。</w:t>
      </w:r>
    </w:p>
    <w:p w14:paraId="2A1973F0">
      <w:pPr>
        <w:pStyle w:val="27"/>
        <w:keepNext w:val="0"/>
        <w:keepLines w:val="0"/>
        <w:pageBreakBefore w:val="0"/>
        <w:widowControl w:val="0"/>
        <w:kinsoku/>
        <w:wordWrap/>
        <w:overflowPunct/>
        <w:topLinePunct w:val="0"/>
        <w:autoSpaceDE/>
        <w:autoSpaceDN/>
        <w:bidi w:val="0"/>
        <w:adjustRightInd/>
        <w:snapToGrid/>
        <w:spacing w:before="120" w:after="120" w:line="400" w:lineRule="exact"/>
        <w:ind w:firstLine="422" w:firstLineChars="200"/>
        <w:textAlignment w:val="auto"/>
        <w:rPr>
          <w:rFonts w:hint="eastAsia" w:hAnsi="Times New Roman" w:cs="Times New Roman"/>
          <w:b/>
          <w:color w:val="auto"/>
          <w:highlight w:val="none"/>
        </w:rPr>
      </w:pPr>
      <w:r>
        <w:rPr>
          <w:rFonts w:hint="eastAsia" w:hAnsi="Times New Roman" w:cs="Times New Roman"/>
          <w:b/>
          <w:color w:val="auto"/>
          <w:highlight w:val="none"/>
        </w:rPr>
        <w:t>（二）解释权：本招标文件解释权属本采购代理机构。</w:t>
      </w:r>
    </w:p>
    <w:p w14:paraId="1FA5D89D">
      <w:pPr>
        <w:pStyle w:val="27"/>
        <w:spacing w:line="380" w:lineRule="exact"/>
        <w:rPr>
          <w:color w:val="auto"/>
          <w:highlight w:val="none"/>
        </w:rPr>
      </w:pPr>
      <w:r>
        <w:rPr>
          <w:rFonts w:hint="eastAsia"/>
          <w:color w:val="auto"/>
          <w:spacing w:val="-4"/>
          <w:highlight w:val="none"/>
        </w:rPr>
        <w:t xml:space="preserve">   </w:t>
      </w:r>
    </w:p>
    <w:p w14:paraId="6DBF229D">
      <w:pPr>
        <w:pStyle w:val="27"/>
        <w:spacing w:line="380" w:lineRule="exact"/>
        <w:ind w:firstLine="420"/>
        <w:rPr>
          <w:rFonts w:hint="eastAsia"/>
          <w:color w:val="auto"/>
          <w:highlight w:val="none"/>
        </w:rPr>
      </w:pPr>
    </w:p>
    <w:p w14:paraId="2EC63EF1">
      <w:pPr>
        <w:snapToGrid w:val="0"/>
        <w:rPr>
          <w:rFonts w:hint="eastAsia" w:ascii="楷体" w:eastAsia="楷体"/>
          <w:color w:val="auto"/>
          <w:kern w:val="0"/>
          <w:sz w:val="32"/>
          <w:szCs w:val="32"/>
          <w:highlight w:val="none"/>
        </w:rPr>
      </w:pPr>
      <w:r>
        <w:rPr>
          <w:rFonts w:hint="eastAsia" w:ascii="宋体"/>
          <w:color w:val="auto"/>
          <w:kern w:val="0"/>
          <w:sz w:val="20"/>
          <w:szCs w:val="21"/>
          <w:highlight w:val="none"/>
        </w:rPr>
        <w:br w:type="page"/>
      </w:r>
      <w:r>
        <w:rPr>
          <w:rFonts w:hint="eastAsia" w:ascii="楷体" w:eastAsia="楷体"/>
          <w:color w:val="auto"/>
          <w:kern w:val="0"/>
          <w:sz w:val="32"/>
          <w:szCs w:val="32"/>
          <w:highlight w:val="none"/>
        </w:rPr>
        <w:t>附件1：</w:t>
      </w:r>
    </w:p>
    <w:p w14:paraId="27D576B8">
      <w:pPr>
        <w:widowControl/>
        <w:shd w:val="clear" w:color="auto" w:fill="FFFFFF"/>
        <w:spacing w:line="720" w:lineRule="auto"/>
        <w:jc w:val="center"/>
        <w:rPr>
          <w:rFonts w:hint="eastAsia" w:ascii="仿宋" w:eastAsia="仿宋" w:cs="宋体"/>
          <w:color w:val="auto"/>
          <w:kern w:val="0"/>
          <w:sz w:val="32"/>
          <w:szCs w:val="32"/>
          <w:highlight w:val="none"/>
        </w:rPr>
      </w:pPr>
      <w:r>
        <w:rPr>
          <w:rFonts w:hint="eastAsia" w:ascii="黑体" w:eastAsia="黑体" w:cs="黑体"/>
          <w:color w:val="auto"/>
          <w:kern w:val="0"/>
          <w:sz w:val="32"/>
          <w:szCs w:val="32"/>
          <w:highlight w:val="none"/>
        </w:rPr>
        <w:t>广西壮族自治区政府采购项目合同验收书</w:t>
      </w:r>
      <w:r>
        <w:rPr>
          <w:rFonts w:hint="eastAsia" w:ascii="仿宋" w:eastAsia="仿宋" w:cs="宋体"/>
          <w:color w:val="auto"/>
          <w:kern w:val="0"/>
          <w:sz w:val="32"/>
          <w:szCs w:val="32"/>
          <w:highlight w:val="none"/>
        </w:rPr>
        <w:t>（格式）</w:t>
      </w:r>
    </w:p>
    <w:p w14:paraId="55464DEE">
      <w:pPr>
        <w:widowControl/>
        <w:shd w:val="clear" w:color="auto" w:fill="FFFFFF"/>
        <w:snapToGrid w:val="0"/>
        <w:spacing w:line="380" w:lineRule="exact"/>
        <w:jc w:val="left"/>
        <w:rPr>
          <w:rFonts w:hint="eastAsia" w:ascii="宋体" w:cs="宋体"/>
          <w:color w:val="auto"/>
          <w:kern w:val="0"/>
          <w:szCs w:val="21"/>
          <w:highlight w:val="none"/>
        </w:rPr>
      </w:pPr>
      <w:r>
        <w:rPr>
          <w:rFonts w:hint="eastAsia" w:ascii="宋体" w:cs="宋体"/>
          <w:color w:val="auto"/>
          <w:kern w:val="0"/>
          <w:szCs w:val="21"/>
          <w:highlight w:val="none"/>
        </w:rPr>
        <w:t xml:space="preserve">    根据政府采购项目（</w:t>
      </w:r>
      <w:r>
        <w:rPr>
          <w:rFonts w:hint="eastAsia" w:ascii="宋体" w:cs="宋体"/>
          <w:color w:val="auto"/>
          <w:kern w:val="0"/>
          <w:szCs w:val="21"/>
          <w:highlight w:val="none"/>
          <w:u w:val="single"/>
        </w:rPr>
        <w:t>采购合同编号：</w:t>
      </w:r>
      <w:r>
        <w:rPr>
          <w:rFonts w:hint="eastAsia" w:ascii="宋体" w:cs="宋体"/>
          <w:color w:val="auto"/>
          <w:kern w:val="0"/>
          <w:szCs w:val="21"/>
          <w:highlight w:val="none"/>
          <w:u w:val="single"/>
        </w:rPr>
        <w:softHyphen/>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）的约定，我单位对（</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 政府采购项目中标（或成交）供应商（</w:t>
      </w:r>
      <w:r>
        <w:rPr>
          <w:rFonts w:hint="eastAsia" w:ascii="宋体" w:cs="宋体"/>
          <w:color w:val="auto"/>
          <w:kern w:val="0"/>
          <w:szCs w:val="21"/>
          <w:highlight w:val="none"/>
          <w:u w:val="single"/>
        </w:rPr>
        <w:t xml:space="preserve"> 公司名称 </w:t>
      </w:r>
      <w:r>
        <w:rPr>
          <w:rFonts w:hint="eastAsia" w:ascii="宋体" w:cs="宋体"/>
          <w:color w:val="auto"/>
          <w:kern w:val="0"/>
          <w:szCs w:val="21"/>
          <w:highlight w:val="none"/>
        </w:rPr>
        <w:t>） 提供的货物（或工程、服务）进行了验收，验收情况如下：</w:t>
      </w:r>
    </w:p>
    <w:tbl>
      <w:tblPr>
        <w:tblStyle w:val="49"/>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171E0D28">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0572017B">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23D95C8C">
            <w:pPr>
              <w:widowControl/>
              <w:snapToGrid w:val="0"/>
              <w:spacing w:before="100" w:beforeAutospacing="1" w:after="100" w:afterAutospacing="1" w:line="320" w:lineRule="atLeast"/>
              <w:ind w:firstLine="480"/>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663C8CBA">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917D17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710292C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658E590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5ABFDE1D">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4C46D0D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 额</w:t>
            </w:r>
          </w:p>
        </w:tc>
      </w:tr>
      <w:tr w14:paraId="1C9CB5A5">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2AA5141">
            <w:pPr>
              <w:widowControl/>
              <w:spacing w:before="100" w:beforeAutospacing="1" w:after="100" w:afterAutospacing="1" w:line="240" w:lineRule="atLeast"/>
              <w:jc w:val="center"/>
              <w:rPr>
                <w:rFonts w:ascii="Verdana" w:hAnsi="Verdana"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4F30FEA6">
            <w:pPr>
              <w:widowControl/>
              <w:spacing w:before="100" w:beforeAutospacing="1" w:after="100" w:afterAutospacing="1" w:line="240" w:lineRule="atLeast"/>
              <w:jc w:val="center"/>
              <w:rPr>
                <w:rFonts w:ascii="Verdana" w:hAnsi="Verdana"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2BAD943">
            <w:pPr>
              <w:widowControl/>
              <w:spacing w:before="100" w:beforeAutospacing="1" w:after="100" w:afterAutospacing="1" w:line="240" w:lineRule="atLeast"/>
              <w:jc w:val="center"/>
              <w:rPr>
                <w:rFonts w:ascii="Verdana" w:hAnsi="Verdana"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A9F5015">
            <w:pPr>
              <w:widowControl/>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9F48BDA">
            <w:pPr>
              <w:widowControl/>
              <w:spacing w:before="100" w:beforeAutospacing="1" w:after="100" w:afterAutospacing="1" w:line="240" w:lineRule="atLeast"/>
              <w:jc w:val="center"/>
              <w:rPr>
                <w:rFonts w:ascii="Verdana" w:hAnsi="Verdana" w:cs="宋体"/>
                <w:color w:val="auto"/>
                <w:kern w:val="0"/>
                <w:szCs w:val="21"/>
                <w:highlight w:val="none"/>
              </w:rPr>
            </w:pPr>
          </w:p>
        </w:tc>
      </w:tr>
      <w:tr w14:paraId="4B7C9BE0">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27E221A">
            <w:pPr>
              <w:widowControl/>
              <w:spacing w:before="100" w:beforeAutospacing="1" w:after="100" w:afterAutospacing="1" w:line="240" w:lineRule="atLeast"/>
              <w:jc w:val="center"/>
              <w:rPr>
                <w:rFonts w:ascii="Verdana" w:hAnsi="Verdana"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45BCF5B">
            <w:pPr>
              <w:widowControl/>
              <w:spacing w:before="100" w:beforeAutospacing="1" w:after="100" w:afterAutospacing="1" w:line="240" w:lineRule="atLeast"/>
              <w:jc w:val="center"/>
              <w:rPr>
                <w:rFonts w:ascii="Verdana" w:hAnsi="Verdana"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273F440">
            <w:pPr>
              <w:widowControl/>
              <w:spacing w:before="100" w:beforeAutospacing="1" w:after="100" w:afterAutospacing="1" w:line="240" w:lineRule="atLeast"/>
              <w:jc w:val="center"/>
              <w:rPr>
                <w:rFonts w:ascii="Verdana" w:hAnsi="Verdana"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5FF592D7">
            <w:pPr>
              <w:widowControl/>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677441BC">
            <w:pPr>
              <w:widowControl/>
              <w:spacing w:before="100" w:beforeAutospacing="1" w:after="100" w:afterAutospacing="1" w:line="240" w:lineRule="atLeast"/>
              <w:jc w:val="center"/>
              <w:rPr>
                <w:rFonts w:ascii="Verdana" w:hAnsi="Verdana" w:cs="宋体"/>
                <w:color w:val="auto"/>
                <w:kern w:val="0"/>
                <w:szCs w:val="21"/>
                <w:highlight w:val="none"/>
              </w:rPr>
            </w:pPr>
          </w:p>
        </w:tc>
      </w:tr>
      <w:tr w14:paraId="5032F56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286753B">
            <w:pPr>
              <w:widowControl/>
              <w:spacing w:before="100" w:beforeAutospacing="1" w:after="100" w:afterAutospacing="1" w:line="240" w:lineRule="atLeast"/>
              <w:jc w:val="center"/>
              <w:rPr>
                <w:rFonts w:ascii="Verdana" w:hAnsi="Verdana"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3EEE3CE6">
            <w:pPr>
              <w:widowControl/>
              <w:spacing w:before="100" w:beforeAutospacing="1" w:after="100" w:afterAutospacing="1" w:line="240" w:lineRule="atLeast"/>
              <w:jc w:val="center"/>
              <w:rPr>
                <w:rFonts w:ascii="Verdana" w:hAnsi="Verdana"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3244C2D5">
            <w:pPr>
              <w:widowControl/>
              <w:spacing w:before="100" w:beforeAutospacing="1" w:after="100" w:afterAutospacing="1" w:line="240" w:lineRule="atLeast"/>
              <w:jc w:val="center"/>
              <w:rPr>
                <w:rFonts w:ascii="Verdana" w:hAnsi="Verdana"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C8A243A">
            <w:pPr>
              <w:widowControl/>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49F038E1">
            <w:pPr>
              <w:widowControl/>
              <w:spacing w:before="100" w:beforeAutospacing="1" w:after="100" w:afterAutospacing="1" w:line="240" w:lineRule="atLeast"/>
              <w:jc w:val="center"/>
              <w:rPr>
                <w:rFonts w:ascii="Verdana" w:hAnsi="Verdana" w:cs="宋体"/>
                <w:color w:val="auto"/>
                <w:kern w:val="0"/>
                <w:szCs w:val="21"/>
                <w:highlight w:val="none"/>
              </w:rPr>
            </w:pPr>
          </w:p>
        </w:tc>
      </w:tr>
      <w:tr w14:paraId="1762A985">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275913B1">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02548417">
            <w:pPr>
              <w:widowControl/>
              <w:spacing w:before="100" w:beforeAutospacing="1" w:after="100" w:afterAutospacing="1" w:line="240" w:lineRule="atLeast"/>
              <w:jc w:val="center"/>
              <w:rPr>
                <w:rFonts w:ascii="Verdana" w:hAnsi="Verdana"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0D9F6C0">
            <w:pPr>
              <w:widowControl/>
              <w:spacing w:before="100" w:beforeAutospacing="1" w:after="100" w:afterAutospacing="1" w:line="240" w:lineRule="atLeast"/>
              <w:jc w:val="center"/>
              <w:rPr>
                <w:rFonts w:ascii="Verdana" w:hAnsi="Verdana" w:cs="宋体"/>
                <w:color w:val="auto"/>
                <w:kern w:val="0"/>
                <w:szCs w:val="21"/>
                <w:highlight w:val="none"/>
              </w:rPr>
            </w:pPr>
          </w:p>
        </w:tc>
      </w:tr>
      <w:tr w14:paraId="65892529">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39B64119">
            <w:pPr>
              <w:widowControl/>
              <w:snapToGrid w:val="0"/>
              <w:spacing w:before="100" w:beforeAutospacing="1" w:after="100" w:afterAutospacing="1" w:line="320" w:lineRule="atLeast"/>
              <w:ind w:firstLine="2"/>
              <w:jc w:val="left"/>
              <w:rPr>
                <w:rFonts w:ascii="Verdana" w:hAnsi="Verdana" w:cs="宋体"/>
                <w:color w:val="auto"/>
                <w:kern w:val="0"/>
                <w:szCs w:val="21"/>
                <w:highlight w:val="none"/>
              </w:rPr>
            </w:pPr>
            <w:r>
              <w:rPr>
                <w:rFonts w:ascii="Verdana" w:hAnsi="Verdana" w:cs="宋体"/>
                <w:color w:val="auto"/>
                <w:kern w:val="0"/>
                <w:szCs w:val="21"/>
                <w:highlight w:val="none"/>
              </w:rPr>
              <w:t>合计大写金额： 仟 佰 拾 万 仟 佰 拾 元</w:t>
            </w:r>
          </w:p>
        </w:tc>
      </w:tr>
      <w:tr w14:paraId="2163A5C1">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7484BE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7DFA8C81">
            <w:pPr>
              <w:widowControl/>
              <w:spacing w:before="100" w:beforeAutospacing="1" w:after="100" w:afterAutospacing="1" w:line="240" w:lineRule="atLeast"/>
              <w:jc w:val="center"/>
              <w:rPr>
                <w:rFonts w:ascii="Verdana" w:hAnsi="Verdana"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2986D30A">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39E8323F">
            <w:pPr>
              <w:widowControl/>
              <w:spacing w:before="100" w:beforeAutospacing="1" w:after="100" w:afterAutospacing="1" w:line="240" w:lineRule="atLeast"/>
              <w:jc w:val="center"/>
              <w:rPr>
                <w:rFonts w:ascii="Verdana" w:hAnsi="Verdana" w:cs="宋体"/>
                <w:color w:val="auto"/>
                <w:kern w:val="0"/>
                <w:szCs w:val="21"/>
                <w:highlight w:val="none"/>
              </w:rPr>
            </w:pPr>
          </w:p>
        </w:tc>
      </w:tr>
      <w:tr w14:paraId="6A48CDD2">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2ACFFB">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72F7D57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113EE3D3">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1B520F8">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6A74E0A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511FC4B5">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418A3DF8">
            <w:pPr>
              <w:rPr>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53DF2340">
            <w:pPr>
              <w:widowControl/>
              <w:spacing w:before="100" w:beforeAutospacing="1" w:after="100" w:afterAutospacing="1" w:line="320" w:lineRule="atLeast"/>
              <w:ind w:firstLine="96"/>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5DD60A1C">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8195207">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9518DD9">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7538ED40">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7840E10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监督人员或其他相关人员签字：</w:t>
            </w:r>
          </w:p>
          <w:p w14:paraId="201068E0">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或受邀机构的意见（盖章）：</w:t>
            </w:r>
          </w:p>
        </w:tc>
      </w:tr>
      <w:tr w14:paraId="632DD3A2">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0668C4B1">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中标或者成交供应商负责人签字或盖章：</w:t>
            </w:r>
          </w:p>
          <w:p w14:paraId="42EA91D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580DF42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采购人或受托机构的意见（盖章）：</w:t>
            </w:r>
          </w:p>
          <w:p w14:paraId="45A4798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r>
    </w:tbl>
    <w:p w14:paraId="71BB031B">
      <w:pPr>
        <w:jc w:val="left"/>
        <w:rPr>
          <w:color w:val="auto"/>
          <w:highlight w:val="none"/>
        </w:rPr>
      </w:pPr>
    </w:p>
    <w:p w14:paraId="4DFAFAC5">
      <w:pPr>
        <w:jc w:val="left"/>
        <w:rPr>
          <w:rFonts w:hint="eastAsia" w:ascii="Times New Roman" w:hAnsi="Times New Roman" w:cs="Times New Roman"/>
        </w:rPr>
      </w:pPr>
      <w:r>
        <w:rPr>
          <w:color w:val="auto"/>
          <w:highlight w:val="none"/>
        </w:rPr>
        <w:br w:type="page"/>
      </w:r>
      <w:r>
        <w:rPr>
          <w:rFonts w:hint="eastAsia" w:ascii="楷体" w:hAnsi="Times New Roman" w:eastAsia="楷体" w:cs="Times New Roman"/>
          <w:kern w:val="0"/>
          <w:sz w:val="32"/>
          <w:szCs w:val="32"/>
        </w:rPr>
        <w:t>附件2：</w:t>
      </w:r>
    </w:p>
    <w:p w14:paraId="476D64E6">
      <w:pPr>
        <w:jc w:val="center"/>
        <w:rPr>
          <w:rFonts w:hint="eastAsia" w:ascii="黑体" w:hAnsi="Times New Roman" w:eastAsia="黑体" w:cs="Times New Roman"/>
          <w:sz w:val="32"/>
          <w:szCs w:val="32"/>
        </w:rPr>
      </w:pPr>
      <w:r>
        <w:rPr>
          <w:rFonts w:hint="eastAsia" w:ascii="黑体" w:hAnsi="Times New Roman" w:eastAsia="黑体" w:cs="Times New Roman"/>
          <w:sz w:val="32"/>
          <w:szCs w:val="32"/>
        </w:rPr>
        <w:t>政府采购项目履约保证金退付意见书</w:t>
      </w:r>
      <w:r>
        <w:rPr>
          <w:rFonts w:hint="eastAsia" w:ascii="仿宋" w:hAnsi="Times New Roman" w:eastAsia="仿宋" w:cs="宋体"/>
          <w:kern w:val="0"/>
          <w:sz w:val="32"/>
          <w:szCs w:val="32"/>
        </w:rPr>
        <w:t>（格式）</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45B2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EB5F149">
            <w:pPr>
              <w:jc w:val="center"/>
              <w:rPr>
                <w:rFonts w:hint="eastAsia" w:ascii="Times New Roman" w:hAnsi="Times New Roman" w:cs="Times New Roman"/>
                <w:szCs w:val="21"/>
              </w:rPr>
            </w:pPr>
            <w:r>
              <w:rPr>
                <w:rFonts w:hint="eastAsia" w:ascii="Times New Roman" w:hAnsi="Times New Roman" w:cs="Times New Roman"/>
                <w:szCs w:val="21"/>
              </w:rPr>
              <w:t>供</w:t>
            </w:r>
          </w:p>
          <w:p w14:paraId="2C0F3169">
            <w:pPr>
              <w:jc w:val="center"/>
              <w:rPr>
                <w:rFonts w:hint="eastAsia" w:ascii="Times New Roman" w:hAnsi="Times New Roman" w:cs="Times New Roman"/>
                <w:szCs w:val="21"/>
              </w:rPr>
            </w:pPr>
            <w:r>
              <w:rPr>
                <w:rFonts w:hint="eastAsia" w:ascii="Times New Roman" w:hAnsi="Times New Roman" w:cs="Times New Roman"/>
                <w:szCs w:val="21"/>
              </w:rPr>
              <w:t>应</w:t>
            </w:r>
          </w:p>
          <w:p w14:paraId="4CF1153A">
            <w:pPr>
              <w:jc w:val="center"/>
              <w:rPr>
                <w:rFonts w:hint="eastAsia" w:ascii="Times New Roman" w:hAnsi="Times New Roman" w:cs="Times New Roman"/>
                <w:szCs w:val="21"/>
              </w:rPr>
            </w:pPr>
            <w:r>
              <w:rPr>
                <w:rFonts w:hint="eastAsia" w:ascii="Times New Roman" w:hAnsi="Times New Roman" w:cs="Times New Roman"/>
                <w:szCs w:val="21"/>
              </w:rPr>
              <w:t>商</w:t>
            </w:r>
          </w:p>
          <w:p w14:paraId="17E2C2D8">
            <w:pPr>
              <w:jc w:val="center"/>
              <w:rPr>
                <w:rFonts w:hint="eastAsia" w:ascii="Times New Roman" w:hAnsi="Times New Roman" w:cs="Times New Roman"/>
                <w:szCs w:val="21"/>
              </w:rPr>
            </w:pPr>
            <w:r>
              <w:rPr>
                <w:rFonts w:hint="eastAsia" w:ascii="Times New Roman" w:hAnsi="Times New Roman" w:cs="Times New Roman"/>
                <w:szCs w:val="21"/>
              </w:rPr>
              <w:t>申</w:t>
            </w:r>
          </w:p>
          <w:p w14:paraId="06D8DE94">
            <w:pPr>
              <w:jc w:val="center"/>
              <w:rPr>
                <w:rFonts w:hint="eastAsia" w:ascii="Times New Roman" w:hAnsi="Times New Roman" w:cs="Times New Roman"/>
                <w:szCs w:val="21"/>
              </w:rPr>
            </w:pPr>
            <w:r>
              <w:rPr>
                <w:rFonts w:hint="eastAsia" w:ascii="Times New Roman" w:hAnsi="Times New Roman" w:cs="Times New Roman"/>
                <w:szCs w:val="21"/>
              </w:rPr>
              <w:t>请</w:t>
            </w:r>
          </w:p>
        </w:tc>
        <w:tc>
          <w:tcPr>
            <w:tcW w:w="8640" w:type="dxa"/>
            <w:noWrap w:val="0"/>
            <w:vAlign w:val="center"/>
          </w:tcPr>
          <w:p w14:paraId="36EC6313">
            <w:pPr>
              <w:rPr>
                <w:rFonts w:hint="eastAsia" w:ascii="Times New Roman" w:hAnsi="Times New Roman" w:cs="Times New Roman"/>
                <w:szCs w:val="21"/>
              </w:rPr>
            </w:pPr>
            <w:r>
              <w:rPr>
                <w:rFonts w:hint="eastAsia" w:ascii="Times New Roman" w:hAnsi="Times New Roman" w:cs="Times New Roman"/>
                <w:szCs w:val="21"/>
              </w:rPr>
              <w:t>项目编号：</w:t>
            </w:r>
          </w:p>
        </w:tc>
      </w:tr>
      <w:tr w14:paraId="18DE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9402D9E">
            <w:pPr>
              <w:rPr>
                <w:rFonts w:ascii="Times New Roman" w:hAnsi="Times New Roman" w:cs="Times New Roman"/>
              </w:rPr>
            </w:pPr>
          </w:p>
        </w:tc>
        <w:tc>
          <w:tcPr>
            <w:tcW w:w="8640" w:type="dxa"/>
            <w:noWrap w:val="0"/>
            <w:vAlign w:val="center"/>
          </w:tcPr>
          <w:p w14:paraId="397EC9B8">
            <w:pPr>
              <w:rPr>
                <w:rFonts w:hint="eastAsia" w:ascii="Times New Roman" w:hAnsi="Times New Roman" w:cs="Times New Roman"/>
                <w:szCs w:val="21"/>
              </w:rPr>
            </w:pPr>
            <w:r>
              <w:rPr>
                <w:rFonts w:hint="eastAsia" w:ascii="Times New Roman" w:hAnsi="Times New Roman" w:cs="Times New Roman"/>
                <w:szCs w:val="21"/>
              </w:rPr>
              <w:t>项目名称：</w:t>
            </w:r>
          </w:p>
        </w:tc>
      </w:tr>
      <w:tr w14:paraId="4B51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5292762">
            <w:pPr>
              <w:rPr>
                <w:rFonts w:ascii="Times New Roman" w:hAnsi="Times New Roman" w:cs="Times New Roman"/>
              </w:rPr>
            </w:pPr>
          </w:p>
        </w:tc>
        <w:tc>
          <w:tcPr>
            <w:tcW w:w="8640" w:type="dxa"/>
            <w:noWrap w:val="0"/>
            <w:vAlign w:val="top"/>
          </w:tcPr>
          <w:p w14:paraId="71A4D918">
            <w:pPr>
              <w:rPr>
                <w:rFonts w:hint="eastAsia" w:ascii="Times New Roman" w:hAnsi="Times New Roman" w:cs="Times New Roman"/>
                <w:szCs w:val="21"/>
              </w:rPr>
            </w:pPr>
            <w:r>
              <w:rPr>
                <w:rFonts w:hint="eastAsia" w:ascii="Times New Roman" w:hAnsi="Times New Roman" w:cs="Times New Roman"/>
                <w:szCs w:val="21"/>
              </w:rPr>
              <w:t xml:space="preserve">  </w:t>
            </w:r>
          </w:p>
          <w:p w14:paraId="0FDC2BC4">
            <w:pPr>
              <w:spacing w:line="4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该项目已于</w:t>
            </w:r>
            <w:r>
              <w:rPr>
                <w:rFonts w:hint="eastAsia" w:ascii="Times New Roman" w:hAnsi="Times New Roman" w:cs="Times New Roman"/>
                <w:szCs w:val="21"/>
                <w:u w:val="single"/>
              </w:rPr>
              <w:t xml:space="preserve">       </w:t>
            </w:r>
            <w:r>
              <w:rPr>
                <w:rFonts w:hint="eastAsia" w:ascii="Times New Roman" w:hAnsi="Times New Roman" w:cs="Times New Roman"/>
                <w:szCs w:val="21"/>
              </w:rPr>
              <w:t>年</w:t>
            </w:r>
            <w:r>
              <w:rPr>
                <w:rFonts w:hint="eastAsia" w:ascii="Times New Roman" w:hAnsi="Times New Roman" w:cs="Times New Roman"/>
                <w:szCs w:val="21"/>
                <w:u w:val="single"/>
              </w:rPr>
              <w:t xml:space="preserve">     </w:t>
            </w:r>
            <w:r>
              <w:rPr>
                <w:rFonts w:hint="eastAsia" w:ascii="Times New Roman" w:hAnsi="Times New Roman" w:cs="Times New Roman"/>
                <w:szCs w:val="21"/>
              </w:rPr>
              <w:t>月</w:t>
            </w:r>
            <w:r>
              <w:rPr>
                <w:rFonts w:hint="eastAsia" w:ascii="Times New Roman" w:hAnsi="Times New Roman" w:cs="Times New Roman"/>
                <w:szCs w:val="21"/>
                <w:u w:val="single"/>
              </w:rPr>
              <w:t xml:space="preserve">     </w:t>
            </w:r>
            <w:r>
              <w:rPr>
                <w:rFonts w:hint="eastAsia" w:ascii="Times New Roman" w:hAnsi="Times New Roman" w:cs="Times New Roman"/>
                <w:szCs w:val="21"/>
              </w:rPr>
              <w:t>日验收并交付使用。根据合同规定，该项目的履约保证金期限于</w:t>
            </w:r>
            <w:r>
              <w:rPr>
                <w:rFonts w:hint="eastAsia" w:ascii="Times New Roman" w:hAnsi="Times New Roman" w:cs="Times New Roman"/>
                <w:szCs w:val="21"/>
                <w:u w:val="single"/>
              </w:rPr>
              <w:t xml:space="preserve">         </w:t>
            </w:r>
            <w:r>
              <w:rPr>
                <w:rFonts w:hint="eastAsia" w:ascii="Times New Roman" w:hAnsi="Times New Roman" w:cs="Times New Roman"/>
                <w:szCs w:val="21"/>
              </w:rPr>
              <w:t>年</w:t>
            </w:r>
            <w:r>
              <w:rPr>
                <w:rFonts w:hint="eastAsia" w:ascii="Times New Roman" w:hAnsi="Times New Roman" w:cs="Times New Roman"/>
                <w:szCs w:val="21"/>
                <w:u w:val="single"/>
              </w:rPr>
              <w:t xml:space="preserve">      </w:t>
            </w:r>
            <w:r>
              <w:rPr>
                <w:rFonts w:hint="eastAsia" w:ascii="Times New Roman" w:hAnsi="Times New Roman" w:cs="Times New Roman"/>
                <w:szCs w:val="21"/>
              </w:rPr>
              <w:t>月</w:t>
            </w:r>
            <w:r>
              <w:rPr>
                <w:rFonts w:hint="eastAsia" w:ascii="Times New Roman" w:hAnsi="Times New Roman" w:cs="Times New Roman"/>
                <w:szCs w:val="21"/>
                <w:u w:val="single"/>
              </w:rPr>
              <w:t xml:space="preserve">       </w:t>
            </w:r>
            <w:r>
              <w:rPr>
                <w:rFonts w:hint="eastAsia" w:ascii="Times New Roman" w:hAnsi="Times New Roman" w:cs="Times New Roman"/>
                <w:szCs w:val="21"/>
              </w:rPr>
              <w:t>日已满，请将履约保证金</w:t>
            </w:r>
          </w:p>
          <w:p w14:paraId="162F2AED">
            <w:pPr>
              <w:spacing w:line="400" w:lineRule="exact"/>
              <w:rPr>
                <w:rFonts w:hint="eastAsia" w:ascii="Times New Roman" w:hAnsi="Times New Roman" w:cs="Times New Roman"/>
                <w:szCs w:val="21"/>
              </w:rPr>
            </w:pPr>
            <w:r>
              <w:rPr>
                <w:rFonts w:hint="eastAsia" w:ascii="Times New Roman" w:hAnsi="Times New Roman" w:cs="Times New Roman"/>
                <w:szCs w:val="21"/>
                <w:u w:val="single"/>
              </w:rPr>
              <w:t xml:space="preserve">                                        </w:t>
            </w:r>
            <w:r>
              <w:rPr>
                <w:rFonts w:hint="eastAsia" w:ascii="Times New Roman" w:hAnsi="Times New Roman" w:cs="Times New Roman"/>
                <w:szCs w:val="21"/>
              </w:rPr>
              <w:t>（大写）¥</w:t>
            </w:r>
            <w:r>
              <w:rPr>
                <w:rFonts w:hint="eastAsia" w:ascii="Times New Roman" w:hAnsi="Times New Roman" w:cs="Times New Roman"/>
                <w:szCs w:val="21"/>
                <w:u w:val="single"/>
              </w:rPr>
              <w:t xml:space="preserve">          </w:t>
            </w:r>
            <w:r>
              <w:rPr>
                <w:rFonts w:hint="eastAsia" w:ascii="Times New Roman" w:hAnsi="Times New Roman" w:cs="Times New Roman"/>
                <w:szCs w:val="21"/>
              </w:rPr>
              <w:t>（小写）退付到达以下账户。</w:t>
            </w:r>
          </w:p>
          <w:p w14:paraId="237811F3">
            <w:pPr>
              <w:spacing w:line="400" w:lineRule="exact"/>
              <w:ind w:firstLine="705"/>
              <w:rPr>
                <w:rFonts w:hint="eastAsia" w:ascii="Times New Roman" w:hAnsi="Times New Roman" w:cs="Times New Roman"/>
                <w:szCs w:val="21"/>
              </w:rPr>
            </w:pPr>
            <w:r>
              <w:rPr>
                <w:rFonts w:hint="eastAsia" w:ascii="Times New Roman" w:hAnsi="Times New Roman" w:cs="Times New Roman"/>
                <w:szCs w:val="21"/>
              </w:rPr>
              <w:t>单位名称：</w:t>
            </w:r>
          </w:p>
          <w:p w14:paraId="5B2FAAB8">
            <w:pPr>
              <w:spacing w:line="400" w:lineRule="exact"/>
              <w:ind w:firstLine="705"/>
              <w:rPr>
                <w:rFonts w:hint="eastAsia" w:ascii="Times New Roman" w:hAnsi="Times New Roman" w:cs="Times New Roman"/>
                <w:szCs w:val="21"/>
              </w:rPr>
            </w:pPr>
            <w:r>
              <w:rPr>
                <w:rFonts w:hint="eastAsia" w:ascii="Times New Roman" w:hAnsi="Times New Roman" w:cs="Times New Roman"/>
                <w:szCs w:val="21"/>
              </w:rPr>
              <w:t>开户银行：</w:t>
            </w:r>
          </w:p>
          <w:p w14:paraId="0E4EC3A0">
            <w:pPr>
              <w:spacing w:line="400" w:lineRule="exact"/>
              <w:ind w:firstLine="705"/>
              <w:rPr>
                <w:rFonts w:hint="eastAsia" w:ascii="Times New Roman" w:hAnsi="Times New Roman" w:cs="Times New Roman"/>
                <w:szCs w:val="21"/>
              </w:rPr>
            </w:pPr>
            <w:r>
              <w:rPr>
                <w:rFonts w:hint="eastAsia" w:ascii="Times New Roman" w:hAnsi="Times New Roman" w:cs="Times New Roman"/>
                <w:szCs w:val="21"/>
              </w:rPr>
              <w:t>账   号：</w:t>
            </w:r>
          </w:p>
          <w:p w14:paraId="38AC61C8">
            <w:pPr>
              <w:spacing w:line="400" w:lineRule="exact"/>
              <w:rPr>
                <w:rFonts w:hint="eastAsia" w:ascii="Times New Roman" w:hAnsi="Times New Roman" w:cs="Times New Roman"/>
                <w:szCs w:val="21"/>
              </w:rPr>
            </w:pPr>
            <w:r>
              <w:rPr>
                <w:rFonts w:hint="eastAsia" w:ascii="Times New Roman" w:hAnsi="Times New Roman" w:cs="Times New Roman"/>
                <w:szCs w:val="21"/>
              </w:rPr>
              <w:t>联系人及电话：</w:t>
            </w:r>
          </w:p>
          <w:p w14:paraId="036FF3B6">
            <w:pPr>
              <w:spacing w:line="400" w:lineRule="exact"/>
              <w:rPr>
                <w:rFonts w:hint="eastAsia" w:ascii="Times New Roman" w:hAnsi="Times New Roman" w:cs="Times New Roman"/>
                <w:szCs w:val="21"/>
              </w:rPr>
            </w:pPr>
          </w:p>
          <w:p w14:paraId="67B4C5B1">
            <w:pPr>
              <w:spacing w:line="520" w:lineRule="exact"/>
              <w:jc w:val="center"/>
              <w:rPr>
                <w:rFonts w:hint="eastAsia" w:ascii="Times New Roman" w:hAnsi="Times New Roman" w:cs="Times New Roman"/>
                <w:szCs w:val="21"/>
              </w:rPr>
            </w:pPr>
            <w:r>
              <w:rPr>
                <w:rFonts w:hint="eastAsia" w:ascii="Times New Roman" w:hAnsi="Times New Roman" w:cs="Times New Roman"/>
                <w:szCs w:val="21"/>
              </w:rPr>
              <w:t xml:space="preserve">                                     供应商签章：</w:t>
            </w:r>
          </w:p>
          <w:p w14:paraId="2111C3AB">
            <w:pPr>
              <w:spacing w:line="520" w:lineRule="exact"/>
              <w:jc w:val="center"/>
              <w:rPr>
                <w:rFonts w:hint="eastAsia" w:ascii="Times New Roman" w:hAnsi="Times New Roman" w:cs="Times New Roman"/>
                <w:szCs w:val="21"/>
              </w:rPr>
            </w:pPr>
            <w:r>
              <w:rPr>
                <w:rFonts w:hint="eastAsia" w:ascii="Times New Roman" w:hAnsi="Times New Roman" w:cs="Times New Roman"/>
                <w:szCs w:val="21"/>
              </w:rPr>
              <w:t xml:space="preserve">                           年    月     日</w:t>
            </w:r>
          </w:p>
        </w:tc>
      </w:tr>
      <w:tr w14:paraId="1A1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CC7CE1D">
            <w:pPr>
              <w:jc w:val="center"/>
              <w:rPr>
                <w:rFonts w:hint="eastAsia" w:ascii="Times New Roman" w:hAnsi="Times New Roman" w:cs="Times New Roman"/>
                <w:szCs w:val="21"/>
              </w:rPr>
            </w:pPr>
            <w:r>
              <w:rPr>
                <w:rFonts w:hint="eastAsia" w:ascii="Times New Roman" w:hAnsi="Times New Roman" w:cs="Times New Roman"/>
                <w:szCs w:val="21"/>
              </w:rPr>
              <w:t>采</w:t>
            </w:r>
          </w:p>
          <w:p w14:paraId="7FCB5F14">
            <w:pPr>
              <w:jc w:val="center"/>
              <w:rPr>
                <w:rFonts w:hint="eastAsia" w:ascii="Times New Roman" w:hAnsi="Times New Roman" w:cs="Times New Roman"/>
                <w:szCs w:val="21"/>
              </w:rPr>
            </w:pPr>
            <w:r>
              <w:rPr>
                <w:rFonts w:hint="eastAsia" w:ascii="Times New Roman" w:hAnsi="Times New Roman" w:cs="Times New Roman"/>
                <w:szCs w:val="21"/>
              </w:rPr>
              <w:t>购</w:t>
            </w:r>
          </w:p>
          <w:p w14:paraId="0F8FE043">
            <w:pPr>
              <w:jc w:val="center"/>
              <w:rPr>
                <w:rFonts w:hint="eastAsia" w:ascii="Times New Roman" w:hAnsi="Times New Roman" w:cs="Times New Roman"/>
                <w:szCs w:val="21"/>
              </w:rPr>
            </w:pPr>
            <w:r>
              <w:rPr>
                <w:rFonts w:hint="eastAsia" w:ascii="Times New Roman" w:hAnsi="Times New Roman" w:cs="Times New Roman"/>
                <w:szCs w:val="21"/>
              </w:rPr>
              <w:t>单</w:t>
            </w:r>
          </w:p>
          <w:p w14:paraId="6EB704FB">
            <w:pPr>
              <w:jc w:val="center"/>
              <w:rPr>
                <w:rFonts w:hint="eastAsia" w:ascii="Times New Roman" w:hAnsi="Times New Roman" w:cs="Times New Roman"/>
                <w:szCs w:val="21"/>
              </w:rPr>
            </w:pPr>
            <w:r>
              <w:rPr>
                <w:rFonts w:hint="eastAsia" w:ascii="Times New Roman" w:hAnsi="Times New Roman" w:cs="Times New Roman"/>
                <w:szCs w:val="21"/>
              </w:rPr>
              <w:t>位</w:t>
            </w:r>
          </w:p>
          <w:p w14:paraId="77F8A91F">
            <w:pPr>
              <w:jc w:val="center"/>
              <w:rPr>
                <w:rFonts w:hint="eastAsia" w:ascii="Times New Roman" w:hAnsi="Times New Roman" w:cs="Times New Roman"/>
                <w:szCs w:val="21"/>
              </w:rPr>
            </w:pPr>
            <w:r>
              <w:rPr>
                <w:rFonts w:hint="eastAsia" w:ascii="Times New Roman" w:hAnsi="Times New Roman" w:cs="Times New Roman"/>
                <w:szCs w:val="21"/>
              </w:rPr>
              <w:t>意</w:t>
            </w:r>
          </w:p>
          <w:p w14:paraId="11D719B7">
            <w:pPr>
              <w:jc w:val="center"/>
              <w:rPr>
                <w:rFonts w:hint="eastAsia" w:ascii="Times New Roman" w:hAnsi="Times New Roman" w:cs="Times New Roman"/>
                <w:szCs w:val="21"/>
              </w:rPr>
            </w:pPr>
            <w:r>
              <w:rPr>
                <w:rFonts w:hint="eastAsia" w:ascii="Times New Roman" w:hAnsi="Times New Roman" w:cs="Times New Roman"/>
                <w:szCs w:val="21"/>
              </w:rPr>
              <w:t>见</w:t>
            </w:r>
          </w:p>
        </w:tc>
        <w:tc>
          <w:tcPr>
            <w:tcW w:w="8640" w:type="dxa"/>
            <w:noWrap w:val="0"/>
            <w:vAlign w:val="top"/>
          </w:tcPr>
          <w:p w14:paraId="325C39FA">
            <w:pPr>
              <w:rPr>
                <w:rFonts w:hint="eastAsia" w:ascii="Times New Roman" w:hAnsi="Times New Roman" w:cs="Times New Roman"/>
                <w:szCs w:val="21"/>
              </w:rPr>
            </w:pPr>
          </w:p>
          <w:p w14:paraId="50544A66">
            <w:pPr>
              <w:rPr>
                <w:rFonts w:hint="eastAsia" w:ascii="Times New Roman" w:hAnsi="Times New Roman" w:cs="Times New Roman"/>
                <w:szCs w:val="21"/>
              </w:rPr>
            </w:pPr>
            <w:r>
              <w:rPr>
                <w:rFonts w:hint="eastAsia" w:ascii="Times New Roman" w:hAnsi="Times New Roman" w:cs="Times New Roman"/>
                <w:szCs w:val="21"/>
              </w:rPr>
              <w:t>退付意见：是否同意退付履约保证金及退付金额：</w:t>
            </w:r>
          </w:p>
          <w:p w14:paraId="6A933722">
            <w:pPr>
              <w:rPr>
                <w:rFonts w:hint="eastAsia" w:ascii="Times New Roman" w:hAnsi="Times New Roman" w:cs="Times New Roman"/>
                <w:szCs w:val="21"/>
              </w:rPr>
            </w:pPr>
          </w:p>
          <w:p w14:paraId="38EAE2BF">
            <w:pPr>
              <w:rPr>
                <w:rFonts w:hint="eastAsia" w:ascii="Times New Roman" w:hAnsi="Times New Roman" w:cs="Times New Roman"/>
                <w:szCs w:val="21"/>
              </w:rPr>
            </w:pPr>
          </w:p>
          <w:p w14:paraId="49F62BD5">
            <w:pPr>
              <w:spacing w:line="520" w:lineRule="exact"/>
              <w:rPr>
                <w:rFonts w:hint="eastAsia" w:ascii="Times New Roman" w:hAnsi="Times New Roman" w:cs="Times New Roman"/>
                <w:szCs w:val="21"/>
              </w:rPr>
            </w:pPr>
            <w:r>
              <w:rPr>
                <w:rFonts w:hint="eastAsia" w:ascii="Times New Roman" w:hAnsi="Times New Roman" w:cs="Times New Roman"/>
                <w:szCs w:val="21"/>
              </w:rPr>
              <w:t>联系人及电话：                                 采购单位签章</w:t>
            </w:r>
          </w:p>
          <w:p w14:paraId="12D87407">
            <w:pPr>
              <w:spacing w:line="520" w:lineRule="exact"/>
              <w:jc w:val="center"/>
              <w:rPr>
                <w:rFonts w:hint="eastAsia" w:ascii="Times New Roman" w:hAnsi="Times New Roman" w:cs="Times New Roman"/>
                <w:szCs w:val="21"/>
              </w:rPr>
            </w:pPr>
            <w:r>
              <w:rPr>
                <w:rFonts w:hint="eastAsia" w:ascii="Times New Roman" w:hAnsi="Times New Roman" w:cs="Times New Roman"/>
                <w:szCs w:val="21"/>
              </w:rPr>
              <w:t xml:space="preserve">                                        年    月     日</w:t>
            </w:r>
          </w:p>
        </w:tc>
      </w:tr>
      <w:tr w14:paraId="165F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D3BF14D">
            <w:pPr>
              <w:jc w:val="center"/>
              <w:rPr>
                <w:rFonts w:hint="eastAsia" w:ascii="Times New Roman" w:hAnsi="Times New Roman" w:cs="Times New Roman"/>
                <w:szCs w:val="21"/>
              </w:rPr>
            </w:pPr>
            <w:r>
              <w:rPr>
                <w:rFonts w:hint="eastAsia" w:ascii="Times New Roman" w:hAnsi="Times New Roman" w:cs="Times New Roman"/>
                <w:szCs w:val="21"/>
              </w:rPr>
              <w:t>财</w:t>
            </w:r>
          </w:p>
          <w:p w14:paraId="77CE9DB8">
            <w:pPr>
              <w:jc w:val="center"/>
              <w:rPr>
                <w:rFonts w:hint="eastAsia" w:ascii="Times New Roman" w:hAnsi="Times New Roman" w:cs="Times New Roman"/>
                <w:szCs w:val="21"/>
              </w:rPr>
            </w:pPr>
            <w:r>
              <w:rPr>
                <w:rFonts w:hint="eastAsia" w:ascii="Times New Roman" w:hAnsi="Times New Roman" w:cs="Times New Roman"/>
                <w:szCs w:val="21"/>
              </w:rPr>
              <w:t>务</w:t>
            </w:r>
          </w:p>
          <w:p w14:paraId="6BA6047E">
            <w:pPr>
              <w:jc w:val="center"/>
              <w:rPr>
                <w:rFonts w:hint="eastAsia" w:ascii="Times New Roman" w:hAnsi="Times New Roman" w:cs="Times New Roman"/>
                <w:szCs w:val="21"/>
              </w:rPr>
            </w:pPr>
            <w:r>
              <w:rPr>
                <w:rFonts w:hint="eastAsia" w:ascii="Times New Roman" w:hAnsi="Times New Roman" w:cs="Times New Roman"/>
                <w:szCs w:val="21"/>
              </w:rPr>
              <w:t>部</w:t>
            </w:r>
          </w:p>
          <w:p w14:paraId="5E715130">
            <w:pPr>
              <w:jc w:val="center"/>
              <w:rPr>
                <w:rFonts w:hint="eastAsia" w:ascii="Times New Roman" w:hAnsi="Times New Roman" w:cs="Times New Roman"/>
                <w:szCs w:val="21"/>
              </w:rPr>
            </w:pPr>
            <w:r>
              <w:rPr>
                <w:rFonts w:hint="eastAsia" w:ascii="Times New Roman" w:hAnsi="Times New Roman" w:cs="Times New Roman"/>
                <w:szCs w:val="21"/>
              </w:rPr>
              <w:t>门</w:t>
            </w:r>
          </w:p>
          <w:p w14:paraId="6A7A3492">
            <w:pPr>
              <w:jc w:val="center"/>
              <w:rPr>
                <w:rFonts w:hint="eastAsia" w:ascii="Times New Roman" w:hAnsi="Times New Roman" w:cs="Times New Roman"/>
                <w:szCs w:val="21"/>
              </w:rPr>
            </w:pPr>
            <w:r>
              <w:rPr>
                <w:rFonts w:hint="eastAsia" w:ascii="Times New Roman" w:hAnsi="Times New Roman" w:cs="Times New Roman"/>
                <w:szCs w:val="21"/>
              </w:rPr>
              <w:t>意</w:t>
            </w:r>
          </w:p>
          <w:p w14:paraId="79CAB443">
            <w:pPr>
              <w:jc w:val="center"/>
              <w:rPr>
                <w:rFonts w:hint="eastAsia" w:ascii="Times New Roman" w:hAnsi="Times New Roman" w:cs="Times New Roman"/>
                <w:szCs w:val="21"/>
              </w:rPr>
            </w:pPr>
            <w:r>
              <w:rPr>
                <w:rFonts w:hint="eastAsia" w:ascii="Times New Roman" w:hAnsi="Times New Roman" w:cs="Times New Roman"/>
                <w:szCs w:val="21"/>
              </w:rPr>
              <w:t>见</w:t>
            </w:r>
          </w:p>
        </w:tc>
        <w:tc>
          <w:tcPr>
            <w:tcW w:w="8640" w:type="dxa"/>
            <w:noWrap w:val="0"/>
            <w:vAlign w:val="top"/>
          </w:tcPr>
          <w:p w14:paraId="0A288F9A">
            <w:pPr>
              <w:spacing w:line="640" w:lineRule="exact"/>
              <w:rPr>
                <w:rFonts w:hint="eastAsia" w:ascii="Times New Roman" w:hAnsi="Times New Roman" w:cs="Times New Roman"/>
                <w:szCs w:val="21"/>
              </w:rPr>
            </w:pPr>
            <w:r>
              <w:rPr>
                <w:rFonts w:hint="eastAsia" w:ascii="Times New Roman" w:hAnsi="Times New Roman" w:cs="Times New Roman"/>
                <w:szCs w:val="21"/>
              </w:rPr>
              <w:t>此表于</w:t>
            </w:r>
            <w:r>
              <w:rPr>
                <w:rFonts w:hint="eastAsia" w:ascii="Times New Roman" w:hAnsi="Times New Roman" w:cs="Times New Roman"/>
                <w:szCs w:val="21"/>
                <w:u w:val="single"/>
              </w:rPr>
              <w:t xml:space="preserve">     </w:t>
            </w:r>
            <w:r>
              <w:rPr>
                <w:rFonts w:hint="eastAsia" w:ascii="Times New Roman" w:hAnsi="Times New Roman" w:cs="Times New Roman"/>
                <w:szCs w:val="21"/>
              </w:rPr>
              <w:t>年</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月 </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 日收到。</w:t>
            </w:r>
          </w:p>
          <w:p w14:paraId="6DCEEC25">
            <w:pPr>
              <w:spacing w:line="640" w:lineRule="exact"/>
              <w:rPr>
                <w:rFonts w:hint="eastAsia" w:ascii="Times New Roman" w:hAnsi="Times New Roman" w:cs="Times New Roman"/>
                <w:szCs w:val="21"/>
              </w:rPr>
            </w:pPr>
            <w:r>
              <w:rPr>
                <w:rFonts w:hint="eastAsia" w:ascii="Times New Roman" w:hAnsi="Times New Roman" w:cs="Times New Roman"/>
                <w:szCs w:val="21"/>
              </w:rPr>
              <w:t>会计审核：</w:t>
            </w:r>
          </w:p>
          <w:p w14:paraId="056332B8">
            <w:pPr>
              <w:spacing w:line="640" w:lineRule="exact"/>
              <w:rPr>
                <w:rFonts w:hint="eastAsia" w:ascii="Times New Roman" w:hAnsi="Times New Roman" w:cs="Times New Roman"/>
                <w:szCs w:val="21"/>
              </w:rPr>
            </w:pPr>
            <w:r>
              <w:rPr>
                <w:rFonts w:hint="eastAsia" w:ascii="Times New Roman" w:hAnsi="Times New Roman" w:cs="Times New Roman"/>
                <w:szCs w:val="21"/>
              </w:rPr>
              <w:t>财务负责人审核：</w:t>
            </w:r>
          </w:p>
          <w:p w14:paraId="171B494D">
            <w:pPr>
              <w:spacing w:line="640" w:lineRule="exact"/>
              <w:rPr>
                <w:rFonts w:hint="eastAsia" w:ascii="Times New Roman" w:hAnsi="Times New Roman" w:cs="Times New Roman"/>
                <w:szCs w:val="21"/>
              </w:rPr>
            </w:pPr>
            <w:r>
              <w:rPr>
                <w:rFonts w:hint="eastAsia" w:ascii="Times New Roman" w:hAnsi="Times New Roman" w:cs="Times New Roman"/>
                <w:szCs w:val="21"/>
              </w:rPr>
              <w:t>单位负责人签字：</w:t>
            </w:r>
          </w:p>
          <w:p w14:paraId="6D90DF31">
            <w:pPr>
              <w:spacing w:line="640" w:lineRule="exact"/>
              <w:rPr>
                <w:rFonts w:hint="eastAsia" w:ascii="Times New Roman" w:hAnsi="Times New Roman" w:cs="Times New Roman"/>
                <w:szCs w:val="21"/>
              </w:rPr>
            </w:pPr>
            <w:r>
              <w:rPr>
                <w:rFonts w:hint="eastAsia" w:ascii="Times New Roman" w:hAnsi="Times New Roman" w:cs="Times New Roman"/>
                <w:szCs w:val="21"/>
              </w:rPr>
              <w:t>出纳办理转账日期：</w:t>
            </w:r>
          </w:p>
        </w:tc>
      </w:tr>
    </w:tbl>
    <w:p w14:paraId="319AFB50">
      <w:pPr>
        <w:spacing w:line="380" w:lineRule="exact"/>
        <w:ind w:left="420" w:leftChars="114" w:hanging="181" w:hangingChars="100"/>
        <w:rPr>
          <w:rFonts w:ascii="宋体" w:hAnsi="Times New Roman" w:cs="Times New Roman"/>
          <w:b/>
          <w:bCs/>
          <w:kern w:val="0"/>
          <w:sz w:val="18"/>
        </w:rPr>
      </w:pPr>
      <w:r>
        <w:rPr>
          <w:rFonts w:hint="eastAsia" w:ascii="宋体" w:hAnsi="Times New Roman" w:cs="Times New Roman"/>
          <w:b/>
          <w:bCs/>
          <w:kern w:val="0"/>
          <w:sz w:val="18"/>
        </w:rPr>
        <w:t>注：供应商凭经采购单位审批的退付意见书办理履约保证金退付事宜。</w:t>
      </w:r>
    </w:p>
    <w:p w14:paraId="1DC9FBD4">
      <w:pPr>
        <w:jc w:val="left"/>
        <w:rPr>
          <w:rFonts w:hint="eastAsia" w:ascii="楷体" w:eastAsia="楷体"/>
          <w:color w:val="auto"/>
          <w:kern w:val="0"/>
          <w:sz w:val="32"/>
          <w:szCs w:val="32"/>
          <w:highlight w:val="none"/>
        </w:rPr>
      </w:pPr>
      <w:r>
        <w:rPr>
          <w:rFonts w:hint="eastAsia" w:ascii="楷体" w:eastAsia="楷体"/>
          <w:color w:val="auto"/>
          <w:kern w:val="0"/>
          <w:sz w:val="32"/>
          <w:szCs w:val="32"/>
          <w:highlight w:val="none"/>
        </w:rPr>
        <w:br w:type="page"/>
      </w:r>
    </w:p>
    <w:p w14:paraId="529258D3">
      <w:pPr>
        <w:jc w:val="left"/>
        <w:rPr>
          <w:rFonts w:hint="eastAsia" w:ascii="楷体" w:eastAsia="楷体"/>
          <w:color w:val="auto"/>
          <w:kern w:val="0"/>
          <w:sz w:val="32"/>
          <w:szCs w:val="32"/>
          <w:highlight w:val="none"/>
        </w:rPr>
      </w:pPr>
      <w:r>
        <w:rPr>
          <w:rFonts w:hint="eastAsia" w:ascii="楷体" w:eastAsia="楷体"/>
          <w:color w:val="auto"/>
          <w:kern w:val="0"/>
          <w:sz w:val="32"/>
          <w:szCs w:val="32"/>
          <w:highlight w:val="none"/>
        </w:rPr>
        <w:t>附件</w:t>
      </w:r>
      <w:r>
        <w:rPr>
          <w:rFonts w:hint="eastAsia" w:ascii="楷体" w:eastAsia="楷体"/>
          <w:color w:val="auto"/>
          <w:kern w:val="0"/>
          <w:sz w:val="32"/>
          <w:szCs w:val="32"/>
          <w:highlight w:val="none"/>
          <w:lang w:val="en-US" w:eastAsia="zh-CN"/>
        </w:rPr>
        <w:t>3</w:t>
      </w:r>
      <w:r>
        <w:rPr>
          <w:rFonts w:hint="eastAsia" w:ascii="楷体" w:eastAsia="楷体"/>
          <w:color w:val="auto"/>
          <w:kern w:val="0"/>
          <w:sz w:val="32"/>
          <w:szCs w:val="32"/>
          <w:highlight w:val="none"/>
        </w:rPr>
        <w:t>：</w:t>
      </w:r>
    </w:p>
    <w:p w14:paraId="042DF678">
      <w:pPr>
        <w:spacing w:line="528" w:lineRule="exact"/>
        <w:ind w:left="1871" w:leftChars="891" w:firstLine="200" w:firstLineChars="5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49"/>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6A827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5B6CF42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691A9A7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3F36D65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0DA4D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2C6DC9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4F49C3A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337C945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0F90EA4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31B19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553B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ADD8DD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D2406C8">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0762884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75674D9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790DA2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6FDE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10169D3">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BE69472">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50C54E1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3196B33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94DE4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FEEB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08B366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361B3F3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4452EFD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2BF7F09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4226676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7B88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A87881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ED13C1C">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B91E382">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ACEBF9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3F1D64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1268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58671ED">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3048B30">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0B97DED">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3FD395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5621EC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D2F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1B2585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368D32E">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A467DD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0F7B36F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619DB4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19EA7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1F6D70D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2B15AE5">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FF26A7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5CF6C66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629239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2A445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BE8F4B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7F7FE25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166CD3F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2C4F258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DB0F3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75D92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A07ABE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6D86EAE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22096E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7F0D8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456CF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66AEC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31335A5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1970E7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13F72BB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2DBAF82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A52920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1A672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29793D9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32E58D2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19B4E26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4687E5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561559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58D5D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4EFA9B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363D000">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DD65A8D">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5EA0745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706343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4A2CB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8A407A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4D5179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B231C2A">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74C7F3A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7ACAAB3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2D210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5E61A3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32EDB5A">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31D2730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10E2647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tcBorders>
              <w:tl2br w:val="nil"/>
              <w:tr2bl w:val="nil"/>
            </w:tcBorders>
            <w:noWrap w:val="0"/>
            <w:vAlign w:val="center"/>
          </w:tcPr>
          <w:p w14:paraId="2B5F36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4053E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53DCCFFE">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918FA15">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F869519">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61BBB52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4C7346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18DA5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704A56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5DC84D3">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0047A8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7CCAB58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45AA746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653DF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E45D37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92842DD">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73B2E2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1D8D2F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7A6573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1B560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17E75B3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3EA40C3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4119EA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7FC764E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5EEFE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6C97C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BC267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700654D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2B2252F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26A912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2BD3C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2400E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3F46BB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7FEECBF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6AAADDF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2ACBC21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33FCC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6284F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7002543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7EF1118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64FF3AE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7117278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983E4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433CA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52A06C2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E41EF83">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1BD284C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70292BE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3A6E66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4AF88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E66FF2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45EDEE5">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B40901F">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5A09A45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154876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7C017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B46B29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94A9EAD">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29610F1">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2C1F1F9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tcBorders>
              <w:tl2br w:val="nil"/>
              <w:tr2bl w:val="nil"/>
            </w:tcBorders>
            <w:noWrap w:val="0"/>
            <w:vAlign w:val="center"/>
          </w:tcPr>
          <w:p w14:paraId="5EA0B1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5F8F2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C6D399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57E7BED">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0308C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28FEF63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B0B20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6A2BF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C8C194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C633185">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63E7CF8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72A340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1DCAC1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56CAD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83196B7">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22D1D76">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104B260">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683981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2AE6A7F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3FF1D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219D496">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15F7AE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07F5BA0">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61BC8AF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75DA50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601B1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9665D1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F74BCD6">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CF23174">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0C7190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4C95EA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5EE9F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0FB2D9E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0102ABB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0111347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48826AF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23868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2F432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B0A059E">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48DEC04">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594F249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6619FC1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09C2D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0F551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53BF0B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90E990E">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79DE376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4C387F6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38D28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559D4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AA00B6B">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9689C13">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0177D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3E7FFA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CE595B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08004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6FD1EDF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39CD530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4C1FE0B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26DE962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389C66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2139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7364CC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68B441A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476689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3C5A726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3F8D8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1198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4070E8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69E08F2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206187D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0229A9B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B0DB7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671A3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5C7A161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165DC69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01A91CA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0CBA40A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0604A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4E6F1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F1087D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D4F26EE">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5A740F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1D010BE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4867F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7627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8FAA82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2986496">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06A0C15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645DEA6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44541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146BE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D53E83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480C76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67485A1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76BB9F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D0799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63160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12700C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613F08D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5D194CD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337020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6DF72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02C75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0D756C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4B8515A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6C4D073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3BBA6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13047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11A0025C">
      <w:pPr>
        <w:pStyle w:val="20"/>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159208EA">
      <w:pPr>
        <w:jc w:val="left"/>
        <w:rPr>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14F9936">
      <w:pPr>
        <w:jc w:val="left"/>
        <w:rPr>
          <w:rFonts w:hint="eastAsia" w:ascii="宋体"/>
          <w:color w:val="auto"/>
          <w:sz w:val="32"/>
          <w:szCs w:val="32"/>
          <w:highlight w:val="none"/>
        </w:rPr>
      </w:pPr>
      <w:r>
        <w:rPr>
          <w:b/>
          <w:bCs/>
          <w:color w:val="auto"/>
          <w:szCs w:val="21"/>
          <w:highlight w:val="none"/>
        </w:rPr>
        <w:br w:type="page"/>
      </w:r>
    </w:p>
    <w:p w14:paraId="0856D4DE">
      <w:pPr>
        <w:spacing w:line="400" w:lineRule="exact"/>
        <w:jc w:val="center"/>
        <w:rPr>
          <w:rFonts w:hint="eastAsia" w:ascii="宋体"/>
          <w:color w:val="auto"/>
          <w:sz w:val="32"/>
          <w:szCs w:val="32"/>
          <w:highlight w:val="none"/>
        </w:rPr>
      </w:pPr>
    </w:p>
    <w:p w14:paraId="50CC717E">
      <w:pPr>
        <w:spacing w:line="400" w:lineRule="exact"/>
        <w:jc w:val="center"/>
        <w:rPr>
          <w:rFonts w:hint="eastAsia" w:ascii="宋体"/>
          <w:color w:val="auto"/>
          <w:sz w:val="32"/>
          <w:szCs w:val="32"/>
          <w:highlight w:val="none"/>
        </w:rPr>
      </w:pPr>
    </w:p>
    <w:p w14:paraId="7AA54242">
      <w:pPr>
        <w:spacing w:line="400" w:lineRule="exact"/>
        <w:jc w:val="center"/>
        <w:rPr>
          <w:rFonts w:hint="eastAsia" w:ascii="宋体"/>
          <w:color w:val="auto"/>
          <w:sz w:val="32"/>
          <w:szCs w:val="32"/>
          <w:highlight w:val="none"/>
        </w:rPr>
      </w:pPr>
    </w:p>
    <w:p w14:paraId="13BC0346">
      <w:pPr>
        <w:spacing w:line="400" w:lineRule="exact"/>
        <w:jc w:val="center"/>
        <w:rPr>
          <w:rFonts w:hint="eastAsia" w:ascii="宋体"/>
          <w:color w:val="auto"/>
          <w:sz w:val="32"/>
          <w:szCs w:val="32"/>
          <w:highlight w:val="none"/>
        </w:rPr>
      </w:pPr>
    </w:p>
    <w:p w14:paraId="494191AB">
      <w:pPr>
        <w:spacing w:line="400" w:lineRule="exact"/>
        <w:jc w:val="center"/>
        <w:rPr>
          <w:rFonts w:hint="eastAsia" w:ascii="宋体"/>
          <w:color w:val="auto"/>
          <w:sz w:val="32"/>
          <w:szCs w:val="32"/>
          <w:highlight w:val="none"/>
        </w:rPr>
      </w:pPr>
    </w:p>
    <w:p w14:paraId="62F75108">
      <w:pPr>
        <w:spacing w:line="400" w:lineRule="exact"/>
        <w:jc w:val="center"/>
        <w:rPr>
          <w:rFonts w:hint="eastAsia" w:ascii="宋体"/>
          <w:color w:val="auto"/>
          <w:sz w:val="32"/>
          <w:szCs w:val="32"/>
          <w:highlight w:val="none"/>
        </w:rPr>
      </w:pPr>
    </w:p>
    <w:p w14:paraId="6A876F63">
      <w:pPr>
        <w:spacing w:line="400" w:lineRule="exact"/>
        <w:jc w:val="center"/>
        <w:rPr>
          <w:rFonts w:hint="eastAsia" w:ascii="宋体"/>
          <w:color w:val="auto"/>
          <w:sz w:val="32"/>
          <w:szCs w:val="32"/>
          <w:highlight w:val="none"/>
        </w:rPr>
      </w:pPr>
    </w:p>
    <w:p w14:paraId="1F3B594E">
      <w:pPr>
        <w:spacing w:line="400" w:lineRule="exact"/>
        <w:jc w:val="center"/>
        <w:rPr>
          <w:rFonts w:hint="eastAsia" w:ascii="宋体"/>
          <w:color w:val="auto"/>
          <w:sz w:val="32"/>
          <w:szCs w:val="32"/>
          <w:highlight w:val="none"/>
        </w:rPr>
      </w:pPr>
    </w:p>
    <w:p w14:paraId="5DFFA675">
      <w:pPr>
        <w:spacing w:line="400" w:lineRule="exact"/>
        <w:jc w:val="center"/>
        <w:rPr>
          <w:rFonts w:hint="eastAsia" w:ascii="宋体"/>
          <w:color w:val="auto"/>
          <w:sz w:val="32"/>
          <w:szCs w:val="32"/>
          <w:highlight w:val="none"/>
        </w:rPr>
      </w:pPr>
    </w:p>
    <w:p w14:paraId="65B9A2DF">
      <w:pPr>
        <w:spacing w:line="400" w:lineRule="exact"/>
        <w:jc w:val="center"/>
        <w:rPr>
          <w:rFonts w:hint="eastAsia" w:ascii="宋体"/>
          <w:color w:val="auto"/>
          <w:sz w:val="32"/>
          <w:szCs w:val="32"/>
          <w:highlight w:val="none"/>
        </w:rPr>
      </w:pPr>
    </w:p>
    <w:p w14:paraId="2989295A">
      <w:pPr>
        <w:spacing w:line="400" w:lineRule="exact"/>
        <w:jc w:val="center"/>
        <w:rPr>
          <w:rFonts w:hint="eastAsia" w:ascii="宋体"/>
          <w:color w:val="auto"/>
          <w:sz w:val="32"/>
          <w:szCs w:val="32"/>
          <w:highlight w:val="none"/>
        </w:rPr>
      </w:pPr>
    </w:p>
    <w:p w14:paraId="48194BB0">
      <w:pPr>
        <w:spacing w:line="400" w:lineRule="exact"/>
        <w:jc w:val="center"/>
        <w:rPr>
          <w:rFonts w:hint="eastAsia" w:ascii="宋体"/>
          <w:color w:val="auto"/>
          <w:sz w:val="32"/>
          <w:szCs w:val="32"/>
          <w:highlight w:val="none"/>
        </w:rPr>
      </w:pPr>
    </w:p>
    <w:p w14:paraId="7C765358">
      <w:pPr>
        <w:spacing w:line="400" w:lineRule="exact"/>
        <w:jc w:val="center"/>
        <w:rPr>
          <w:rFonts w:hint="eastAsia" w:ascii="宋体"/>
          <w:color w:val="auto"/>
          <w:sz w:val="32"/>
          <w:szCs w:val="32"/>
          <w:highlight w:val="none"/>
        </w:rPr>
      </w:pPr>
    </w:p>
    <w:p w14:paraId="5C600B38">
      <w:pPr>
        <w:spacing w:line="400" w:lineRule="exact"/>
        <w:jc w:val="center"/>
        <w:rPr>
          <w:rFonts w:hint="eastAsia" w:ascii="宋体"/>
          <w:color w:val="auto"/>
          <w:sz w:val="32"/>
          <w:szCs w:val="32"/>
          <w:highlight w:val="none"/>
        </w:rPr>
      </w:pPr>
    </w:p>
    <w:bookmarkEnd w:id="82"/>
    <w:bookmarkEnd w:id="83"/>
    <w:p w14:paraId="1338E9B7">
      <w:pPr>
        <w:pStyle w:val="47"/>
        <w:rPr>
          <w:rFonts w:hint="eastAsia"/>
          <w:color w:val="auto"/>
          <w:sz w:val="44"/>
          <w:szCs w:val="44"/>
          <w:highlight w:val="none"/>
        </w:rPr>
      </w:pPr>
      <w:bookmarkStart w:id="84" w:name="_Toc476436175"/>
      <w:bookmarkStart w:id="85" w:name="_Toc476436434"/>
      <w:r>
        <w:rPr>
          <w:rFonts w:hint="eastAsia"/>
          <w:color w:val="auto"/>
          <w:sz w:val="44"/>
          <w:szCs w:val="44"/>
          <w:highlight w:val="none"/>
        </w:rPr>
        <w:t>第四章  评标方法及评分标准</w:t>
      </w:r>
      <w:bookmarkEnd w:id="84"/>
      <w:bookmarkEnd w:id="85"/>
    </w:p>
    <w:p w14:paraId="38A03E7B">
      <w:pPr>
        <w:pStyle w:val="27"/>
        <w:spacing w:line="360" w:lineRule="exact"/>
        <w:rPr>
          <w:rFonts w:hint="eastAsia"/>
          <w:b/>
          <w:bCs/>
          <w:color w:val="auto"/>
          <w:highlight w:val="none"/>
        </w:rPr>
      </w:pPr>
      <w:bookmarkStart w:id="86" w:name="_Toc254970690"/>
      <w:bookmarkStart w:id="87" w:name="_Toc254970549"/>
    </w:p>
    <w:p w14:paraId="4B77A509">
      <w:pPr>
        <w:pStyle w:val="27"/>
        <w:spacing w:line="360" w:lineRule="exact"/>
        <w:rPr>
          <w:rFonts w:hint="eastAsia"/>
          <w:b/>
          <w:bCs/>
          <w:color w:val="auto"/>
          <w:highlight w:val="none"/>
        </w:rPr>
      </w:pPr>
    </w:p>
    <w:p w14:paraId="442C269F">
      <w:pPr>
        <w:pStyle w:val="27"/>
        <w:spacing w:line="360" w:lineRule="exact"/>
        <w:rPr>
          <w:rFonts w:hint="eastAsia"/>
          <w:b/>
          <w:bCs/>
          <w:color w:val="auto"/>
          <w:highlight w:val="none"/>
        </w:rPr>
      </w:pPr>
    </w:p>
    <w:p w14:paraId="3BD455EA">
      <w:pPr>
        <w:pStyle w:val="27"/>
        <w:spacing w:line="360" w:lineRule="exact"/>
        <w:rPr>
          <w:rFonts w:hint="eastAsia"/>
          <w:b/>
          <w:bCs/>
          <w:color w:val="auto"/>
          <w:highlight w:val="none"/>
        </w:rPr>
      </w:pPr>
    </w:p>
    <w:p w14:paraId="120C8329">
      <w:pPr>
        <w:pStyle w:val="27"/>
        <w:spacing w:line="360" w:lineRule="exact"/>
        <w:rPr>
          <w:rFonts w:hint="eastAsia"/>
          <w:b/>
          <w:bCs/>
          <w:color w:val="auto"/>
          <w:highlight w:val="none"/>
        </w:rPr>
      </w:pPr>
    </w:p>
    <w:p w14:paraId="0A1B8D3C">
      <w:pPr>
        <w:pStyle w:val="27"/>
        <w:spacing w:line="360" w:lineRule="exact"/>
        <w:rPr>
          <w:rFonts w:hint="eastAsia"/>
          <w:b/>
          <w:bCs/>
          <w:color w:val="auto"/>
          <w:highlight w:val="none"/>
        </w:rPr>
      </w:pPr>
    </w:p>
    <w:p w14:paraId="7B069AB8">
      <w:pPr>
        <w:pStyle w:val="27"/>
        <w:spacing w:line="360" w:lineRule="exact"/>
        <w:rPr>
          <w:rFonts w:hint="eastAsia"/>
          <w:b/>
          <w:bCs/>
          <w:color w:val="auto"/>
          <w:highlight w:val="none"/>
        </w:rPr>
      </w:pPr>
    </w:p>
    <w:p w14:paraId="0D1345F3">
      <w:pPr>
        <w:pStyle w:val="27"/>
        <w:spacing w:line="360" w:lineRule="exact"/>
        <w:rPr>
          <w:rFonts w:hint="eastAsia"/>
          <w:b/>
          <w:bCs/>
          <w:color w:val="auto"/>
          <w:highlight w:val="none"/>
        </w:rPr>
      </w:pPr>
    </w:p>
    <w:p w14:paraId="0EE4A453">
      <w:pPr>
        <w:pStyle w:val="27"/>
        <w:spacing w:line="360" w:lineRule="exact"/>
        <w:rPr>
          <w:rFonts w:hint="eastAsia"/>
          <w:b/>
          <w:bCs/>
          <w:color w:val="auto"/>
          <w:highlight w:val="none"/>
        </w:rPr>
      </w:pPr>
    </w:p>
    <w:p w14:paraId="2EB58152">
      <w:pPr>
        <w:pStyle w:val="27"/>
        <w:spacing w:line="360" w:lineRule="exact"/>
        <w:rPr>
          <w:rFonts w:hint="eastAsia"/>
          <w:b/>
          <w:bCs/>
          <w:color w:val="auto"/>
          <w:highlight w:val="none"/>
        </w:rPr>
      </w:pPr>
    </w:p>
    <w:bookmarkEnd w:id="86"/>
    <w:bookmarkEnd w:id="87"/>
    <w:p w14:paraId="77A1F67A">
      <w:pPr>
        <w:pStyle w:val="27"/>
        <w:spacing w:line="360" w:lineRule="exact"/>
        <w:ind w:firstLine="3196" w:firstLineChars="995"/>
        <w:rPr>
          <w:rFonts w:hint="eastAsia" w:ascii="仿宋_GB2312" w:eastAsia="仿宋_GB2312"/>
          <w:b/>
          <w:color w:val="auto"/>
          <w:sz w:val="32"/>
          <w:szCs w:val="32"/>
          <w:highlight w:val="none"/>
        </w:rPr>
      </w:pPr>
    </w:p>
    <w:p w14:paraId="153ACFAA">
      <w:pPr>
        <w:pStyle w:val="27"/>
        <w:spacing w:line="360" w:lineRule="exact"/>
        <w:ind w:firstLine="3196" w:firstLineChars="995"/>
        <w:rPr>
          <w:rFonts w:hint="eastAsia" w:ascii="仿宋_GB2312" w:eastAsia="仿宋_GB2312"/>
          <w:b/>
          <w:color w:val="auto"/>
          <w:sz w:val="32"/>
          <w:szCs w:val="32"/>
          <w:highlight w:val="none"/>
        </w:rPr>
      </w:pPr>
    </w:p>
    <w:p w14:paraId="717EBAB2">
      <w:pPr>
        <w:pStyle w:val="27"/>
        <w:spacing w:line="360" w:lineRule="exact"/>
        <w:ind w:firstLine="3196" w:firstLineChars="995"/>
        <w:rPr>
          <w:rFonts w:hint="eastAsia" w:ascii="仿宋_GB2312" w:eastAsia="仿宋_GB2312"/>
          <w:b/>
          <w:color w:val="auto"/>
          <w:sz w:val="32"/>
          <w:szCs w:val="32"/>
          <w:highlight w:val="none"/>
        </w:rPr>
      </w:pPr>
    </w:p>
    <w:p w14:paraId="544CE5F6">
      <w:pPr>
        <w:pStyle w:val="27"/>
        <w:spacing w:line="560" w:lineRule="exact"/>
        <w:jc w:val="center"/>
        <w:rPr>
          <w:rFonts w:hint="eastAsia"/>
          <w:b/>
          <w:color w:val="auto"/>
          <w:sz w:val="32"/>
          <w:szCs w:val="32"/>
          <w:highlight w:val="none"/>
        </w:rPr>
      </w:pPr>
      <w:r>
        <w:rPr>
          <w:rFonts w:hint="eastAsia" w:ascii="仿宋_GB2312" w:eastAsia="仿宋_GB2312"/>
          <w:b/>
          <w:color w:val="auto"/>
          <w:sz w:val="32"/>
          <w:szCs w:val="32"/>
          <w:highlight w:val="none"/>
        </w:rPr>
        <w:br w:type="page"/>
      </w:r>
      <w:r>
        <w:rPr>
          <w:rFonts w:hint="eastAsia"/>
          <w:b/>
          <w:color w:val="auto"/>
          <w:sz w:val="32"/>
          <w:szCs w:val="32"/>
          <w:highlight w:val="none"/>
        </w:rPr>
        <w:t>评标方法及评分标准</w:t>
      </w:r>
    </w:p>
    <w:p w14:paraId="15DF2AA0">
      <w:pPr>
        <w:pStyle w:val="42"/>
        <w:keepNext w:val="0"/>
        <w:keepLines w:val="0"/>
        <w:pageBreakBefore w:val="0"/>
        <w:widowControl w:val="0"/>
        <w:kinsoku/>
        <w:wordWrap/>
        <w:overflowPunct/>
        <w:topLinePunct w:val="0"/>
        <w:autoSpaceDE/>
        <w:autoSpaceDN/>
        <w:bidi w:val="0"/>
        <w:adjustRightInd/>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一、评标原则</w:t>
      </w:r>
    </w:p>
    <w:p w14:paraId="0F779D4B">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（一）评标委员会的构成：本采购项目的评标委员会由采购人代表和有关技术、经济等方面的专家组成，成员人数应当为</w:t>
      </w:r>
      <w:r>
        <w:rPr>
          <w:rFonts w:hint="eastAsia" w:ascii="宋体" w:hAnsi="宋体" w:cs="宋体"/>
          <w:bCs/>
          <w:color w:val="auto"/>
          <w:szCs w:val="21"/>
          <w:highlight w:val="none"/>
          <w:lang w:val="en-US" w:eastAsia="zh-CN"/>
        </w:rPr>
        <w:t>五</w:t>
      </w:r>
      <w:r>
        <w:rPr>
          <w:rFonts w:hint="eastAsia" w:ascii="宋体" w:hAnsi="宋体" w:eastAsia="宋体" w:cs="宋体"/>
          <w:bCs/>
          <w:color w:val="auto"/>
          <w:szCs w:val="21"/>
          <w:highlight w:val="none"/>
        </w:rPr>
        <w:t>人以上单数。其中，技术、经济等方面的专家不得少于成员总数的三分之二。</w:t>
      </w:r>
    </w:p>
    <w:p w14:paraId="7C0B76D5">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
          <w:bCs/>
          <w:strike/>
          <w:color w:val="auto"/>
          <w:szCs w:val="21"/>
          <w:highlight w:val="none"/>
        </w:rPr>
      </w:pPr>
      <w:r>
        <w:rPr>
          <w:rFonts w:hint="eastAsia" w:ascii="宋体" w:hAnsi="宋体" w:eastAsia="宋体" w:cs="宋体"/>
          <w:bCs/>
          <w:color w:val="auto"/>
          <w:szCs w:val="21"/>
          <w:highlight w:val="none"/>
        </w:rPr>
        <w:t>（二）评标依据：评委将以招投标文件为评标依据，对投标人的投标文件内容按百分制打分。</w:t>
      </w:r>
    </w:p>
    <w:p w14:paraId="3353CCF0">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5242712B">
      <w:pPr>
        <w:pStyle w:val="42"/>
        <w:keepNext w:val="0"/>
        <w:keepLines w:val="0"/>
        <w:pageBreakBefore w:val="0"/>
        <w:widowControl w:val="0"/>
        <w:kinsoku/>
        <w:wordWrap/>
        <w:overflowPunct/>
        <w:topLinePunct w:val="0"/>
        <w:autoSpaceDE/>
        <w:autoSpaceDN/>
        <w:bidi w:val="0"/>
        <w:adjustRightInd/>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二、评标方法</w:t>
      </w:r>
    </w:p>
    <w:p w14:paraId="50DA1C4D">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（一）对进入详评的，采用百分制综合评分法。</w:t>
      </w:r>
    </w:p>
    <w:p w14:paraId="4B8E1422">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（二）计分办法（按四舍五入取至百分位）：</w:t>
      </w:r>
    </w:p>
    <w:p w14:paraId="78F404A7">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1、价格分………………………………………………………………………………………………………</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p w14:paraId="7DFD37FF">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highlight w:val="none"/>
        </w:rPr>
        <w:t>本项目为专门面向中小企业采购的项目，不再执行价格评审优惠的扶持政策。</w:t>
      </w:r>
      <w:r>
        <w:rPr>
          <w:rFonts w:hint="eastAsia" w:ascii="宋体" w:hAnsi="宋体" w:eastAsia="宋体" w:cs="宋体"/>
          <w:bCs/>
          <w:color w:val="auto"/>
          <w:szCs w:val="21"/>
          <w:highlight w:val="none"/>
        </w:rPr>
        <w:t>评标价=投标价。</w:t>
      </w:r>
    </w:p>
    <w:p w14:paraId="3660E1AA">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财政部、司法部关于政府采购支持监狱企业发展有关问题的通知》（财库〔2014〕68号）之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A65B852">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2FF9C5">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（2）以进入评标的最低的评标价为</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5E3174A0">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（3）某投标人价格分 = 投标人最低评标价/某投标人评标价×</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w:t>
      </w:r>
    </w:p>
    <w:p w14:paraId="04F0B60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w:t>
      </w:r>
      <w:r>
        <w:rPr>
          <w:rFonts w:hint="eastAsia" w:ascii="宋体" w:hAnsi="宋体" w:eastAsia="宋体" w:cs="宋体"/>
          <w:bCs/>
          <w:color w:val="auto"/>
          <w:kern w:val="0"/>
          <w:highlight w:val="none"/>
          <w:u w:val="none"/>
          <w:lang w:val="en-US" w:eastAsia="zh-CN"/>
        </w:rPr>
        <w:t>4</w:t>
      </w:r>
      <w:r>
        <w:rPr>
          <w:rFonts w:hint="eastAsia" w:ascii="宋体" w:hAnsi="宋体" w:eastAsia="宋体" w:cs="宋体"/>
          <w:bCs/>
          <w:color w:val="auto"/>
          <w:kern w:val="0"/>
          <w:highlight w:val="none"/>
          <w:u w:val="none"/>
          <w:lang w:eastAsia="zh-CN"/>
        </w:rPr>
        <w:t>）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62F69DC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评标委员会在评审过程中,出现下列情形之一的，评标委员会应当启动异常低价投标（响应）审查程序： </w:t>
      </w:r>
    </w:p>
    <w:p w14:paraId="0CFD53C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①投标（响应）报价低于全部通过符合性审查供应商投标（响应）报价平均值</w:t>
      </w:r>
      <w:r>
        <w:rPr>
          <w:rFonts w:hint="eastAsia" w:ascii="宋体" w:hAnsi="宋体" w:eastAsia="宋体" w:cs="宋体"/>
          <w:bCs/>
          <w:color w:val="auto"/>
          <w:kern w:val="0"/>
          <w:highlight w:val="none"/>
          <w:u w:val="none"/>
          <w:lang w:val="en-US" w:eastAsia="zh-CN"/>
        </w:rPr>
        <w:t>65</w:t>
      </w:r>
      <w:r>
        <w:rPr>
          <w:rFonts w:hint="eastAsia" w:ascii="宋体" w:hAnsi="宋体" w:eastAsia="宋体" w:cs="宋体"/>
          <w:bCs/>
          <w:color w:val="auto"/>
          <w:kern w:val="0"/>
          <w:highlight w:val="none"/>
          <w:u w:val="none"/>
          <w:lang w:eastAsia="zh-CN"/>
        </w:rPr>
        <w:t>%的，即投标（响应）报价＜全部通过符合性审查供应商投标（响应）报价平均值×</w:t>
      </w:r>
      <w:r>
        <w:rPr>
          <w:rFonts w:hint="eastAsia" w:ascii="宋体" w:hAnsi="宋体" w:eastAsia="宋体" w:cs="宋体"/>
          <w:bCs/>
          <w:color w:val="auto"/>
          <w:kern w:val="0"/>
          <w:highlight w:val="none"/>
          <w:u w:val="none"/>
          <w:lang w:val="en-US" w:eastAsia="zh-CN"/>
        </w:rPr>
        <w:t>65</w:t>
      </w:r>
      <w:r>
        <w:rPr>
          <w:rFonts w:hint="eastAsia" w:ascii="宋体" w:hAnsi="宋体" w:eastAsia="宋体" w:cs="宋体"/>
          <w:bCs/>
          <w:color w:val="auto"/>
          <w:kern w:val="0"/>
          <w:highlight w:val="none"/>
          <w:u w:val="none"/>
          <w:lang w:eastAsia="zh-CN"/>
        </w:rPr>
        <w:t>%； </w:t>
      </w:r>
    </w:p>
    <w:p w14:paraId="5EE4360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②投标（响应）报价低于通过符合性审查的次低报价供应商投标（响应）报价</w:t>
      </w:r>
      <w:r>
        <w:rPr>
          <w:rFonts w:hint="eastAsia" w:ascii="宋体" w:hAnsi="宋体" w:eastAsia="宋体" w:cs="宋体"/>
          <w:bCs/>
          <w:color w:val="auto"/>
          <w:kern w:val="0"/>
          <w:highlight w:val="none"/>
          <w:u w:val="none"/>
          <w:lang w:val="en-US" w:eastAsia="zh-CN"/>
        </w:rPr>
        <w:t>65</w:t>
      </w:r>
      <w:r>
        <w:rPr>
          <w:rFonts w:hint="eastAsia" w:ascii="宋体" w:hAnsi="宋体" w:eastAsia="宋体" w:cs="宋体"/>
          <w:bCs/>
          <w:color w:val="auto"/>
          <w:kern w:val="0"/>
          <w:highlight w:val="none"/>
          <w:u w:val="none"/>
          <w:lang w:eastAsia="zh-CN"/>
        </w:rPr>
        <w:t>%的，即投标（响应）报价＜通过符合性审查的次低报价供应商投标（响应）报价×</w:t>
      </w:r>
      <w:r>
        <w:rPr>
          <w:rFonts w:hint="eastAsia" w:ascii="宋体" w:hAnsi="宋体" w:eastAsia="宋体" w:cs="宋体"/>
          <w:bCs/>
          <w:color w:val="auto"/>
          <w:kern w:val="0"/>
          <w:highlight w:val="none"/>
          <w:u w:val="none"/>
          <w:lang w:val="en-US" w:eastAsia="zh-CN"/>
        </w:rPr>
        <w:t>65</w:t>
      </w:r>
      <w:r>
        <w:rPr>
          <w:rFonts w:hint="eastAsia" w:ascii="宋体" w:hAnsi="宋体" w:eastAsia="宋体" w:cs="宋体"/>
          <w:bCs/>
          <w:color w:val="auto"/>
          <w:kern w:val="0"/>
          <w:highlight w:val="none"/>
          <w:u w:val="none"/>
          <w:lang w:eastAsia="zh-CN"/>
        </w:rPr>
        <w:t>%； </w:t>
      </w:r>
    </w:p>
    <w:p w14:paraId="5471A79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③投标（响应）报价低于采购项目最高限价</w:t>
      </w:r>
      <w:r>
        <w:rPr>
          <w:rFonts w:hint="eastAsia" w:ascii="宋体" w:hAnsi="宋体" w:eastAsia="宋体" w:cs="宋体"/>
          <w:bCs/>
          <w:color w:val="auto"/>
          <w:kern w:val="0"/>
          <w:highlight w:val="none"/>
          <w:u w:val="none"/>
          <w:lang w:val="en-US" w:eastAsia="zh-CN"/>
        </w:rPr>
        <w:t>65</w:t>
      </w:r>
      <w:r>
        <w:rPr>
          <w:rFonts w:hint="eastAsia" w:ascii="宋体" w:hAnsi="宋体" w:eastAsia="宋体" w:cs="宋体"/>
          <w:bCs/>
          <w:color w:val="auto"/>
          <w:kern w:val="0"/>
          <w:highlight w:val="none"/>
          <w:u w:val="none"/>
          <w:lang w:eastAsia="zh-CN"/>
        </w:rPr>
        <w:t>%的，即投标（响应）报价＜采购项目最高限价×</w:t>
      </w:r>
      <w:r>
        <w:rPr>
          <w:rFonts w:hint="eastAsia" w:ascii="宋体" w:hAnsi="宋体" w:eastAsia="宋体" w:cs="宋体"/>
          <w:bCs/>
          <w:color w:val="auto"/>
          <w:kern w:val="0"/>
          <w:highlight w:val="none"/>
          <w:u w:val="none"/>
          <w:lang w:val="en-US" w:eastAsia="zh-CN"/>
        </w:rPr>
        <w:t>65</w:t>
      </w:r>
      <w:r>
        <w:rPr>
          <w:rFonts w:hint="eastAsia" w:ascii="宋体" w:hAnsi="宋体" w:eastAsia="宋体" w:cs="宋体"/>
          <w:bCs/>
          <w:color w:val="auto"/>
          <w:kern w:val="0"/>
          <w:highlight w:val="none"/>
          <w:u w:val="none"/>
          <w:lang w:eastAsia="zh-CN"/>
        </w:rPr>
        <w:t>%； </w:t>
      </w:r>
    </w:p>
    <w:p w14:paraId="18E0A16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④评审委员会基于专业判断，认为供应商报价过低，有可能影响产品质量或者不能诚信履约的其他情形。</w:t>
      </w:r>
    </w:p>
    <w:p w14:paraId="30ADC87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触发审查的供应商应在评标委员会规定的时间内（一般不少于30分钟，供应商应提前做好充分准备）提交书面说明，并提供必要的证明材料，包括但不限于：详细的成本构成分析（包括人工、材料、机械、管理费、利润、税金等分项报价明细），拟采用的主要材料品牌、型号、产地及供应商报价单，拟投入本项目的关键人员、设备清单及来源说明，能够证明报价合理性的其他材料（如类似项目合同、采购凭证等）。</w:t>
      </w:r>
    </w:p>
    <w:p w14:paraId="2D88E7A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评标委员会结合项目具体特点、市场行情、供应商的说明及证明材料，对其报价是否低于成本、是否影响项目质量和合同履约进行集体评议。</w:t>
      </w:r>
    </w:p>
    <w:p w14:paraId="631D549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kern w:val="0"/>
          <w:highlight w:val="none"/>
          <w:u w:val="none"/>
          <w:lang w:eastAsia="zh-CN"/>
        </w:rPr>
      </w:pPr>
      <w:r>
        <w:rPr>
          <w:rFonts w:hint="eastAsia" w:ascii="宋体" w:hAnsi="宋体" w:eastAsia="宋体" w:cs="宋体"/>
          <w:bCs/>
          <w:color w:val="auto"/>
          <w:kern w:val="0"/>
          <w:highlight w:val="none"/>
          <w:u w:val="none"/>
          <w:lang w:eastAsia="zh-CN"/>
        </w:rPr>
        <w:t>若供应商未能按时提交说明和证明材料，或提交的材料不足以合理证明其报价能够保证项目质量并诚信履约，经评标委员会过半数成员认定，其响应文件将按无效响应处理。</w:t>
      </w:r>
    </w:p>
    <w:p w14:paraId="7D45329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kern w:val="0"/>
          <w:highlight w:val="none"/>
          <w:u w:val="none"/>
          <w:lang w:eastAsia="zh-CN"/>
        </w:rPr>
        <w:t>若供应商的说明和证明材料经评标委员会评议认为合理、可信，其报价继续参与后续评审。</w:t>
      </w:r>
    </w:p>
    <w:p w14:paraId="6F4D81EB">
      <w:pPr>
        <w:keepNext w:val="0"/>
        <w:keepLines w:val="0"/>
        <w:pageBreakBefore w:val="0"/>
        <w:widowControl w:val="0"/>
        <w:numPr>
          <w:ilvl w:val="0"/>
          <w:numId w:val="0"/>
        </w:numPr>
        <w:kinsoku/>
        <w:wordWrap/>
        <w:overflowPunct/>
        <w:topLinePunct w:val="0"/>
        <w:bidi w:val="0"/>
        <w:adjustRightInd/>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Cs w:val="21"/>
          <w:highlight w:val="none"/>
        </w:rPr>
        <w:t>项目理解与</w:t>
      </w:r>
      <w:r>
        <w:rPr>
          <w:rFonts w:hint="eastAsia" w:ascii="宋体" w:hAnsi="宋体" w:eastAsia="宋体" w:cs="宋体"/>
          <w:b/>
          <w:color w:val="auto"/>
          <w:szCs w:val="21"/>
          <w:highlight w:val="none"/>
          <w:lang w:val="en-US" w:eastAsia="zh-CN"/>
        </w:rPr>
        <w:t>设计思路</w:t>
      </w:r>
      <w:r>
        <w:rPr>
          <w:rFonts w:hint="eastAsia" w:ascii="宋体" w:hAnsi="宋体" w:eastAsia="宋体" w:cs="宋体"/>
          <w:b/>
          <w:color w:val="auto"/>
          <w:szCs w:val="21"/>
          <w:highlight w:val="none"/>
        </w:rPr>
        <w:t>分……………………………………………………………………………………10分</w:t>
      </w:r>
    </w:p>
    <w:p w14:paraId="0249A56B">
      <w:pPr>
        <w:keepNext w:val="0"/>
        <w:keepLines w:val="0"/>
        <w:pageBreakBefore w:val="0"/>
        <w:widowControl w:val="0"/>
        <w:numPr>
          <w:ilvl w:val="0"/>
          <w:numId w:val="0"/>
        </w:numPr>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由评标委员会根据各投标人的项目需求理解方案，从对现状了解的真实性、全面性及需求理解的透彻程度和准确度等方面进行打分。</w:t>
      </w:r>
    </w:p>
    <w:p w14:paraId="790CFAF2">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一档（</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zh-CN"/>
        </w:rPr>
        <w:t>分）：项目需求理解方案编制一般；提供了项目的服务方案能够基本对应招标文件，方案基本满足采购基本需求。</w:t>
      </w:r>
    </w:p>
    <w:p w14:paraId="5E84B346">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二档（</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zh-CN"/>
        </w:rPr>
        <w:t>分）：项目需求理解方案对项目的理解程度基本符合采购单位要求，整体设计方案也较为全面详细，对项目的有一定的理解，了解采购人的真实性需求，符合项目实际情况。设计思路及理念有特色但不够新颖，体现了一定的艺术风格和</w:t>
      </w:r>
      <w:r>
        <w:rPr>
          <w:rFonts w:hint="eastAsia" w:ascii="宋体" w:hAnsi="宋体" w:eastAsia="宋体" w:cs="宋体"/>
          <w:bCs/>
          <w:color w:val="auto"/>
          <w:kern w:val="0"/>
          <w:szCs w:val="21"/>
          <w:highlight w:val="none"/>
          <w:lang w:val="en-US" w:eastAsia="zh-CN"/>
        </w:rPr>
        <w:t>文化</w:t>
      </w:r>
      <w:r>
        <w:rPr>
          <w:rFonts w:hint="eastAsia" w:ascii="宋体" w:hAnsi="宋体" w:eastAsia="宋体" w:cs="宋体"/>
          <w:bCs/>
          <w:color w:val="auto"/>
          <w:kern w:val="0"/>
          <w:szCs w:val="21"/>
          <w:highlight w:val="none"/>
          <w:lang w:val="zh-CN"/>
        </w:rPr>
        <w:t>感，项目定位准确，对项目主题的设计内容完整主体性不突出。</w:t>
      </w:r>
      <w:r>
        <w:rPr>
          <w:rFonts w:hint="eastAsia" w:ascii="宋体" w:hAnsi="宋体" w:eastAsia="宋体" w:cs="宋体"/>
          <w:bCs/>
          <w:color w:val="auto"/>
          <w:kern w:val="0"/>
          <w:highlight w:val="none"/>
          <w:u w:val="none"/>
          <w:lang w:val="en-US" w:eastAsia="zh-CN"/>
        </w:rPr>
        <w:t>提出≥1个创新思路。</w:t>
      </w:r>
    </w:p>
    <w:p w14:paraId="2265F375">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三档（</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lang w:val="zh-CN"/>
        </w:rPr>
        <w:t>分）：项目需求理解方案对项目的理解程度很好，贴切用户需求，整体设计方案详细，结构和内容合理、清晰、准确、科学、完整，对服务内容的详细情况准确理解深入、透彻。能结合博物馆行业发展趋势，设计思路及理念设计新颖，具有时代话题性、前瞻性、强烈的艺术风格及人文历史感；项目定位准确，充分结合场馆情况进行设计，对</w:t>
      </w:r>
      <w:r>
        <w:rPr>
          <w:rFonts w:hint="eastAsia" w:ascii="宋体" w:hAnsi="宋体" w:eastAsia="宋体" w:cs="宋体"/>
          <w:bCs/>
          <w:color w:val="auto"/>
          <w:kern w:val="0"/>
          <w:szCs w:val="21"/>
          <w:highlight w:val="none"/>
          <w:lang w:val="en-US" w:eastAsia="zh-CN"/>
        </w:rPr>
        <w:t>体验</w:t>
      </w:r>
      <w:r>
        <w:rPr>
          <w:rFonts w:hint="eastAsia" w:ascii="宋体" w:hAnsi="宋体" w:eastAsia="宋体" w:cs="宋体"/>
          <w:bCs/>
          <w:color w:val="auto"/>
          <w:kern w:val="0"/>
          <w:szCs w:val="21"/>
          <w:highlight w:val="none"/>
          <w:lang w:val="zh-CN"/>
        </w:rPr>
        <w:t>的核心要素内容阐述清晰准确。</w:t>
      </w:r>
      <w:r>
        <w:rPr>
          <w:rFonts w:hint="eastAsia" w:ascii="宋体" w:hAnsi="宋体" w:eastAsia="宋体" w:cs="宋体"/>
          <w:bCs/>
          <w:color w:val="auto"/>
          <w:kern w:val="0"/>
          <w:highlight w:val="none"/>
          <w:u w:val="none"/>
          <w:lang w:val="en-US" w:eastAsia="zh-CN"/>
        </w:rPr>
        <w:t>提出≥2个独特创新思路（如文化IP融合、科技交互形式等）。</w:t>
      </w:r>
    </w:p>
    <w:p w14:paraId="615BDDFA">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备注：未提供项目理解及设计思路或不满足一档要求的，得0分。</w:t>
      </w:r>
    </w:p>
    <w:p w14:paraId="7F580818">
      <w:pPr>
        <w:keepNext w:val="0"/>
        <w:keepLines w:val="0"/>
        <w:pageBreakBefore w:val="0"/>
        <w:widowControl w:val="0"/>
        <w:kinsoku/>
        <w:wordWrap/>
        <w:overflowPunct/>
        <w:topLinePunct w:val="0"/>
        <w:bidi w:val="0"/>
        <w:adjustRightInd/>
        <w:snapToGrid/>
        <w:spacing w:line="400" w:lineRule="exact"/>
        <w:jc w:val="left"/>
        <w:rPr>
          <w:rFonts w:hint="eastAsia" w:ascii="宋体" w:hAnsi="宋体" w:eastAsia="宋体" w:cs="宋体"/>
          <w:color w:val="auto"/>
          <w:highlight w:val="none"/>
          <w:lang w:val="zh-CN"/>
        </w:rPr>
      </w:pP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、技术分………………………………………………………………………………………………………</w:t>
      </w:r>
      <w:r>
        <w:rPr>
          <w:rFonts w:hint="eastAsia" w:ascii="宋体" w:hAnsi="宋体" w:eastAsia="宋体" w:cs="宋体"/>
          <w:b/>
          <w:color w:val="auto"/>
          <w:highlight w:val="none"/>
          <w:lang w:val="en-US" w:eastAsia="zh-CN"/>
        </w:rPr>
        <w:t>60</w:t>
      </w:r>
      <w:r>
        <w:rPr>
          <w:rFonts w:hint="eastAsia" w:ascii="宋体" w:hAnsi="宋体" w:eastAsia="宋体" w:cs="宋体"/>
          <w:b/>
          <w:color w:val="auto"/>
          <w:highlight w:val="none"/>
        </w:rPr>
        <w:t>分</w:t>
      </w:r>
    </w:p>
    <w:p w14:paraId="1CDE8F81">
      <w:pPr>
        <w:keepNext w:val="0"/>
        <w:keepLines w:val="0"/>
        <w:pageBreakBefore w:val="0"/>
        <w:widowControl w:val="0"/>
        <w:tabs>
          <w:tab w:val="left" w:pos="2472"/>
        </w:tabs>
        <w:kinsoku/>
        <w:wordWrap/>
        <w:overflowPunct/>
        <w:topLinePunct w:val="0"/>
        <w:bidi w:val="0"/>
        <w:adjustRightInd/>
        <w:snapToGrid/>
        <w:spacing w:line="400" w:lineRule="exact"/>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（1）空间设计分（满分10分）</w:t>
      </w:r>
    </w:p>
    <w:p w14:paraId="76006973">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一档（</w:t>
      </w: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lang w:val="zh-CN"/>
        </w:rPr>
        <w:t>分）：设计方案空间布局缺乏整体性与系统性；设计方案没有亮点，对广西历史文化与夜游氛围的结合不足，空间缺少沉浸感与视觉感染力，难以支撑项目的文化展示与观众体验目标落地，可执行性差。</w:t>
      </w:r>
    </w:p>
    <w:p w14:paraId="61BB016F">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二档（</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zh-CN"/>
        </w:rPr>
        <w:t>分）：设计方案空间布局较为完整，设计能基本体现各区域的展示功能；设计方案亮点稀缺，对广西历史文化与夜游氛围的结合一般，空间具有一定沉浸感与视觉感染力，但整体空间体验的连贯性与层次感仍需加强，能支撑项目的文化展示与观众体验目标落地，可执行性一般。</w:t>
      </w:r>
      <w:r>
        <w:rPr>
          <w:rFonts w:hint="eastAsia" w:ascii="宋体" w:hAnsi="宋体" w:eastAsia="宋体" w:cs="宋体"/>
          <w:bCs/>
          <w:color w:val="auto"/>
          <w:kern w:val="0"/>
          <w:highlight w:val="none"/>
          <w:u w:val="none"/>
          <w:lang w:val="en-US" w:eastAsia="zh-CN"/>
        </w:rPr>
        <w:t>提供有至少1张空间布局设计图纸。</w:t>
      </w:r>
    </w:p>
    <w:p w14:paraId="4B5490E1">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三档（</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lang w:val="zh-CN"/>
        </w:rPr>
        <w:t>分）：设计方案空间设计总体布局合理，能统筹一、二层内部空间的展示效果；设计方案亮点突出，能充分结合广西历史文化与夜游氛围，在沉浸式空间中展现广西地域文化与特色；设计手法兼具美学与创意，方案整体效果协调统一，场景充分考虑观众行进节奏与观赏视角，能很好支撑项目的文化展示与观众体验目标落地，可执行性强。</w:t>
      </w:r>
      <w:r>
        <w:rPr>
          <w:rFonts w:hint="eastAsia" w:ascii="宋体" w:hAnsi="宋体" w:eastAsia="宋体" w:cs="宋体"/>
          <w:bCs/>
          <w:color w:val="auto"/>
          <w:kern w:val="0"/>
          <w:highlight w:val="none"/>
          <w:u w:val="none"/>
          <w:lang w:val="en-US" w:eastAsia="zh-CN"/>
        </w:rPr>
        <w:t>提供有至少2张空间布局设计图纸。</w:t>
      </w:r>
      <w:r>
        <w:rPr>
          <w:rFonts w:hint="eastAsia" w:ascii="宋体" w:hAnsi="宋体" w:eastAsia="宋体" w:cs="宋体"/>
          <w:bCs/>
          <w:color w:val="auto"/>
          <w:kern w:val="0"/>
          <w:szCs w:val="21"/>
          <w:highlight w:val="none"/>
          <w:lang w:val="zh-CN"/>
        </w:rPr>
        <w:t xml:space="preserve"> </w:t>
      </w:r>
    </w:p>
    <w:p w14:paraId="0841386A">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备注：未提供空间设计或不满足一档要求的，得0分。</w:t>
      </w:r>
    </w:p>
    <w:p w14:paraId="5173C5E3">
      <w:pPr>
        <w:keepNext w:val="0"/>
        <w:keepLines w:val="0"/>
        <w:pageBreakBefore w:val="0"/>
        <w:widowControl w:val="0"/>
        <w:tabs>
          <w:tab w:val="left" w:pos="2472"/>
        </w:tabs>
        <w:kinsoku/>
        <w:wordWrap/>
        <w:overflowPunct/>
        <w:topLinePunct w:val="0"/>
        <w:bidi w:val="0"/>
        <w:adjustRightInd/>
        <w:snapToGrid/>
        <w:spacing w:line="40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（2）多媒体应用设计分（满分15分）</w:t>
      </w:r>
    </w:p>
    <w:p w14:paraId="278E586C">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zh-CN" w:eastAsia="zh-CN" w:bidi="ar-SA"/>
        </w:rPr>
      </w:pPr>
      <w:r>
        <w:rPr>
          <w:rFonts w:hint="eastAsia" w:ascii="宋体" w:hAnsi="宋体" w:eastAsia="宋体" w:cs="宋体"/>
          <w:bCs/>
          <w:color w:val="auto"/>
          <w:kern w:val="0"/>
          <w:sz w:val="21"/>
          <w:szCs w:val="21"/>
          <w:highlight w:val="none"/>
          <w:lang w:val="zh-CN" w:eastAsia="zh-CN" w:bidi="ar-SA"/>
        </w:rPr>
        <w:t>一档（</w:t>
      </w:r>
      <w:r>
        <w:rPr>
          <w:rFonts w:hint="eastAsia" w:ascii="宋体" w:hAnsi="宋体" w:eastAsia="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zh-CN" w:eastAsia="zh-CN" w:bidi="ar-SA"/>
        </w:rPr>
        <w:t>分）：技术手段单一或落地效果欠佳；互动性弱，参与度低；创意不足，趣味性和视觉效果较差，整体设计难以满足专业标准。</w:t>
      </w:r>
    </w:p>
    <w:p w14:paraId="26048CBF">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zh-CN" w:eastAsia="zh-CN" w:bidi="ar-SA"/>
        </w:rPr>
      </w:pPr>
      <w:r>
        <w:rPr>
          <w:rFonts w:hint="eastAsia" w:ascii="宋体" w:hAnsi="宋体" w:eastAsia="宋体" w:cs="宋体"/>
          <w:bCs/>
          <w:color w:val="auto"/>
          <w:kern w:val="0"/>
          <w:sz w:val="21"/>
          <w:szCs w:val="21"/>
          <w:highlight w:val="none"/>
          <w:lang w:val="zh-CN" w:eastAsia="zh-CN" w:bidi="ar-SA"/>
        </w:rPr>
        <w:t>二档（</w:t>
      </w:r>
      <w:r>
        <w:rPr>
          <w:rFonts w:hint="eastAsia" w:ascii="宋体" w:hAnsi="宋体" w:eastAsia="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lang w:val="zh-CN" w:eastAsia="zh-CN" w:bidi="ar-SA"/>
        </w:rPr>
        <w:t>分）：技术手段使用较为多样，落地效果良好；互动设计有一定吸引力；创意和趣味性表现一般，具备一定美感；整体设计可满足专业要求，但在技术丰富度或互动体验上仍有提升空间。</w:t>
      </w:r>
    </w:p>
    <w:p w14:paraId="1131C5EF">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zh-CN" w:eastAsia="zh-CN" w:bidi="ar-SA"/>
        </w:rPr>
      </w:pPr>
      <w:r>
        <w:rPr>
          <w:rFonts w:hint="eastAsia" w:ascii="宋体" w:hAnsi="宋体" w:eastAsia="宋体" w:cs="宋体"/>
          <w:bCs/>
          <w:color w:val="auto"/>
          <w:kern w:val="0"/>
          <w:sz w:val="21"/>
          <w:szCs w:val="21"/>
          <w:highlight w:val="none"/>
          <w:lang w:val="zh-CN" w:eastAsia="zh-CN" w:bidi="ar-SA"/>
        </w:rPr>
        <w:t>三档（</w:t>
      </w:r>
      <w:r>
        <w:rPr>
          <w:rFonts w:hint="eastAsia" w:ascii="宋体" w:hAnsi="宋体" w:eastAsia="宋体" w:cs="宋体"/>
          <w:bCs/>
          <w:color w:val="auto"/>
          <w:kern w:val="0"/>
          <w:sz w:val="21"/>
          <w:szCs w:val="21"/>
          <w:highlight w:val="none"/>
          <w:lang w:val="en-US" w:eastAsia="zh-CN" w:bidi="ar-SA"/>
        </w:rPr>
        <w:t>15</w:t>
      </w:r>
      <w:r>
        <w:rPr>
          <w:rFonts w:hint="eastAsia" w:ascii="宋体" w:hAnsi="宋体" w:eastAsia="宋体" w:cs="宋体"/>
          <w:bCs/>
          <w:color w:val="auto"/>
          <w:kern w:val="0"/>
          <w:sz w:val="21"/>
          <w:szCs w:val="21"/>
          <w:highlight w:val="none"/>
          <w:lang w:val="zh-CN" w:eastAsia="zh-CN" w:bidi="ar-SA"/>
        </w:rPr>
        <w:t>分）：技术运用极其丰富且前沿，综合运用多种声光电、AI</w:t>
      </w:r>
      <w:r>
        <w:rPr>
          <w:rFonts w:hint="eastAsia" w:ascii="宋体" w:hAnsi="宋体" w:eastAsia="宋体" w:cs="宋体"/>
          <w:bCs/>
          <w:color w:val="auto"/>
          <w:kern w:val="0"/>
          <w:sz w:val="21"/>
          <w:szCs w:val="21"/>
          <w:highlight w:val="none"/>
          <w:lang w:val="en-US" w:eastAsia="zh-CN" w:bidi="ar-SA"/>
        </w:rPr>
        <w:t>技术</w:t>
      </w:r>
      <w:r>
        <w:rPr>
          <w:rFonts w:hint="eastAsia" w:ascii="宋体" w:hAnsi="宋体" w:eastAsia="宋体" w:cs="宋体"/>
          <w:bCs/>
          <w:color w:val="auto"/>
          <w:kern w:val="0"/>
          <w:sz w:val="21"/>
          <w:szCs w:val="21"/>
          <w:highlight w:val="none"/>
          <w:lang w:val="zh-CN" w:eastAsia="zh-CN" w:bidi="ar-SA"/>
        </w:rPr>
        <w:t>及多维交互手段，且落地效果卓越；设计完全满足并优于专业要求，互动逻辑严密且极具沉浸感，构思独特新颖，具备极强的艺术趣味性与冲击力，视觉效果佳。</w:t>
      </w:r>
    </w:p>
    <w:p w14:paraId="04F240C1">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Cs/>
          <w:color w:val="auto"/>
          <w:sz w:val="21"/>
          <w:highlight w:val="none"/>
          <w:lang w:val="zh-CN" w:eastAsia="zh-CN"/>
        </w:rPr>
      </w:pPr>
      <w:r>
        <w:rPr>
          <w:rFonts w:hint="eastAsia" w:ascii="宋体" w:hAnsi="宋体" w:eastAsia="宋体" w:cs="宋体"/>
          <w:bCs/>
          <w:color w:val="auto"/>
          <w:kern w:val="0"/>
          <w:szCs w:val="21"/>
          <w:highlight w:val="none"/>
          <w:lang w:val="zh-CN"/>
        </w:rPr>
        <w:t>备注：未提多媒体应用设计或不满足一档要求的，得0分。</w:t>
      </w:r>
    </w:p>
    <w:p w14:paraId="79B5DEEB">
      <w:pPr>
        <w:keepNext w:val="0"/>
        <w:keepLines w:val="0"/>
        <w:pageBreakBefore w:val="0"/>
        <w:widowControl w:val="0"/>
        <w:tabs>
          <w:tab w:val="left" w:pos="2472"/>
        </w:tabs>
        <w:kinsoku/>
        <w:wordWrap/>
        <w:overflowPunct/>
        <w:topLinePunct w:val="0"/>
        <w:bidi w:val="0"/>
        <w:adjustRightInd/>
        <w:snapToGrid/>
        <w:spacing w:line="400" w:lineRule="exact"/>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（3）体验内容创意分（满分20分）</w:t>
      </w:r>
    </w:p>
    <w:p w14:paraId="384EF7BB">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一档（5分）：对广西历史文化元素挖掘不足或应用表浅；文化符号使用不当或与整体主题关联度弱。</w:t>
      </w:r>
      <w:r>
        <w:rPr>
          <w:rFonts w:hint="eastAsia" w:ascii="宋体" w:hAnsi="宋体" w:eastAsia="宋体" w:cs="宋体"/>
          <w:b w:val="0"/>
          <w:bCs w:val="0"/>
          <w:color w:val="auto"/>
          <w:kern w:val="0"/>
          <w:sz w:val="21"/>
          <w:szCs w:val="21"/>
          <w:highlight w:val="none"/>
          <w:lang w:val="en-US" w:eastAsia="zh-CN" w:bidi="ar-SA"/>
        </w:rPr>
        <w:t>创意平淡，缺乏新意，未能准确传达核心理念。脚本结构混乱，逻辑不清，节奏失衡，难以吸引观众。视觉表现一般，场景描绘不足，缺少创新和执行可行性。未有效契合项目需求，信息传递不清，传播潜力低，难以激发观众反馈。</w:t>
      </w:r>
    </w:p>
    <w:p w14:paraId="2AAC2BCD">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二档（10分）：能较好体现广西地方文化特征；整体内容具有一定文化感染力，文化符号运用或叙事深度一般，与项目主题融合度有待提升。</w:t>
      </w:r>
      <w:r>
        <w:rPr>
          <w:rFonts w:hint="eastAsia" w:ascii="宋体" w:hAnsi="宋体" w:eastAsia="宋体" w:cs="宋体"/>
          <w:b w:val="0"/>
          <w:bCs w:val="0"/>
          <w:color w:val="auto"/>
          <w:kern w:val="0"/>
          <w:sz w:val="21"/>
          <w:szCs w:val="21"/>
          <w:highlight w:val="none"/>
          <w:lang w:val="en-US" w:eastAsia="zh-CN" w:bidi="ar-SA"/>
        </w:rPr>
        <w:t>创意有一定亮点，但缺乏独特性，传达信息清晰但不够深入。脚本逻辑基本合理，节奏适中，部分环节吸引力不足。视觉设计尚可，表现手法常规，执行思路具备但创新不足。基本满足项目提升展示需求，有助于传播但效果平平，缺乏较大影响力。提供至少一项创意体验内容。</w:t>
      </w:r>
    </w:p>
    <w:p w14:paraId="0FE37CB3">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三档（20分）：能深入挖掘并精准运用广西历史文化元素；文化符号体现自然，既具地域辨识度又具时代审美；各类元素与项目整体主题高度契合，充分展现广西的历史文化特质。</w:t>
      </w:r>
      <w:r>
        <w:rPr>
          <w:rFonts w:hint="eastAsia" w:ascii="宋体" w:hAnsi="宋体" w:eastAsia="宋体" w:cs="宋体"/>
          <w:b w:val="0"/>
          <w:bCs w:val="0"/>
          <w:color w:val="auto"/>
          <w:kern w:val="0"/>
          <w:sz w:val="21"/>
          <w:szCs w:val="21"/>
          <w:highlight w:val="none"/>
          <w:lang w:val="en-US" w:eastAsia="zh-CN" w:bidi="ar-SA"/>
        </w:rPr>
        <w:t>创意独特，具原创性，能够深刻传达广西历史文化价值。脚本逻辑清晰、结构紧凑，叙事自然流畅，能有效吸引观众注意力。视觉设计出色，表现手法创新且可执行性高。与项目提升展示需求高度契合，能精准传递信息并激发受众反馈，有较强的传播力和文化价值。提供至少一项具有广西地方文化特征的创意体验内容。</w:t>
      </w:r>
    </w:p>
    <w:p w14:paraId="44592F14">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zh-CN" w:eastAsia="zh-CN" w:bidi="ar-SA"/>
        </w:rPr>
        <w:t>备注：未提体验内容创意或不满足一档要求的，得0分。</w:t>
      </w:r>
    </w:p>
    <w:p w14:paraId="738E2759">
      <w:pPr>
        <w:keepNext w:val="0"/>
        <w:keepLines w:val="0"/>
        <w:pageBreakBefore w:val="0"/>
        <w:widowControl w:val="0"/>
        <w:shd w:val="clear" w:color="auto" w:fill="auto"/>
        <w:kinsoku/>
        <w:wordWrap/>
        <w:overflowPunct/>
        <w:topLinePunct w:val="0"/>
        <w:bidi w:val="0"/>
        <w:adjustRightInd/>
        <w:snapToGrid/>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bCs/>
          <w:color w:val="auto"/>
          <w:sz w:val="21"/>
          <w:highlight w:val="none"/>
          <w:lang w:eastAsia="zh-CN"/>
        </w:rPr>
        <w:t>（</w:t>
      </w:r>
      <w:r>
        <w:rPr>
          <w:rFonts w:hint="eastAsia" w:ascii="宋体" w:hAnsi="宋体" w:eastAsia="宋体" w:cs="宋体"/>
          <w:b/>
          <w:bCs/>
          <w:color w:val="auto"/>
          <w:sz w:val="21"/>
          <w:highlight w:val="none"/>
          <w:lang w:val="en-US" w:eastAsia="zh-CN"/>
        </w:rPr>
        <w:t>4</w:t>
      </w:r>
      <w:r>
        <w:rPr>
          <w:rFonts w:hint="eastAsia" w:ascii="宋体" w:hAnsi="宋体" w:eastAsia="宋体" w:cs="宋体"/>
          <w:b/>
          <w:bCs/>
          <w:color w:val="auto"/>
          <w:sz w:val="21"/>
          <w:highlight w:val="none"/>
          <w:lang w:eastAsia="zh-CN"/>
        </w:rPr>
        <w:t>）</w:t>
      </w:r>
      <w:r>
        <w:rPr>
          <w:rFonts w:hint="eastAsia" w:ascii="宋体" w:hAnsi="宋体" w:eastAsia="宋体" w:cs="宋体"/>
          <w:b/>
          <w:color w:val="auto"/>
          <w:szCs w:val="21"/>
          <w:highlight w:val="none"/>
          <w:lang w:eastAsia="zh-Hans"/>
        </w:rPr>
        <w:t>设计效果整体展示</w:t>
      </w:r>
      <w:r>
        <w:rPr>
          <w:rFonts w:hint="eastAsia" w:ascii="宋体" w:hAnsi="宋体" w:eastAsia="宋体" w:cs="宋体"/>
          <w:b/>
          <w:color w:val="auto"/>
          <w:szCs w:val="21"/>
          <w:highlight w:val="none"/>
        </w:rPr>
        <w:t>（满分1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分）</w:t>
      </w:r>
    </w:p>
    <w:p w14:paraId="5EB0A388">
      <w:pPr>
        <w:keepNext w:val="0"/>
        <w:keepLines w:val="0"/>
        <w:pageBreakBefore w:val="0"/>
        <w:widowControl w:val="0"/>
        <w:shd w:val="clear" w:color="auto" w:fill="auto"/>
        <w:kinsoku/>
        <w:wordWrap/>
        <w:overflowPunct/>
        <w:topLinePunct w:val="0"/>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投标人提供时长 5 分钟以内的原创设计效果演示片，文件为视频格式，文件名称统一以“设计效果整体展示”命名，视频须附上语音同步陈述讲解。由评标委员会根据各投标人提供的原创设计效果演示片进行打分。</w:t>
      </w:r>
    </w:p>
    <w:p w14:paraId="70C8C0B0">
      <w:pPr>
        <w:keepNext w:val="0"/>
        <w:keepLines w:val="0"/>
        <w:pageBreakBefore w:val="0"/>
        <w:widowControl w:val="0"/>
        <w:shd w:val="clear" w:color="auto" w:fill="auto"/>
        <w:kinsoku/>
        <w:wordWrap/>
        <w:overflowPunct/>
        <w:topLinePunct w:val="0"/>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分）：演示文件对设计服务内容的理解表达一般，未能</w:t>
      </w:r>
      <w:r>
        <w:rPr>
          <w:rFonts w:hint="eastAsia" w:ascii="宋体" w:hAnsi="宋体" w:eastAsia="宋体" w:cs="宋体"/>
          <w:color w:val="auto"/>
          <w:highlight w:val="none"/>
          <w:lang w:val="en-US" w:eastAsia="zh-CN"/>
        </w:rPr>
        <w:t>符合项目落地需求</w:t>
      </w:r>
      <w:r>
        <w:rPr>
          <w:rFonts w:hint="eastAsia" w:ascii="宋体" w:hAnsi="宋体" w:eastAsia="宋体" w:cs="宋体"/>
          <w:color w:val="auto"/>
          <w:highlight w:val="none"/>
        </w:rPr>
        <w:t>。</w:t>
      </w:r>
    </w:p>
    <w:p w14:paraId="3BA1C4A8">
      <w:pPr>
        <w:keepNext w:val="0"/>
        <w:keepLines w:val="0"/>
        <w:pageBreakBefore w:val="0"/>
        <w:widowControl w:val="0"/>
        <w:shd w:val="clear" w:color="auto" w:fill="auto"/>
        <w:kinsoku/>
        <w:wordWrap/>
        <w:overflowPunct/>
        <w:topLinePunct w:val="0"/>
        <w:bidi w:val="0"/>
        <w:adjustRightInd/>
        <w:snapToGrid/>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档（</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分）：演示文件</w:t>
      </w: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rPr>
        <w:t>设计服务内容的理解表达到位，主题切合，重点亮点突出，思路清晰，构思较好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符合项目落地需求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展示了至少一种新技术应用（如VR/AR 全息投影等）</w:t>
      </w:r>
    </w:p>
    <w:p w14:paraId="051C4E5F">
      <w:pPr>
        <w:keepNext w:val="0"/>
        <w:keepLines w:val="0"/>
        <w:pageBreakBefore w:val="0"/>
        <w:widowControl w:val="0"/>
        <w:shd w:val="clear" w:color="auto" w:fill="auto"/>
        <w:kinsoku/>
        <w:wordWrap/>
        <w:overflowPunct/>
        <w:topLinePunct w:val="0"/>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档（1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分）：演示文件对设计服务内容的理解表达到位，主题切合，重点亮点突出，主次分明，逻辑脉络清晰连贯，自成体系，有良好的创意性、实施性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非常符合项目落地需求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展示了至少两种新技术应用（如VR/AR 全息投影等）</w:t>
      </w:r>
    </w:p>
    <w:p w14:paraId="47A5C4E8">
      <w:pPr>
        <w:keepNext w:val="0"/>
        <w:keepLines w:val="0"/>
        <w:pageBreakBefore w:val="0"/>
        <w:widowControl w:val="0"/>
        <w:shd w:val="clear" w:color="auto" w:fill="auto"/>
        <w:kinsoku/>
        <w:wordWrap/>
        <w:overflowPunct/>
        <w:topLinePunct w:val="0"/>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备注：未设计效果整体展示或不满足一档要求的，得0分。</w:t>
      </w:r>
    </w:p>
    <w:p w14:paraId="1D3C0BEB">
      <w:pPr>
        <w:keepNext w:val="0"/>
        <w:keepLines w:val="0"/>
        <w:pageBreakBefore w:val="0"/>
        <w:widowControl w:val="0"/>
        <w:shd w:val="clear" w:color="auto" w:fill="auto"/>
        <w:kinsoku/>
        <w:wordWrap/>
        <w:overflowPunct/>
        <w:topLinePunct w:val="0"/>
        <w:bidi w:val="0"/>
        <w:adjustRightInd/>
        <w:snapToGrid/>
        <w:spacing w:line="400" w:lineRule="exact"/>
        <w:rPr>
          <w:rFonts w:hint="eastAsia" w:ascii="宋体" w:hAnsi="宋体" w:eastAsia="宋体" w:cs="宋体"/>
          <w:bCs/>
          <w:color w:val="auto"/>
          <w:sz w:val="21"/>
          <w:highlight w:val="none"/>
          <w:lang w:val="zh-CN" w:eastAsia="zh-CN"/>
        </w:rPr>
      </w:pPr>
      <w:r>
        <w:rPr>
          <w:rFonts w:hint="eastAsia" w:ascii="宋体" w:hAnsi="宋体" w:eastAsia="宋体" w:cs="宋体"/>
          <w:b/>
          <w:bCs/>
          <w:color w:val="auto"/>
          <w:highlight w:val="none"/>
        </w:rPr>
        <w:t>4</w:t>
      </w:r>
      <w:r>
        <w:rPr>
          <w:rFonts w:hint="eastAsia" w:ascii="宋体" w:hAnsi="宋体" w:eastAsia="宋体" w:cs="宋体"/>
          <w:b/>
          <w:bCs/>
          <w:color w:val="auto"/>
          <w:highlight w:val="none"/>
          <w:lang w:eastAsia="zh-Hans"/>
        </w:rPr>
        <w:t>、</w:t>
      </w:r>
      <w:r>
        <w:rPr>
          <w:rFonts w:hint="eastAsia" w:ascii="宋体" w:hAnsi="宋体" w:eastAsia="宋体" w:cs="宋体"/>
          <w:b/>
          <w:bCs/>
          <w:color w:val="auto"/>
          <w:highlight w:val="none"/>
        </w:rPr>
        <w:t>项目</w:t>
      </w:r>
      <w:r>
        <w:rPr>
          <w:rFonts w:hint="eastAsia" w:ascii="宋体" w:hAnsi="宋体" w:eastAsia="宋体" w:cs="宋体"/>
          <w:b/>
          <w:bCs/>
          <w:color w:val="auto"/>
          <w:highlight w:val="none"/>
          <w:lang w:eastAsia="zh-Hans"/>
        </w:rPr>
        <w:t>实施方案</w:t>
      </w:r>
      <w:r>
        <w:rPr>
          <w:rFonts w:hint="eastAsia" w:ascii="宋体" w:hAnsi="宋体" w:eastAsia="宋体" w:cs="宋体"/>
          <w:b/>
          <w:bCs/>
          <w:color w:val="auto"/>
          <w:highlight w:val="none"/>
        </w:rPr>
        <w:t>分……………………………………………………………………………………………</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p>
    <w:p w14:paraId="2BE6BF34">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ascii="宋体"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分）：组织实施计划不完善，时间安排模糊或不合理，工作缺乏明确计划；人员分工不清，缺乏专业统筹或质量控制机制，可落地性较差。</w:t>
      </w:r>
    </w:p>
    <w:p w14:paraId="6B2697C5">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分）：组织实施计划较为完整，能基本体现设计修改、施工图与概算编制等主要阶段安排；时间节点相对合理，人员分工较清晰，但部分环节衔接或质量控制措施不够细致，可落地性一般。团队人员人数达到5人以上。</w:t>
      </w:r>
    </w:p>
    <w:p w14:paraId="77112587">
      <w:pPr>
        <w:keepNext w:val="0"/>
        <w:keepLines w:val="0"/>
        <w:pageBreakBefore w:val="0"/>
        <w:widowControl w:val="0"/>
        <w:tabs>
          <w:tab w:val="left" w:pos="2472"/>
        </w:tabs>
        <w:kinsoku/>
        <w:wordWrap/>
        <w:overflowPunct/>
        <w:topLinePunct w:val="0"/>
        <w:bidi w:val="0"/>
        <w:adjustRightInd/>
        <w:snapToGrid/>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w:t>
      </w:r>
      <w:r>
        <w:rPr>
          <w:rFonts w:hint="eastAsia" w:ascii="宋体" w:hAnsi="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lang w:val="en-US" w:eastAsia="zh-CN" w:bidi="ar-SA"/>
        </w:rPr>
        <w:t>分）：组织实施计划周密完整，时间安排科学合理，能明确概念设计方案的修改、完善、施工图纸与概算明细单的各阶段工作节点；设计进度衔接紧密，确保在规定时间内高质量完成成果；人员分工明确，团队结构专业齐备，职责清晰，沟通机制顺畅；能有效保障方案从优化到实施的整体效果与质量达到财评要求，可落地性强。团队人员达到10人以上。</w:t>
      </w:r>
    </w:p>
    <w:p w14:paraId="3BB710CB">
      <w:pPr>
        <w:keepNext w:val="0"/>
        <w:keepLines w:val="0"/>
        <w:pageBreakBefore w:val="0"/>
        <w:widowControl w:val="0"/>
        <w:kinsoku/>
        <w:wordWrap/>
        <w:overflowPunct/>
        <w:topLinePunct w:val="0"/>
        <w:bidi w:val="0"/>
        <w:adjustRightInd/>
        <w:snapToGrid/>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kern w:val="0"/>
          <w:szCs w:val="21"/>
          <w:highlight w:val="none"/>
          <w:lang w:val="zh-CN"/>
        </w:rPr>
        <w:t>备注：未提供项目组织实施方案或方案不满足一档要求的，得0分。</w:t>
      </w:r>
    </w:p>
    <w:p w14:paraId="4E0AAF86">
      <w:pPr>
        <w:keepNext w:val="0"/>
        <w:keepLines w:val="0"/>
        <w:pageBreakBefore w:val="0"/>
        <w:widowControl w:val="0"/>
        <w:kinsoku/>
        <w:wordWrap/>
        <w:overflowPunct/>
        <w:topLinePunct w:val="0"/>
        <w:autoSpaceDE w:val="0"/>
        <w:autoSpaceDN w:val="0"/>
        <w:bidi w:val="0"/>
        <w:adjustRightInd/>
        <w:snapToGrid/>
        <w:spacing w:line="400" w:lineRule="exac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val="zh-CN"/>
        </w:rPr>
        <w:t>、商务分………………………………………………………………………………………………………</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lang w:val="zh-CN"/>
        </w:rPr>
        <w:t>分</w:t>
      </w:r>
    </w:p>
    <w:p w14:paraId="2E9BCD55">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）售后服务方案分（满分</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p w14:paraId="31C889AD">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主要包含以下评审因素：①交付后质保期内、外持续维护的服务承诺②设备质量维护承诺③服务响应时间、到达现场时间④解决问题时间⑤售后支持人员及分工⑥包含但不限于维修易损件或零配件打折、增值服务。</w:t>
      </w:r>
    </w:p>
    <w:p w14:paraId="766B7C2A">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一档（</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分）：售后服务方案内容的粗略，缺乏执行细则，难以直接付诸实践，描述内容基本满足采购需求，无优于采购文件承诺。</w:t>
      </w:r>
    </w:p>
    <w:p w14:paraId="0056101C">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二档（</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分）：提供以上</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项内容、内容基本有所描述、免费保修期限、到达现场时间、针对采购人提出问题时的解决方案、定期维护（注明时间）、质保期外维修方案切合项目要求</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操作，提供售后服务团队，对维修易损件或零配件打折有承诺。</w:t>
      </w:r>
    </w:p>
    <w:p w14:paraId="2F49C9A2">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三档（</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分）：完整提供以上</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项内容、具有可行性、免费保修期限、到达现场时间、针对采购人提出问题时的解决方案、定期维护（注明时间）、质保期内外维修方案内容详细且具有可操作性，具有完整可靠的售后服务团队，有提供增值服务且被评标委员会认可。</w:t>
      </w:r>
    </w:p>
    <w:p w14:paraId="3B72C09A">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
          <w:bCs w:val="0"/>
          <w:color w:val="auto"/>
          <w:kern w:val="0"/>
          <w:szCs w:val="21"/>
          <w:highlight w:val="none"/>
          <w:lang w:eastAsia="zh-CN"/>
        </w:rPr>
      </w:pPr>
      <w:r>
        <w:rPr>
          <w:rFonts w:hint="eastAsia" w:ascii="宋体" w:hAnsi="宋体" w:eastAsia="宋体" w:cs="宋体"/>
          <w:b w:val="0"/>
          <w:bCs w:val="0"/>
          <w:color w:val="auto"/>
          <w:szCs w:val="21"/>
          <w:highlight w:val="none"/>
        </w:rPr>
        <w:t>备注：未提供售后服务方案或方案不满足一档要求的，得0分。</w:t>
      </w:r>
    </w:p>
    <w:p w14:paraId="10407F3E">
      <w:pPr>
        <w:keepNext w:val="0"/>
        <w:keepLines w:val="0"/>
        <w:pageBreakBefore w:val="0"/>
        <w:widowControl w:val="0"/>
        <w:kinsoku/>
        <w:wordWrap/>
        <w:overflowPunct/>
        <w:topLinePunct w:val="0"/>
        <w:bidi w:val="0"/>
        <w:adjustRightInd/>
        <w:snapToGrid/>
        <w:spacing w:line="400" w:lineRule="exact"/>
        <w:ind w:firstLine="422" w:firstLineChars="200"/>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lang w:val="en-US" w:eastAsia="zh-CN"/>
        </w:rPr>
        <w:t>2</w:t>
      </w:r>
      <w:r>
        <w:rPr>
          <w:rFonts w:hint="eastAsia" w:ascii="宋体" w:hAnsi="宋体" w:eastAsia="宋体" w:cs="宋体"/>
          <w:b/>
          <w:bCs w:val="0"/>
          <w:color w:val="auto"/>
          <w:kern w:val="0"/>
          <w:szCs w:val="21"/>
          <w:highlight w:val="none"/>
          <w:lang w:eastAsia="zh-CN"/>
        </w:rPr>
        <w:t>）</w:t>
      </w:r>
      <w:r>
        <w:rPr>
          <w:rFonts w:hint="eastAsia" w:ascii="宋体" w:hAnsi="宋体" w:eastAsia="宋体" w:cs="宋体"/>
          <w:b/>
          <w:bCs w:val="0"/>
          <w:color w:val="auto"/>
          <w:kern w:val="0"/>
          <w:szCs w:val="21"/>
          <w:highlight w:val="none"/>
        </w:rPr>
        <w:t>信誉业绩</w:t>
      </w:r>
      <w:r>
        <w:rPr>
          <w:rFonts w:hint="eastAsia" w:ascii="宋体" w:hAnsi="宋体" w:eastAsia="宋体" w:cs="宋体"/>
          <w:b/>
          <w:bCs w:val="0"/>
          <w:color w:val="auto"/>
          <w:kern w:val="0"/>
          <w:szCs w:val="21"/>
          <w:highlight w:val="none"/>
          <w:lang w:eastAsia="zh-CN"/>
        </w:rPr>
        <w:t>（满分5分）</w:t>
      </w:r>
    </w:p>
    <w:p w14:paraId="32501425">
      <w:pPr>
        <w:keepNext w:val="0"/>
        <w:keepLines w:val="0"/>
        <w:pageBreakBefore w:val="0"/>
        <w:widowControl w:val="0"/>
        <w:kinsoku/>
        <w:wordWrap/>
        <w:overflowPunct/>
        <w:topLinePunct w:val="0"/>
        <w:autoSpaceDE w:val="0"/>
        <w:autoSpaceDN w:val="0"/>
        <w:bidi w:val="0"/>
        <w:adjustRightInd/>
        <w:snapToGrid/>
        <w:spacing w:line="400" w:lineRule="exact"/>
        <w:ind w:firstLine="420"/>
        <w:rPr>
          <w:rFonts w:hint="eastAsia" w:ascii="宋体" w:hAnsi="宋体" w:eastAsia="宋体" w:cs="宋体"/>
          <w:bCs/>
          <w:color w:val="auto"/>
          <w:szCs w:val="21"/>
          <w:highlight w:val="none"/>
          <w:lang w:val="en-US" w:eastAsia="zh-CN"/>
        </w:rPr>
      </w:pPr>
      <w:r>
        <w:rPr>
          <w:rFonts w:hint="eastAsia" w:ascii="宋体" w:hAnsi="宋体" w:eastAsia="宋体" w:cs="宋体"/>
          <w:bCs/>
          <w:color w:val="auto"/>
          <w:kern w:val="0"/>
          <w:szCs w:val="21"/>
          <w:highlight w:val="none"/>
        </w:rPr>
        <w:t>供应商自20</w:t>
      </w:r>
      <w:r>
        <w:rPr>
          <w:rFonts w:hint="eastAsia" w:ascii="宋体" w:hAnsi="宋体" w:eastAsia="宋体" w:cs="宋体"/>
          <w:bCs/>
          <w:color w:val="auto"/>
          <w:kern w:val="0"/>
          <w:szCs w:val="21"/>
          <w:highlight w:val="none"/>
          <w:lang w:val="en-US" w:eastAsia="zh-CN"/>
        </w:rPr>
        <w:t>21</w:t>
      </w:r>
      <w:r>
        <w:rPr>
          <w:rFonts w:hint="eastAsia" w:ascii="宋体" w:hAnsi="宋体" w:cs="宋体"/>
          <w:bCs/>
          <w:color w:val="auto"/>
          <w:kern w:val="0"/>
          <w:szCs w:val="21"/>
          <w:highlight w:val="none"/>
          <w:lang w:val="en-US" w:eastAsia="zh-CN"/>
        </w:rPr>
        <w:t>年</w:t>
      </w:r>
      <w:r>
        <w:rPr>
          <w:rFonts w:hint="eastAsia" w:ascii="宋体" w:hAnsi="宋体" w:eastAsia="宋体" w:cs="宋体"/>
          <w:bCs/>
          <w:color w:val="auto"/>
          <w:kern w:val="0"/>
          <w:szCs w:val="21"/>
          <w:highlight w:val="none"/>
        </w:rPr>
        <w:t>以来具有</w:t>
      </w:r>
      <w:r>
        <w:rPr>
          <w:rFonts w:hint="eastAsia" w:ascii="宋体" w:hAnsi="宋体" w:eastAsia="宋体" w:cs="宋体"/>
          <w:bCs/>
          <w:color w:val="auto"/>
          <w:kern w:val="0"/>
          <w:szCs w:val="21"/>
          <w:highlight w:val="none"/>
          <w:lang w:val="en-US" w:eastAsia="zh-CN"/>
        </w:rPr>
        <w:t>与本次</w:t>
      </w:r>
      <w:r>
        <w:rPr>
          <w:rFonts w:hint="eastAsia" w:ascii="宋体" w:hAnsi="宋体" w:eastAsia="宋体" w:cs="宋体"/>
          <w:b w:val="0"/>
          <w:bCs w:val="0"/>
          <w:color w:val="auto"/>
          <w:szCs w:val="21"/>
          <w:highlight w:val="none"/>
          <w:lang w:val="en-US" w:eastAsia="zh-CN"/>
        </w:rPr>
        <w:t>采购</w:t>
      </w:r>
      <w:r>
        <w:rPr>
          <w:rFonts w:hint="eastAsia" w:ascii="宋体" w:hAnsi="宋体" w:eastAsia="宋体" w:cs="宋体"/>
          <w:bCs/>
          <w:color w:val="auto"/>
          <w:kern w:val="0"/>
          <w:szCs w:val="21"/>
          <w:highlight w:val="none"/>
          <w:lang w:val="en-US" w:eastAsia="zh-CN"/>
        </w:rPr>
        <w:t>内容类似</w:t>
      </w:r>
      <w:r>
        <w:rPr>
          <w:rFonts w:hint="eastAsia" w:ascii="宋体" w:hAnsi="宋体" w:eastAsia="宋体" w:cs="宋体"/>
          <w:bCs/>
          <w:color w:val="auto"/>
          <w:kern w:val="0"/>
          <w:szCs w:val="21"/>
          <w:highlight w:val="none"/>
        </w:rPr>
        <w:t>的</w:t>
      </w:r>
      <w:r>
        <w:rPr>
          <w:rFonts w:hint="eastAsia" w:ascii="宋体" w:hAnsi="宋体" w:eastAsia="宋体" w:cs="宋体"/>
          <w:bCs/>
          <w:color w:val="auto"/>
          <w:kern w:val="0"/>
          <w:szCs w:val="21"/>
          <w:highlight w:val="none"/>
          <w:lang w:val="en-US" w:eastAsia="zh-CN"/>
        </w:rPr>
        <w:t>项目业绩</w:t>
      </w:r>
      <w:r>
        <w:rPr>
          <w:rFonts w:hint="eastAsia" w:ascii="宋体" w:hAnsi="宋体" w:eastAsia="宋体" w:cs="宋体"/>
          <w:bCs/>
          <w:color w:val="auto"/>
          <w:kern w:val="0"/>
          <w:szCs w:val="21"/>
          <w:highlight w:val="none"/>
        </w:rPr>
        <w:t>每个得1分，满分</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分。（须提供合同或成交通知书复印件）</w:t>
      </w:r>
    </w:p>
    <w:p w14:paraId="25D237F5">
      <w:pPr>
        <w:pStyle w:val="42"/>
        <w:keepNext w:val="0"/>
        <w:keepLines w:val="0"/>
        <w:pageBreakBefore w:val="0"/>
        <w:widowControl w:val="0"/>
        <w:kinsoku/>
        <w:wordWrap/>
        <w:overflowPunct/>
        <w:topLinePunct w:val="0"/>
        <w:autoSpaceDE/>
        <w:autoSpaceDN/>
        <w:bidi w:val="0"/>
        <w:adjustRightInd/>
        <w:snapToGrid/>
        <w:spacing w:line="400" w:lineRule="exact"/>
        <w:ind w:left="0"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 xml:space="preserve">（三）总得分=1 + 2 + 3 </w:t>
      </w:r>
      <w:r>
        <w:rPr>
          <w:rFonts w:hint="eastAsia" w:ascii="宋体" w:hAnsi="宋体" w:eastAsia="宋体" w:cs="宋体"/>
          <w:b/>
          <w:bCs w:val="0"/>
          <w:color w:val="auto"/>
          <w:szCs w:val="21"/>
          <w:highlight w:val="none"/>
          <w:lang w:val="en-US" w:eastAsia="zh-CN"/>
        </w:rPr>
        <w:t>+ 4 + 5</w:t>
      </w:r>
      <w:r>
        <w:rPr>
          <w:rFonts w:hint="eastAsia" w:ascii="宋体" w:hAnsi="宋体" w:eastAsia="宋体" w:cs="宋体"/>
          <w:b/>
          <w:bCs w:val="0"/>
          <w:color w:val="auto"/>
          <w:szCs w:val="21"/>
          <w:highlight w:val="none"/>
        </w:rPr>
        <w:t>。</w:t>
      </w:r>
    </w:p>
    <w:p w14:paraId="2AE0FB11">
      <w:pPr>
        <w:pStyle w:val="42"/>
        <w:keepNext w:val="0"/>
        <w:keepLines w:val="0"/>
        <w:pageBreakBefore w:val="0"/>
        <w:widowControl w:val="0"/>
        <w:kinsoku/>
        <w:wordWrap/>
        <w:overflowPunct/>
        <w:topLinePunct w:val="0"/>
        <w:autoSpaceDE/>
        <w:autoSpaceDN/>
        <w:bidi w:val="0"/>
        <w:adjustRightInd/>
        <w:snapToGrid/>
        <w:spacing w:line="400" w:lineRule="exact"/>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三、中标候选供应商推荐原则</w:t>
      </w:r>
    </w:p>
    <w:p w14:paraId="3BBB0E2A">
      <w:pPr>
        <w:pStyle w:val="42"/>
        <w:keepNext w:val="0"/>
        <w:keepLines w:val="0"/>
        <w:pageBreakBefore w:val="0"/>
        <w:widowControl w:val="0"/>
        <w:kinsoku/>
        <w:wordWrap/>
        <w:overflowPunct/>
        <w:topLinePunct w:val="0"/>
        <w:autoSpaceDE/>
        <w:autoSpaceDN/>
        <w:bidi w:val="0"/>
        <w:adjustRightInd/>
        <w:snapToGrid/>
        <w:spacing w:line="400" w:lineRule="exact"/>
        <w:ind w:left="0"/>
        <w:rPr>
          <w:rFonts w:hint="eastAsia" w:ascii="宋体" w:hAnsi="宋体" w:eastAsia="宋体" w:cs="宋体"/>
          <w:bCs/>
          <w:color w:val="auto"/>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（一）</w:t>
      </w:r>
      <w:r>
        <w:rPr>
          <w:rFonts w:hint="eastAsia" w:ascii="宋体" w:hAnsi="宋体" w:eastAsia="宋体" w:cs="宋体"/>
          <w:bCs/>
          <w:color w:val="auto"/>
          <w:highlight w:val="none"/>
        </w:rPr>
        <w:t>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484E1D08">
      <w:pPr>
        <w:pStyle w:val="42"/>
        <w:keepNext w:val="0"/>
        <w:keepLines w:val="0"/>
        <w:pageBreakBefore w:val="0"/>
        <w:widowControl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
          <w:bCs/>
          <w:color w:val="auto"/>
          <w:highlight w:val="none"/>
        </w:rPr>
      </w:pPr>
      <w:r>
        <w:rPr>
          <w:rFonts w:hint="eastAsia" w:ascii="宋体" w:hAnsi="宋体" w:eastAsia="宋体" w:cs="宋体"/>
          <w:bCs/>
          <w:color w:val="auto"/>
          <w:highlight w:val="none"/>
        </w:rPr>
        <w:t>采购人应当确定评审委员会推荐排名第一的中标候选人为</w:t>
      </w:r>
      <w:r>
        <w:rPr>
          <w:rFonts w:hint="eastAsia" w:ascii="宋体" w:hAnsi="宋体" w:eastAsia="宋体" w:cs="宋体"/>
          <w:color w:val="auto"/>
          <w:highlight w:val="none"/>
        </w:rPr>
        <w:t>中标人</w:t>
      </w:r>
      <w:r>
        <w:rPr>
          <w:rFonts w:hint="eastAsia" w:ascii="宋体" w:hAnsi="宋体" w:eastAsia="宋体" w:cs="宋体"/>
          <w:bCs/>
          <w:color w:val="auto"/>
          <w:highlight w:val="none"/>
        </w:rPr>
        <w:t>。排名第一的中标候选人放弃中标、因不可抗力或者自身原因提出不能履行合同，采购人可以确定排名第二的中标候选人为</w:t>
      </w:r>
      <w:r>
        <w:rPr>
          <w:rFonts w:hint="eastAsia" w:ascii="宋体" w:hAnsi="宋体" w:eastAsia="宋体" w:cs="宋体"/>
          <w:color w:val="auto"/>
          <w:highlight w:val="none"/>
        </w:rPr>
        <w:t>中标人</w:t>
      </w:r>
      <w:r>
        <w:rPr>
          <w:rFonts w:hint="eastAsia" w:ascii="宋体" w:hAnsi="宋体" w:eastAsia="宋体" w:cs="宋体"/>
          <w:bCs/>
          <w:color w:val="auto"/>
          <w:highlight w:val="none"/>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7D148C42">
      <w:pPr>
        <w:pStyle w:val="42"/>
        <w:keepNext w:val="0"/>
        <w:keepLines w:val="0"/>
        <w:pageBreakBefore w:val="0"/>
        <w:widowControl w:val="0"/>
        <w:kinsoku/>
        <w:wordWrap/>
        <w:overflowPunct/>
        <w:topLinePunct w:val="0"/>
        <w:autoSpaceDE/>
        <w:autoSpaceDN/>
        <w:bidi w:val="0"/>
        <w:adjustRightInd/>
        <w:snapToGrid/>
        <w:spacing w:line="400" w:lineRule="exact"/>
        <w:ind w:left="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r>
        <w:rPr>
          <w:rFonts w:hint="eastAsia" w:ascii="宋体" w:hAnsi="宋体" w:eastAsia="宋体" w:cs="宋体"/>
          <w:bCs/>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C4E091">
      <w:pPr>
        <w:pStyle w:val="27"/>
        <w:spacing w:line="330" w:lineRule="exact"/>
        <w:jc w:val="center"/>
        <w:rPr>
          <w:rFonts w:hint="eastAsia"/>
          <w:color w:val="auto"/>
          <w:highlight w:val="none"/>
        </w:rPr>
      </w:pPr>
    </w:p>
    <w:p w14:paraId="4D01A7BE">
      <w:pPr>
        <w:spacing w:line="400" w:lineRule="exact"/>
        <w:jc w:val="center"/>
        <w:rPr>
          <w:rFonts w:hint="eastAsia" w:ascii="宋体"/>
          <w:color w:val="auto"/>
          <w:sz w:val="32"/>
          <w:szCs w:val="32"/>
          <w:highlight w:val="none"/>
        </w:rPr>
      </w:pPr>
      <w:r>
        <w:rPr>
          <w:color w:val="auto"/>
          <w:sz w:val="32"/>
          <w:szCs w:val="32"/>
          <w:highlight w:val="none"/>
        </w:rPr>
        <w:br w:type="page"/>
      </w:r>
    </w:p>
    <w:p w14:paraId="27DA15F1">
      <w:pPr>
        <w:spacing w:line="400" w:lineRule="exact"/>
        <w:jc w:val="center"/>
        <w:rPr>
          <w:rFonts w:hint="eastAsia" w:ascii="宋体"/>
          <w:color w:val="auto"/>
          <w:sz w:val="32"/>
          <w:szCs w:val="32"/>
          <w:highlight w:val="none"/>
        </w:rPr>
      </w:pPr>
    </w:p>
    <w:p w14:paraId="731A66C4">
      <w:pPr>
        <w:spacing w:line="400" w:lineRule="exact"/>
        <w:jc w:val="center"/>
        <w:rPr>
          <w:rFonts w:hint="eastAsia" w:ascii="宋体"/>
          <w:color w:val="auto"/>
          <w:sz w:val="32"/>
          <w:szCs w:val="32"/>
          <w:highlight w:val="none"/>
        </w:rPr>
      </w:pPr>
    </w:p>
    <w:p w14:paraId="3C7080C4">
      <w:pPr>
        <w:spacing w:line="400" w:lineRule="exact"/>
        <w:jc w:val="center"/>
        <w:rPr>
          <w:rFonts w:hint="eastAsia" w:ascii="宋体"/>
          <w:color w:val="auto"/>
          <w:sz w:val="32"/>
          <w:szCs w:val="32"/>
          <w:highlight w:val="none"/>
        </w:rPr>
      </w:pPr>
    </w:p>
    <w:p w14:paraId="2FB89D8B">
      <w:pPr>
        <w:spacing w:line="400" w:lineRule="exact"/>
        <w:jc w:val="center"/>
        <w:rPr>
          <w:rFonts w:hint="eastAsia" w:ascii="宋体"/>
          <w:color w:val="auto"/>
          <w:sz w:val="32"/>
          <w:szCs w:val="32"/>
          <w:highlight w:val="none"/>
        </w:rPr>
      </w:pPr>
    </w:p>
    <w:p w14:paraId="6E0D2366">
      <w:pPr>
        <w:spacing w:line="400" w:lineRule="exact"/>
        <w:jc w:val="center"/>
        <w:rPr>
          <w:rFonts w:hint="eastAsia" w:ascii="宋体"/>
          <w:color w:val="auto"/>
          <w:sz w:val="32"/>
          <w:szCs w:val="32"/>
          <w:highlight w:val="none"/>
        </w:rPr>
      </w:pPr>
    </w:p>
    <w:p w14:paraId="251B1B80">
      <w:pPr>
        <w:spacing w:line="400" w:lineRule="exact"/>
        <w:jc w:val="center"/>
        <w:rPr>
          <w:rFonts w:hint="eastAsia" w:ascii="宋体"/>
          <w:color w:val="auto"/>
          <w:sz w:val="32"/>
          <w:szCs w:val="32"/>
          <w:highlight w:val="none"/>
        </w:rPr>
      </w:pPr>
    </w:p>
    <w:p w14:paraId="0F87589C">
      <w:pPr>
        <w:spacing w:line="400" w:lineRule="exact"/>
        <w:jc w:val="center"/>
        <w:rPr>
          <w:rFonts w:hint="eastAsia" w:ascii="宋体"/>
          <w:color w:val="auto"/>
          <w:sz w:val="32"/>
          <w:szCs w:val="32"/>
          <w:highlight w:val="none"/>
        </w:rPr>
      </w:pPr>
    </w:p>
    <w:p w14:paraId="60E0DC13">
      <w:pPr>
        <w:spacing w:line="400" w:lineRule="exact"/>
        <w:jc w:val="center"/>
        <w:rPr>
          <w:rFonts w:hint="eastAsia" w:ascii="宋体"/>
          <w:color w:val="auto"/>
          <w:sz w:val="32"/>
          <w:szCs w:val="32"/>
          <w:highlight w:val="none"/>
        </w:rPr>
      </w:pPr>
    </w:p>
    <w:p w14:paraId="53438AFE">
      <w:pPr>
        <w:spacing w:line="400" w:lineRule="exact"/>
        <w:jc w:val="center"/>
        <w:rPr>
          <w:rFonts w:hint="eastAsia" w:ascii="宋体"/>
          <w:color w:val="auto"/>
          <w:sz w:val="32"/>
          <w:szCs w:val="32"/>
          <w:highlight w:val="none"/>
        </w:rPr>
      </w:pPr>
    </w:p>
    <w:p w14:paraId="5141A16D">
      <w:pPr>
        <w:spacing w:line="400" w:lineRule="exact"/>
        <w:jc w:val="center"/>
        <w:rPr>
          <w:rFonts w:hint="eastAsia" w:ascii="宋体"/>
          <w:color w:val="auto"/>
          <w:sz w:val="32"/>
          <w:szCs w:val="32"/>
          <w:highlight w:val="none"/>
        </w:rPr>
      </w:pPr>
    </w:p>
    <w:p w14:paraId="26A7843E">
      <w:pPr>
        <w:spacing w:line="400" w:lineRule="exact"/>
        <w:jc w:val="center"/>
        <w:rPr>
          <w:rFonts w:hint="eastAsia" w:ascii="宋体"/>
          <w:color w:val="auto"/>
          <w:sz w:val="32"/>
          <w:szCs w:val="32"/>
          <w:highlight w:val="none"/>
        </w:rPr>
      </w:pPr>
    </w:p>
    <w:p w14:paraId="5820E684">
      <w:pPr>
        <w:spacing w:line="400" w:lineRule="exact"/>
        <w:jc w:val="center"/>
        <w:rPr>
          <w:rFonts w:hint="eastAsia" w:ascii="宋体"/>
          <w:color w:val="auto"/>
          <w:sz w:val="32"/>
          <w:szCs w:val="32"/>
          <w:highlight w:val="none"/>
        </w:rPr>
      </w:pPr>
    </w:p>
    <w:p w14:paraId="4F6A5931">
      <w:pPr>
        <w:spacing w:line="400" w:lineRule="exact"/>
        <w:jc w:val="center"/>
        <w:rPr>
          <w:rFonts w:hint="eastAsia" w:ascii="宋体"/>
          <w:color w:val="auto"/>
          <w:sz w:val="32"/>
          <w:szCs w:val="32"/>
          <w:highlight w:val="none"/>
        </w:rPr>
      </w:pPr>
    </w:p>
    <w:p w14:paraId="2802F482">
      <w:pPr>
        <w:spacing w:line="400" w:lineRule="exact"/>
        <w:jc w:val="center"/>
        <w:rPr>
          <w:rFonts w:hint="eastAsia" w:ascii="宋体"/>
          <w:color w:val="auto"/>
          <w:sz w:val="32"/>
          <w:szCs w:val="32"/>
          <w:highlight w:val="none"/>
        </w:rPr>
      </w:pPr>
    </w:p>
    <w:p w14:paraId="00A6FEA7">
      <w:pPr>
        <w:pStyle w:val="47"/>
        <w:rPr>
          <w:rFonts w:hint="eastAsia"/>
          <w:color w:val="auto"/>
          <w:sz w:val="44"/>
          <w:szCs w:val="44"/>
          <w:highlight w:val="none"/>
        </w:rPr>
      </w:pPr>
      <w:bookmarkStart w:id="88" w:name="_Toc476436176"/>
      <w:bookmarkStart w:id="89" w:name="_Toc476436435"/>
      <w:r>
        <w:rPr>
          <w:rFonts w:hint="eastAsia"/>
          <w:color w:val="auto"/>
          <w:sz w:val="44"/>
          <w:szCs w:val="44"/>
          <w:highlight w:val="none"/>
        </w:rPr>
        <w:t>第五章  政府采购合同主要条款</w:t>
      </w:r>
      <w:bookmarkEnd w:id="88"/>
      <w:bookmarkEnd w:id="89"/>
    </w:p>
    <w:p w14:paraId="35D7E864">
      <w:pPr>
        <w:pStyle w:val="27"/>
        <w:jc w:val="center"/>
        <w:rPr>
          <w:rFonts w:hint="eastAsia"/>
          <w:b/>
          <w:color w:val="auto"/>
          <w:sz w:val="52"/>
          <w:szCs w:val="52"/>
          <w:highlight w:val="none"/>
        </w:rPr>
      </w:pPr>
    </w:p>
    <w:p w14:paraId="5B26240A">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ascii="宋体" w:hAnsi="宋体" w:eastAsia="宋体" w:cs="宋体"/>
          <w:b/>
          <w:bCs/>
          <w:color w:val="auto"/>
          <w:sz w:val="32"/>
          <w:szCs w:val="32"/>
          <w:highlight w:val="none"/>
        </w:rPr>
      </w:pPr>
      <w:r>
        <w:rPr>
          <w:b/>
          <w:color w:val="auto"/>
          <w:sz w:val="52"/>
          <w:szCs w:val="52"/>
          <w:highlight w:val="none"/>
        </w:rPr>
        <w:br w:type="page"/>
      </w:r>
      <w:r>
        <w:rPr>
          <w:rFonts w:hint="eastAsia" w:ascii="宋体" w:hAnsi="宋体" w:eastAsia="宋体" w:cs="宋体"/>
          <w:b/>
          <w:bCs/>
          <w:color w:val="auto"/>
          <w:sz w:val="32"/>
          <w:szCs w:val="32"/>
          <w:highlight w:val="none"/>
        </w:rPr>
        <w:t>广西壮族自治区政府采购合同（格式）</w:t>
      </w:r>
    </w:p>
    <w:p w14:paraId="3B032611">
      <w:pPr>
        <w:keepNext w:val="0"/>
        <w:keepLines w:val="0"/>
        <w:pageBreakBefore w:val="0"/>
        <w:widowControl w:val="0"/>
        <w:kinsoku/>
        <w:wordWrap/>
        <w:overflowPunct/>
        <w:topLinePunct w:val="0"/>
        <w:autoSpaceDE/>
        <w:autoSpaceDN/>
        <w:bidi w:val="0"/>
        <w:adjustRightInd/>
        <w:snapToGrid/>
        <w:spacing w:line="400" w:lineRule="exact"/>
        <w:ind w:right="480" w:firstLine="5985" w:firstLineChars="285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3B1128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采 购 计 划 号</w:t>
      </w:r>
      <w:r>
        <w:rPr>
          <w:rFonts w:hint="eastAsia" w:ascii="宋体" w:hAnsi="宋体" w:eastAsia="宋体" w:cs="宋体"/>
          <w:color w:val="auto"/>
          <w:sz w:val="21"/>
          <w:szCs w:val="21"/>
          <w:highlight w:val="none"/>
          <w:u w:val="single"/>
        </w:rPr>
        <w:t xml:space="preserve">                       </w:t>
      </w:r>
    </w:p>
    <w:p w14:paraId="6C8125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项目名称编号</w:t>
      </w:r>
      <w:r>
        <w:rPr>
          <w:rFonts w:hint="eastAsia" w:ascii="宋体" w:hAnsi="宋体" w:eastAsia="宋体" w:cs="宋体"/>
          <w:color w:val="auto"/>
          <w:sz w:val="21"/>
          <w:szCs w:val="21"/>
          <w:highlight w:val="none"/>
          <w:u w:val="single"/>
        </w:rPr>
        <w:t xml:space="preserve">                      </w:t>
      </w:r>
    </w:p>
    <w:p w14:paraId="22416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u w:val="single"/>
        </w:rPr>
        <w:t xml:space="preserve">                       </w:t>
      </w:r>
    </w:p>
    <w:p w14:paraId="202012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760D5C00">
      <w:pPr>
        <w:pStyle w:val="16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根据《中华人民共和国政府采购法》《中华人民共和国民法典》等法律、法规规定，按照招标文件规定条款和中标人投标文件及其承诺，甲乙双方签订本合同。</w:t>
      </w:r>
    </w:p>
    <w:p w14:paraId="42E803D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262" w:hanging="84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合同标的</w:t>
      </w:r>
    </w:p>
    <w:p w14:paraId="4720D42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服务名称:</w:t>
      </w:r>
    </w:p>
    <w:p w14:paraId="0FA347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服务数量:</w:t>
      </w:r>
    </w:p>
    <w:p w14:paraId="00AE09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服务内容:</w:t>
      </w:r>
    </w:p>
    <w:p w14:paraId="5DF1C60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合同金额</w:t>
      </w:r>
    </w:p>
    <w:p w14:paraId="06B155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本项目(分标)合同金额(大写)人民币_________________(¥</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none"/>
        </w:rPr>
        <w:t>)</w:t>
      </w:r>
      <w:r>
        <w:rPr>
          <w:rFonts w:hint="eastAsia" w:ascii="宋体" w:hAnsi="宋体" w:eastAsia="宋体" w:cs="宋体"/>
          <w:b w:val="0"/>
          <w:bCs/>
          <w:color w:val="auto"/>
          <w:sz w:val="21"/>
          <w:szCs w:val="21"/>
          <w:highlight w:val="none"/>
        </w:rPr>
        <w:t>。</w:t>
      </w:r>
    </w:p>
    <w:p w14:paraId="576E924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提交服务成果时间及地点</w:t>
      </w:r>
    </w:p>
    <w:p w14:paraId="29C07B6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提交服务成果时间:</w:t>
      </w:r>
    </w:p>
    <w:p w14:paraId="678C037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提交服务成果地点:</w:t>
      </w:r>
    </w:p>
    <w:p w14:paraId="34F27D8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售后服务、质保期</w:t>
      </w:r>
    </w:p>
    <w:p w14:paraId="09ACDC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乙方所提供的服务必须与招投标文件和承诺相一致且符合相应的服务规范及标准。</w:t>
      </w:r>
    </w:p>
    <w:p w14:paraId="0619128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付款方式</w:t>
      </w:r>
    </w:p>
    <w:p w14:paraId="38E71453">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本合同价款不以招标时的固定总价为准，最终以第三方审计机构审定和经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审核确认的竣工结算价作为最终支付依据且不超过招标签约合同价（除另行采购和签订补充协议的部分外）。</w:t>
      </w:r>
    </w:p>
    <w:p w14:paraId="45828AE7">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任何涉及变更招标需求（和招投标文件）、发包设计以及价款增加的设计变更、签证、材料调差，必须事先经</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现场代表、</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委托第三方审核机构、</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单位负责人签字确认并加盖公章后方可生效。未经事前审批的变更，</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有权拒绝认可相应价款。</w:t>
      </w:r>
    </w:p>
    <w:p w14:paraId="3C2F3F22">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1.本合同签订后5个工作日内，甲方向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支付合同暂定总价（或签约合同价）的30%作为预付款。</w:t>
      </w:r>
    </w:p>
    <w:p w14:paraId="16E6DC81">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施工图审查完成后并经</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lang w:eastAsia="zh-CN"/>
        </w:rPr>
        <w:t>确认后5个工作日内，支付合同总额的50%作为进度款。</w:t>
      </w:r>
    </w:p>
    <w:p w14:paraId="2345F4EC">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3.项目竣工验收合格后5个工作日内，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向甲方提交完整的《竣工结算书》及结算依据资料（含图纸、签证、变更单等）。甲方应在收到完整结算资料后30日内委托第三方机构完成竣工结算审核；双方共同签字确认《竣工结算审定单》后14日内，甲方向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支付至结算审核总价且不超过招标签约合同价。</w:t>
      </w:r>
    </w:p>
    <w:p w14:paraId="245B4C37">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履约保证金</w:t>
      </w:r>
    </w:p>
    <w:p w14:paraId="5FAAD803">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履约保证金金额：本项目中标金额的2%。</w:t>
      </w:r>
    </w:p>
    <w:p w14:paraId="1B6E53A4">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履约保证金提交方式：支票、汇票、本票、银行转账或者金融机构、担保机构出具的保函等非现金形式。</w:t>
      </w:r>
    </w:p>
    <w:p w14:paraId="3ACB38AA">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履约保证金指定账户：</w:t>
      </w:r>
    </w:p>
    <w:p w14:paraId="201D44B8">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开户名：广西壮族自治区博物馆</w:t>
      </w:r>
    </w:p>
    <w:p w14:paraId="54AAF2D0">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开户行：农行南宁古城支行营业厅</w:t>
      </w:r>
    </w:p>
    <w:p w14:paraId="0A421BEF">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账  号：20 0091 0104 0000 330</w:t>
      </w:r>
    </w:p>
    <w:p w14:paraId="00F6F28B">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税费本合同执行中相关的一切税费均由乙方负担。</w:t>
      </w:r>
    </w:p>
    <w:p w14:paraId="4E007CBC">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w:t>
      </w:r>
    </w:p>
    <w:p w14:paraId="08B56B28">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1.甲方对乙方提交的服务依据招标文件上的服务要求和国家有关质量标准进行现场初步验收，符合招标文件技术要求的，给予签收，初步验收不合格的不予签收。</w:t>
      </w:r>
      <w:r>
        <w:rPr>
          <w:rFonts w:hint="eastAsia" w:ascii="宋体" w:hAnsi="宋体" w:eastAsia="宋体" w:cs="宋体"/>
          <w:bCs/>
          <w:color w:val="auto"/>
          <w:sz w:val="21"/>
          <w:szCs w:val="21"/>
          <w:highlight w:val="none"/>
        </w:rPr>
        <w:t>甲方应当在到中标人的服务成果提交后七个工作日内进行验收</w:t>
      </w:r>
      <w:r>
        <w:rPr>
          <w:rFonts w:hint="eastAsia" w:ascii="宋体" w:hAnsi="宋体" w:eastAsia="宋体" w:cs="宋体"/>
          <w:color w:val="auto"/>
          <w:sz w:val="21"/>
          <w:szCs w:val="21"/>
          <w:highlight w:val="none"/>
        </w:rPr>
        <w:t>。</w:t>
      </w:r>
    </w:p>
    <w:p w14:paraId="704E1067">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2.乙方提交服务成果前应对提交的服务成果作出全面检查和对验收文件进行整理，并列出清单，作为甲方验收和使用的技术条件依据，检验的结果应随服务成果交给甲方。</w:t>
      </w:r>
    </w:p>
    <w:p w14:paraId="1CB50FE6">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3.对技术复杂的服务，甲方应请国家认可的专业检测机构参与初步验收及最终验收，并由其出具质量检测报告。</w:t>
      </w:r>
    </w:p>
    <w:p w14:paraId="28CD23FC">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4.验收时乙方必须在现场，验收完毕后作出验收结果报告；验收费用由乙方负责。</w:t>
      </w:r>
    </w:p>
    <w:p w14:paraId="287DBF1B">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违约责任</w:t>
      </w:r>
    </w:p>
    <w:p w14:paraId="09407717">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乙方所提供的服务成果质量不合格的，应及时更换，更换不及时的按逾期提交服务成果处罚；因质量问题甲方不同意接收的或特殊情况甲方同意接收的，乙方应向甲方支付违约服务成果款额 </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%违约金并赔偿甲方经济损失。</w:t>
      </w:r>
    </w:p>
    <w:p w14:paraId="53482D4D">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甲方无故延期接收服务成果、乙方逾期提交服务成果的，每天向对方偿付违约服务成果款额3‰违约金，超过</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30 </w:t>
      </w:r>
      <w:r>
        <w:rPr>
          <w:rFonts w:hint="eastAsia" w:ascii="宋体" w:hAnsi="宋体" w:eastAsia="宋体" w:cs="宋体"/>
          <w:color w:val="auto"/>
          <w:sz w:val="21"/>
          <w:szCs w:val="21"/>
          <w:highlight w:val="none"/>
        </w:rPr>
        <w:t>天对方有权解除合同，违约方承担因此给对方造成经济损失；甲方</w:t>
      </w:r>
      <w:r>
        <w:rPr>
          <w:rFonts w:hint="eastAsia" w:ascii="宋体" w:hAnsi="宋体" w:cs="宋体"/>
          <w:color w:val="auto"/>
          <w:sz w:val="21"/>
          <w:szCs w:val="21"/>
          <w:highlight w:val="none"/>
          <w:lang w:val="en-US" w:eastAsia="zh-CN"/>
        </w:rPr>
        <w:t>无正当理由</w:t>
      </w:r>
      <w:r>
        <w:rPr>
          <w:rFonts w:hint="eastAsia" w:ascii="宋体" w:hAnsi="宋体" w:eastAsia="宋体" w:cs="宋体"/>
          <w:color w:val="auto"/>
          <w:sz w:val="21"/>
          <w:szCs w:val="21"/>
          <w:highlight w:val="none"/>
        </w:rPr>
        <w:t>逾期付服务成果款的，每天向乙方</w:t>
      </w:r>
      <w:r>
        <w:rPr>
          <w:rFonts w:hint="eastAsia" w:ascii="宋体" w:hAnsi="宋体" w:cs="宋体"/>
          <w:color w:val="auto"/>
          <w:sz w:val="21"/>
          <w:szCs w:val="21"/>
          <w:highlight w:val="none"/>
          <w:lang w:val="en-US" w:eastAsia="zh-CN"/>
        </w:rPr>
        <w:t>支</w:t>
      </w:r>
      <w:r>
        <w:rPr>
          <w:rFonts w:hint="eastAsia" w:ascii="宋体" w:hAnsi="宋体" w:eastAsia="宋体" w:cs="宋体"/>
          <w:color w:val="auto"/>
          <w:sz w:val="21"/>
          <w:szCs w:val="21"/>
          <w:highlight w:val="none"/>
        </w:rPr>
        <w:t>付逾期服务成果款额</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u w:val="single"/>
          <w:lang w:val="en-US" w:eastAsia="zh-CN"/>
        </w:rPr>
        <w:t>万分之一</w:t>
      </w:r>
      <w:r>
        <w:rPr>
          <w:rFonts w:hint="eastAsia" w:ascii="宋体" w:hAnsi="宋体" w:cs="宋体"/>
          <w:color w:val="auto"/>
          <w:sz w:val="21"/>
          <w:szCs w:val="21"/>
          <w:highlight w:val="none"/>
          <w:lang w:val="en-US" w:eastAsia="zh-CN"/>
        </w:rPr>
        <w:t>违约</w:t>
      </w:r>
      <w:r>
        <w:rPr>
          <w:rFonts w:hint="eastAsia" w:ascii="宋体" w:hAnsi="宋体" w:eastAsia="宋体" w:cs="宋体"/>
          <w:color w:val="auto"/>
          <w:sz w:val="21"/>
          <w:szCs w:val="21"/>
          <w:highlight w:val="none"/>
        </w:rPr>
        <w:t>金。</w:t>
      </w:r>
    </w:p>
    <w:p w14:paraId="55B99391">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乙方未按本合同和投标文件中规定的服务承诺提供售后服务的，乙方应按本合同合计金额</w:t>
      </w:r>
      <w:r>
        <w:rPr>
          <w:rFonts w:hint="eastAsia" w:ascii="宋体" w:hAnsi="宋体" w:eastAsia="宋体" w:cs="宋体"/>
          <w:color w:val="auto"/>
          <w:sz w:val="21"/>
          <w:szCs w:val="21"/>
          <w:highlight w:val="none"/>
          <w:u w:val="single"/>
        </w:rPr>
        <w:t xml:space="preserve"> 5%</w:t>
      </w:r>
      <w:r>
        <w:rPr>
          <w:rFonts w:hint="eastAsia" w:ascii="宋体" w:hAnsi="宋体" w:eastAsia="宋体" w:cs="宋体"/>
          <w:color w:val="auto"/>
          <w:sz w:val="21"/>
          <w:szCs w:val="21"/>
          <w:highlight w:val="none"/>
        </w:rPr>
        <w:t>向甲方支付违约金。</w:t>
      </w:r>
    </w:p>
    <w:p w14:paraId="0B89D0AE">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乙方提供的服务成果在质量保证期内，因投标人和其它质量原因造成的问题，由乙方负责。</w:t>
      </w:r>
    </w:p>
    <w:p w14:paraId="73D13463">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其它违约行为按违约服务成果款额</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%收取违约金。</w:t>
      </w:r>
    </w:p>
    <w:p w14:paraId="456EC3CE">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乙方支付的违约金不足以弥补甲方损失的，还应承担赔偿责任。</w:t>
      </w:r>
    </w:p>
    <w:p w14:paraId="6A7A4561">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不可抗力事件处理</w:t>
      </w:r>
    </w:p>
    <w:p w14:paraId="45D42B73">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23EB099B">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7BE59E6C">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69390733">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合同争议解决</w:t>
      </w:r>
    </w:p>
    <w:p w14:paraId="18FE8252">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因服务成果质量问题发生争议的，应邀请国家认可的质量检测机构对服务成果质量进行鉴定。服务成果符合标准的，鉴定费由甲方承担；服务成果不符合标准的，鉴定费由乙方承担。</w:t>
      </w:r>
    </w:p>
    <w:p w14:paraId="47CCD78B">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因履行本合同引起的或与本合同有关的争议，甲乙双方应首先通过友好协商解决，如果协商不能解决，向甲方所在地人民法院提起诉讼。</w:t>
      </w:r>
    </w:p>
    <w:p w14:paraId="784149AC">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诉讼期间，本合同继续履行。</w:t>
      </w:r>
    </w:p>
    <w:p w14:paraId="42D7856E">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合同生效及其它</w:t>
      </w:r>
    </w:p>
    <w:p w14:paraId="213B1161">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val="en-US" w:eastAsia="zh-CN"/>
        </w:rPr>
        <w:t>.</w:t>
      </w:r>
      <w:r>
        <w:rPr>
          <w:rFonts w:hint="eastAsia" w:ascii="宋体" w:hAnsi="宋体" w:eastAsia="宋体" w:cs="宋体"/>
          <w:b/>
          <w:color w:val="auto"/>
          <w:sz w:val="21"/>
          <w:szCs w:val="21"/>
          <w:highlight w:val="none"/>
        </w:rPr>
        <w:t>合同经双方法定代表人(负责人)或授权代表签字并加盖单位公章后生效。</w:t>
      </w:r>
    </w:p>
    <w:p w14:paraId="0317E8DF">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w:t>
      </w:r>
      <w:r>
        <w:rPr>
          <w:rFonts w:hint="eastAsia" w:ascii="宋体" w:hAnsi="宋体" w:eastAsia="宋体" w:cs="宋体"/>
          <w:b/>
          <w:color w:val="auto"/>
          <w:sz w:val="21"/>
          <w:szCs w:val="21"/>
          <w:highlight w:val="none"/>
        </w:rPr>
        <w:t>合同执行中涉及采购资金和采购内容修改或补充的，须签书面补充协议报财政部门备案，方可作为主合同不可分割的一部分。</w:t>
      </w:r>
    </w:p>
    <w:p w14:paraId="7E0FA986">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cs="宋体"/>
          <w:b/>
          <w:color w:val="auto"/>
          <w:sz w:val="21"/>
          <w:szCs w:val="21"/>
          <w:highlight w:val="none"/>
          <w:lang w:val="en-US" w:eastAsia="zh-CN"/>
        </w:rPr>
        <w:t>.</w:t>
      </w:r>
      <w:r>
        <w:rPr>
          <w:rFonts w:hint="eastAsia" w:ascii="宋体" w:hAnsi="宋体" w:eastAsia="宋体" w:cs="宋体"/>
          <w:b/>
          <w:color w:val="auto"/>
          <w:sz w:val="21"/>
          <w:szCs w:val="21"/>
          <w:highlight w:val="none"/>
        </w:rPr>
        <w:t>本合同未尽事宜，遵照《中华人民共和国民法典》有关条文执行。</w:t>
      </w:r>
    </w:p>
    <w:p w14:paraId="1AF900A1">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合同的变更、终止与转让</w:t>
      </w:r>
    </w:p>
    <w:p w14:paraId="5B0184CF">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除《中华人民共和国政府采购法》第五十条规定的情形外，本合同一经签订，甲乙双方不得擅自变更、中止或终止。</w:t>
      </w:r>
    </w:p>
    <w:p w14:paraId="58DDA3CB">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乙方不得擅自转让其应履行的合同义务。</w:t>
      </w:r>
    </w:p>
    <w:p w14:paraId="346F4C83">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签订本合同依据</w:t>
      </w:r>
    </w:p>
    <w:p w14:paraId="76E296CB">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政府采购招标文件；</w:t>
      </w:r>
    </w:p>
    <w:p w14:paraId="7A28309D">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乙方提供的投标文件；</w:t>
      </w:r>
    </w:p>
    <w:p w14:paraId="7782435C">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中标通知书。</w:t>
      </w:r>
    </w:p>
    <w:p w14:paraId="4C5B5B15">
      <w:pPr>
        <w:keepNext w:val="0"/>
        <w:keepLines w:val="0"/>
        <w:pageBreakBefore w:val="0"/>
        <w:widowControl w:val="0"/>
        <w:kinsoku/>
        <w:wordWrap/>
        <w:overflowPunct/>
        <w:topLinePunct w:val="0"/>
        <w:autoSpaceDE/>
        <w:autoSpaceDN/>
        <w:bidi w:val="0"/>
        <w:adjustRightInd/>
        <w:snapToGrid/>
        <w:spacing w:line="400" w:lineRule="exact"/>
        <w:ind w:left="-61" w:leftChars="-29"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第十五条　</w:t>
      </w:r>
      <w:r>
        <w:rPr>
          <w:rFonts w:hint="eastAsia" w:ascii="宋体" w:hAnsi="宋体" w:eastAsia="宋体" w:cs="宋体"/>
          <w:color w:val="auto"/>
          <w:sz w:val="21"/>
          <w:szCs w:val="21"/>
          <w:highlight w:val="none"/>
        </w:rPr>
        <w:t>本合同一式</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份，具有同等法律效力，</w:t>
      </w:r>
      <w:r>
        <w:rPr>
          <w:rFonts w:hint="eastAsia" w:ascii="宋体" w:hAnsi="宋体" w:eastAsia="宋体" w:cs="宋体"/>
          <w:color w:val="auto"/>
          <w:spacing w:val="4"/>
          <w:sz w:val="21"/>
          <w:szCs w:val="21"/>
          <w:highlight w:val="none"/>
        </w:rPr>
        <w:t>广西壮族自治区财政厅政府采购监督管理处、采购代理机构</w:t>
      </w:r>
      <w:r>
        <w:rPr>
          <w:rFonts w:hint="eastAsia" w:ascii="宋体" w:hAnsi="宋体" w:eastAsia="宋体" w:cs="宋体"/>
          <w:color w:val="auto"/>
          <w:sz w:val="21"/>
          <w:szCs w:val="21"/>
          <w:highlight w:val="none"/>
        </w:rPr>
        <w:t>各一份，甲乙双方各</w:t>
      </w:r>
      <w:r>
        <w:rPr>
          <w:rFonts w:hint="eastAsia" w:ascii="宋体" w:hAnsi="宋体" w:cs="宋体"/>
          <w:color w:val="auto"/>
          <w:sz w:val="21"/>
          <w:szCs w:val="21"/>
          <w:highlight w:val="none"/>
          <w:lang w:val="en-US" w:eastAsia="zh-CN"/>
        </w:rPr>
        <w:t>两</w:t>
      </w:r>
      <w:r>
        <w:rPr>
          <w:rFonts w:hint="eastAsia" w:ascii="宋体" w:hAnsi="宋体" w:eastAsia="宋体" w:cs="宋体"/>
          <w:color w:val="auto"/>
          <w:sz w:val="21"/>
          <w:szCs w:val="21"/>
          <w:highlight w:val="none"/>
        </w:rPr>
        <w:t>份。</w:t>
      </w:r>
    </w:p>
    <w:p w14:paraId="55BFDFFE">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本合同自签订之日起7个工作日内，采购人应当将合同副本报</w:t>
      </w:r>
      <w:r>
        <w:rPr>
          <w:rFonts w:hint="eastAsia" w:ascii="宋体" w:hAnsi="宋体" w:eastAsia="宋体" w:cs="宋体"/>
          <w:color w:val="auto"/>
          <w:spacing w:val="4"/>
          <w:sz w:val="21"/>
          <w:szCs w:val="21"/>
          <w:highlight w:val="none"/>
        </w:rPr>
        <w:t>同级政府采购监督管理部门和有关部门</w:t>
      </w:r>
      <w:r>
        <w:rPr>
          <w:rFonts w:hint="eastAsia" w:ascii="宋体" w:hAnsi="宋体" w:eastAsia="宋体" w:cs="宋体"/>
          <w:color w:val="auto"/>
          <w:sz w:val="21"/>
          <w:szCs w:val="21"/>
          <w:highlight w:val="none"/>
        </w:rPr>
        <w:t>备案，并应当自签订之日起2个工作日内，将政府采购合同在省级以上人民政府财政部门指定的媒体上公告。</w:t>
      </w:r>
    </w:p>
    <w:p w14:paraId="37A905E8">
      <w:pPr>
        <w:keepNext w:val="0"/>
        <w:keepLines w:val="0"/>
        <w:pageBreakBefore w:val="0"/>
        <w:widowControl w:val="0"/>
        <w:kinsoku/>
        <w:wordWrap/>
        <w:overflowPunct/>
        <w:topLinePunct w:val="0"/>
        <w:autoSpaceDE/>
        <w:autoSpaceDN/>
        <w:bidi w:val="0"/>
        <w:adjustRightInd/>
        <w:snapToGrid/>
        <w:spacing w:line="400" w:lineRule="exact"/>
        <w:ind w:left="-61" w:leftChars="-29" w:firstLine="420" w:firstLineChars="200"/>
        <w:textAlignment w:val="auto"/>
        <w:rPr>
          <w:rFonts w:hint="eastAsia" w:ascii="宋体" w:hAnsi="宋体" w:eastAsia="宋体" w:cs="宋体"/>
          <w:color w:val="auto"/>
          <w:sz w:val="21"/>
          <w:szCs w:val="21"/>
          <w:highlight w:val="none"/>
        </w:rPr>
      </w:pPr>
    </w:p>
    <w:tbl>
      <w:tblPr>
        <w:tblStyle w:val="4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9"/>
        <w:gridCol w:w="5115"/>
      </w:tblGrid>
      <w:tr w14:paraId="4A90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430" w:type="pct"/>
            <w:noWrap w:val="0"/>
            <w:vAlign w:val="center"/>
          </w:tcPr>
          <w:p w14:paraId="5193CC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4E6162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1F414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0BF9C780">
            <w:pPr>
              <w:keepNext w:val="0"/>
              <w:keepLines w:val="0"/>
              <w:pageBreakBefore w:val="0"/>
              <w:widowControl w:val="0"/>
              <w:kinsoku/>
              <w:wordWrap/>
              <w:overflowPunct/>
              <w:topLinePunct w:val="0"/>
              <w:autoSpaceDE/>
              <w:autoSpaceDN/>
              <w:bidi w:val="0"/>
              <w:adjustRightInd/>
              <w:snapToGrid/>
              <w:spacing w:line="400" w:lineRule="exact"/>
              <w:ind w:firstLine="945" w:firstLineChars="4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2569" w:type="pct"/>
            <w:noWrap w:val="0"/>
            <w:vAlign w:val="center"/>
          </w:tcPr>
          <w:p w14:paraId="3A8E10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0D0ABE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67336F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57C3CAD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63FE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4B960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2569" w:type="pct"/>
            <w:noWrap w:val="0"/>
            <w:vAlign w:val="center"/>
          </w:tcPr>
          <w:p w14:paraId="7C7D26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0D8D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67631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c>
          <w:tcPr>
            <w:tcW w:w="2569" w:type="pct"/>
            <w:noWrap w:val="0"/>
            <w:vAlign w:val="center"/>
          </w:tcPr>
          <w:p w14:paraId="0D9D0D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r>
      <w:tr w14:paraId="6065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1D9664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569" w:type="pct"/>
            <w:noWrap w:val="0"/>
            <w:vAlign w:val="center"/>
          </w:tcPr>
          <w:p w14:paraId="6B1D67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30EF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0B9897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69" w:type="pct"/>
            <w:noWrap w:val="0"/>
            <w:vAlign w:val="center"/>
          </w:tcPr>
          <w:p w14:paraId="4C6269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E29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5E8058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569" w:type="pct"/>
            <w:noWrap w:val="0"/>
            <w:vAlign w:val="center"/>
          </w:tcPr>
          <w:p w14:paraId="53237A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2C73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525BAE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69" w:type="pct"/>
            <w:noWrap w:val="0"/>
            <w:vAlign w:val="center"/>
          </w:tcPr>
          <w:p w14:paraId="70A439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FBD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783CAD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569" w:type="pct"/>
            <w:noWrap w:val="0"/>
            <w:vAlign w:val="center"/>
          </w:tcPr>
          <w:p w14:paraId="54BA52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74DC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top"/>
          </w:tcPr>
          <w:p w14:paraId="34FE9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c>
          <w:tcPr>
            <w:tcW w:w="2569" w:type="pct"/>
            <w:noWrap w:val="0"/>
            <w:vAlign w:val="top"/>
          </w:tcPr>
          <w:p w14:paraId="027164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r>
      <w:tr w14:paraId="1B99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2430" w:type="pct"/>
            <w:noWrap w:val="0"/>
            <w:vAlign w:val="center"/>
          </w:tcPr>
          <w:p w14:paraId="185400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569" w:type="pct"/>
            <w:noWrap w:val="0"/>
            <w:vAlign w:val="center"/>
          </w:tcPr>
          <w:p w14:paraId="08BBF2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7D4C9E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合 同 附 件</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2"/>
        <w:gridCol w:w="4924"/>
      </w:tblGrid>
      <w:tr w14:paraId="3867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000" w:type="pct"/>
            <w:gridSpan w:val="2"/>
            <w:tcBorders>
              <w:top w:val="single" w:color="auto" w:sz="4" w:space="0"/>
              <w:left w:val="single" w:color="auto" w:sz="4" w:space="0"/>
              <w:right w:val="single" w:color="auto" w:sz="4" w:space="0"/>
            </w:tcBorders>
            <w:noWrap w:val="0"/>
            <w:vAlign w:val="top"/>
          </w:tcPr>
          <w:p w14:paraId="3B7E52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供应商承诺具体事项：详见投标文件。</w:t>
            </w:r>
          </w:p>
        </w:tc>
      </w:tr>
      <w:tr w14:paraId="1455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000" w:type="pct"/>
            <w:gridSpan w:val="2"/>
            <w:tcBorders>
              <w:top w:val="single" w:color="auto" w:sz="4" w:space="0"/>
              <w:left w:val="single" w:color="auto" w:sz="4" w:space="0"/>
              <w:right w:val="single" w:color="auto" w:sz="4" w:space="0"/>
            </w:tcBorders>
            <w:noWrap w:val="0"/>
            <w:vAlign w:val="top"/>
          </w:tcPr>
          <w:p w14:paraId="2AB39F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售后服务具体事项：详见投标文件。</w:t>
            </w:r>
          </w:p>
        </w:tc>
      </w:tr>
      <w:tr w14:paraId="420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000" w:type="pct"/>
            <w:gridSpan w:val="2"/>
            <w:tcBorders>
              <w:top w:val="single" w:color="auto" w:sz="4" w:space="0"/>
              <w:left w:val="single" w:color="auto" w:sz="4" w:space="0"/>
              <w:right w:val="single" w:color="auto" w:sz="4" w:space="0"/>
            </w:tcBorders>
            <w:noWrap w:val="0"/>
            <w:vAlign w:val="top"/>
          </w:tcPr>
          <w:p w14:paraId="541902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服务期责任：详见投标文件。</w:t>
            </w:r>
          </w:p>
        </w:tc>
      </w:tr>
      <w:tr w14:paraId="7951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000" w:type="pct"/>
            <w:gridSpan w:val="2"/>
            <w:tcBorders>
              <w:top w:val="single" w:color="auto" w:sz="4" w:space="0"/>
              <w:left w:val="single" w:color="auto" w:sz="4" w:space="0"/>
              <w:right w:val="single" w:color="auto" w:sz="4" w:space="0"/>
            </w:tcBorders>
            <w:noWrap w:val="0"/>
            <w:vAlign w:val="top"/>
          </w:tcPr>
          <w:p w14:paraId="7EA16E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其他具体事项：详见投标文件。</w:t>
            </w:r>
          </w:p>
        </w:tc>
      </w:tr>
      <w:tr w14:paraId="4BD7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527" w:type="pct"/>
            <w:tcBorders>
              <w:top w:val="single" w:color="auto" w:sz="4" w:space="0"/>
              <w:left w:val="single" w:color="auto" w:sz="4" w:space="0"/>
              <w:bottom w:val="single" w:color="auto" w:sz="4" w:space="0"/>
              <w:right w:val="single" w:color="auto" w:sz="4" w:space="0"/>
            </w:tcBorders>
            <w:noWrap w:val="0"/>
            <w:vAlign w:val="center"/>
          </w:tcPr>
          <w:p w14:paraId="1F3F11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6BE6C392">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color w:val="auto"/>
                <w:sz w:val="21"/>
                <w:szCs w:val="21"/>
                <w:highlight w:val="none"/>
              </w:rPr>
            </w:pPr>
          </w:p>
          <w:p w14:paraId="63CC2C9D">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color w:val="auto"/>
                <w:sz w:val="21"/>
                <w:szCs w:val="21"/>
                <w:highlight w:val="none"/>
              </w:rPr>
            </w:pPr>
          </w:p>
          <w:p w14:paraId="3840DF49">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 </w:t>
            </w:r>
          </w:p>
        </w:tc>
        <w:tc>
          <w:tcPr>
            <w:tcW w:w="2472" w:type="pct"/>
            <w:tcBorders>
              <w:top w:val="single" w:color="auto" w:sz="4" w:space="0"/>
              <w:left w:val="single" w:color="auto" w:sz="4" w:space="0"/>
              <w:bottom w:val="single" w:color="auto" w:sz="4" w:space="0"/>
              <w:right w:val="single" w:color="auto" w:sz="4" w:space="0"/>
            </w:tcBorders>
            <w:noWrap w:val="0"/>
            <w:vAlign w:val="center"/>
          </w:tcPr>
          <w:p w14:paraId="5B9B1A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2AA3C93C">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color w:val="auto"/>
                <w:sz w:val="21"/>
                <w:szCs w:val="21"/>
                <w:highlight w:val="none"/>
              </w:rPr>
            </w:pPr>
          </w:p>
          <w:p w14:paraId="4B9793C6">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color w:val="auto"/>
                <w:sz w:val="21"/>
                <w:szCs w:val="21"/>
                <w:highlight w:val="none"/>
              </w:rPr>
            </w:pPr>
          </w:p>
          <w:p w14:paraId="77DAFFFB">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bl>
    <w:p w14:paraId="70A749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注：售后服务事项填不下时可另加附页。</w:t>
      </w:r>
    </w:p>
    <w:p w14:paraId="212E691B">
      <w:pPr>
        <w:shd w:val="clear" w:color="auto" w:fill="auto"/>
        <w:spacing w:line="360" w:lineRule="exact"/>
        <w:jc w:val="center"/>
        <w:rPr>
          <w:rFonts w:ascii="宋体" w:hAnsi="宋体" w:cs="宋体"/>
          <w:color w:val="auto"/>
          <w:kern w:val="1"/>
          <w:szCs w:val="21"/>
          <w:highlight w:val="none"/>
        </w:rPr>
      </w:pPr>
    </w:p>
    <w:p w14:paraId="2D16D43C">
      <w:pPr>
        <w:snapToGrid w:val="0"/>
        <w:spacing w:line="360" w:lineRule="exact"/>
        <w:jc w:val="center"/>
        <w:rPr>
          <w:rFonts w:hint="eastAsia" w:ascii="宋体"/>
          <w:color w:val="auto"/>
          <w:szCs w:val="21"/>
          <w:highlight w:val="none"/>
        </w:rPr>
      </w:pPr>
    </w:p>
    <w:p w14:paraId="0551D636">
      <w:pPr>
        <w:snapToGrid w:val="0"/>
        <w:spacing w:line="360" w:lineRule="exact"/>
        <w:jc w:val="center"/>
        <w:rPr>
          <w:rFonts w:hint="eastAsia" w:ascii="宋体"/>
          <w:b/>
          <w:color w:val="auto"/>
          <w:szCs w:val="21"/>
          <w:highlight w:val="none"/>
        </w:rPr>
      </w:pPr>
    </w:p>
    <w:p w14:paraId="15E1242B">
      <w:pPr>
        <w:rPr>
          <w:rFonts w:hint="eastAsia"/>
          <w:color w:val="auto"/>
          <w:highlight w:val="none"/>
        </w:rPr>
      </w:pPr>
    </w:p>
    <w:p w14:paraId="16412F16">
      <w:pPr>
        <w:spacing w:line="400" w:lineRule="exact"/>
        <w:jc w:val="center"/>
        <w:rPr>
          <w:rFonts w:hint="eastAsia" w:ascii="宋体"/>
          <w:color w:val="auto"/>
          <w:sz w:val="32"/>
          <w:szCs w:val="32"/>
          <w:highlight w:val="none"/>
        </w:rPr>
      </w:pPr>
      <w:r>
        <w:rPr>
          <w:color w:val="auto"/>
          <w:highlight w:val="none"/>
        </w:rPr>
        <w:br w:type="page"/>
      </w:r>
    </w:p>
    <w:p w14:paraId="390804DC">
      <w:pPr>
        <w:spacing w:line="400" w:lineRule="exact"/>
        <w:jc w:val="center"/>
        <w:rPr>
          <w:rFonts w:hint="eastAsia" w:ascii="宋体"/>
          <w:color w:val="auto"/>
          <w:sz w:val="32"/>
          <w:szCs w:val="32"/>
          <w:highlight w:val="none"/>
        </w:rPr>
      </w:pPr>
    </w:p>
    <w:p w14:paraId="079D4F6F">
      <w:pPr>
        <w:spacing w:line="400" w:lineRule="exact"/>
        <w:jc w:val="center"/>
        <w:rPr>
          <w:rFonts w:hint="eastAsia" w:ascii="宋体"/>
          <w:color w:val="auto"/>
          <w:sz w:val="32"/>
          <w:szCs w:val="32"/>
          <w:highlight w:val="none"/>
        </w:rPr>
      </w:pPr>
    </w:p>
    <w:p w14:paraId="58AF851B">
      <w:pPr>
        <w:spacing w:line="400" w:lineRule="exact"/>
        <w:jc w:val="center"/>
        <w:rPr>
          <w:rFonts w:hint="eastAsia" w:ascii="宋体"/>
          <w:color w:val="auto"/>
          <w:sz w:val="32"/>
          <w:szCs w:val="32"/>
          <w:highlight w:val="none"/>
        </w:rPr>
      </w:pPr>
    </w:p>
    <w:p w14:paraId="66B8679F">
      <w:pPr>
        <w:spacing w:line="400" w:lineRule="exact"/>
        <w:jc w:val="center"/>
        <w:rPr>
          <w:rFonts w:hint="eastAsia" w:ascii="宋体"/>
          <w:color w:val="auto"/>
          <w:sz w:val="32"/>
          <w:szCs w:val="32"/>
          <w:highlight w:val="none"/>
        </w:rPr>
      </w:pPr>
    </w:p>
    <w:p w14:paraId="01594EA9">
      <w:pPr>
        <w:spacing w:line="400" w:lineRule="exact"/>
        <w:jc w:val="center"/>
        <w:rPr>
          <w:rFonts w:hint="eastAsia" w:ascii="宋体"/>
          <w:color w:val="auto"/>
          <w:sz w:val="32"/>
          <w:szCs w:val="32"/>
          <w:highlight w:val="none"/>
        </w:rPr>
      </w:pPr>
    </w:p>
    <w:p w14:paraId="209480A5">
      <w:pPr>
        <w:spacing w:line="400" w:lineRule="exact"/>
        <w:jc w:val="center"/>
        <w:rPr>
          <w:rFonts w:hint="eastAsia" w:ascii="宋体"/>
          <w:color w:val="auto"/>
          <w:sz w:val="32"/>
          <w:szCs w:val="32"/>
          <w:highlight w:val="none"/>
        </w:rPr>
      </w:pPr>
    </w:p>
    <w:p w14:paraId="153B1737">
      <w:pPr>
        <w:spacing w:line="400" w:lineRule="exact"/>
        <w:jc w:val="center"/>
        <w:rPr>
          <w:rFonts w:hint="eastAsia" w:ascii="宋体"/>
          <w:color w:val="auto"/>
          <w:sz w:val="32"/>
          <w:szCs w:val="32"/>
          <w:highlight w:val="none"/>
        </w:rPr>
      </w:pPr>
    </w:p>
    <w:p w14:paraId="5EDA84CD">
      <w:pPr>
        <w:spacing w:line="400" w:lineRule="exact"/>
        <w:jc w:val="center"/>
        <w:rPr>
          <w:rFonts w:hint="eastAsia" w:ascii="宋体"/>
          <w:color w:val="auto"/>
          <w:sz w:val="32"/>
          <w:szCs w:val="32"/>
          <w:highlight w:val="none"/>
        </w:rPr>
      </w:pPr>
    </w:p>
    <w:p w14:paraId="08B3F9B1">
      <w:pPr>
        <w:spacing w:line="400" w:lineRule="exact"/>
        <w:jc w:val="center"/>
        <w:rPr>
          <w:rFonts w:hint="eastAsia" w:ascii="宋体"/>
          <w:color w:val="auto"/>
          <w:sz w:val="32"/>
          <w:szCs w:val="32"/>
          <w:highlight w:val="none"/>
        </w:rPr>
      </w:pPr>
    </w:p>
    <w:p w14:paraId="399733FB">
      <w:pPr>
        <w:spacing w:line="400" w:lineRule="exact"/>
        <w:jc w:val="center"/>
        <w:rPr>
          <w:rFonts w:hint="eastAsia" w:ascii="宋体"/>
          <w:color w:val="auto"/>
          <w:sz w:val="32"/>
          <w:szCs w:val="32"/>
          <w:highlight w:val="none"/>
        </w:rPr>
      </w:pPr>
    </w:p>
    <w:p w14:paraId="5F915D0B">
      <w:pPr>
        <w:spacing w:line="400" w:lineRule="exact"/>
        <w:jc w:val="center"/>
        <w:rPr>
          <w:rFonts w:hint="eastAsia" w:ascii="宋体"/>
          <w:color w:val="auto"/>
          <w:sz w:val="32"/>
          <w:szCs w:val="32"/>
          <w:highlight w:val="none"/>
        </w:rPr>
      </w:pPr>
    </w:p>
    <w:p w14:paraId="01E8236C">
      <w:pPr>
        <w:spacing w:line="400" w:lineRule="exact"/>
        <w:jc w:val="center"/>
        <w:rPr>
          <w:rFonts w:hint="eastAsia" w:ascii="宋体"/>
          <w:color w:val="auto"/>
          <w:sz w:val="32"/>
          <w:szCs w:val="32"/>
          <w:highlight w:val="none"/>
        </w:rPr>
      </w:pPr>
    </w:p>
    <w:p w14:paraId="78C1DC0D">
      <w:pPr>
        <w:spacing w:line="400" w:lineRule="exact"/>
        <w:jc w:val="center"/>
        <w:rPr>
          <w:rFonts w:hint="eastAsia" w:ascii="宋体"/>
          <w:color w:val="auto"/>
          <w:sz w:val="32"/>
          <w:szCs w:val="32"/>
          <w:highlight w:val="none"/>
        </w:rPr>
      </w:pPr>
    </w:p>
    <w:p w14:paraId="19633A71">
      <w:pPr>
        <w:spacing w:line="400" w:lineRule="exact"/>
        <w:jc w:val="center"/>
        <w:rPr>
          <w:rFonts w:hint="eastAsia" w:ascii="宋体"/>
          <w:color w:val="auto"/>
          <w:sz w:val="32"/>
          <w:szCs w:val="32"/>
          <w:highlight w:val="none"/>
        </w:rPr>
      </w:pPr>
    </w:p>
    <w:p w14:paraId="4F93C1B4">
      <w:pPr>
        <w:pStyle w:val="47"/>
        <w:rPr>
          <w:rFonts w:hint="eastAsia"/>
          <w:color w:val="auto"/>
          <w:sz w:val="44"/>
          <w:szCs w:val="44"/>
          <w:highlight w:val="none"/>
        </w:rPr>
      </w:pPr>
      <w:bookmarkStart w:id="90" w:name="_Toc476436177"/>
      <w:bookmarkStart w:id="91" w:name="_Toc476436436"/>
      <w:r>
        <w:rPr>
          <w:rFonts w:hint="eastAsia"/>
          <w:color w:val="auto"/>
          <w:sz w:val="44"/>
          <w:szCs w:val="44"/>
          <w:highlight w:val="none"/>
        </w:rPr>
        <w:t>第六章　投标文件格式</w:t>
      </w:r>
      <w:bookmarkEnd w:id="90"/>
      <w:bookmarkEnd w:id="91"/>
    </w:p>
    <w:p w14:paraId="5ED7B33C">
      <w:pPr>
        <w:rPr>
          <w:rFonts w:hint="eastAsia"/>
          <w:color w:val="auto"/>
          <w:highlight w:val="none"/>
        </w:rPr>
      </w:pPr>
    </w:p>
    <w:p w14:paraId="18D3B7DC">
      <w:pPr>
        <w:rPr>
          <w:rFonts w:hint="eastAsia"/>
          <w:color w:val="auto"/>
          <w:highlight w:val="none"/>
        </w:rPr>
      </w:pPr>
      <w:bookmarkStart w:id="92" w:name="_Toc254970556"/>
      <w:bookmarkStart w:id="93" w:name="_Toc254970697"/>
    </w:p>
    <w:p w14:paraId="4304DC34">
      <w:pPr>
        <w:rPr>
          <w:rFonts w:hint="eastAsia"/>
          <w:color w:val="auto"/>
          <w:highlight w:val="none"/>
        </w:rPr>
      </w:pPr>
    </w:p>
    <w:p w14:paraId="37B2BB3C">
      <w:pPr>
        <w:rPr>
          <w:rFonts w:hint="eastAsia"/>
          <w:color w:val="auto"/>
          <w:highlight w:val="none"/>
        </w:rPr>
      </w:pPr>
    </w:p>
    <w:p w14:paraId="5A5FB40D">
      <w:pPr>
        <w:rPr>
          <w:rFonts w:hint="eastAsia"/>
          <w:color w:val="auto"/>
          <w:highlight w:val="none"/>
        </w:rPr>
      </w:pPr>
    </w:p>
    <w:p w14:paraId="70758919">
      <w:pPr>
        <w:rPr>
          <w:rFonts w:hint="eastAsia"/>
          <w:color w:val="auto"/>
          <w:highlight w:val="none"/>
        </w:rPr>
      </w:pPr>
    </w:p>
    <w:p w14:paraId="19B993F0">
      <w:pPr>
        <w:rPr>
          <w:rFonts w:hint="eastAsia"/>
          <w:color w:val="auto"/>
          <w:highlight w:val="none"/>
        </w:rPr>
      </w:pPr>
    </w:p>
    <w:p w14:paraId="3D9B5124">
      <w:pPr>
        <w:rPr>
          <w:rFonts w:hint="eastAsia"/>
          <w:color w:val="auto"/>
          <w:highlight w:val="none"/>
        </w:rPr>
      </w:pPr>
    </w:p>
    <w:p w14:paraId="16C2399C">
      <w:pPr>
        <w:rPr>
          <w:rFonts w:hint="eastAsia"/>
          <w:color w:val="auto"/>
          <w:highlight w:val="none"/>
        </w:rPr>
      </w:pPr>
    </w:p>
    <w:p w14:paraId="098139D0">
      <w:pPr>
        <w:rPr>
          <w:rFonts w:hint="eastAsia"/>
          <w:color w:val="auto"/>
          <w:highlight w:val="none"/>
        </w:rPr>
      </w:pPr>
    </w:p>
    <w:p w14:paraId="29333F37">
      <w:pPr>
        <w:rPr>
          <w:rFonts w:hint="eastAsia"/>
          <w:color w:val="auto"/>
          <w:highlight w:val="none"/>
        </w:rPr>
      </w:pPr>
    </w:p>
    <w:p w14:paraId="2F416EAA">
      <w:pPr>
        <w:rPr>
          <w:rFonts w:hint="eastAsia"/>
          <w:color w:val="auto"/>
          <w:highlight w:val="none"/>
        </w:rPr>
      </w:pPr>
    </w:p>
    <w:bookmarkEnd w:id="92"/>
    <w:bookmarkEnd w:id="93"/>
    <w:p w14:paraId="43C9D8D0">
      <w:pPr>
        <w:spacing w:line="720" w:lineRule="auto"/>
        <w:jc w:val="center"/>
        <w:rPr>
          <w:rFonts w:hint="eastAsia"/>
          <w:color w:val="auto"/>
          <w:sz w:val="32"/>
          <w:szCs w:val="32"/>
          <w:highlight w:val="none"/>
        </w:rPr>
      </w:pPr>
      <w:r>
        <w:rPr>
          <w:color w:val="auto"/>
          <w:highlight w:val="none"/>
        </w:rPr>
        <w:br w:type="page"/>
      </w:r>
      <w:r>
        <w:rPr>
          <w:rFonts w:hint="eastAsia"/>
          <w:color w:val="auto"/>
          <w:sz w:val="32"/>
          <w:szCs w:val="32"/>
          <w:highlight w:val="none"/>
        </w:rPr>
        <w:t>投标文件格式</w:t>
      </w:r>
    </w:p>
    <w:p w14:paraId="52A9C710">
      <w:pPr>
        <w:spacing w:line="480" w:lineRule="auto"/>
        <w:jc w:val="center"/>
        <w:rPr>
          <w:rFonts w:hint="eastAsia"/>
          <w:b/>
          <w:color w:val="auto"/>
          <w:highlight w:val="none"/>
        </w:rPr>
      </w:pPr>
      <w:r>
        <w:rPr>
          <w:rFonts w:hint="eastAsia"/>
          <w:b/>
          <w:color w:val="auto"/>
          <w:highlight w:val="none"/>
        </w:rPr>
        <w:t>一、投标文件封面格式</w:t>
      </w:r>
    </w:p>
    <w:p w14:paraId="7522CD06">
      <w:pPr>
        <w:snapToGrid w:val="0"/>
        <w:spacing w:before="156" w:beforeLines="50" w:after="50" w:line="360" w:lineRule="exact"/>
        <w:rPr>
          <w:rFonts w:hint="eastAsia" w:ascii="仿宋_GB2312" w:eastAsia="仿宋_GB2312"/>
          <w:color w:val="auto"/>
          <w:sz w:val="24"/>
          <w:highlight w:val="none"/>
        </w:rPr>
      </w:pPr>
    </w:p>
    <w:p w14:paraId="61D257FB">
      <w:pPr>
        <w:snapToGrid w:val="0"/>
        <w:spacing w:before="156" w:beforeLines="50" w:after="50" w:line="360" w:lineRule="exact"/>
        <w:rPr>
          <w:rFonts w:hint="eastAsia" w:ascii="仿宋_GB2312" w:eastAsia="仿宋_GB2312"/>
          <w:bCs/>
          <w:color w:val="auto"/>
          <w:sz w:val="24"/>
          <w:highlight w:val="none"/>
        </w:rPr>
      </w:pPr>
      <w:r>
        <w:rPr>
          <w:rFonts w:hint="eastAsia" w:ascii="仿宋_GB2312" w:eastAsia="仿宋_GB2312"/>
          <w:color w:val="auto"/>
          <w:sz w:val="24"/>
          <w:highlight w:val="none"/>
        </w:rPr>
        <w:t xml:space="preserve">                                                   </w:t>
      </w:r>
    </w:p>
    <w:p w14:paraId="10D5E762">
      <w:pPr>
        <w:snapToGrid w:val="0"/>
        <w:spacing w:before="156" w:beforeLines="50" w:after="50" w:line="360" w:lineRule="exact"/>
        <w:jc w:val="center"/>
        <w:rPr>
          <w:rFonts w:hint="eastAsia" w:ascii="宋体"/>
          <w:b/>
          <w:bCs/>
          <w:color w:val="auto"/>
          <w:sz w:val="32"/>
          <w:szCs w:val="32"/>
          <w:highlight w:val="none"/>
        </w:rPr>
      </w:pPr>
      <w:r>
        <w:rPr>
          <w:rFonts w:hint="eastAsia" w:ascii="宋体"/>
          <w:b/>
          <w:bCs/>
          <w:color w:val="auto"/>
          <w:sz w:val="32"/>
          <w:szCs w:val="32"/>
          <w:highlight w:val="none"/>
        </w:rPr>
        <w:t>投标文件</w:t>
      </w:r>
    </w:p>
    <w:p w14:paraId="327B8F09">
      <w:pPr>
        <w:snapToGrid w:val="0"/>
        <w:spacing w:before="156" w:beforeLines="50" w:after="50" w:line="360" w:lineRule="exact"/>
        <w:rPr>
          <w:rFonts w:hint="eastAsia" w:ascii="仿宋_GB2312" w:eastAsia="仿宋_GB2312"/>
          <w:bCs/>
          <w:color w:val="auto"/>
          <w:sz w:val="24"/>
          <w:highlight w:val="none"/>
        </w:rPr>
      </w:pPr>
    </w:p>
    <w:p w14:paraId="1E536388">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 xml:space="preserve">采购项目名称： </w:t>
      </w:r>
    </w:p>
    <w:p w14:paraId="23F491A9">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 xml:space="preserve">采购项目编号： </w:t>
      </w:r>
    </w:p>
    <w:p w14:paraId="55902CCB">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所投分标（如有）：</w:t>
      </w:r>
    </w:p>
    <w:p w14:paraId="6539335F">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投标人名称：（盖章）</w:t>
      </w:r>
    </w:p>
    <w:p w14:paraId="6447E672">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投标人地址：</w:t>
      </w:r>
    </w:p>
    <w:p w14:paraId="5F270F08">
      <w:pPr>
        <w:spacing w:line="360" w:lineRule="exact"/>
        <w:rPr>
          <w:rFonts w:hint="eastAsia"/>
          <w:color w:val="auto"/>
          <w:highlight w:val="none"/>
        </w:rPr>
      </w:pPr>
      <w:r>
        <w:rPr>
          <w:rFonts w:hint="eastAsia"/>
          <w:color w:val="auto"/>
          <w:highlight w:val="none"/>
        </w:rPr>
        <w:t xml:space="preserve">                                                   年  月  日</w:t>
      </w:r>
    </w:p>
    <w:p w14:paraId="56BE6E7F">
      <w:pPr>
        <w:spacing w:line="360" w:lineRule="exact"/>
        <w:rPr>
          <w:rFonts w:hint="eastAsia"/>
          <w:color w:val="auto"/>
          <w:highlight w:val="none"/>
        </w:rPr>
      </w:pPr>
    </w:p>
    <w:p w14:paraId="022B4CF0">
      <w:pPr>
        <w:spacing w:line="360" w:lineRule="exact"/>
        <w:rPr>
          <w:rFonts w:hint="eastAsia"/>
          <w:color w:val="auto"/>
          <w:highlight w:val="none"/>
        </w:rPr>
      </w:pPr>
      <w:bookmarkStart w:id="94" w:name="_Toc254970698"/>
      <w:bookmarkStart w:id="95" w:name="_Toc254970557"/>
      <w:r>
        <w:rPr>
          <w:rFonts w:hint="eastAsia" w:ascii="宋体" w:hAnsi="宋体"/>
          <w:bCs/>
          <w:color w:val="auto"/>
          <w:szCs w:val="21"/>
          <w:highlight w:val="none"/>
        </w:rPr>
        <w:t>[注：</w:t>
      </w:r>
      <w:r>
        <w:rPr>
          <w:rFonts w:hint="eastAsia" w:ascii="宋体" w:hAnsi="宋体"/>
          <w:color w:val="auto"/>
          <w:highlight w:val="none"/>
        </w:rPr>
        <w:t>投标文件由资格文件、商务技术文件、报价文件</w:t>
      </w:r>
      <w:r>
        <w:rPr>
          <w:rFonts w:hint="eastAsia" w:ascii="宋体"/>
          <w:b/>
          <w:color w:val="auto"/>
          <w:szCs w:val="21"/>
          <w:highlight w:val="none"/>
        </w:rPr>
        <w:t>三部分</w:t>
      </w:r>
      <w:r>
        <w:rPr>
          <w:rFonts w:hint="eastAsia" w:ascii="宋体"/>
          <w:color w:val="auto"/>
          <w:szCs w:val="21"/>
          <w:highlight w:val="none"/>
        </w:rPr>
        <w:t>组成</w:t>
      </w:r>
      <w:r>
        <w:rPr>
          <w:rFonts w:hint="eastAsia" w:ascii="宋体" w:hAnsi="宋体"/>
          <w:bCs/>
          <w:color w:val="auto"/>
          <w:szCs w:val="21"/>
          <w:highlight w:val="none"/>
        </w:rPr>
        <w:t>]</w:t>
      </w:r>
    </w:p>
    <w:p w14:paraId="6F9E0965">
      <w:pPr>
        <w:spacing w:line="720" w:lineRule="auto"/>
        <w:jc w:val="center"/>
        <w:rPr>
          <w:rFonts w:hint="eastAsia"/>
          <w:b/>
          <w:color w:val="auto"/>
          <w:highlight w:val="none"/>
        </w:rPr>
      </w:pPr>
      <w:r>
        <w:rPr>
          <w:b/>
          <w:color w:val="auto"/>
          <w:highlight w:val="none"/>
        </w:rPr>
        <w:br w:type="page"/>
      </w:r>
      <w:r>
        <w:rPr>
          <w:rFonts w:hint="eastAsia"/>
          <w:b/>
          <w:color w:val="auto"/>
          <w:highlight w:val="none"/>
        </w:rPr>
        <w:t>二、投标文件目录</w:t>
      </w:r>
    </w:p>
    <w:p w14:paraId="4D6B2184">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14:paraId="2FC9F3DE">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16B36B05">
      <w:pPr>
        <w:snapToGrid w:val="0"/>
        <w:spacing w:line="360" w:lineRule="exact"/>
        <w:ind w:firstLine="411" w:firstLineChars="196"/>
        <w:jc w:val="left"/>
        <w:rPr>
          <w:rFonts w:hint="eastAsia" w:ascii="宋体" w:hAnsi="Times New Roman" w:eastAsia="宋体" w:cs="Times New Roman"/>
          <w:color w:val="auto"/>
          <w:highlight w:val="none"/>
        </w:rPr>
      </w:pPr>
      <w:r>
        <w:rPr>
          <w:rFonts w:hint="eastAsia" w:ascii="宋体" w:hAnsi="宋体"/>
          <w:color w:val="auto"/>
          <w:highlight w:val="none"/>
        </w:rPr>
        <w:t xml:space="preserve"> </w:t>
      </w:r>
      <w:r>
        <w:rPr>
          <w:rFonts w:hint="eastAsia" w:ascii="宋体" w:hAnsi="宋体" w:eastAsia="宋体" w:cs="Times New Roman"/>
          <w:color w:val="auto"/>
          <w:highlight w:val="none"/>
        </w:rPr>
        <w:t>投标人有效的“主体资格证明文件”（如营业执照、事业单位法人证书、执业许可证、自然人身份证等）复印件，</w:t>
      </w:r>
      <w:r>
        <w:rPr>
          <w:rFonts w:hint="eastAsia" w:ascii="宋体" w:hAnsi="宋体" w:eastAsia="宋体" w:cs="Times New Roman"/>
          <w:color w:val="auto"/>
          <w:szCs w:val="21"/>
          <w:highlight w:val="none"/>
        </w:rPr>
        <w:t>同时</w:t>
      </w:r>
      <w:r>
        <w:rPr>
          <w:rFonts w:hint="eastAsia" w:ascii="宋体" w:hAnsi="宋体" w:eastAsia="宋体" w:cs="Times New Roman"/>
          <w:color w:val="auto"/>
          <w:highlight w:val="none"/>
        </w:rPr>
        <w:t>要加盖单位公章；</w:t>
      </w:r>
      <w:r>
        <w:rPr>
          <w:rFonts w:hint="eastAsia" w:ascii="宋体" w:hAnsi="宋体" w:eastAsia="宋体" w:cs="Times New Roman"/>
          <w:b/>
          <w:color w:val="auto"/>
          <w:highlight w:val="none"/>
        </w:rPr>
        <w:t>（必须提供）</w:t>
      </w:r>
    </w:p>
    <w:p w14:paraId="52825073">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（2）投标截止之日前一年内投标人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749B3AFF">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1061E836">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（4）</w:t>
      </w:r>
      <w:r>
        <w:rPr>
          <w:rFonts w:hint="eastAsia" w:ascii="宋体" w:hAnsi="宋体"/>
          <w:color w:val="auto"/>
          <w:szCs w:val="21"/>
          <w:highlight w:val="none"/>
          <w:lang w:eastAsia="zh-CN"/>
        </w:rPr>
        <w:t>财务状况报告。</w:t>
      </w:r>
      <w:r>
        <w:rPr>
          <w:rFonts w:hint="eastAsia" w:ascii="宋体" w:hAnsi="宋体"/>
          <w:b/>
          <w:color w:val="auto"/>
          <w:szCs w:val="21"/>
          <w:highlight w:val="none"/>
        </w:rPr>
        <w:t>（格式自拟，必须提供）</w:t>
      </w:r>
    </w:p>
    <w:p w14:paraId="4F92BD85">
      <w:pPr>
        <w:snapToGrid w:val="0"/>
        <w:spacing w:line="360" w:lineRule="exact"/>
        <w:ind w:firstLine="411" w:firstLineChars="196"/>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（内容、格式自拟，必须提供）</w:t>
      </w:r>
    </w:p>
    <w:p w14:paraId="783047E5">
      <w:pPr>
        <w:snapToGrid w:val="0"/>
        <w:spacing w:line="360" w:lineRule="exact"/>
        <w:ind w:firstLine="411" w:firstLineChars="196"/>
        <w:jc w:val="left"/>
        <w:rPr>
          <w:rFonts w:hint="eastAsia"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5E8B19FF">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15E595E2">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3BF38071">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49669040">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0BBF45B3">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48DAA141">
      <w:pPr>
        <w:tabs>
          <w:tab w:val="left" w:pos="5812"/>
        </w:tabs>
        <w:snapToGrid w:val="0"/>
        <w:spacing w:line="370" w:lineRule="exact"/>
        <w:ind w:firstLine="411" w:firstLineChars="196"/>
        <w:jc w:val="left"/>
        <w:rPr>
          <w:rFonts w:hint="eastAsia"/>
          <w:b/>
          <w:color w:val="auto"/>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）中小企业声明函。</w:t>
      </w:r>
      <w:r>
        <w:rPr>
          <w:rFonts w:hint="eastAsia" w:ascii="宋体"/>
          <w:b/>
          <w:color w:val="auto"/>
          <w:szCs w:val="21"/>
          <w:highlight w:val="none"/>
        </w:rPr>
        <w:t>（按最新相关政策执行，格式见第六章，</w:t>
      </w:r>
      <w:r>
        <w:rPr>
          <w:rStyle w:val="56"/>
          <w:rFonts w:hint="eastAsia"/>
          <w:color w:val="auto"/>
          <w:kern w:val="0"/>
          <w:highlight w:val="none"/>
          <w:lang w:val="en-US" w:eastAsia="zh-CN"/>
        </w:rPr>
        <w:t>必须提供</w:t>
      </w:r>
      <w:r>
        <w:rPr>
          <w:rFonts w:hint="eastAsia" w:ascii="宋体"/>
          <w:b/>
          <w:color w:val="auto"/>
          <w:szCs w:val="21"/>
          <w:highlight w:val="none"/>
        </w:rPr>
        <w:t>）</w:t>
      </w:r>
    </w:p>
    <w:p w14:paraId="15D9FEE6">
      <w:pPr>
        <w:pStyle w:val="27"/>
        <w:snapToGrid w:val="0"/>
        <w:spacing w:line="370" w:lineRule="exact"/>
        <w:ind w:firstLine="422" w:firstLineChars="200"/>
        <w:jc w:val="left"/>
        <w:rPr>
          <w:rFonts w:hint="eastAsia"/>
          <w:b/>
          <w:color w:val="auto"/>
          <w:highlight w:val="none"/>
          <w:lang w:eastAsia="zh-CN"/>
        </w:rPr>
      </w:pPr>
      <w:r>
        <w:rPr>
          <w:rFonts w:hint="eastAsia"/>
          <w:b/>
          <w:color w:val="auto"/>
          <w:highlight w:val="none"/>
        </w:rPr>
        <w:t>2.商务技术文件：</w:t>
      </w:r>
    </w:p>
    <w:p w14:paraId="4749629A">
      <w:pPr>
        <w:ind w:firstLine="422" w:firstLineChars="200"/>
        <w:rPr>
          <w:rFonts w:hint="eastAsia" w:ascii="宋体" w:hAnsi="宋体"/>
          <w:b/>
          <w:color w:val="auto"/>
          <w:highlight w:val="none"/>
        </w:rPr>
      </w:pPr>
      <w:r>
        <w:rPr>
          <w:rFonts w:hint="eastAsia" w:ascii="宋体" w:hAnsi="宋体"/>
          <w:b/>
          <w:color w:val="auto"/>
          <w:highlight w:val="none"/>
        </w:rPr>
        <w:t>2.1商务文件：</w:t>
      </w:r>
    </w:p>
    <w:p w14:paraId="0669FB2A">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w:t>
      </w:r>
      <w:r>
        <w:rPr>
          <w:rFonts w:hint="eastAsia" w:ascii="宋体"/>
          <w:color w:val="auto"/>
          <w:szCs w:val="21"/>
          <w:highlight w:val="none"/>
        </w:rPr>
        <w:t>）投标声明书 (格式见第六章)；</w:t>
      </w:r>
      <w:r>
        <w:rPr>
          <w:rFonts w:hint="eastAsia" w:ascii="宋体"/>
          <w:b/>
          <w:color w:val="auto"/>
          <w:szCs w:val="21"/>
          <w:highlight w:val="none"/>
        </w:rPr>
        <w:t>（必须提供）</w:t>
      </w:r>
    </w:p>
    <w:p w14:paraId="07CBD69A">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）法定代表人(负责人)授权委托书和委托代理人身份证正、反面复印件（格式见第六章)</w:t>
      </w:r>
      <w:r>
        <w:rPr>
          <w:rFonts w:hint="eastAsia" w:ascii="宋体"/>
          <w:b/>
          <w:color w:val="auto"/>
          <w:szCs w:val="21"/>
          <w:highlight w:val="none"/>
        </w:rPr>
        <w:t>（委托时必须提供）</w:t>
      </w:r>
      <w:r>
        <w:rPr>
          <w:rFonts w:hint="eastAsia" w:ascii="宋体"/>
          <w:color w:val="auto"/>
          <w:szCs w:val="21"/>
          <w:highlight w:val="none"/>
        </w:rPr>
        <w:t>；</w:t>
      </w:r>
    </w:p>
    <w:p w14:paraId="5647DF61">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）法定代表人(负责人)身份证明书（格式见附件)、法定代表人（负责人）有效身份证正反面复印件</w:t>
      </w:r>
      <w:r>
        <w:rPr>
          <w:rFonts w:hint="eastAsia" w:ascii="宋体"/>
          <w:b/>
          <w:color w:val="auto"/>
          <w:szCs w:val="21"/>
          <w:highlight w:val="none"/>
        </w:rPr>
        <w:t>（必须提供）</w:t>
      </w:r>
      <w:r>
        <w:rPr>
          <w:rFonts w:hint="eastAsia" w:ascii="宋体"/>
          <w:color w:val="auto"/>
          <w:szCs w:val="21"/>
          <w:highlight w:val="none"/>
        </w:rPr>
        <w:t xml:space="preserve">； </w:t>
      </w:r>
    </w:p>
    <w:p w14:paraId="207F61F2">
      <w:pP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）商务响应表（格式见第六章）；</w:t>
      </w:r>
      <w:r>
        <w:rPr>
          <w:rFonts w:hint="eastAsia" w:ascii="宋体"/>
          <w:b/>
          <w:color w:val="auto"/>
          <w:szCs w:val="21"/>
          <w:highlight w:val="none"/>
        </w:rPr>
        <w:t>（必须提供）</w:t>
      </w:r>
    </w:p>
    <w:p w14:paraId="5D7D5F2B">
      <w:pP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）招标项目采购需求中要求必须提供的材料等；</w:t>
      </w:r>
      <w:r>
        <w:rPr>
          <w:rFonts w:hint="eastAsia"/>
          <w:color w:val="auto"/>
          <w:highlight w:val="none"/>
        </w:rPr>
        <w:t>（招标项目采购需求中要求必须提供的材料，据实提供）</w:t>
      </w:r>
    </w:p>
    <w:p w14:paraId="60142C34">
      <w:pP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）具备法律、行政法规规定的其他条件的证明材料。</w:t>
      </w:r>
      <w:r>
        <w:rPr>
          <w:rFonts w:hint="eastAsia" w:ascii="宋体"/>
          <w:b/>
          <w:color w:val="auto"/>
          <w:szCs w:val="21"/>
          <w:highlight w:val="none"/>
        </w:rPr>
        <w:t xml:space="preserve"> (如有规定,则必须提供)</w:t>
      </w:r>
    </w:p>
    <w:p w14:paraId="78A21C27">
      <w:pPr>
        <w:snapToGrid w:val="0"/>
        <w:spacing w:line="370" w:lineRule="exact"/>
        <w:ind w:firstLine="413" w:firstLineChars="196"/>
        <w:jc w:val="left"/>
        <w:rPr>
          <w:rFonts w:hint="eastAsia" w:ascii="宋体"/>
          <w:b/>
          <w:bCs/>
          <w:color w:val="auto"/>
          <w:szCs w:val="21"/>
          <w:highlight w:val="none"/>
        </w:rPr>
      </w:pPr>
      <w:r>
        <w:rPr>
          <w:rFonts w:hint="eastAsia" w:ascii="宋体"/>
          <w:b/>
          <w:bCs/>
          <w:color w:val="auto"/>
          <w:szCs w:val="21"/>
          <w:highlight w:val="none"/>
        </w:rPr>
        <w:t xml:space="preserve">可作为投标人资信评分的资质证明材料（可选）  </w:t>
      </w:r>
    </w:p>
    <w:p w14:paraId="15BCA3D3">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）类似成功案例的业绩（投标人同类项目实施情况一览表、合同扫描件等，格式可自行调整）；</w:t>
      </w:r>
    </w:p>
    <w:p w14:paraId="3B2DFBE2">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）其他特殊资质证书；</w:t>
      </w:r>
    </w:p>
    <w:p w14:paraId="64BFCA93">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）投标人质量管理和质量保证体系等方面的认证证书；</w:t>
      </w:r>
    </w:p>
    <w:p w14:paraId="5BAF14EA">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10</w:t>
      </w:r>
      <w:r>
        <w:rPr>
          <w:rFonts w:hint="eastAsia" w:ascii="宋体"/>
          <w:color w:val="auto"/>
          <w:szCs w:val="21"/>
          <w:highlight w:val="none"/>
        </w:rPr>
        <w:t>）投标人认为可以证明其能力或业绩的其他材料；</w:t>
      </w:r>
    </w:p>
    <w:p w14:paraId="09DA9ECD">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1</w:t>
      </w:r>
      <w:r>
        <w:rPr>
          <w:rFonts w:hint="eastAsia" w:ascii="宋体"/>
          <w:color w:val="auto"/>
          <w:szCs w:val="21"/>
          <w:highlight w:val="none"/>
        </w:rPr>
        <w:t>）投标人关于服务升级以及本单位债务纠纷、违法违规记录等方面的情况（内容见投标声明书）；</w:t>
      </w:r>
    </w:p>
    <w:p w14:paraId="28679975">
      <w:pPr>
        <w:snapToGrid w:val="0"/>
        <w:spacing w:line="370" w:lineRule="exact"/>
        <w:ind w:firstLine="411" w:firstLineChars="196"/>
        <w:jc w:val="left"/>
        <w:rPr>
          <w:rFonts w:hint="eastAsia" w:ascii="宋体" w:eastAsia="宋体"/>
          <w:color w:val="auto"/>
          <w:szCs w:val="21"/>
          <w:highlight w:val="none"/>
          <w:lang w:eastAsia="zh-CN"/>
        </w:rPr>
      </w:pPr>
      <w:r>
        <w:rPr>
          <w:rFonts w:hint="eastAsia" w:ascii="宋体"/>
          <w:color w:val="auto"/>
          <w:szCs w:val="21"/>
          <w:highlight w:val="none"/>
        </w:rPr>
        <w:t>（1</w:t>
      </w:r>
      <w:r>
        <w:rPr>
          <w:rFonts w:hint="eastAsia" w:ascii="宋体"/>
          <w:color w:val="auto"/>
          <w:szCs w:val="21"/>
          <w:highlight w:val="none"/>
          <w:lang w:val="en-US" w:eastAsia="zh-CN"/>
        </w:rPr>
        <w:t>2</w:t>
      </w:r>
      <w:r>
        <w:rPr>
          <w:rFonts w:hint="eastAsia" w:ascii="宋体"/>
          <w:color w:val="auto"/>
          <w:szCs w:val="21"/>
          <w:highlight w:val="none"/>
        </w:rPr>
        <w:t>）投标人情况介绍</w:t>
      </w:r>
      <w:r>
        <w:rPr>
          <w:rFonts w:hint="eastAsia" w:ascii="宋体"/>
          <w:color w:val="auto"/>
          <w:szCs w:val="21"/>
          <w:highlight w:val="none"/>
          <w:lang w:eastAsia="zh-CN"/>
        </w:rPr>
        <w:t>。</w:t>
      </w:r>
    </w:p>
    <w:p w14:paraId="06B25AF1">
      <w:pPr>
        <w:snapToGrid w:val="0"/>
        <w:spacing w:line="370" w:lineRule="exact"/>
        <w:ind w:firstLine="413" w:firstLineChars="196"/>
        <w:jc w:val="left"/>
        <w:rPr>
          <w:rFonts w:hint="eastAsia" w:ascii="宋体"/>
          <w:b/>
          <w:bCs/>
          <w:color w:val="auto"/>
          <w:szCs w:val="21"/>
          <w:highlight w:val="none"/>
        </w:rPr>
      </w:pPr>
      <w:r>
        <w:rPr>
          <w:rFonts w:hint="eastAsia" w:ascii="宋体"/>
          <w:b/>
          <w:bCs/>
          <w:color w:val="auto"/>
          <w:szCs w:val="21"/>
          <w:highlight w:val="none"/>
        </w:rPr>
        <w:t>2.2技术文件：</w:t>
      </w:r>
    </w:p>
    <w:p w14:paraId="093EBA3D">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（1）服务响应表；</w:t>
      </w:r>
      <w:r>
        <w:rPr>
          <w:rFonts w:hint="eastAsia" w:ascii="宋体"/>
          <w:b/>
          <w:color w:val="auto"/>
          <w:szCs w:val="21"/>
          <w:highlight w:val="none"/>
        </w:rPr>
        <w:t>（必须提供）</w:t>
      </w:r>
    </w:p>
    <w:p w14:paraId="415A5741">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color w:val="auto"/>
          <w:highlight w:val="none"/>
        </w:rPr>
        <w:t>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1821615A">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hAnsi="宋体"/>
          <w:color w:val="auto"/>
          <w:szCs w:val="21"/>
          <w:highlight w:val="none"/>
        </w:rPr>
        <w:t>投标人拥有主要服务设施的情况和现状（格式自拟）及项目实施人员一览表</w:t>
      </w:r>
      <w:r>
        <w:rPr>
          <w:rFonts w:hint="eastAsia" w:ascii="宋体"/>
          <w:color w:val="auto"/>
          <w:szCs w:val="21"/>
          <w:highlight w:val="none"/>
        </w:rPr>
        <w:t>；</w:t>
      </w:r>
    </w:p>
    <w:p w14:paraId="7F41EE20">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（4）优惠条件：投标人承诺给予招标人的各种优惠条件；</w:t>
      </w:r>
    </w:p>
    <w:p w14:paraId="4866DE4D">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（5）投标人对本项目的合理化建议和改进措施；</w:t>
      </w:r>
    </w:p>
    <w:p w14:paraId="69C5ED89">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（6）投标人认为需要提供的其他材料；</w:t>
      </w:r>
    </w:p>
    <w:p w14:paraId="486D9595">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（7）招标项目采购需求中要求必须提供的材料。</w:t>
      </w:r>
      <w:r>
        <w:rPr>
          <w:rFonts w:hint="eastAsia"/>
          <w:color w:val="auto"/>
          <w:highlight w:val="none"/>
        </w:rPr>
        <w:t>（招标项目采购需求中要求必须提供的材料，据实提供）</w:t>
      </w:r>
    </w:p>
    <w:p w14:paraId="499DA283">
      <w:pPr>
        <w:snapToGrid w:val="0"/>
        <w:spacing w:line="370" w:lineRule="exact"/>
        <w:ind w:firstLine="422" w:firstLineChars="200"/>
        <w:jc w:val="left"/>
        <w:rPr>
          <w:rFonts w:hint="eastAsia" w:ascii="宋体"/>
          <w:b/>
          <w:color w:val="auto"/>
          <w:szCs w:val="21"/>
          <w:highlight w:val="none"/>
        </w:rPr>
      </w:pPr>
      <w:r>
        <w:rPr>
          <w:rFonts w:hint="eastAsia" w:ascii="宋体"/>
          <w:b/>
          <w:color w:val="auto"/>
          <w:szCs w:val="21"/>
          <w:highlight w:val="none"/>
        </w:rPr>
        <w:t>3.报价文件：</w:t>
      </w:r>
    </w:p>
    <w:p w14:paraId="24BA8DD5">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（1）投标函（格式见第六章）； </w:t>
      </w:r>
    </w:p>
    <w:p w14:paraId="6B36260E">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（2）投标报价明细表（格式见第六章）；</w:t>
      </w:r>
    </w:p>
    <w:p w14:paraId="612C2249">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（3）投标人针对报价需要说明的其他文件和说明；（格式自拟）</w:t>
      </w:r>
    </w:p>
    <w:p w14:paraId="00AF217A">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（4）开标一览表（格式见第六章）。</w:t>
      </w:r>
    </w:p>
    <w:p w14:paraId="026D1362">
      <w:pPr>
        <w:tabs>
          <w:tab w:val="left" w:pos="3870"/>
          <w:tab w:val="left" w:pos="4085"/>
        </w:tabs>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w:t>
      </w:r>
      <w:r>
        <w:rPr>
          <w:rFonts w:hint="eastAsia" w:ascii="宋体"/>
          <w:b/>
          <w:bCs/>
          <w:color w:val="auto"/>
          <w:szCs w:val="21"/>
          <w:highlight w:val="none"/>
        </w:rPr>
        <w:t>注：法定代表人(负责人)授权委托书、投标声明书、投标函、开标一览表必须按照招标文件格式要求签署和加盖单位公章，否则作投标无效处理。</w:t>
      </w:r>
    </w:p>
    <w:p w14:paraId="217048E7">
      <w:pPr>
        <w:snapToGrid w:val="0"/>
        <w:spacing w:before="50" w:after="156" w:afterLines="50" w:line="360" w:lineRule="exact"/>
        <w:jc w:val="left"/>
        <w:outlineLvl w:val="0"/>
        <w:rPr>
          <w:rFonts w:hint="eastAsia" w:ascii="宋体" w:hAnsi="宋体"/>
          <w:color w:val="auto"/>
          <w:szCs w:val="21"/>
          <w:highlight w:val="none"/>
        </w:rPr>
      </w:pPr>
    </w:p>
    <w:p w14:paraId="5FB8EAFE">
      <w:pPr>
        <w:snapToGrid w:val="0"/>
        <w:spacing w:before="50" w:after="156" w:afterLines="50" w:line="360" w:lineRule="exact"/>
        <w:jc w:val="center"/>
        <w:outlineLvl w:val="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三、投标文件格式</w:t>
      </w:r>
    </w:p>
    <w:p w14:paraId="29A05217">
      <w:pPr>
        <w:snapToGrid w:val="0"/>
        <w:spacing w:before="50" w:after="156" w:afterLines="50" w:line="360" w:lineRule="exact"/>
        <w:jc w:val="left"/>
        <w:outlineLvl w:val="0"/>
        <w:rPr>
          <w:rFonts w:hint="eastAsia" w:ascii="宋体" w:hAnsi="宋体"/>
          <w:b/>
          <w:bCs/>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资格文件部分（格式）</w:t>
      </w:r>
    </w:p>
    <w:p w14:paraId="5B2AF055">
      <w:pPr>
        <w:snapToGrid w:val="0"/>
        <w:spacing w:line="36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2281775B">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投标人有效的“主体资格证明文件”（如营业执照、事业单位法人证书、执业许可证、自然人身份证等）复印件，同时要加盖单位公章；</w:t>
      </w:r>
      <w:r>
        <w:rPr>
          <w:rFonts w:hint="eastAsia" w:ascii="宋体" w:hAnsi="宋体"/>
          <w:b/>
          <w:color w:val="auto"/>
          <w:szCs w:val="21"/>
          <w:highlight w:val="none"/>
        </w:rPr>
        <w:t>（必须提供）</w:t>
      </w:r>
    </w:p>
    <w:p w14:paraId="34FFF57C">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（2）投标截止之日前一年内投标人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77FBEFF7">
      <w:pPr>
        <w:snapToGrid w:val="0"/>
        <w:spacing w:line="360" w:lineRule="exact"/>
        <w:ind w:firstLine="210" w:firstLineChars="100"/>
        <w:jc w:val="left"/>
        <w:rPr>
          <w:rFonts w:ascii="宋体" w:hAnsi="宋体"/>
          <w:color w:val="auto"/>
          <w:szCs w:val="21"/>
          <w:highlight w:val="none"/>
        </w:rPr>
      </w:pPr>
    </w:p>
    <w:p w14:paraId="38754ADA">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（3）投标截止之日前一年内投标人</w:t>
      </w:r>
      <w:r>
        <w:rPr>
          <w:rFonts w:hint="eastAsia" w:ascii="宋体" w:hAnsi="宋体"/>
          <w:color w:val="auto"/>
          <w:szCs w:val="21"/>
          <w:highlight w:val="none"/>
          <w:lang w:eastAsia="zh-CN"/>
        </w:rPr>
        <w:t>任意三个月</w:t>
      </w:r>
      <w:r>
        <w:rPr>
          <w:rFonts w:hint="eastAsia" w:ascii="宋体" w:hAnsi="宋体"/>
          <w:color w:val="auto"/>
          <w:szCs w:val="21"/>
          <w:highlight w:val="none"/>
        </w:rPr>
        <w:t>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45B3FD88">
      <w:pPr>
        <w:snapToGrid w:val="0"/>
        <w:spacing w:line="360" w:lineRule="exact"/>
        <w:ind w:firstLine="210" w:firstLineChars="100"/>
        <w:jc w:val="left"/>
        <w:rPr>
          <w:rFonts w:hint="eastAsia" w:ascii="宋体" w:hAnsi="宋体"/>
          <w:color w:val="auto"/>
          <w:szCs w:val="21"/>
          <w:highlight w:val="none"/>
        </w:rPr>
      </w:pPr>
    </w:p>
    <w:p w14:paraId="1D0DBF8B">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财务状况报告。</w:t>
      </w:r>
      <w:r>
        <w:rPr>
          <w:rFonts w:hint="eastAsia" w:ascii="宋体" w:hAnsi="宋体"/>
          <w:b/>
          <w:color w:val="auto"/>
          <w:szCs w:val="21"/>
          <w:highlight w:val="none"/>
        </w:rPr>
        <w:t>（格式自拟，必须提供）</w:t>
      </w:r>
    </w:p>
    <w:p w14:paraId="376EE914">
      <w:pPr>
        <w:snapToGrid w:val="0"/>
        <w:spacing w:line="360" w:lineRule="exact"/>
        <w:ind w:firstLine="211" w:firstLineChars="100"/>
        <w:jc w:val="left"/>
        <w:rPr>
          <w:rFonts w:hint="eastAsia" w:ascii="宋体" w:hAnsi="宋体"/>
          <w:b/>
          <w:color w:val="auto"/>
          <w:szCs w:val="21"/>
          <w:highlight w:val="none"/>
        </w:rPr>
      </w:pPr>
    </w:p>
    <w:p w14:paraId="281B074B">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olor w:val="auto"/>
          <w:szCs w:val="21"/>
          <w:highlight w:val="none"/>
        </w:rPr>
        <w:t>。</w:t>
      </w:r>
      <w:r>
        <w:rPr>
          <w:rFonts w:hint="eastAsia" w:ascii="宋体" w:hAnsi="宋体"/>
          <w:b/>
          <w:color w:val="auto"/>
          <w:szCs w:val="21"/>
          <w:highlight w:val="none"/>
        </w:rPr>
        <w:t>（内容、格式自拟，必须提供）</w:t>
      </w:r>
    </w:p>
    <w:p w14:paraId="2A96A4D4">
      <w:pPr>
        <w:snapToGrid w:val="0"/>
        <w:spacing w:line="360" w:lineRule="exact"/>
        <w:ind w:firstLine="211" w:firstLineChars="100"/>
        <w:jc w:val="left"/>
        <w:rPr>
          <w:rFonts w:hint="eastAsia" w:ascii="宋体" w:hAnsi="宋体"/>
          <w:b/>
          <w:color w:val="auto"/>
          <w:szCs w:val="21"/>
          <w:highlight w:val="none"/>
        </w:rPr>
      </w:pPr>
    </w:p>
    <w:p w14:paraId="03BC7BB7">
      <w:pPr>
        <w:snapToGrid w:val="0"/>
        <w:spacing w:line="36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（6）参加政府采购活动前三年内在经营活动中没有重大违法记录和不良信用记录的书面声明。（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7BB49BB0">
      <w:pPr>
        <w:snapToGrid w:val="0"/>
        <w:spacing w:line="360" w:lineRule="exact"/>
        <w:ind w:firstLine="210" w:firstLineChars="100"/>
        <w:jc w:val="left"/>
        <w:rPr>
          <w:rFonts w:hint="eastAsia" w:ascii="宋体" w:hAnsi="宋体"/>
          <w:color w:val="auto"/>
          <w:szCs w:val="21"/>
          <w:highlight w:val="none"/>
        </w:rPr>
      </w:pPr>
    </w:p>
    <w:p w14:paraId="7AE256D4">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2A0B667B">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755E4B5B">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53B7B99B">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3AC6BBA7">
      <w:pPr>
        <w:snapToGrid w:val="0"/>
        <w:spacing w:line="360" w:lineRule="exact"/>
        <w:ind w:firstLine="211" w:firstLineChars="100"/>
        <w:jc w:val="left"/>
        <w:rPr>
          <w:rFonts w:hint="eastAsia" w:ascii="宋体" w:cs="宋体"/>
          <w:b/>
          <w:color w:val="auto"/>
          <w:kern w:val="0"/>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0B034096">
      <w:pPr>
        <w:snapToGrid w:val="0"/>
        <w:spacing w:line="300" w:lineRule="exact"/>
        <w:ind w:firstLine="411" w:firstLineChars="196"/>
        <w:jc w:val="left"/>
        <w:rPr>
          <w:rFonts w:hint="eastAsia" w:asci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7</w:t>
      </w:r>
      <w:r>
        <w:rPr>
          <w:rFonts w:hint="eastAsia" w:ascii="宋体" w:eastAsia="宋体"/>
          <w:color w:val="auto"/>
          <w:szCs w:val="21"/>
          <w:highlight w:val="none"/>
        </w:rPr>
        <w:t>）中小企业声明函。</w:t>
      </w:r>
    </w:p>
    <w:p w14:paraId="3F963505">
      <w:pPr>
        <w:widowControl w:val="0"/>
        <w:spacing w:line="440" w:lineRule="exact"/>
        <w:jc w:val="center"/>
        <w:rPr>
          <w:rFonts w:hint="eastAsia" w:ascii="宋体" w:hAnsi="宋体" w:eastAsia="宋体" w:cs="Times New Roman"/>
          <w:b/>
          <w:bCs/>
          <w:color w:val="auto"/>
          <w:kern w:val="2"/>
          <w:sz w:val="30"/>
          <w:szCs w:val="30"/>
          <w:highlight w:val="none"/>
          <w:lang w:val="en-US" w:eastAsia="zh-CN" w:bidi="ar-SA"/>
        </w:rPr>
      </w:pPr>
      <w:r>
        <w:rPr>
          <w:rFonts w:ascii="宋体" w:hAnsi="宋体" w:eastAsia="宋体" w:cs="Times New Roman"/>
          <w:b/>
          <w:bCs/>
          <w:color w:val="auto"/>
          <w:kern w:val="2"/>
          <w:sz w:val="30"/>
          <w:szCs w:val="30"/>
          <w:highlight w:val="none"/>
          <w:lang w:val="en-US" w:eastAsia="zh-CN" w:bidi="ar-SA"/>
        </w:rPr>
        <w:t>中小企业声明函（</w:t>
      </w:r>
      <w:r>
        <w:rPr>
          <w:rFonts w:hint="eastAsia" w:ascii="宋体" w:hAnsi="宋体" w:eastAsia="宋体" w:cs="Times New Roman"/>
          <w:b/>
          <w:bCs/>
          <w:color w:val="auto"/>
          <w:kern w:val="2"/>
          <w:sz w:val="30"/>
          <w:szCs w:val="30"/>
          <w:highlight w:val="none"/>
          <w:lang w:val="en-US" w:eastAsia="zh-CN" w:bidi="ar-SA"/>
        </w:rPr>
        <w:t>服务</w:t>
      </w:r>
      <w:r>
        <w:rPr>
          <w:rFonts w:ascii="宋体" w:hAnsi="宋体" w:eastAsia="宋体" w:cs="Times New Roman"/>
          <w:b/>
          <w:bCs/>
          <w:color w:val="auto"/>
          <w:kern w:val="2"/>
          <w:sz w:val="30"/>
          <w:szCs w:val="30"/>
          <w:highlight w:val="none"/>
          <w:lang w:val="en-US" w:eastAsia="zh-CN" w:bidi="ar-SA"/>
        </w:rPr>
        <w:t>）</w:t>
      </w:r>
    </w:p>
    <w:p w14:paraId="2EC0FCAD">
      <w:pPr>
        <w:spacing w:line="440" w:lineRule="exact"/>
        <w:rPr>
          <w:rFonts w:eastAsia="宋体"/>
          <w:color w:val="auto"/>
          <w:highlight w:val="none"/>
        </w:rPr>
      </w:pPr>
    </w:p>
    <w:p w14:paraId="472F31B4">
      <w:pPr>
        <w:widowControl w:val="0"/>
        <w:spacing w:line="440" w:lineRule="exact"/>
        <w:ind w:firstLine="525" w:firstLineChars="25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Times New Roman" w:eastAsia="宋体" w:cs="Times New Roman"/>
          <w:color w:val="auto"/>
          <w:kern w:val="2"/>
          <w:sz w:val="21"/>
          <w:szCs w:val="21"/>
          <w:highlight w:val="none"/>
          <w:u w:val="single"/>
          <w:lang w:val="en-US" w:eastAsia="zh-CN" w:bidi="ar-SA"/>
        </w:rPr>
        <w:t>广西壮族自治区博物馆</w:t>
      </w:r>
      <w:r>
        <w:rPr>
          <w:rFonts w:hint="eastAsia" w:ascii="宋体" w:hAnsi="Times New Roman" w:eastAsia="宋体" w:cs="Times New Roman"/>
          <w:color w:val="auto"/>
          <w:kern w:val="2"/>
          <w:sz w:val="21"/>
          <w:szCs w:val="21"/>
          <w:highlight w:val="none"/>
          <w:lang w:val="en-US" w:eastAsia="zh-CN" w:bidi="ar-SA"/>
        </w:rPr>
        <w:t>的</w:t>
      </w:r>
      <w:r>
        <w:rPr>
          <w:rFonts w:hint="eastAsia" w:ascii="宋体" w:hAnsi="Times New Roman" w:eastAsia="宋体" w:cs="Times New Roman"/>
          <w:color w:val="auto"/>
          <w:kern w:val="2"/>
          <w:sz w:val="21"/>
          <w:szCs w:val="21"/>
          <w:highlight w:val="none"/>
          <w:u w:val="single"/>
          <w:lang w:val="en-US" w:eastAsia="zh-CN" w:bidi="ar-SA"/>
        </w:rPr>
        <w:t>广西博物馆陈列大楼沉浸式夜游光影项目</w:t>
      </w:r>
      <w:r>
        <w:rPr>
          <w:rFonts w:hint="eastAsia" w:ascii="宋体" w:hAnsi="Times New Roman" w:eastAsia="宋体" w:cs="Times New Roman"/>
          <w:color w:val="auto"/>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4B7D3B74">
      <w:pPr>
        <w:widowControl w:val="0"/>
        <w:spacing w:line="44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u w:val="single"/>
          <w:lang w:val="en-US" w:eastAsia="zh-CN" w:bidi="ar-SA"/>
        </w:rPr>
        <w:t>广西博物馆陈列大楼沉浸式夜游光影项目</w:t>
      </w:r>
      <w:r>
        <w:rPr>
          <w:rFonts w:hint="eastAsia" w:ascii="宋体" w:hAnsi="Times New Roman" w:eastAsia="宋体" w:cs="Times New Roman"/>
          <w:color w:val="auto"/>
          <w:kern w:val="2"/>
          <w:sz w:val="21"/>
          <w:szCs w:val="21"/>
          <w:highlight w:val="none"/>
          <w:lang w:val="en-US" w:eastAsia="zh-CN" w:bidi="ar-SA"/>
        </w:rPr>
        <w:t>，属于</w:t>
      </w:r>
      <w:r>
        <w:rPr>
          <w:rFonts w:hint="eastAsia" w:ascii="宋体" w:hAnsi="Times New Roman" w:eastAsia="宋体" w:cs="Times New Roman"/>
          <w:color w:val="auto"/>
          <w:kern w:val="2"/>
          <w:sz w:val="21"/>
          <w:szCs w:val="21"/>
          <w:highlight w:val="none"/>
          <w:u w:val="single"/>
          <w:lang w:val="en-US" w:eastAsia="zh-CN" w:bidi="ar-SA"/>
        </w:rPr>
        <w:t>（采购文件中明确的所属行业）</w:t>
      </w:r>
      <w:r>
        <w:rPr>
          <w:rFonts w:hint="eastAsia" w:ascii="宋体" w:hAnsi="Times New Roman" w:eastAsia="宋体" w:cs="Times New Roman"/>
          <w:color w:val="auto"/>
          <w:kern w:val="2"/>
          <w:sz w:val="21"/>
          <w:szCs w:val="21"/>
          <w:highlight w:val="none"/>
          <w:lang w:val="en-US" w:eastAsia="zh-CN" w:bidi="ar-SA"/>
        </w:rPr>
        <w:t>；承接企业为</w:t>
      </w:r>
      <w:r>
        <w:rPr>
          <w:rFonts w:hint="eastAsia" w:ascii="宋体" w:hAnsi="Times New Roman" w:eastAsia="宋体" w:cs="Times New Roman"/>
          <w:color w:val="auto"/>
          <w:kern w:val="2"/>
          <w:sz w:val="21"/>
          <w:szCs w:val="21"/>
          <w:highlight w:val="none"/>
          <w:u w:val="single"/>
          <w:lang w:val="en-US" w:eastAsia="zh-CN" w:bidi="ar-SA"/>
        </w:rPr>
        <w:t>（企业名称）</w:t>
      </w:r>
      <w:r>
        <w:rPr>
          <w:rFonts w:hint="eastAsia" w:ascii="宋体" w:hAnsi="Times New Roman" w:eastAsia="宋体" w:cs="Times New Roman"/>
          <w:color w:val="auto"/>
          <w:kern w:val="2"/>
          <w:sz w:val="21"/>
          <w:szCs w:val="21"/>
          <w:highlight w:val="none"/>
          <w:lang w:val="en-US" w:eastAsia="zh-CN" w:bidi="ar-SA"/>
        </w:rPr>
        <w:t>，从业人员</w:t>
      </w:r>
      <w:r>
        <w:rPr>
          <w:rFonts w:hint="eastAsia" w:ascii="宋体" w:hAnsi="Times New Roman" w:eastAsia="宋体" w:cs="Times New Roman"/>
          <w:color w:val="auto"/>
          <w:kern w:val="2"/>
          <w:sz w:val="21"/>
          <w:szCs w:val="21"/>
          <w:highlight w:val="none"/>
          <w:u w:val="singl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人，营业收入为</w:t>
      </w:r>
      <w:r>
        <w:rPr>
          <w:rFonts w:hint="eastAsia" w:ascii="宋体" w:hAnsi="Times New Roman" w:eastAsia="宋体" w:cs="Times New Roman"/>
          <w:color w:val="auto"/>
          <w:kern w:val="2"/>
          <w:sz w:val="21"/>
          <w:szCs w:val="21"/>
          <w:highlight w:val="none"/>
          <w:u w:val="singl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万元，资产总额为</w:t>
      </w:r>
      <w:r>
        <w:rPr>
          <w:rFonts w:hint="eastAsia" w:ascii="宋体" w:hAnsi="Times New Roman" w:eastAsia="宋体" w:cs="Times New Roman"/>
          <w:color w:val="auto"/>
          <w:kern w:val="2"/>
          <w:sz w:val="21"/>
          <w:szCs w:val="21"/>
          <w:highlight w:val="none"/>
          <w:u w:val="singl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万元，属于</w:t>
      </w:r>
      <w:r>
        <w:rPr>
          <w:rFonts w:hint="eastAsia" w:ascii="宋体" w:hAnsi="Times New Roman" w:eastAsia="宋体" w:cs="Times New Roman"/>
          <w:color w:val="auto"/>
          <w:kern w:val="2"/>
          <w:sz w:val="21"/>
          <w:szCs w:val="21"/>
          <w:highlight w:val="none"/>
          <w:u w:val="single"/>
          <w:lang w:val="en-US" w:eastAsia="zh-CN" w:bidi="ar-SA"/>
        </w:rPr>
        <w:t>（中型企业、小型企业、微型企业）</w:t>
      </w:r>
      <w:r>
        <w:rPr>
          <w:rFonts w:hint="eastAsia" w:ascii="宋体" w:hAnsi="Times New Roman" w:eastAsia="宋体" w:cs="Times New Roman"/>
          <w:color w:val="auto"/>
          <w:kern w:val="2"/>
          <w:sz w:val="21"/>
          <w:szCs w:val="21"/>
          <w:highlight w:val="none"/>
          <w:lang w:val="en-US" w:eastAsia="zh-CN" w:bidi="ar-SA"/>
        </w:rPr>
        <w:t xml:space="preserve">； </w:t>
      </w:r>
    </w:p>
    <w:p w14:paraId="79F17981">
      <w:pPr>
        <w:widowControl w:val="0"/>
        <w:spacing w:line="44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2.</w:t>
      </w:r>
      <w:r>
        <w:rPr>
          <w:rFonts w:hint="eastAsia" w:ascii="宋体" w:hAnsi="Times New Roman" w:eastAsia="宋体" w:cs="Times New Roman"/>
          <w:color w:val="auto"/>
          <w:kern w:val="2"/>
          <w:sz w:val="21"/>
          <w:szCs w:val="21"/>
          <w:highlight w:val="none"/>
          <w:u w:val="single"/>
          <w:lang w:val="en-US" w:eastAsia="zh-CN" w:bidi="ar-SA"/>
        </w:rPr>
        <w:t xml:space="preserve">（标的名称） </w:t>
      </w:r>
      <w:r>
        <w:rPr>
          <w:rFonts w:hint="eastAsia" w:ascii="宋体" w:hAnsi="Times New Roman" w:eastAsia="宋体" w:cs="Times New Roman"/>
          <w:color w:val="auto"/>
          <w:kern w:val="2"/>
          <w:sz w:val="21"/>
          <w:szCs w:val="21"/>
          <w:highlight w:val="none"/>
          <w:lang w:val="en-US" w:eastAsia="zh-CN" w:bidi="ar-SA"/>
        </w:rPr>
        <w:t>，属于</w:t>
      </w:r>
      <w:r>
        <w:rPr>
          <w:rFonts w:hint="eastAsia" w:ascii="宋体" w:hAnsi="Times New Roman" w:eastAsia="宋体" w:cs="Times New Roman"/>
          <w:color w:val="auto"/>
          <w:kern w:val="2"/>
          <w:sz w:val="21"/>
          <w:szCs w:val="21"/>
          <w:highlight w:val="none"/>
          <w:u w:val="single"/>
          <w:lang w:val="en-US" w:eastAsia="zh-CN" w:bidi="ar-SA"/>
        </w:rPr>
        <w:t>（采购文件中明确的所属行业）</w:t>
      </w:r>
      <w:r>
        <w:rPr>
          <w:rFonts w:hint="eastAsia" w:ascii="宋体" w:hAnsi="Times New Roman" w:eastAsia="宋体" w:cs="Times New Roman"/>
          <w:color w:val="auto"/>
          <w:kern w:val="2"/>
          <w:sz w:val="21"/>
          <w:szCs w:val="21"/>
          <w:highlight w:val="none"/>
          <w:lang w:val="en-US" w:eastAsia="zh-CN" w:bidi="ar-SA"/>
        </w:rPr>
        <w:t>；承接企业为（企业名称），从业人员</w:t>
      </w:r>
      <w:r>
        <w:rPr>
          <w:rFonts w:hint="eastAsia" w:ascii="宋体" w:hAnsi="Times New Roman" w:eastAsia="宋体" w:cs="Times New Roman"/>
          <w:color w:val="auto"/>
          <w:kern w:val="2"/>
          <w:sz w:val="21"/>
          <w:szCs w:val="21"/>
          <w:highlight w:val="none"/>
          <w:u w:val="singl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人，营业收入为</w:t>
      </w:r>
      <w:r>
        <w:rPr>
          <w:rFonts w:hint="eastAsia" w:ascii="宋体" w:hAnsi="Times New Roman" w:eastAsia="宋体" w:cs="Times New Roman"/>
          <w:color w:val="auto"/>
          <w:kern w:val="2"/>
          <w:sz w:val="21"/>
          <w:szCs w:val="21"/>
          <w:highlight w:val="none"/>
          <w:u w:val="singl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万元，资产总额为</w:t>
      </w:r>
      <w:r>
        <w:rPr>
          <w:rFonts w:hint="eastAsia" w:ascii="宋体" w:hAnsi="Times New Roman" w:eastAsia="宋体" w:cs="Times New Roman"/>
          <w:color w:val="auto"/>
          <w:kern w:val="2"/>
          <w:sz w:val="21"/>
          <w:szCs w:val="21"/>
          <w:highlight w:val="none"/>
          <w:u w:val="single"/>
          <w:lang w:val="en-US" w:eastAsia="zh-CN" w:bidi="ar-SA"/>
        </w:rPr>
        <w:t xml:space="preserve">     </w:t>
      </w:r>
      <w:r>
        <w:rPr>
          <w:rFonts w:hint="eastAsia" w:ascii="宋体" w:hAnsi="Times New Roman" w:eastAsia="宋体" w:cs="Times New Roman"/>
          <w:color w:val="auto"/>
          <w:kern w:val="2"/>
          <w:sz w:val="21"/>
          <w:szCs w:val="21"/>
          <w:highlight w:val="none"/>
          <w:lang w:val="en-US" w:eastAsia="zh-CN" w:bidi="ar-SA"/>
        </w:rPr>
        <w:t>万元，属于</w:t>
      </w:r>
      <w:r>
        <w:rPr>
          <w:rFonts w:hint="eastAsia" w:ascii="宋体" w:hAnsi="Times New Roman" w:eastAsia="宋体" w:cs="Times New Roman"/>
          <w:color w:val="auto"/>
          <w:kern w:val="2"/>
          <w:sz w:val="21"/>
          <w:szCs w:val="21"/>
          <w:highlight w:val="none"/>
          <w:u w:val="single"/>
          <w:lang w:val="en-US" w:eastAsia="zh-CN" w:bidi="ar-SA"/>
        </w:rPr>
        <w:t>（中型企业、小型企业、微型企业）</w:t>
      </w:r>
      <w:r>
        <w:rPr>
          <w:rFonts w:hint="eastAsia" w:ascii="宋体" w:hAnsi="Times New Roman" w:eastAsia="宋体" w:cs="Times New Roman"/>
          <w:color w:val="auto"/>
          <w:kern w:val="2"/>
          <w:sz w:val="21"/>
          <w:szCs w:val="21"/>
          <w:highlight w:val="none"/>
          <w:lang w:val="en-US" w:eastAsia="zh-CN" w:bidi="ar-SA"/>
        </w:rPr>
        <w:t>；</w:t>
      </w:r>
    </w:p>
    <w:p w14:paraId="31C7FEA7">
      <w:pPr>
        <w:widowControl w:val="0"/>
        <w:spacing w:line="44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w:t>
      </w:r>
    </w:p>
    <w:p w14:paraId="2255ACDE">
      <w:pPr>
        <w:widowControl w:val="0"/>
        <w:spacing w:line="44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1E603FFE">
      <w:pPr>
        <w:widowControl w:val="0"/>
        <w:spacing w:line="44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本企业对上述声明内容的真实性负责。如有虚假，将依法承担相应责任。</w:t>
      </w:r>
    </w:p>
    <w:p w14:paraId="29FE1E43">
      <w:pPr>
        <w:widowControl w:val="0"/>
        <w:spacing w:line="44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p>
    <w:p w14:paraId="41C646FB">
      <w:pPr>
        <w:widowControl w:val="0"/>
        <w:spacing w:line="440" w:lineRule="exact"/>
        <w:ind w:firstLine="4620" w:firstLineChars="2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企业名称（盖章）：</w:t>
      </w:r>
    </w:p>
    <w:p w14:paraId="3BA28148">
      <w:pPr>
        <w:widowControl w:val="0"/>
        <w:spacing w:line="440" w:lineRule="exact"/>
        <w:ind w:firstLine="4620" w:firstLineChars="2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日 期：</w:t>
      </w:r>
    </w:p>
    <w:p w14:paraId="09A1E4E1">
      <w:pPr>
        <w:snapToGrid w:val="0"/>
        <w:spacing w:line="380" w:lineRule="exact"/>
        <w:ind w:firstLine="411" w:firstLineChars="196"/>
        <w:jc w:val="left"/>
        <w:rPr>
          <w:rFonts w:hint="eastAsia" w:ascii="宋体" w:eastAsia="宋体"/>
          <w:color w:val="auto"/>
          <w:szCs w:val="21"/>
          <w:highlight w:val="none"/>
        </w:rPr>
      </w:pPr>
    </w:p>
    <w:p w14:paraId="7EADD551">
      <w:pPr>
        <w:snapToGrid w:val="0"/>
        <w:spacing w:line="340" w:lineRule="exact"/>
        <w:ind w:firstLine="352" w:firstLineChars="196"/>
        <w:jc w:val="left"/>
        <w:rPr>
          <w:rFonts w:hint="eastAsia" w:eastAsia="宋体"/>
          <w:color w:val="auto"/>
          <w:sz w:val="18"/>
          <w:szCs w:val="18"/>
          <w:highlight w:val="none"/>
        </w:rPr>
      </w:pPr>
      <w:r>
        <w:rPr>
          <w:rFonts w:hint="eastAsia" w:eastAsia="宋体"/>
          <w:color w:val="auto"/>
          <w:sz w:val="18"/>
          <w:szCs w:val="18"/>
          <w:highlight w:val="none"/>
        </w:rPr>
        <w:t>注：1、从业人员、营业收入、资产总额填报上一年度数据，无上一年度数据的新成立企业可不填报。</w:t>
      </w:r>
    </w:p>
    <w:p w14:paraId="32308932">
      <w:pPr>
        <w:snapToGrid w:val="0"/>
        <w:spacing w:line="340" w:lineRule="exact"/>
        <w:ind w:firstLine="712" w:firstLineChars="396"/>
        <w:jc w:val="left"/>
        <w:rPr>
          <w:rFonts w:hint="eastAsia" w:eastAsia="宋体"/>
          <w:color w:val="auto"/>
          <w:sz w:val="18"/>
          <w:szCs w:val="18"/>
          <w:highlight w:val="none"/>
        </w:rPr>
      </w:pPr>
      <w:r>
        <w:rPr>
          <w:rFonts w:hint="eastAsia" w:eastAsia="宋体"/>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1BE5CE63">
      <w:pPr>
        <w:snapToGrid w:val="0"/>
        <w:spacing w:line="340" w:lineRule="exact"/>
        <w:ind w:firstLine="712" w:firstLineChars="396"/>
        <w:jc w:val="left"/>
        <w:rPr>
          <w:rFonts w:hint="eastAsia" w:ascii="宋体" w:eastAsia="宋体"/>
          <w:color w:val="auto"/>
          <w:szCs w:val="21"/>
          <w:highlight w:val="none"/>
        </w:rPr>
      </w:pPr>
      <w:r>
        <w:rPr>
          <w:rFonts w:hint="eastAsia" w:eastAsia="宋体"/>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70649B5C">
      <w:pPr>
        <w:spacing w:line="528" w:lineRule="exact"/>
        <w:ind w:left="1871" w:leftChars="891" w:firstLine="525" w:firstLineChars="250"/>
        <w:rPr>
          <w:rFonts w:hint="eastAsia" w:ascii="宋体" w:eastAsia="宋体"/>
          <w:color w:val="auto"/>
          <w:sz w:val="18"/>
          <w:szCs w:val="18"/>
          <w:highlight w:val="none"/>
        </w:rPr>
      </w:pPr>
      <w:r>
        <w:rPr>
          <w:rFonts w:eastAsia="宋体"/>
          <w:color w:val="auto"/>
          <w:highlight w:val="none"/>
        </w:rPr>
        <w:br w:type="page"/>
      </w:r>
    </w:p>
    <w:p w14:paraId="436C70C5">
      <w:pPr>
        <w:spacing w:line="528" w:lineRule="exact"/>
        <w:ind w:left="0" w:leftChars="0" w:firstLine="0" w:firstLineChars="0"/>
        <w:jc w:val="center"/>
        <w:rPr>
          <w:rFonts w:ascii="宋体" w:hAnsi="宋体" w:eastAsia="宋体" w:cs="Arial Unicode MS"/>
          <w:color w:val="auto"/>
          <w:sz w:val="40"/>
          <w:szCs w:val="40"/>
          <w:highlight w:val="none"/>
        </w:rPr>
      </w:pPr>
      <w:r>
        <w:rPr>
          <w:rFonts w:hint="eastAsia" w:ascii="宋体" w:hAnsi="宋体" w:eastAsia="宋体" w:cs="微软雅黑"/>
          <w:color w:val="auto"/>
          <w:sz w:val="40"/>
          <w:szCs w:val="40"/>
          <w:highlight w:val="none"/>
        </w:rPr>
        <w:t>中小微企业划型标准</w:t>
      </w:r>
    </w:p>
    <w:tbl>
      <w:tblPr>
        <w:tblStyle w:val="49"/>
        <w:tblW w:w="4998" w:type="pct"/>
        <w:jc w:val="center"/>
        <w:tblLayout w:type="autofit"/>
        <w:tblCellMar>
          <w:top w:w="0" w:type="dxa"/>
          <w:left w:w="108" w:type="dxa"/>
          <w:bottom w:w="0" w:type="dxa"/>
          <w:right w:w="108" w:type="dxa"/>
        </w:tblCellMar>
      </w:tblPr>
      <w:tblGrid>
        <w:gridCol w:w="2121"/>
        <w:gridCol w:w="1725"/>
        <w:gridCol w:w="1139"/>
        <w:gridCol w:w="2019"/>
        <w:gridCol w:w="1794"/>
        <w:gridCol w:w="1154"/>
      </w:tblGrid>
      <w:tr w14:paraId="1D3B1D36">
        <w:tblPrEx>
          <w:tblCellMar>
            <w:top w:w="0" w:type="dxa"/>
            <w:left w:w="108" w:type="dxa"/>
            <w:bottom w:w="0" w:type="dxa"/>
            <w:right w:w="108" w:type="dxa"/>
          </w:tblCellMar>
        </w:tblPrEx>
        <w:trPr>
          <w:trHeight w:val="369" w:hRule="atLeast"/>
          <w:jc w:val="center"/>
        </w:trPr>
        <w:tc>
          <w:tcPr>
            <w:tcW w:w="1065" w:type="pct"/>
            <w:tcBorders>
              <w:top w:val="single" w:color="auto" w:sz="4" w:space="0"/>
              <w:left w:val="single" w:color="auto" w:sz="4" w:space="0"/>
              <w:bottom w:val="single" w:color="auto" w:sz="4" w:space="0"/>
              <w:right w:val="single" w:color="auto" w:sz="4" w:space="0"/>
            </w:tcBorders>
            <w:noWrap w:val="0"/>
            <w:vAlign w:val="center"/>
          </w:tcPr>
          <w:p w14:paraId="0EE86E32">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866" w:type="pct"/>
            <w:tcBorders>
              <w:top w:val="single" w:color="auto" w:sz="4" w:space="0"/>
              <w:left w:val="nil"/>
              <w:bottom w:val="single" w:color="auto" w:sz="4" w:space="0"/>
              <w:right w:val="single" w:color="auto" w:sz="4" w:space="0"/>
            </w:tcBorders>
            <w:noWrap w:val="0"/>
            <w:vAlign w:val="center"/>
          </w:tcPr>
          <w:p w14:paraId="5AA8E5B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572" w:type="pct"/>
            <w:tcBorders>
              <w:top w:val="single" w:color="auto" w:sz="4" w:space="0"/>
              <w:left w:val="nil"/>
              <w:bottom w:val="single" w:color="auto" w:sz="4" w:space="0"/>
              <w:right w:val="single" w:color="auto" w:sz="4" w:space="0"/>
            </w:tcBorders>
            <w:noWrap w:val="0"/>
            <w:vAlign w:val="center"/>
          </w:tcPr>
          <w:p w14:paraId="51AADB64">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620A719A">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901" w:type="pct"/>
            <w:tcBorders>
              <w:top w:val="single" w:color="auto" w:sz="4" w:space="0"/>
              <w:left w:val="nil"/>
              <w:bottom w:val="single" w:color="auto" w:sz="4" w:space="0"/>
              <w:right w:val="single" w:color="auto" w:sz="4" w:space="0"/>
            </w:tcBorders>
            <w:noWrap w:val="0"/>
            <w:vAlign w:val="center"/>
          </w:tcPr>
          <w:p w14:paraId="2F1AC493">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234AEEA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4E40E799">
        <w:tblPrEx>
          <w:tblCellMar>
            <w:top w:w="0" w:type="dxa"/>
            <w:left w:w="108" w:type="dxa"/>
            <w:bottom w:w="0" w:type="dxa"/>
            <w:right w:w="108" w:type="dxa"/>
          </w:tblCellMar>
        </w:tblPrEx>
        <w:trPr>
          <w:trHeight w:val="369" w:hRule="atLeast"/>
          <w:jc w:val="center"/>
        </w:trPr>
        <w:tc>
          <w:tcPr>
            <w:tcW w:w="1065" w:type="pct"/>
            <w:tcBorders>
              <w:top w:val="nil"/>
              <w:left w:val="single" w:color="auto" w:sz="4" w:space="0"/>
              <w:bottom w:val="single" w:color="auto" w:sz="4" w:space="0"/>
              <w:right w:val="single" w:color="auto" w:sz="4" w:space="0"/>
            </w:tcBorders>
            <w:noWrap w:val="0"/>
            <w:vAlign w:val="center"/>
          </w:tcPr>
          <w:p w14:paraId="75FC0A5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866" w:type="pct"/>
            <w:tcBorders>
              <w:top w:val="nil"/>
              <w:left w:val="nil"/>
              <w:bottom w:val="single" w:color="auto" w:sz="4" w:space="0"/>
              <w:right w:val="single" w:color="auto" w:sz="4" w:space="0"/>
            </w:tcBorders>
            <w:noWrap w:val="0"/>
            <w:vAlign w:val="center"/>
          </w:tcPr>
          <w:p w14:paraId="562B74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4F49831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C87A95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5D9DFD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579" w:type="pct"/>
            <w:tcBorders>
              <w:top w:val="nil"/>
              <w:left w:val="nil"/>
              <w:bottom w:val="single" w:color="auto" w:sz="4" w:space="0"/>
              <w:right w:val="single" w:color="auto" w:sz="4" w:space="0"/>
            </w:tcBorders>
            <w:noWrap w:val="0"/>
            <w:vAlign w:val="center"/>
          </w:tcPr>
          <w:p w14:paraId="55FC74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AB5A7C2">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42F2C64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866" w:type="pct"/>
            <w:tcBorders>
              <w:top w:val="nil"/>
              <w:left w:val="nil"/>
              <w:bottom w:val="single" w:color="auto" w:sz="4" w:space="0"/>
              <w:right w:val="single" w:color="auto" w:sz="4" w:space="0"/>
            </w:tcBorders>
            <w:noWrap w:val="0"/>
            <w:vAlign w:val="center"/>
          </w:tcPr>
          <w:p w14:paraId="5E9D691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229389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B7644C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2DAF91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53E285B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2CC7B25">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3396C186">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4BFC3CD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439380C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15C13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901" w:type="pct"/>
            <w:tcBorders>
              <w:top w:val="nil"/>
              <w:left w:val="nil"/>
              <w:bottom w:val="single" w:color="auto" w:sz="4" w:space="0"/>
              <w:right w:val="single" w:color="auto" w:sz="4" w:space="0"/>
            </w:tcBorders>
            <w:noWrap w:val="0"/>
            <w:vAlign w:val="center"/>
          </w:tcPr>
          <w:p w14:paraId="51CECB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579" w:type="pct"/>
            <w:tcBorders>
              <w:top w:val="nil"/>
              <w:left w:val="nil"/>
              <w:bottom w:val="single" w:color="auto" w:sz="4" w:space="0"/>
              <w:right w:val="single" w:color="auto" w:sz="4" w:space="0"/>
            </w:tcBorders>
            <w:noWrap w:val="0"/>
            <w:vAlign w:val="center"/>
          </w:tcPr>
          <w:p w14:paraId="5F78EA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7FE147B">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2DFD3D9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866" w:type="pct"/>
            <w:tcBorders>
              <w:top w:val="nil"/>
              <w:left w:val="nil"/>
              <w:bottom w:val="single" w:color="auto" w:sz="4" w:space="0"/>
              <w:right w:val="single" w:color="auto" w:sz="4" w:space="0"/>
            </w:tcBorders>
            <w:noWrap w:val="0"/>
            <w:vAlign w:val="center"/>
          </w:tcPr>
          <w:p w14:paraId="4FBEAC1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43ADBA0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5BD16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901" w:type="pct"/>
            <w:tcBorders>
              <w:top w:val="nil"/>
              <w:left w:val="nil"/>
              <w:bottom w:val="single" w:color="auto" w:sz="4" w:space="0"/>
              <w:right w:val="single" w:color="auto" w:sz="4" w:space="0"/>
            </w:tcBorders>
            <w:noWrap w:val="0"/>
            <w:vAlign w:val="center"/>
          </w:tcPr>
          <w:p w14:paraId="596DEE7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579" w:type="pct"/>
            <w:tcBorders>
              <w:top w:val="nil"/>
              <w:left w:val="nil"/>
              <w:bottom w:val="single" w:color="auto" w:sz="4" w:space="0"/>
              <w:right w:val="single" w:color="auto" w:sz="4" w:space="0"/>
            </w:tcBorders>
            <w:noWrap w:val="0"/>
            <w:vAlign w:val="center"/>
          </w:tcPr>
          <w:p w14:paraId="2B0F8FA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0A305B3">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7B93AE1D">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3041A0B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572" w:type="pct"/>
            <w:tcBorders>
              <w:top w:val="nil"/>
              <w:left w:val="nil"/>
              <w:bottom w:val="single" w:color="auto" w:sz="4" w:space="0"/>
              <w:right w:val="single" w:color="auto" w:sz="4" w:space="0"/>
            </w:tcBorders>
            <w:noWrap w:val="0"/>
            <w:vAlign w:val="center"/>
          </w:tcPr>
          <w:p w14:paraId="699726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303211E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901" w:type="pct"/>
            <w:tcBorders>
              <w:top w:val="nil"/>
              <w:left w:val="nil"/>
              <w:bottom w:val="single" w:color="auto" w:sz="4" w:space="0"/>
              <w:right w:val="single" w:color="auto" w:sz="4" w:space="0"/>
            </w:tcBorders>
            <w:noWrap w:val="0"/>
            <w:vAlign w:val="center"/>
          </w:tcPr>
          <w:p w14:paraId="74D0D04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579" w:type="pct"/>
            <w:tcBorders>
              <w:top w:val="nil"/>
              <w:left w:val="nil"/>
              <w:bottom w:val="single" w:color="auto" w:sz="4" w:space="0"/>
              <w:right w:val="single" w:color="auto" w:sz="4" w:space="0"/>
            </w:tcBorders>
            <w:noWrap w:val="0"/>
            <w:vAlign w:val="center"/>
          </w:tcPr>
          <w:p w14:paraId="0762384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48931DA8">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7B5522E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866" w:type="pct"/>
            <w:tcBorders>
              <w:top w:val="nil"/>
              <w:left w:val="nil"/>
              <w:bottom w:val="single" w:color="auto" w:sz="4" w:space="0"/>
              <w:right w:val="single" w:color="auto" w:sz="4" w:space="0"/>
            </w:tcBorders>
            <w:noWrap w:val="0"/>
            <w:vAlign w:val="center"/>
          </w:tcPr>
          <w:p w14:paraId="5DD770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085DB8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6E3B7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901" w:type="pct"/>
            <w:tcBorders>
              <w:top w:val="nil"/>
              <w:left w:val="nil"/>
              <w:bottom w:val="single" w:color="auto" w:sz="4" w:space="0"/>
              <w:right w:val="single" w:color="auto" w:sz="4" w:space="0"/>
            </w:tcBorders>
            <w:noWrap w:val="0"/>
            <w:vAlign w:val="center"/>
          </w:tcPr>
          <w:p w14:paraId="794D051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579" w:type="pct"/>
            <w:tcBorders>
              <w:top w:val="nil"/>
              <w:left w:val="nil"/>
              <w:bottom w:val="single" w:color="auto" w:sz="4" w:space="0"/>
              <w:right w:val="single" w:color="auto" w:sz="4" w:space="0"/>
            </w:tcBorders>
            <w:noWrap w:val="0"/>
            <w:vAlign w:val="center"/>
          </w:tcPr>
          <w:p w14:paraId="2ECFFAA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58A5A105">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1220C3D2">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6FB45D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48F65E7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814925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901" w:type="pct"/>
            <w:tcBorders>
              <w:top w:val="nil"/>
              <w:left w:val="nil"/>
              <w:bottom w:val="single" w:color="auto" w:sz="4" w:space="0"/>
              <w:right w:val="single" w:color="auto" w:sz="4" w:space="0"/>
            </w:tcBorders>
            <w:noWrap w:val="0"/>
            <w:vAlign w:val="center"/>
          </w:tcPr>
          <w:p w14:paraId="7C273C6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579" w:type="pct"/>
            <w:tcBorders>
              <w:top w:val="nil"/>
              <w:left w:val="nil"/>
              <w:bottom w:val="single" w:color="auto" w:sz="4" w:space="0"/>
              <w:right w:val="single" w:color="auto" w:sz="4" w:space="0"/>
            </w:tcBorders>
            <w:noWrap w:val="0"/>
            <w:vAlign w:val="center"/>
          </w:tcPr>
          <w:p w14:paraId="206EE6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090846A3">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22E29B1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866" w:type="pct"/>
            <w:tcBorders>
              <w:top w:val="nil"/>
              <w:left w:val="nil"/>
              <w:bottom w:val="single" w:color="auto" w:sz="4" w:space="0"/>
              <w:right w:val="single" w:color="auto" w:sz="4" w:space="0"/>
            </w:tcBorders>
            <w:noWrap w:val="0"/>
            <w:vAlign w:val="center"/>
          </w:tcPr>
          <w:p w14:paraId="4824CC5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7F0D0BB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3818BD9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901" w:type="pct"/>
            <w:tcBorders>
              <w:top w:val="nil"/>
              <w:left w:val="nil"/>
              <w:bottom w:val="single" w:color="auto" w:sz="4" w:space="0"/>
              <w:right w:val="single" w:color="auto" w:sz="4" w:space="0"/>
            </w:tcBorders>
            <w:noWrap w:val="0"/>
            <w:vAlign w:val="center"/>
          </w:tcPr>
          <w:p w14:paraId="4831A3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579" w:type="pct"/>
            <w:tcBorders>
              <w:top w:val="nil"/>
              <w:left w:val="nil"/>
              <w:bottom w:val="single" w:color="auto" w:sz="4" w:space="0"/>
              <w:right w:val="single" w:color="auto" w:sz="4" w:space="0"/>
            </w:tcBorders>
            <w:noWrap w:val="0"/>
            <w:vAlign w:val="center"/>
          </w:tcPr>
          <w:p w14:paraId="4C46C1C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EF5CED8">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29FFFD58">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4BBECB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397C22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3FEDDC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46F664C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579" w:type="pct"/>
            <w:tcBorders>
              <w:top w:val="nil"/>
              <w:left w:val="nil"/>
              <w:bottom w:val="single" w:color="auto" w:sz="4" w:space="0"/>
              <w:right w:val="single" w:color="auto" w:sz="4" w:space="0"/>
            </w:tcBorders>
            <w:noWrap w:val="0"/>
            <w:vAlign w:val="center"/>
          </w:tcPr>
          <w:p w14:paraId="7FB8B4C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BA9429A">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64905A61">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866" w:type="pct"/>
            <w:tcBorders>
              <w:top w:val="nil"/>
              <w:left w:val="nil"/>
              <w:bottom w:val="single" w:color="auto" w:sz="4" w:space="0"/>
              <w:right w:val="single" w:color="auto" w:sz="4" w:space="0"/>
            </w:tcBorders>
            <w:noWrap w:val="0"/>
            <w:vAlign w:val="center"/>
          </w:tcPr>
          <w:p w14:paraId="24A0B9A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101D755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72AFB7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7A40BB3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107DBAE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49307DE">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30512972">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7938218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5315299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4EFAA5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901" w:type="pct"/>
            <w:tcBorders>
              <w:top w:val="nil"/>
              <w:left w:val="nil"/>
              <w:bottom w:val="single" w:color="auto" w:sz="4" w:space="0"/>
              <w:right w:val="single" w:color="auto" w:sz="4" w:space="0"/>
            </w:tcBorders>
            <w:noWrap w:val="0"/>
            <w:vAlign w:val="center"/>
          </w:tcPr>
          <w:p w14:paraId="234CE16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579" w:type="pct"/>
            <w:tcBorders>
              <w:top w:val="nil"/>
              <w:left w:val="nil"/>
              <w:bottom w:val="single" w:color="auto" w:sz="4" w:space="0"/>
              <w:right w:val="single" w:color="auto" w:sz="4" w:space="0"/>
            </w:tcBorders>
            <w:noWrap w:val="0"/>
            <w:vAlign w:val="center"/>
          </w:tcPr>
          <w:p w14:paraId="085A52E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C37F1DC">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578137C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866" w:type="pct"/>
            <w:tcBorders>
              <w:top w:val="nil"/>
              <w:left w:val="nil"/>
              <w:bottom w:val="single" w:color="auto" w:sz="4" w:space="0"/>
              <w:right w:val="single" w:color="auto" w:sz="4" w:space="0"/>
            </w:tcBorders>
            <w:noWrap w:val="0"/>
            <w:vAlign w:val="center"/>
          </w:tcPr>
          <w:p w14:paraId="438F5B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72AA991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A464D7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901" w:type="pct"/>
            <w:tcBorders>
              <w:top w:val="nil"/>
              <w:left w:val="nil"/>
              <w:bottom w:val="single" w:color="auto" w:sz="4" w:space="0"/>
              <w:right w:val="single" w:color="auto" w:sz="4" w:space="0"/>
            </w:tcBorders>
            <w:noWrap w:val="0"/>
            <w:vAlign w:val="center"/>
          </w:tcPr>
          <w:p w14:paraId="2DD7F03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579" w:type="pct"/>
            <w:tcBorders>
              <w:top w:val="nil"/>
              <w:left w:val="nil"/>
              <w:bottom w:val="single" w:color="auto" w:sz="4" w:space="0"/>
              <w:right w:val="single" w:color="auto" w:sz="4" w:space="0"/>
            </w:tcBorders>
            <w:noWrap w:val="0"/>
            <w:vAlign w:val="center"/>
          </w:tcPr>
          <w:p w14:paraId="22ECF7E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F7A53FF">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75B4DB5E">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74FF6B4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228C0F6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DF43EA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901" w:type="pct"/>
            <w:tcBorders>
              <w:top w:val="nil"/>
              <w:left w:val="nil"/>
              <w:bottom w:val="single" w:color="auto" w:sz="4" w:space="0"/>
              <w:right w:val="single" w:color="auto" w:sz="4" w:space="0"/>
            </w:tcBorders>
            <w:noWrap w:val="0"/>
            <w:vAlign w:val="center"/>
          </w:tcPr>
          <w:p w14:paraId="0B519E7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0D95AC1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C017012">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5468E2C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866" w:type="pct"/>
            <w:tcBorders>
              <w:top w:val="nil"/>
              <w:left w:val="nil"/>
              <w:bottom w:val="single" w:color="auto" w:sz="4" w:space="0"/>
              <w:right w:val="single" w:color="auto" w:sz="4" w:space="0"/>
            </w:tcBorders>
            <w:noWrap w:val="0"/>
            <w:vAlign w:val="center"/>
          </w:tcPr>
          <w:p w14:paraId="5E87ADC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001030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D5CB54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7111F70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223703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5DB4FE2">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66925D3D">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58825F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7358BDB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E60D29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901" w:type="pct"/>
            <w:tcBorders>
              <w:top w:val="nil"/>
              <w:left w:val="nil"/>
              <w:bottom w:val="single" w:color="auto" w:sz="4" w:space="0"/>
              <w:right w:val="single" w:color="auto" w:sz="4" w:space="0"/>
            </w:tcBorders>
            <w:noWrap w:val="0"/>
            <w:vAlign w:val="center"/>
          </w:tcPr>
          <w:p w14:paraId="1D6372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137D766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37B785D">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1D933C9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866" w:type="pct"/>
            <w:tcBorders>
              <w:top w:val="nil"/>
              <w:left w:val="nil"/>
              <w:bottom w:val="single" w:color="auto" w:sz="4" w:space="0"/>
              <w:right w:val="single" w:color="auto" w:sz="4" w:space="0"/>
            </w:tcBorders>
            <w:noWrap w:val="0"/>
            <w:vAlign w:val="center"/>
          </w:tcPr>
          <w:p w14:paraId="061CF15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649EA5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89C55F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5FF7D3B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635D365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05350F0">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6ADB9927">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3156A1B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3817561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803DC5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6CEBE2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25C2384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98397D7">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1AAD9FC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866" w:type="pct"/>
            <w:tcBorders>
              <w:top w:val="nil"/>
              <w:left w:val="nil"/>
              <w:bottom w:val="single" w:color="auto" w:sz="4" w:space="0"/>
              <w:right w:val="single" w:color="auto" w:sz="4" w:space="0"/>
            </w:tcBorders>
            <w:noWrap w:val="0"/>
            <w:vAlign w:val="center"/>
          </w:tcPr>
          <w:p w14:paraId="740AA82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2A3CBE0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6D4E8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7E23D32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77CEB7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68E81D">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2D7BEAE9">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2C64B29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279DF2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C473F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491D761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1390F3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5411758">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55BCEBE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866" w:type="pct"/>
            <w:tcBorders>
              <w:top w:val="nil"/>
              <w:left w:val="nil"/>
              <w:bottom w:val="single" w:color="auto" w:sz="4" w:space="0"/>
              <w:right w:val="single" w:color="auto" w:sz="4" w:space="0"/>
            </w:tcBorders>
            <w:noWrap w:val="0"/>
            <w:vAlign w:val="center"/>
          </w:tcPr>
          <w:p w14:paraId="6C4FF24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17A1F4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2C1A97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901" w:type="pct"/>
            <w:tcBorders>
              <w:top w:val="nil"/>
              <w:left w:val="nil"/>
              <w:bottom w:val="single" w:color="auto" w:sz="4" w:space="0"/>
              <w:right w:val="single" w:color="auto" w:sz="4" w:space="0"/>
            </w:tcBorders>
            <w:noWrap w:val="0"/>
            <w:vAlign w:val="center"/>
          </w:tcPr>
          <w:p w14:paraId="54EFC94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3265A44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755F946">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277FB75C">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7A14257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57D29E5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714639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901" w:type="pct"/>
            <w:tcBorders>
              <w:top w:val="nil"/>
              <w:left w:val="nil"/>
              <w:bottom w:val="single" w:color="auto" w:sz="4" w:space="0"/>
              <w:right w:val="single" w:color="auto" w:sz="4" w:space="0"/>
            </w:tcBorders>
            <w:noWrap w:val="0"/>
            <w:vAlign w:val="center"/>
          </w:tcPr>
          <w:p w14:paraId="2BB436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6B144D2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1AA327E">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16F517E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866" w:type="pct"/>
            <w:tcBorders>
              <w:top w:val="nil"/>
              <w:left w:val="nil"/>
              <w:bottom w:val="single" w:color="auto" w:sz="4" w:space="0"/>
              <w:right w:val="single" w:color="auto" w:sz="4" w:space="0"/>
            </w:tcBorders>
            <w:noWrap w:val="0"/>
            <w:vAlign w:val="center"/>
          </w:tcPr>
          <w:p w14:paraId="3947489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2D8041A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7C0F6D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1D45457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151BB82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820FD4A">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3F7A040B">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4A5D4AC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7D563B1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E92B12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901" w:type="pct"/>
            <w:tcBorders>
              <w:top w:val="nil"/>
              <w:left w:val="nil"/>
              <w:bottom w:val="single" w:color="auto" w:sz="4" w:space="0"/>
              <w:right w:val="single" w:color="auto" w:sz="4" w:space="0"/>
            </w:tcBorders>
            <w:noWrap w:val="0"/>
            <w:vAlign w:val="center"/>
          </w:tcPr>
          <w:p w14:paraId="20D600D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579" w:type="pct"/>
            <w:tcBorders>
              <w:top w:val="nil"/>
              <w:left w:val="nil"/>
              <w:bottom w:val="single" w:color="auto" w:sz="4" w:space="0"/>
              <w:right w:val="single" w:color="auto" w:sz="4" w:space="0"/>
            </w:tcBorders>
            <w:noWrap w:val="0"/>
            <w:vAlign w:val="center"/>
          </w:tcPr>
          <w:p w14:paraId="7C5968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E3F4E22">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1DC25D4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866" w:type="pct"/>
            <w:tcBorders>
              <w:top w:val="nil"/>
              <w:left w:val="nil"/>
              <w:bottom w:val="single" w:color="auto" w:sz="4" w:space="0"/>
              <w:right w:val="single" w:color="auto" w:sz="4" w:space="0"/>
            </w:tcBorders>
            <w:noWrap w:val="0"/>
            <w:vAlign w:val="center"/>
          </w:tcPr>
          <w:p w14:paraId="7CDC1B7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105740A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AA0DA4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901" w:type="pct"/>
            <w:tcBorders>
              <w:top w:val="nil"/>
              <w:left w:val="nil"/>
              <w:bottom w:val="single" w:color="auto" w:sz="4" w:space="0"/>
              <w:right w:val="single" w:color="auto" w:sz="4" w:space="0"/>
            </w:tcBorders>
            <w:noWrap w:val="0"/>
            <w:vAlign w:val="center"/>
          </w:tcPr>
          <w:p w14:paraId="63A31D0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579" w:type="pct"/>
            <w:tcBorders>
              <w:top w:val="nil"/>
              <w:left w:val="nil"/>
              <w:bottom w:val="single" w:color="auto" w:sz="4" w:space="0"/>
              <w:right w:val="single" w:color="auto" w:sz="4" w:space="0"/>
            </w:tcBorders>
            <w:noWrap w:val="0"/>
            <w:vAlign w:val="center"/>
          </w:tcPr>
          <w:p w14:paraId="294781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30CC36B2">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6EED2C56">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62E33FE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572" w:type="pct"/>
            <w:tcBorders>
              <w:top w:val="nil"/>
              <w:left w:val="nil"/>
              <w:bottom w:val="single" w:color="auto" w:sz="4" w:space="0"/>
              <w:right w:val="single" w:color="auto" w:sz="4" w:space="0"/>
            </w:tcBorders>
            <w:noWrap w:val="0"/>
            <w:vAlign w:val="center"/>
          </w:tcPr>
          <w:p w14:paraId="0097251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490894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901" w:type="pct"/>
            <w:tcBorders>
              <w:top w:val="nil"/>
              <w:left w:val="nil"/>
              <w:bottom w:val="single" w:color="auto" w:sz="4" w:space="0"/>
              <w:right w:val="single" w:color="auto" w:sz="4" w:space="0"/>
            </w:tcBorders>
            <w:noWrap w:val="0"/>
            <w:vAlign w:val="center"/>
          </w:tcPr>
          <w:p w14:paraId="556340D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579" w:type="pct"/>
            <w:tcBorders>
              <w:top w:val="nil"/>
              <w:left w:val="nil"/>
              <w:bottom w:val="single" w:color="auto" w:sz="4" w:space="0"/>
              <w:right w:val="single" w:color="auto" w:sz="4" w:space="0"/>
            </w:tcBorders>
            <w:noWrap w:val="0"/>
            <w:vAlign w:val="center"/>
          </w:tcPr>
          <w:p w14:paraId="5FDCD33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3E1D1CB5">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7BE18EB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866" w:type="pct"/>
            <w:tcBorders>
              <w:top w:val="nil"/>
              <w:left w:val="nil"/>
              <w:bottom w:val="single" w:color="auto" w:sz="4" w:space="0"/>
              <w:right w:val="single" w:color="auto" w:sz="4" w:space="0"/>
            </w:tcBorders>
            <w:noWrap w:val="0"/>
            <w:vAlign w:val="center"/>
          </w:tcPr>
          <w:p w14:paraId="2BCEEB8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7F4D7A1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5A5F28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539AD8A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579" w:type="pct"/>
            <w:tcBorders>
              <w:top w:val="nil"/>
              <w:left w:val="nil"/>
              <w:bottom w:val="single" w:color="auto" w:sz="4" w:space="0"/>
              <w:right w:val="single" w:color="auto" w:sz="4" w:space="0"/>
            </w:tcBorders>
            <w:noWrap w:val="0"/>
            <w:vAlign w:val="center"/>
          </w:tcPr>
          <w:p w14:paraId="3E449C5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55F89C74">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0BDC511C">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373CC18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572" w:type="pct"/>
            <w:tcBorders>
              <w:top w:val="nil"/>
              <w:left w:val="nil"/>
              <w:bottom w:val="single" w:color="auto" w:sz="4" w:space="0"/>
              <w:right w:val="single" w:color="auto" w:sz="4" w:space="0"/>
            </w:tcBorders>
            <w:noWrap w:val="0"/>
            <w:vAlign w:val="center"/>
          </w:tcPr>
          <w:p w14:paraId="30E558F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120653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01" w:type="pct"/>
            <w:tcBorders>
              <w:top w:val="nil"/>
              <w:left w:val="nil"/>
              <w:bottom w:val="single" w:color="auto" w:sz="4" w:space="0"/>
              <w:right w:val="single" w:color="auto" w:sz="4" w:space="0"/>
            </w:tcBorders>
            <w:noWrap w:val="0"/>
            <w:vAlign w:val="center"/>
          </w:tcPr>
          <w:p w14:paraId="28E707B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579" w:type="pct"/>
            <w:tcBorders>
              <w:top w:val="nil"/>
              <w:left w:val="nil"/>
              <w:bottom w:val="single" w:color="auto" w:sz="4" w:space="0"/>
              <w:right w:val="single" w:color="auto" w:sz="4" w:space="0"/>
            </w:tcBorders>
            <w:noWrap w:val="0"/>
            <w:vAlign w:val="center"/>
          </w:tcPr>
          <w:p w14:paraId="70E6345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308D7AB8">
        <w:tblPrEx>
          <w:tblCellMar>
            <w:top w:w="0" w:type="dxa"/>
            <w:left w:w="108" w:type="dxa"/>
            <w:bottom w:w="0" w:type="dxa"/>
            <w:right w:w="108" w:type="dxa"/>
          </w:tblCellMar>
        </w:tblPrEx>
        <w:trPr>
          <w:trHeight w:val="369" w:hRule="atLeast"/>
          <w:jc w:val="center"/>
        </w:trPr>
        <w:tc>
          <w:tcPr>
            <w:tcW w:w="1065" w:type="pct"/>
            <w:vMerge w:val="restart"/>
            <w:tcBorders>
              <w:top w:val="nil"/>
              <w:left w:val="single" w:color="auto" w:sz="4" w:space="0"/>
              <w:bottom w:val="single" w:color="auto" w:sz="4" w:space="0"/>
              <w:right w:val="single" w:color="auto" w:sz="4" w:space="0"/>
            </w:tcBorders>
            <w:noWrap w:val="0"/>
            <w:vAlign w:val="center"/>
          </w:tcPr>
          <w:p w14:paraId="3B14783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866" w:type="pct"/>
            <w:tcBorders>
              <w:top w:val="nil"/>
              <w:left w:val="nil"/>
              <w:bottom w:val="single" w:color="auto" w:sz="4" w:space="0"/>
              <w:right w:val="single" w:color="auto" w:sz="4" w:space="0"/>
            </w:tcBorders>
            <w:noWrap w:val="0"/>
            <w:vAlign w:val="center"/>
          </w:tcPr>
          <w:p w14:paraId="429941DF">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3B61E32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5500CA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4582E98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3FE46F3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2510E79">
        <w:tblPrEx>
          <w:tblCellMar>
            <w:top w:w="0" w:type="dxa"/>
            <w:left w:w="108" w:type="dxa"/>
            <w:bottom w:w="0" w:type="dxa"/>
            <w:right w:w="108" w:type="dxa"/>
          </w:tblCellMar>
        </w:tblPrEx>
        <w:trPr>
          <w:trHeight w:val="369" w:hRule="atLeast"/>
          <w:jc w:val="center"/>
        </w:trPr>
        <w:tc>
          <w:tcPr>
            <w:tcW w:w="1065" w:type="pct"/>
            <w:vMerge w:val="continue"/>
            <w:tcBorders>
              <w:top w:val="nil"/>
              <w:left w:val="single" w:color="auto" w:sz="4" w:space="0"/>
              <w:bottom w:val="single" w:color="auto" w:sz="4" w:space="0"/>
              <w:right w:val="single" w:color="auto" w:sz="4" w:space="0"/>
            </w:tcBorders>
            <w:noWrap w:val="0"/>
            <w:vAlign w:val="center"/>
          </w:tcPr>
          <w:p w14:paraId="6033A003">
            <w:pPr>
              <w:widowControl/>
              <w:jc w:val="center"/>
              <w:rPr>
                <w:rFonts w:hint="eastAsia" w:ascii="宋体" w:hAnsi="宋体" w:eastAsia="宋体" w:cs="宋体"/>
                <w:b/>
                <w:bCs/>
                <w:color w:val="auto"/>
                <w:kern w:val="0"/>
                <w:sz w:val="21"/>
                <w:szCs w:val="21"/>
                <w:highlight w:val="none"/>
              </w:rPr>
            </w:pPr>
          </w:p>
        </w:tc>
        <w:tc>
          <w:tcPr>
            <w:tcW w:w="866" w:type="pct"/>
            <w:tcBorders>
              <w:top w:val="nil"/>
              <w:left w:val="nil"/>
              <w:bottom w:val="single" w:color="auto" w:sz="4" w:space="0"/>
              <w:right w:val="single" w:color="auto" w:sz="4" w:space="0"/>
            </w:tcBorders>
            <w:noWrap w:val="0"/>
            <w:vAlign w:val="center"/>
          </w:tcPr>
          <w:p w14:paraId="43C2B1F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572" w:type="pct"/>
            <w:tcBorders>
              <w:top w:val="nil"/>
              <w:left w:val="nil"/>
              <w:bottom w:val="single" w:color="auto" w:sz="4" w:space="0"/>
              <w:right w:val="single" w:color="auto" w:sz="4" w:space="0"/>
            </w:tcBorders>
            <w:noWrap w:val="0"/>
            <w:vAlign w:val="center"/>
          </w:tcPr>
          <w:p w14:paraId="4DD625E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85E67B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901" w:type="pct"/>
            <w:tcBorders>
              <w:top w:val="nil"/>
              <w:left w:val="nil"/>
              <w:bottom w:val="single" w:color="auto" w:sz="4" w:space="0"/>
              <w:right w:val="single" w:color="auto" w:sz="4" w:space="0"/>
            </w:tcBorders>
            <w:noWrap w:val="0"/>
            <w:vAlign w:val="center"/>
          </w:tcPr>
          <w:p w14:paraId="077EF58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579" w:type="pct"/>
            <w:tcBorders>
              <w:top w:val="nil"/>
              <w:left w:val="nil"/>
              <w:bottom w:val="single" w:color="auto" w:sz="4" w:space="0"/>
              <w:right w:val="single" w:color="auto" w:sz="4" w:space="0"/>
            </w:tcBorders>
            <w:noWrap w:val="0"/>
            <w:vAlign w:val="center"/>
          </w:tcPr>
          <w:p w14:paraId="778320C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26C2803">
        <w:tblPrEx>
          <w:tblCellMar>
            <w:top w:w="0" w:type="dxa"/>
            <w:left w:w="108" w:type="dxa"/>
            <w:bottom w:w="0" w:type="dxa"/>
            <w:right w:w="108" w:type="dxa"/>
          </w:tblCellMar>
        </w:tblPrEx>
        <w:trPr>
          <w:trHeight w:val="369" w:hRule="atLeast"/>
          <w:jc w:val="center"/>
        </w:trPr>
        <w:tc>
          <w:tcPr>
            <w:tcW w:w="1065" w:type="pct"/>
            <w:tcBorders>
              <w:top w:val="nil"/>
              <w:left w:val="single" w:color="auto" w:sz="4" w:space="0"/>
              <w:bottom w:val="single" w:color="auto" w:sz="4" w:space="0"/>
              <w:right w:val="single" w:color="auto" w:sz="4" w:space="0"/>
            </w:tcBorders>
            <w:noWrap w:val="0"/>
            <w:vAlign w:val="center"/>
          </w:tcPr>
          <w:p w14:paraId="19BE56F2">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866" w:type="pct"/>
            <w:tcBorders>
              <w:top w:val="nil"/>
              <w:left w:val="nil"/>
              <w:bottom w:val="single" w:color="auto" w:sz="4" w:space="0"/>
              <w:right w:val="single" w:color="auto" w:sz="4" w:space="0"/>
            </w:tcBorders>
            <w:noWrap w:val="0"/>
            <w:vAlign w:val="center"/>
          </w:tcPr>
          <w:p w14:paraId="5760153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572" w:type="pct"/>
            <w:tcBorders>
              <w:top w:val="nil"/>
              <w:left w:val="nil"/>
              <w:bottom w:val="single" w:color="auto" w:sz="4" w:space="0"/>
              <w:right w:val="single" w:color="auto" w:sz="4" w:space="0"/>
            </w:tcBorders>
            <w:noWrap w:val="0"/>
            <w:vAlign w:val="center"/>
          </w:tcPr>
          <w:p w14:paraId="4E5C93A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595D9E8">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0F54386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75120FD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6AF247DA">
      <w:pPr>
        <w:snapToGrid w:val="0"/>
        <w:spacing w:line="380" w:lineRule="exact"/>
        <w:ind w:firstLine="411" w:firstLineChars="196"/>
        <w:jc w:val="left"/>
        <w:rPr>
          <w:rFonts w:hint="eastAsia" w:ascii="宋体" w:eastAsia="宋体"/>
          <w:color w:val="auto"/>
          <w:sz w:val="18"/>
          <w:szCs w:val="18"/>
          <w:highlight w:val="none"/>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14AE21">
      <w:pPr>
        <w:spacing w:line="360" w:lineRule="exact"/>
        <w:rPr>
          <w:rFonts w:hint="eastAsia"/>
          <w:b/>
          <w:color w:val="auto"/>
          <w:highlight w:val="none"/>
        </w:rPr>
      </w:pPr>
      <w:r>
        <w:rPr>
          <w:b/>
          <w:color w:val="auto"/>
          <w:highlight w:val="none"/>
        </w:rPr>
        <w:br w:type="page"/>
      </w:r>
      <w:r>
        <w:rPr>
          <w:rFonts w:hint="eastAsia"/>
          <w:b/>
          <w:color w:val="auto"/>
          <w:highlight w:val="none"/>
        </w:rPr>
        <w:t>二）商务技术文件部分（格式）</w:t>
      </w:r>
    </w:p>
    <w:p w14:paraId="3B7EBBAA">
      <w:pPr>
        <w:spacing w:line="360" w:lineRule="exact"/>
        <w:rPr>
          <w:rFonts w:hint="eastAsia"/>
          <w:color w:val="auto"/>
          <w:highlight w:val="none"/>
        </w:rPr>
      </w:pPr>
      <w:r>
        <w:rPr>
          <w:rFonts w:hint="eastAsia" w:ascii="宋体" w:hAnsi="宋体"/>
          <w:b/>
          <w:color w:val="auto"/>
          <w:highlight w:val="none"/>
        </w:rPr>
        <w:t>1.商务文件：</w:t>
      </w:r>
    </w:p>
    <w:p w14:paraId="73D45AA9">
      <w:pPr>
        <w:spacing w:line="36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1</w:t>
      </w:r>
      <w:r>
        <w:rPr>
          <w:rFonts w:hint="eastAsia"/>
          <w:color w:val="auto"/>
          <w:highlight w:val="none"/>
        </w:rPr>
        <w:t>）投标声明书格式：</w:t>
      </w:r>
    </w:p>
    <w:p w14:paraId="1CCDEBF6">
      <w:pPr>
        <w:snapToGrid w:val="0"/>
        <w:spacing w:before="156" w:beforeLines="50" w:after="50" w:line="360" w:lineRule="exact"/>
        <w:jc w:val="center"/>
        <w:rPr>
          <w:rFonts w:hint="eastAsia" w:ascii="宋体"/>
          <w:b/>
          <w:color w:val="auto"/>
          <w:sz w:val="30"/>
          <w:szCs w:val="30"/>
          <w:highlight w:val="none"/>
        </w:rPr>
      </w:pPr>
      <w:r>
        <w:rPr>
          <w:rFonts w:hint="eastAsia" w:ascii="宋体"/>
          <w:b/>
          <w:color w:val="auto"/>
          <w:sz w:val="30"/>
          <w:szCs w:val="30"/>
          <w:highlight w:val="none"/>
        </w:rPr>
        <w:t>投标声明书</w:t>
      </w:r>
    </w:p>
    <w:p w14:paraId="737D9CAC">
      <w:pPr>
        <w:spacing w:line="400" w:lineRule="exact"/>
        <w:rPr>
          <w:rFonts w:hint="eastAsia"/>
          <w:color w:val="auto"/>
          <w:highlight w:val="none"/>
        </w:rPr>
      </w:pPr>
      <w:r>
        <w:rPr>
          <w:rFonts w:hint="eastAsia"/>
          <w:color w:val="auto"/>
          <w:highlight w:val="none"/>
        </w:rPr>
        <w:t>致：</w:t>
      </w:r>
      <w:r>
        <w:rPr>
          <w:rFonts w:hint="eastAsia"/>
          <w:color w:val="auto"/>
          <w:highlight w:val="none"/>
          <w:u w:val="single"/>
        </w:rPr>
        <w:t xml:space="preserve"> 广西国力招标有限公司 </w:t>
      </w:r>
    </w:p>
    <w:p w14:paraId="64BA5559">
      <w:pPr>
        <w:spacing w:line="400" w:lineRule="exac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（投标人名称）系中华人民共和国合法企业，经营地址</w:t>
      </w:r>
      <w:r>
        <w:rPr>
          <w:rFonts w:hint="eastAsia"/>
          <w:color w:val="auto"/>
          <w:highlight w:val="none"/>
          <w:u w:val="single"/>
        </w:rPr>
        <w:t xml:space="preserve">                               </w:t>
      </w:r>
      <w:r>
        <w:rPr>
          <w:rFonts w:hint="eastAsia"/>
          <w:color w:val="auto"/>
          <w:highlight w:val="none"/>
        </w:rPr>
        <w:t>。</w:t>
      </w:r>
    </w:p>
    <w:p w14:paraId="32FF1846">
      <w:pPr>
        <w:spacing w:line="400" w:lineRule="exact"/>
        <w:rPr>
          <w:rFonts w:hint="eastAsia"/>
          <w:color w:val="auto"/>
          <w:highlight w:val="none"/>
        </w:rPr>
      </w:pPr>
      <w:r>
        <w:rPr>
          <w:rFonts w:hint="eastAsia"/>
          <w:color w:val="auto"/>
          <w:highlight w:val="none"/>
        </w:rPr>
        <w:t xml:space="preserve">    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（投标人名称）的法定代表人（负责人），我方愿意参加贵方组织的</w:t>
      </w:r>
      <w:r>
        <w:rPr>
          <w:rFonts w:hint="eastAsia"/>
          <w:color w:val="auto"/>
          <w:highlight w:val="none"/>
          <w:u w:val="single"/>
        </w:rPr>
        <w:t xml:space="preserve">                     </w:t>
      </w:r>
      <w:r>
        <w:rPr>
          <w:rFonts w:hint="eastAsia"/>
          <w:color w:val="auto"/>
          <w:highlight w:val="none"/>
        </w:rPr>
        <w:t>项目的投标，为便于贵方公正、择优地确定中标人及其服务，我方就本次投标有关事项郑重声明如下：</w:t>
      </w:r>
    </w:p>
    <w:p w14:paraId="2046A6DE">
      <w:pPr>
        <w:spacing w:line="400" w:lineRule="exact"/>
        <w:rPr>
          <w:rFonts w:hint="eastAsia"/>
          <w:color w:val="auto"/>
          <w:highlight w:val="none"/>
        </w:rPr>
      </w:pPr>
      <w:r>
        <w:rPr>
          <w:rFonts w:hint="eastAsia"/>
          <w:color w:val="auto"/>
          <w:highlight w:val="none"/>
        </w:rPr>
        <w:t xml:space="preserve">    1.我方向贵方提交的所有投标文件、资料都是准确的和真实的。</w:t>
      </w:r>
    </w:p>
    <w:p w14:paraId="60693E2D">
      <w:pPr>
        <w:spacing w:line="400" w:lineRule="exact"/>
        <w:rPr>
          <w:rFonts w:hint="eastAsia"/>
          <w:color w:val="auto"/>
          <w:highlight w:val="none"/>
        </w:rPr>
      </w:pPr>
      <w:r>
        <w:rPr>
          <w:rFonts w:hint="eastAsia"/>
          <w:color w:val="auto"/>
          <w:highlight w:val="none"/>
        </w:rPr>
        <w:t xml:space="preserve">    2.我方不是采购人的附属机构；在获知本项目采购信息后，与采购人聘请的为此项目提供咨询服务的公司及其附属机构没有任何联系。</w:t>
      </w:r>
    </w:p>
    <w:p w14:paraId="0B4C3F64">
      <w:pPr>
        <w:spacing w:line="400" w:lineRule="exact"/>
        <w:rPr>
          <w:rFonts w:hint="eastAsia"/>
          <w:color w:val="auto"/>
          <w:highlight w:val="none"/>
        </w:rPr>
      </w:pPr>
      <w:r>
        <w:rPr>
          <w:rFonts w:hint="eastAsia"/>
          <w:color w:val="auto"/>
          <w:highlight w:val="none"/>
        </w:rPr>
        <w:t xml:space="preserve">    3.我方此次向贵方提供的服务名称为：</w:t>
      </w:r>
      <w:r>
        <w:rPr>
          <w:rFonts w:hint="eastAsia"/>
          <w:color w:val="auto"/>
          <w:highlight w:val="none"/>
          <w:u w:val="single"/>
        </w:rPr>
        <w:t xml:space="preserve">                            </w:t>
      </w:r>
      <w:r>
        <w:rPr>
          <w:rFonts w:hint="eastAsia"/>
          <w:color w:val="auto"/>
          <w:highlight w:val="none"/>
        </w:rPr>
        <w:t>。</w:t>
      </w:r>
    </w:p>
    <w:p w14:paraId="14B0642E">
      <w:pPr>
        <w:spacing w:line="400" w:lineRule="exact"/>
        <w:rPr>
          <w:rFonts w:hint="eastAsia"/>
          <w:color w:val="auto"/>
          <w:highlight w:val="none"/>
        </w:rPr>
      </w:pPr>
      <w:r>
        <w:rPr>
          <w:rFonts w:hint="eastAsia"/>
          <w:color w:val="auto"/>
          <w:highlight w:val="none"/>
        </w:rPr>
        <w:t xml:space="preserve">    4.我方诚意提请贵方关注：近期有关该服务等方面的重大决策和事项有：</w:t>
      </w:r>
    </w:p>
    <w:p w14:paraId="466A733F">
      <w:pP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394E0F67">
      <w:pP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511D46EE">
      <w:pPr>
        <w:spacing w:line="400" w:lineRule="exact"/>
        <w:rPr>
          <w:rFonts w:hint="eastAsia"/>
          <w:color w:val="auto"/>
          <w:highlight w:val="none"/>
        </w:rPr>
      </w:pPr>
      <w:r>
        <w:rPr>
          <w:rFonts w:hint="eastAsia"/>
          <w:color w:val="auto"/>
          <w:highlight w:val="none"/>
        </w:rPr>
        <w:t xml:space="preserve">    5.我方</w:t>
      </w:r>
      <w:r>
        <w:rPr>
          <w:color w:val="auto"/>
          <w:highlight w:val="none"/>
        </w:rPr>
        <w:t>参加政府采购活动前</w:t>
      </w:r>
      <w:r>
        <w:rPr>
          <w:rFonts w:hint="eastAsia"/>
          <w:color w:val="auto"/>
          <w:highlight w:val="none"/>
        </w:rPr>
        <w:t>三</w:t>
      </w:r>
      <w:r>
        <w:rPr>
          <w:color w:val="auto"/>
          <w:highlight w:val="none"/>
        </w:rPr>
        <w:t>年内在经营活动中重大违法记录</w:t>
      </w:r>
      <w:r>
        <w:rPr>
          <w:rFonts w:hint="eastAsia"/>
          <w:color w:val="auto"/>
          <w:highlight w:val="none"/>
        </w:rPr>
        <w:t>情况：</w:t>
      </w:r>
    </w:p>
    <w:p w14:paraId="3A3DE371">
      <w:pP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3E09C92A">
      <w:pPr>
        <w:spacing w:line="400" w:lineRule="exact"/>
        <w:rPr>
          <w:rFonts w:hint="eastAsia"/>
          <w:color w:val="auto"/>
          <w:highlight w:val="none"/>
        </w:rPr>
      </w:pPr>
      <w:r>
        <w:rPr>
          <w:rFonts w:hint="eastAsia"/>
          <w:color w:val="auto"/>
          <w:highlight w:val="none"/>
        </w:rPr>
        <w:t xml:space="preserve">    6.以上事项如有虚假或隐瞒，我方愿意承担一切后果。</w:t>
      </w:r>
    </w:p>
    <w:p w14:paraId="769D255F">
      <w:pPr>
        <w:spacing w:line="400" w:lineRule="exact"/>
        <w:rPr>
          <w:rFonts w:hint="eastAsia"/>
          <w:color w:val="auto"/>
          <w:highlight w:val="none"/>
        </w:rPr>
      </w:pPr>
    </w:p>
    <w:p w14:paraId="03F15CD9">
      <w:pPr>
        <w:spacing w:line="400" w:lineRule="exact"/>
        <w:rPr>
          <w:rFonts w:hint="eastAsia"/>
          <w:color w:val="auto"/>
          <w:highlight w:val="none"/>
        </w:rPr>
      </w:pPr>
      <w:r>
        <w:rPr>
          <w:rFonts w:hint="eastAsia"/>
          <w:color w:val="auto"/>
          <w:highlight w:val="none"/>
        </w:rPr>
        <w:t xml:space="preserve">                                               法定代表人（负责人）签字或盖章：</w:t>
      </w:r>
      <w:r>
        <w:rPr>
          <w:rFonts w:hint="eastAsia"/>
          <w:color w:val="auto"/>
          <w:highlight w:val="none"/>
          <w:u w:val="single"/>
        </w:rPr>
        <w:t xml:space="preserve">             </w:t>
      </w:r>
    </w:p>
    <w:p w14:paraId="3EDD8334">
      <w:pP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p>
    <w:p w14:paraId="1752108A">
      <w:pPr>
        <w:spacing w:line="400" w:lineRule="exact"/>
        <w:rPr>
          <w:rFonts w:hint="eastAsia"/>
          <w:color w:val="auto"/>
          <w:highlight w:val="none"/>
        </w:rPr>
      </w:pPr>
      <w:r>
        <w:rPr>
          <w:rFonts w:hint="eastAsia"/>
          <w:color w:val="auto"/>
          <w:highlight w:val="none"/>
        </w:rPr>
        <w:t xml:space="preserve">                                                                          年    月    日</w:t>
      </w:r>
    </w:p>
    <w:p w14:paraId="5A3B42BE">
      <w:pPr>
        <w:spacing w:line="400" w:lineRule="exact"/>
        <w:rPr>
          <w:rFonts w:hint="eastAsia"/>
          <w:b/>
          <w:color w:val="auto"/>
          <w:highlight w:val="none"/>
        </w:rPr>
      </w:pPr>
    </w:p>
    <w:p w14:paraId="35E5FF18">
      <w:pPr>
        <w:spacing w:line="400" w:lineRule="exact"/>
        <w:rPr>
          <w:b/>
          <w:color w:val="auto"/>
          <w:highlight w:val="none"/>
        </w:rPr>
      </w:pPr>
      <w:r>
        <w:rPr>
          <w:b/>
          <w:color w:val="auto"/>
          <w:highlight w:val="none"/>
        </w:rPr>
        <w:t>重大违法记录，是指供应商因违法经营受到刑事处罚或者责令停产停业、吊销许可证或者执照、较大数额罚款等行政处罚。</w:t>
      </w:r>
    </w:p>
    <w:p w14:paraId="6E0FACB6">
      <w:pPr>
        <w:snapToGrid w:val="0"/>
        <w:spacing w:before="50" w:after="156" w:afterLines="50" w:line="340" w:lineRule="exact"/>
        <w:jc w:val="left"/>
        <w:rPr>
          <w:rFonts w:hint="eastAsia" w:ascii="宋体"/>
          <w:color w:val="auto"/>
          <w:szCs w:val="21"/>
          <w:highlight w:val="none"/>
        </w:rPr>
      </w:pPr>
      <w:r>
        <w:rPr>
          <w:rFonts w:hint="eastAsia" w:ascii="宋体"/>
          <w:b/>
          <w:color w:val="auto"/>
          <w:szCs w:val="21"/>
          <w:highlight w:val="none"/>
        </w:rPr>
        <w:br w:type="page"/>
      </w:r>
      <w:r>
        <w:rPr>
          <w:rFonts w:hint="eastAsia" w:ascii="宋体"/>
          <w:b/>
          <w:color w:val="auto"/>
          <w:szCs w:val="21"/>
          <w:highlight w:val="none"/>
        </w:rPr>
        <w:t xml:space="preserve">    </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 法定代表人(负责人)授权委托书格式：</w:t>
      </w:r>
    </w:p>
    <w:p w14:paraId="3F1E81EF">
      <w:pPr>
        <w:snapToGrid w:val="0"/>
        <w:spacing w:before="156" w:beforeLines="50" w:after="50" w:line="340" w:lineRule="exact"/>
        <w:jc w:val="center"/>
        <w:rPr>
          <w:rFonts w:hint="eastAsia" w:ascii="宋体"/>
          <w:b/>
          <w:color w:val="auto"/>
          <w:sz w:val="30"/>
          <w:szCs w:val="30"/>
          <w:highlight w:val="none"/>
        </w:rPr>
      </w:pPr>
      <w:r>
        <w:rPr>
          <w:rFonts w:hint="eastAsia" w:ascii="宋体"/>
          <w:b/>
          <w:color w:val="auto"/>
          <w:sz w:val="30"/>
          <w:szCs w:val="30"/>
          <w:highlight w:val="none"/>
        </w:rPr>
        <w:t>法定代表人(负责人)授权委托书</w:t>
      </w:r>
    </w:p>
    <w:p w14:paraId="461B4C10">
      <w:pPr>
        <w:spacing w:line="400" w:lineRule="exact"/>
        <w:rPr>
          <w:rFonts w:hint="eastAsia"/>
          <w:color w:val="auto"/>
          <w:highlight w:val="none"/>
        </w:rPr>
      </w:pPr>
      <w:r>
        <w:rPr>
          <w:rFonts w:hint="eastAsia"/>
          <w:color w:val="auto"/>
          <w:highlight w:val="none"/>
        </w:rPr>
        <w:t>致：</w:t>
      </w:r>
      <w:r>
        <w:rPr>
          <w:rFonts w:hint="eastAsia"/>
          <w:color w:val="auto"/>
          <w:highlight w:val="none"/>
          <w:u w:val="single"/>
        </w:rPr>
        <w:t xml:space="preserve"> 广西国力招标有限公司 </w:t>
      </w:r>
    </w:p>
    <w:p w14:paraId="76F3B944">
      <w:pPr>
        <w:spacing w:line="400" w:lineRule="exact"/>
        <w:rPr>
          <w:rFonts w:hint="eastAsia"/>
          <w:color w:val="auto"/>
          <w:highlight w:val="none"/>
        </w:rPr>
      </w:pPr>
      <w:r>
        <w:rPr>
          <w:rFonts w:hint="eastAsia"/>
          <w:color w:val="auto"/>
          <w:highlight w:val="none"/>
        </w:rPr>
        <w:t xml:space="preserve">    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（投标人名称）的法定代表人（负责人），现授权委托本单位在职职工</w:t>
      </w:r>
      <w:r>
        <w:rPr>
          <w:rFonts w:hint="eastAsia"/>
          <w:color w:val="auto"/>
          <w:highlight w:val="none"/>
          <w:u w:val="single"/>
        </w:rPr>
        <w:t xml:space="preserve">           </w:t>
      </w:r>
      <w:r>
        <w:rPr>
          <w:rFonts w:hint="eastAsia"/>
          <w:color w:val="auto"/>
          <w:highlight w:val="none"/>
        </w:rPr>
        <w:t>（姓名）以我方的名义参加</w:t>
      </w:r>
      <w:r>
        <w:rPr>
          <w:rFonts w:hint="eastAsia"/>
          <w:color w:val="auto"/>
          <w:highlight w:val="none"/>
          <w:u w:val="single"/>
        </w:rPr>
        <w:t xml:space="preserve">                </w:t>
      </w:r>
      <w:r>
        <w:rPr>
          <w:rFonts w:hint="eastAsia"/>
          <w:color w:val="auto"/>
          <w:highlight w:val="none"/>
        </w:rPr>
        <w:t>项目的投标活动，并代表我方全权办理针对上述项目的投标、开标、评标、签约等具体事务和签署相关文件。</w:t>
      </w:r>
    </w:p>
    <w:p w14:paraId="2C5C4ABB">
      <w:pPr>
        <w:spacing w:line="400" w:lineRule="exact"/>
        <w:rPr>
          <w:rFonts w:hint="eastAsia"/>
          <w:color w:val="auto"/>
          <w:highlight w:val="none"/>
        </w:rPr>
      </w:pPr>
      <w:r>
        <w:rPr>
          <w:rFonts w:hint="eastAsia"/>
          <w:color w:val="auto"/>
          <w:highlight w:val="none"/>
        </w:rPr>
        <w:t xml:space="preserve">    我方对被授权人的签名事项负全部责任。</w:t>
      </w:r>
    </w:p>
    <w:p w14:paraId="487EE53F">
      <w:pPr>
        <w:spacing w:line="400" w:lineRule="exact"/>
        <w:rPr>
          <w:rFonts w:hint="eastAsia"/>
          <w:color w:val="auto"/>
          <w:highlight w:val="none"/>
        </w:rPr>
      </w:pPr>
      <w:r>
        <w:rPr>
          <w:rFonts w:hint="eastAsia"/>
          <w:color w:val="auto"/>
          <w:highlight w:val="none"/>
        </w:rPr>
        <w:t xml:space="preserve">    </w:t>
      </w:r>
      <w:r>
        <w:rPr>
          <w:rFonts w:hint="eastAsia"/>
          <w:color w:val="auto"/>
          <w:highlight w:val="none"/>
          <w:u w:val="single"/>
        </w:rPr>
        <w:t>在撤销授权的书面通知以前，本授权书一直有效。</w:t>
      </w:r>
      <w:r>
        <w:rPr>
          <w:rFonts w:hint="eastAsia"/>
          <w:color w:val="auto"/>
          <w:highlight w:val="none"/>
        </w:rPr>
        <w:t>被授权人在授权书有效期内签署的所有文件不因授权的撤销而失效。</w:t>
      </w:r>
    </w:p>
    <w:p w14:paraId="751A0C6B">
      <w:pPr>
        <w:spacing w:line="400" w:lineRule="exact"/>
        <w:rPr>
          <w:rFonts w:hint="eastAsia"/>
          <w:color w:val="auto"/>
          <w:highlight w:val="none"/>
        </w:rPr>
      </w:pPr>
      <w:r>
        <w:rPr>
          <w:rFonts w:hint="eastAsia"/>
          <w:color w:val="auto"/>
          <w:highlight w:val="none"/>
        </w:rPr>
        <w:t xml:space="preserve">    被授权人无转委托权，特此委托。</w:t>
      </w:r>
    </w:p>
    <w:p w14:paraId="08AFF096">
      <w:pPr>
        <w:spacing w:line="400" w:lineRule="exact"/>
        <w:rPr>
          <w:rFonts w:hint="eastAsia"/>
          <w:color w:val="auto"/>
          <w:highlight w:val="none"/>
        </w:rPr>
      </w:pPr>
    </w:p>
    <w:p w14:paraId="5070795A">
      <w:pPr>
        <w:spacing w:line="400" w:lineRule="exact"/>
        <w:rPr>
          <w:rFonts w:hint="eastAsia"/>
          <w:color w:val="auto"/>
          <w:highlight w:val="none"/>
        </w:rPr>
      </w:pPr>
      <w:r>
        <w:rPr>
          <w:rFonts w:hint="eastAsia"/>
          <w:color w:val="auto"/>
          <w:highlight w:val="none"/>
        </w:rPr>
        <w:t>被授权人签字或盖章：</w:t>
      </w:r>
      <w:r>
        <w:rPr>
          <w:rFonts w:hint="eastAsia"/>
          <w:color w:val="auto"/>
          <w:highlight w:val="none"/>
          <w:u w:val="single"/>
        </w:rPr>
        <w:t xml:space="preserve">            </w:t>
      </w:r>
      <w:r>
        <w:rPr>
          <w:rFonts w:hint="eastAsia"/>
          <w:color w:val="auto"/>
          <w:highlight w:val="none"/>
        </w:rPr>
        <w:t xml:space="preserve">              法定代表人（负责人）签字或盖章：</w:t>
      </w:r>
      <w:r>
        <w:rPr>
          <w:rFonts w:hint="eastAsia"/>
          <w:color w:val="auto"/>
          <w:highlight w:val="none"/>
          <w:u w:val="single"/>
        </w:rPr>
        <w:t xml:space="preserve">            </w:t>
      </w:r>
    </w:p>
    <w:p w14:paraId="4E62852E">
      <w:pPr>
        <w:spacing w:line="400" w:lineRule="exact"/>
        <w:rPr>
          <w:rFonts w:hint="eastAsia"/>
          <w:color w:val="auto"/>
          <w:highlight w:val="none"/>
          <w:u w:val="single"/>
        </w:rPr>
      </w:pPr>
      <w:r>
        <w:rPr>
          <w:rFonts w:hint="eastAsia"/>
          <w:color w:val="auto"/>
          <w:highlight w:val="none"/>
        </w:rPr>
        <w:t>所在部门职务：</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1E5387A7">
      <w:pPr>
        <w:spacing w:line="400" w:lineRule="exact"/>
        <w:rPr>
          <w:rFonts w:hint="eastAsia"/>
          <w:color w:val="auto"/>
          <w:highlight w:val="none"/>
        </w:rPr>
      </w:pPr>
      <w:r>
        <w:rPr>
          <w:rFonts w:hint="eastAsia"/>
          <w:color w:val="auto"/>
          <w:highlight w:val="none"/>
        </w:rPr>
        <w:t>被授权人身份证号码：</w:t>
      </w:r>
      <w:r>
        <w:rPr>
          <w:rFonts w:hint="eastAsia"/>
          <w:color w:val="auto"/>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6BFF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14:paraId="058DBBEB">
            <w:pPr>
              <w:spacing w:line="400" w:lineRule="exact"/>
              <w:rPr>
                <w:rFonts w:hint="eastAsia"/>
                <w:color w:val="auto"/>
                <w:highlight w:val="none"/>
              </w:rPr>
            </w:pPr>
            <w:r>
              <w:rPr>
                <w:rFonts w:hint="eastAsia"/>
                <w:color w:val="auto"/>
                <w:highlight w:val="none"/>
              </w:rPr>
              <w:t>贴附“委托代理人有效身份证复印件”（正反两面）</w:t>
            </w:r>
          </w:p>
        </w:tc>
      </w:tr>
    </w:tbl>
    <w:p w14:paraId="57594BE8">
      <w:pP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p>
    <w:p w14:paraId="3CED5C93">
      <w:pPr>
        <w:spacing w:line="400" w:lineRule="exact"/>
        <w:rPr>
          <w:rFonts w:hint="eastAsia"/>
          <w:color w:val="auto"/>
          <w:highlight w:val="none"/>
        </w:rPr>
      </w:pPr>
      <w:r>
        <w:rPr>
          <w:rFonts w:hint="eastAsia"/>
          <w:color w:val="auto"/>
          <w:highlight w:val="none"/>
        </w:rPr>
        <w:t xml:space="preserve">                                                                   年    月    日</w:t>
      </w:r>
    </w:p>
    <w:p w14:paraId="4F096077">
      <w:pPr>
        <w:snapToGrid w:val="0"/>
        <w:spacing w:before="50" w:after="156" w:afterLines="50" w:line="40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3</w:t>
      </w:r>
      <w:r>
        <w:rPr>
          <w:rFonts w:hint="eastAsia" w:ascii="宋体"/>
          <w:color w:val="auto"/>
          <w:szCs w:val="21"/>
          <w:highlight w:val="none"/>
        </w:rPr>
        <w:t>）法定代表人（负责人）身份证明书</w:t>
      </w:r>
    </w:p>
    <w:p w14:paraId="3A077041">
      <w:pPr>
        <w:spacing w:before="312" w:beforeLines="100" w:after="156" w:afterLines="50" w:line="400" w:lineRule="exact"/>
        <w:ind w:left="540"/>
        <w:jc w:val="center"/>
        <w:rPr>
          <w:rFonts w:hint="eastAsia" w:ascii="黑体" w:eastAsia="黑体"/>
          <w:color w:val="auto"/>
          <w:sz w:val="28"/>
          <w:szCs w:val="28"/>
          <w:highlight w:val="none"/>
        </w:rPr>
      </w:pPr>
      <w:r>
        <w:rPr>
          <w:rFonts w:hint="eastAsia" w:ascii="宋体"/>
          <w:b/>
          <w:color w:val="auto"/>
          <w:sz w:val="32"/>
          <w:szCs w:val="32"/>
          <w:highlight w:val="none"/>
        </w:rPr>
        <w:t>法定代表人（负责人）身份证明书</w:t>
      </w:r>
    </w:p>
    <w:p w14:paraId="033BCE58">
      <w:pPr>
        <w:spacing w:line="400" w:lineRule="exact"/>
        <w:ind w:left="540"/>
        <w:rPr>
          <w:rFonts w:hint="eastAsia" w:ascii="宋体"/>
          <w:color w:val="auto"/>
          <w:sz w:val="24"/>
          <w:highlight w:val="none"/>
        </w:rPr>
      </w:pPr>
      <w:r>
        <w:rPr>
          <w:rFonts w:hint="eastAsia" w:ascii="宋体"/>
          <w:color w:val="auto"/>
          <w:sz w:val="24"/>
          <w:highlight w:val="none"/>
        </w:rPr>
        <w:t>投 标 人：</w:t>
      </w:r>
      <w:r>
        <w:rPr>
          <w:rFonts w:hint="eastAsia" w:ascii="宋体"/>
          <w:color w:val="auto"/>
          <w:sz w:val="24"/>
          <w:highlight w:val="none"/>
          <w:u w:val="single"/>
        </w:rPr>
        <w:t xml:space="preserve">                                                        </w:t>
      </w:r>
    </w:p>
    <w:p w14:paraId="0C3F5C44">
      <w:pPr>
        <w:spacing w:line="400" w:lineRule="exact"/>
        <w:ind w:left="540"/>
        <w:rPr>
          <w:rFonts w:hint="eastAsia"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798A4D44">
      <w:pPr>
        <w:spacing w:line="400" w:lineRule="exact"/>
        <w:ind w:left="54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0CA7A0BD">
      <w:pPr>
        <w:spacing w:line="400" w:lineRule="exact"/>
        <w:ind w:left="54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695870C">
      <w:pPr>
        <w:spacing w:line="400" w:lineRule="exact"/>
        <w:ind w:left="54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65CBE0DA">
      <w:pPr>
        <w:spacing w:line="400" w:lineRule="exact"/>
        <w:ind w:left="540"/>
        <w:rPr>
          <w:rFonts w:hint="eastAsia" w:ascii="宋体"/>
          <w:color w:val="auto"/>
          <w:sz w:val="24"/>
          <w:highlight w:val="none"/>
        </w:rPr>
      </w:pPr>
      <w:r>
        <w:rPr>
          <w:rFonts w:hint="eastAsia" w:ascii="宋体"/>
          <w:color w:val="auto"/>
          <w:sz w:val="24"/>
          <w:highlight w:val="none"/>
        </w:rPr>
        <w:t>姓    名：</w:t>
      </w:r>
      <w:r>
        <w:rPr>
          <w:rFonts w:hint="eastAsia" w:ascii="宋体"/>
          <w:color w:val="auto"/>
          <w:sz w:val="24"/>
          <w:highlight w:val="none"/>
          <w:u w:val="single"/>
        </w:rPr>
        <w:t xml:space="preserve">                          </w:t>
      </w:r>
      <w:r>
        <w:rPr>
          <w:rFonts w:hint="eastAsia" w:ascii="宋体"/>
          <w:color w:val="auto"/>
          <w:sz w:val="24"/>
          <w:highlight w:val="none"/>
        </w:rPr>
        <w:t>性      别：</w:t>
      </w:r>
      <w:r>
        <w:rPr>
          <w:rFonts w:hint="eastAsia" w:ascii="宋体"/>
          <w:color w:val="auto"/>
          <w:sz w:val="24"/>
          <w:highlight w:val="none"/>
          <w:u w:val="single"/>
        </w:rPr>
        <w:t xml:space="preserve">                </w:t>
      </w:r>
    </w:p>
    <w:p w14:paraId="5ABDC0F3">
      <w:pPr>
        <w:spacing w:line="400" w:lineRule="exact"/>
        <w:ind w:left="540"/>
        <w:rPr>
          <w:rFonts w:hint="eastAsia" w:ascii="宋体"/>
          <w:color w:val="auto"/>
          <w:sz w:val="24"/>
          <w:highlight w:val="none"/>
          <w:u w:val="single"/>
        </w:rPr>
      </w:pPr>
      <w:r>
        <w:rPr>
          <w:rFonts w:hint="eastAsia" w:ascii="宋体"/>
          <w:color w:val="auto"/>
          <w:sz w:val="24"/>
          <w:highlight w:val="none"/>
        </w:rPr>
        <w:t>年    龄：</w:t>
      </w:r>
      <w:r>
        <w:rPr>
          <w:rFonts w:hint="eastAsia" w:ascii="宋体"/>
          <w:color w:val="auto"/>
          <w:sz w:val="24"/>
          <w:highlight w:val="none"/>
          <w:u w:val="single"/>
        </w:rPr>
        <w:t xml:space="preserve">                          </w:t>
      </w:r>
      <w:r>
        <w:rPr>
          <w:rFonts w:hint="eastAsia" w:ascii="宋体"/>
          <w:color w:val="auto"/>
          <w:sz w:val="24"/>
          <w:highlight w:val="none"/>
        </w:rPr>
        <w:t>职      务：</w:t>
      </w:r>
      <w:r>
        <w:rPr>
          <w:rFonts w:hint="eastAsia" w:ascii="宋体"/>
          <w:color w:val="auto"/>
          <w:sz w:val="24"/>
          <w:highlight w:val="none"/>
          <w:u w:val="single"/>
        </w:rPr>
        <w:t xml:space="preserve">                </w:t>
      </w:r>
    </w:p>
    <w:p w14:paraId="6B5912CC">
      <w:pPr>
        <w:spacing w:line="400" w:lineRule="exact"/>
        <w:ind w:left="540"/>
        <w:rPr>
          <w:rFonts w:hint="eastAsia" w:ascii="宋体"/>
          <w:color w:val="auto"/>
          <w:sz w:val="24"/>
          <w:highlight w:val="none"/>
        </w:rPr>
      </w:pPr>
      <w:r>
        <w:rPr>
          <w:rFonts w:hint="eastAsia" w:asci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B9BD2D4">
      <w:pPr>
        <w:spacing w:line="400" w:lineRule="exact"/>
        <w:ind w:left="54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（投标人名称）的法定代表人（负责人）。</w:t>
      </w:r>
    </w:p>
    <w:p w14:paraId="1E48589B">
      <w:pPr>
        <w:spacing w:line="400" w:lineRule="exact"/>
        <w:ind w:left="540"/>
        <w:rPr>
          <w:rFonts w:hint="eastAsia" w:ascii="宋体"/>
          <w:color w:val="auto"/>
          <w:sz w:val="24"/>
          <w:highlight w:val="none"/>
        </w:rPr>
      </w:pPr>
      <w:r>
        <w:rPr>
          <w:rFonts w:hint="eastAsia" w:ascii="宋体"/>
          <w:color w:val="auto"/>
          <w:sz w:val="24"/>
          <w:highlight w:val="none"/>
        </w:rPr>
        <w:t>特此证明。</w:t>
      </w:r>
    </w:p>
    <w:p w14:paraId="56309D94">
      <w:pPr>
        <w:spacing w:line="400" w:lineRule="exact"/>
        <w:ind w:left="540"/>
        <w:rPr>
          <w:rFonts w:hint="eastAsia" w:ascii="宋体"/>
          <w:color w:val="auto"/>
          <w:sz w:val="24"/>
          <w:highlight w:val="none"/>
        </w:rPr>
      </w:pPr>
      <w:r>
        <w:rPr>
          <w:rFonts w:hint="eastAsia" w:ascii="宋体"/>
          <w:color w:val="auto"/>
          <w:sz w:val="24"/>
          <w:highlight w:val="none"/>
        </w:rPr>
        <w:t>附件：法定代表人（负责人）有效身份证正反面复印件</w:t>
      </w:r>
    </w:p>
    <w:p w14:paraId="3EAA0AB5">
      <w:pPr>
        <w:wordWrap w:val="0"/>
        <w:spacing w:line="400" w:lineRule="exact"/>
        <w:ind w:left="540"/>
        <w:jc w:val="right"/>
        <w:rPr>
          <w:rFonts w:hint="eastAsia" w:ascii="宋体"/>
          <w:color w:val="auto"/>
          <w:sz w:val="24"/>
          <w:highlight w:val="none"/>
        </w:rPr>
      </w:pPr>
      <w:r>
        <w:rPr>
          <w:rFonts w:hint="eastAsia" w:ascii="宋体"/>
          <w:color w:val="auto"/>
          <w:sz w:val="24"/>
          <w:highlight w:val="none"/>
        </w:rPr>
        <w:t>投标人名称（盖章）</w:t>
      </w:r>
      <w:r>
        <w:rPr>
          <w:rFonts w:hint="eastAsia" w:ascii="宋体"/>
          <w:color w:val="auto"/>
          <w:sz w:val="24"/>
          <w:highlight w:val="none"/>
          <w:u w:val="single"/>
        </w:rPr>
        <w:t xml:space="preserve">                          </w:t>
      </w:r>
    </w:p>
    <w:p w14:paraId="441E6FD5">
      <w:pPr>
        <w:snapToGrid w:val="0"/>
        <w:spacing w:before="156" w:beforeLines="50" w:after="50" w:line="400" w:lineRule="exact"/>
        <w:ind w:left="540"/>
        <w:jc w:val="right"/>
        <w:rPr>
          <w:rFonts w:hint="eastAsia" w:ascii="宋体"/>
          <w:color w:val="auto"/>
          <w:sz w:val="30"/>
          <w:szCs w:val="20"/>
          <w:highlight w:val="none"/>
        </w:rPr>
      </w:pP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7A34D6E">
      <w:pPr>
        <w:snapToGrid w:val="0"/>
        <w:spacing w:line="36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4</w:t>
      </w:r>
      <w:r>
        <w:rPr>
          <w:rFonts w:hint="eastAsia" w:ascii="宋体"/>
          <w:color w:val="auto"/>
          <w:szCs w:val="21"/>
          <w:highlight w:val="none"/>
        </w:rPr>
        <w:t>）商务响应表格式：</w:t>
      </w:r>
      <w:bookmarkEnd w:id="94"/>
      <w:bookmarkEnd w:id="95"/>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2D833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5DBFD109">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857E1CD">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23FD230">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166B9873">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投标人的承诺或说明</w:t>
            </w:r>
          </w:p>
        </w:tc>
      </w:tr>
      <w:tr w14:paraId="5250E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6481276">
            <w:pPr>
              <w:tabs>
                <w:tab w:val="left" w:pos="180"/>
                <w:tab w:val="left" w:pos="1620"/>
              </w:tabs>
              <w:spacing w:line="400" w:lineRule="exact"/>
              <w:jc w:val="center"/>
              <w:rPr>
                <w:rFonts w:hint="eastAsia"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A451897">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C334570">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BE698F9">
            <w:pPr>
              <w:rPr>
                <w:rFonts w:hint="eastAsia"/>
                <w:color w:val="auto"/>
                <w:highlight w:val="none"/>
              </w:rPr>
            </w:pPr>
          </w:p>
        </w:tc>
      </w:tr>
      <w:tr w14:paraId="0766E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60040B5">
            <w:pPr>
              <w:tabs>
                <w:tab w:val="left" w:pos="180"/>
                <w:tab w:val="left" w:pos="1620"/>
              </w:tabs>
              <w:spacing w:line="400" w:lineRule="exact"/>
              <w:jc w:val="center"/>
              <w:rPr>
                <w:rFonts w:hint="eastAsia"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565CD15">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1532E1">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F83E07C">
            <w:pPr>
              <w:rPr>
                <w:rFonts w:hint="eastAsia"/>
                <w:color w:val="auto"/>
                <w:highlight w:val="none"/>
              </w:rPr>
            </w:pPr>
          </w:p>
        </w:tc>
      </w:tr>
      <w:tr w14:paraId="4702C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AF991F2">
            <w:pPr>
              <w:spacing w:line="400" w:lineRule="exact"/>
              <w:jc w:val="center"/>
              <w:rPr>
                <w:rFonts w:hint="eastAsia" w:ascii="新宋体" w:eastAsia="新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D8C5551">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8B4C65E">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E277AB1">
            <w:pPr>
              <w:rPr>
                <w:rFonts w:hint="eastAsia"/>
                <w:color w:val="auto"/>
                <w:highlight w:val="none"/>
              </w:rPr>
            </w:pPr>
          </w:p>
        </w:tc>
      </w:tr>
      <w:tr w14:paraId="6DC7F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3F69E79">
            <w:pPr>
              <w:spacing w:line="400" w:lineRule="exact"/>
              <w:jc w:val="center"/>
              <w:rPr>
                <w:rFonts w:hint="eastAsia" w:ascii="新宋体" w:eastAsia="新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058FAB1">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A1C2A9">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4FBD807">
            <w:pPr>
              <w:rPr>
                <w:rFonts w:hint="eastAsia"/>
                <w:color w:val="auto"/>
                <w:highlight w:val="none"/>
              </w:rPr>
            </w:pPr>
          </w:p>
        </w:tc>
      </w:tr>
      <w:tr w14:paraId="2F3BD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51E205D">
            <w:pPr>
              <w:tabs>
                <w:tab w:val="left" w:pos="180"/>
                <w:tab w:val="left" w:pos="1620"/>
              </w:tabs>
              <w:spacing w:line="400" w:lineRule="exact"/>
              <w:jc w:val="center"/>
              <w:rPr>
                <w:rFonts w:hint="eastAsia" w:ascii="宋体" w:hAnsi="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D1B3581">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4A85F9">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E83A145">
            <w:pPr>
              <w:rPr>
                <w:rFonts w:hint="eastAsia"/>
                <w:color w:val="auto"/>
                <w:highlight w:val="none"/>
              </w:rPr>
            </w:pPr>
          </w:p>
        </w:tc>
      </w:tr>
      <w:tr w14:paraId="274C6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14:paraId="7FC12447">
            <w:pPr>
              <w:jc w:val="center"/>
              <w:rPr>
                <w:rFonts w:hint="eastAsia"/>
                <w:color w:val="auto"/>
                <w:highlight w:val="none"/>
              </w:rPr>
            </w:pPr>
            <w:r>
              <w:rPr>
                <w:rFonts w:hint="eastAsia"/>
                <w:color w:val="auto"/>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A2A5E14">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13BFE8">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46BB5AF">
            <w:pPr>
              <w:rPr>
                <w:rFonts w:hint="eastAsia"/>
                <w:color w:val="auto"/>
                <w:highlight w:val="none"/>
              </w:rPr>
            </w:pPr>
          </w:p>
        </w:tc>
      </w:tr>
    </w:tbl>
    <w:p w14:paraId="2BAC8900">
      <w:pPr>
        <w:snapToGrid w:val="0"/>
        <w:spacing w:before="50" w:after="50" w:line="360" w:lineRule="exact"/>
        <w:ind w:firstLine="210" w:firstLineChars="100"/>
        <w:rPr>
          <w:rFonts w:hint="eastAsia" w:ascii="宋体"/>
          <w:color w:val="auto"/>
          <w:szCs w:val="21"/>
          <w:highlight w:val="none"/>
        </w:rPr>
      </w:pPr>
    </w:p>
    <w:p w14:paraId="718895F4">
      <w:pPr>
        <w:snapToGrid w:val="0"/>
        <w:spacing w:before="50" w:after="50" w:line="360" w:lineRule="exact"/>
        <w:ind w:firstLine="210" w:firstLineChars="100"/>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47B4EC26">
      <w:pPr>
        <w:snapToGrid w:val="0"/>
        <w:spacing w:before="50" w:after="50" w:line="360" w:lineRule="exact"/>
        <w:ind w:firstLine="210" w:firstLineChars="100"/>
        <w:rPr>
          <w:rFonts w:hint="eastAsia" w:ascii="宋体"/>
          <w:b/>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r>
        <w:rPr>
          <w:rFonts w:hint="eastAsia" w:ascii="宋体"/>
          <w:color w:val="auto"/>
          <w:spacing w:val="20"/>
          <w:szCs w:val="21"/>
          <w:highlight w:val="none"/>
        </w:rPr>
        <w:t xml:space="preserve">                 日 期：</w:t>
      </w:r>
      <w:r>
        <w:rPr>
          <w:rFonts w:hint="eastAsia" w:ascii="宋体"/>
          <w:color w:val="auto"/>
          <w:spacing w:val="20"/>
          <w:szCs w:val="21"/>
          <w:highlight w:val="none"/>
          <w:u w:val="single"/>
        </w:rPr>
        <w:t xml:space="preserve">          </w:t>
      </w:r>
    </w:p>
    <w:p w14:paraId="43C52D75">
      <w:pPr>
        <w:spacing w:line="360" w:lineRule="exact"/>
        <w:rPr>
          <w:rFonts w:hint="eastAsia"/>
          <w:color w:val="auto"/>
          <w:highlight w:val="none"/>
        </w:rPr>
      </w:pPr>
    </w:p>
    <w:p w14:paraId="784D6F0F">
      <w:pPr>
        <w:spacing w:line="360" w:lineRule="exact"/>
        <w:rPr>
          <w:rFonts w:hint="eastAsia"/>
          <w:color w:val="auto"/>
          <w:highlight w:val="none"/>
        </w:rPr>
      </w:pPr>
    </w:p>
    <w:p w14:paraId="499F66C4">
      <w:pPr>
        <w:spacing w:line="36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）招标项目采购需求中要求必须提供的材料等（招标项目采购需求中要求必须提供的材料，据实提供）</w:t>
      </w:r>
    </w:p>
    <w:p w14:paraId="5185A341">
      <w:pPr>
        <w:rPr>
          <w:rFonts w:hint="eastAsia"/>
          <w:color w:val="auto"/>
          <w:highlight w:val="none"/>
        </w:rPr>
      </w:pPr>
    </w:p>
    <w:p w14:paraId="14D8A703">
      <w:pPr>
        <w:rPr>
          <w:rFonts w:hint="eastAsia"/>
          <w:color w:val="auto"/>
          <w:highlight w:val="none"/>
        </w:rPr>
      </w:pPr>
    </w:p>
    <w:p w14:paraId="3403E857">
      <w:pPr>
        <w:rPr>
          <w:rFonts w:hint="eastAsia"/>
          <w:color w:val="auto"/>
          <w:highlight w:val="none"/>
        </w:rPr>
      </w:pPr>
      <w:r>
        <w:rPr>
          <w:rFonts w:hint="eastAsia"/>
          <w:color w:val="auto"/>
          <w:highlight w:val="none"/>
        </w:rPr>
        <w:t xml:space="preserve">    （</w:t>
      </w:r>
      <w:r>
        <w:rPr>
          <w:rFonts w:hint="eastAsia"/>
          <w:color w:val="auto"/>
          <w:highlight w:val="none"/>
          <w:lang w:val="en-US" w:eastAsia="zh-CN"/>
        </w:rPr>
        <w:t>6</w:t>
      </w:r>
      <w:r>
        <w:rPr>
          <w:rFonts w:hint="eastAsia"/>
          <w:color w:val="auto"/>
          <w:highlight w:val="none"/>
        </w:rPr>
        <w:t>）具备法律、行政法规规定的其他条件的证明材料（格式自拟）</w:t>
      </w:r>
    </w:p>
    <w:p w14:paraId="70B13F1C">
      <w:pPr>
        <w:rPr>
          <w:rFonts w:hint="eastAsia"/>
          <w:color w:val="auto"/>
          <w:highlight w:val="none"/>
        </w:rPr>
      </w:pPr>
    </w:p>
    <w:p w14:paraId="149A9CD1">
      <w:pPr>
        <w:rPr>
          <w:rFonts w:hint="eastAsia"/>
          <w:color w:val="auto"/>
          <w:highlight w:val="none"/>
        </w:rPr>
      </w:pPr>
    </w:p>
    <w:p w14:paraId="4C0654DD">
      <w:pPr>
        <w:spacing w:line="360" w:lineRule="exact"/>
        <w:rPr>
          <w:color w:val="auto"/>
          <w:highlight w:val="none"/>
        </w:rPr>
      </w:pPr>
      <w:r>
        <w:rPr>
          <w:rFonts w:hint="eastAsia"/>
          <w:color w:val="auto"/>
          <w:highlight w:val="none"/>
        </w:rPr>
        <w:t xml:space="preserve">    </w:t>
      </w:r>
    </w:p>
    <w:p w14:paraId="5CDCB01A">
      <w:pPr>
        <w:spacing w:line="360" w:lineRule="exact"/>
        <w:rPr>
          <w:rFonts w:hint="eastAsia" w:ascii="宋体"/>
          <w:color w:val="auto"/>
          <w:szCs w:val="21"/>
          <w:highlight w:val="none"/>
        </w:rPr>
      </w:pPr>
      <w:r>
        <w:rPr>
          <w:color w:val="auto"/>
          <w:highlight w:val="none"/>
        </w:rPr>
        <w:br w:type="page"/>
      </w:r>
      <w:r>
        <w:rPr>
          <w:rFonts w:hint="eastAsia"/>
          <w:color w:val="auto"/>
          <w:highlight w:val="none"/>
        </w:rPr>
        <w:t>（</w:t>
      </w:r>
      <w:r>
        <w:rPr>
          <w:rFonts w:hint="eastAsia"/>
          <w:color w:val="auto"/>
          <w:highlight w:val="none"/>
          <w:lang w:val="en-US" w:eastAsia="zh-CN"/>
        </w:rPr>
        <w:t>7</w:t>
      </w:r>
      <w:r>
        <w:rPr>
          <w:rFonts w:hint="eastAsia"/>
          <w:color w:val="auto"/>
          <w:highlight w:val="none"/>
        </w:rPr>
        <w:t>）</w:t>
      </w:r>
      <w:r>
        <w:rPr>
          <w:rFonts w:hint="eastAsia" w:ascii="宋体"/>
          <w:color w:val="auto"/>
          <w:szCs w:val="21"/>
          <w:highlight w:val="none"/>
        </w:rPr>
        <w:t>类似成功案例的业绩（投标人同类项目实施情况一览表、合同扫描件等，格式可自行调整）；</w:t>
      </w:r>
    </w:p>
    <w:p w14:paraId="47577B66">
      <w:pPr>
        <w:spacing w:line="360" w:lineRule="exact"/>
        <w:rPr>
          <w:rFonts w:hint="eastAsia"/>
          <w:color w:val="auto"/>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64310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7FAC49B0">
            <w:pPr>
              <w:snapToGrid w:val="0"/>
              <w:spacing w:line="360" w:lineRule="exact"/>
              <w:jc w:val="center"/>
              <w:rPr>
                <w:rFonts w:hint="eastAsia" w:ascii="宋体"/>
                <w:color w:val="auto"/>
                <w:szCs w:val="21"/>
                <w:highlight w:val="none"/>
              </w:rPr>
            </w:pPr>
            <w:r>
              <w:rPr>
                <w:rFonts w:hint="eastAsia" w:ascii="宋体"/>
                <w:color w:val="auto"/>
                <w:szCs w:val="21"/>
                <w:highlight w:val="none"/>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4BFDAA0">
            <w:pPr>
              <w:snapToGrid w:val="0"/>
              <w:spacing w:line="360" w:lineRule="exact"/>
              <w:jc w:val="center"/>
              <w:rPr>
                <w:rFonts w:hint="eastAsia" w:ascii="宋体"/>
                <w:color w:val="auto"/>
                <w:szCs w:val="21"/>
                <w:highlight w:val="none"/>
              </w:rPr>
            </w:pPr>
            <w:r>
              <w:rPr>
                <w:rFonts w:hint="eastAsia" w:ascii="宋体"/>
                <w:color w:val="auto"/>
                <w:szCs w:val="21"/>
                <w:highlight w:val="none"/>
              </w:rPr>
              <w:t>采购单位名称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912C43">
            <w:pPr>
              <w:snapToGrid w:val="0"/>
              <w:spacing w:line="360" w:lineRule="exact"/>
              <w:jc w:val="center"/>
              <w:rPr>
                <w:rFonts w:hint="eastAsia" w:ascii="宋体"/>
                <w:color w:val="auto"/>
                <w:szCs w:val="21"/>
                <w:highlight w:val="none"/>
              </w:rPr>
            </w:pPr>
            <w:r>
              <w:rPr>
                <w:rFonts w:hint="eastAsia" w:ascii="宋体"/>
                <w:color w:val="auto"/>
                <w:szCs w:val="21"/>
                <w:highlight w:val="none"/>
              </w:rPr>
              <w:t>服务或项目名称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C5404D">
            <w:pPr>
              <w:snapToGrid w:val="0"/>
              <w:spacing w:line="360" w:lineRule="exact"/>
              <w:jc w:val="center"/>
              <w:rPr>
                <w:rFonts w:hint="eastAsia" w:ascii="宋体"/>
                <w:color w:val="auto"/>
                <w:szCs w:val="21"/>
                <w:highlight w:val="none"/>
              </w:rPr>
            </w:pPr>
            <w:r>
              <w:rPr>
                <w:rFonts w:hint="eastAsia" w:ascii="宋体"/>
                <w:color w:val="auto"/>
                <w:szCs w:val="21"/>
                <w:highlight w:val="none"/>
              </w:rPr>
              <w:t>采购数量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6C0437A">
            <w:pPr>
              <w:snapToGrid w:val="0"/>
              <w:spacing w:line="360" w:lineRule="exact"/>
              <w:jc w:val="center"/>
              <w:rPr>
                <w:rFonts w:hint="eastAsia" w:ascii="宋体"/>
                <w:color w:val="auto"/>
                <w:szCs w:val="21"/>
                <w:highlight w:val="none"/>
              </w:rPr>
            </w:pPr>
            <w:r>
              <w:rPr>
                <w:rFonts w:hint="eastAsia" w:ascii="宋体"/>
                <w:color w:val="auto"/>
                <w:szCs w:val="21"/>
                <w:highlight w:val="none"/>
              </w:rPr>
              <w:t>合同金额</w:t>
            </w:r>
          </w:p>
        </w:tc>
        <w:tc>
          <w:tcPr>
            <w:tcW w:w="1806" w:type="dxa"/>
            <w:tcBorders>
              <w:top w:val="single" w:color="auto" w:sz="4" w:space="0"/>
              <w:left w:val="single" w:color="auto" w:sz="4" w:space="0"/>
              <w:right w:val="single" w:color="auto" w:sz="4" w:space="0"/>
            </w:tcBorders>
            <w:noWrap w:val="0"/>
            <w:vAlign w:val="center"/>
          </w:tcPr>
          <w:p w14:paraId="2E7469F0">
            <w:pPr>
              <w:snapToGrid w:val="0"/>
              <w:spacing w:line="360" w:lineRule="exact"/>
              <w:jc w:val="center"/>
              <w:rPr>
                <w:rFonts w:hint="eastAsia" w:ascii="宋体"/>
                <w:color w:val="auto"/>
                <w:szCs w:val="21"/>
                <w:highlight w:val="none"/>
              </w:rPr>
            </w:pPr>
            <w:r>
              <w:rPr>
                <w:rFonts w:hint="eastAsia" w:ascii="宋体"/>
                <w:color w:val="auto"/>
                <w:szCs w:val="21"/>
                <w:highlight w:val="none"/>
              </w:rPr>
              <w:t>采购单位联系人及联系电话</w:t>
            </w:r>
          </w:p>
        </w:tc>
      </w:tr>
      <w:tr w14:paraId="302DE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7ABC85BE">
            <w:pPr>
              <w:snapToGrid w:val="0"/>
              <w:spacing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6ABDCF2D">
            <w:pPr>
              <w:snapToGrid w:val="0"/>
              <w:spacing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ECF4957">
            <w:pPr>
              <w:snapToGrid w:val="0"/>
              <w:spacing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64A07D5">
            <w:pPr>
              <w:snapToGrid w:val="0"/>
              <w:spacing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27793E1">
            <w:pPr>
              <w:snapToGrid w:val="0"/>
              <w:spacing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6EF944C5">
            <w:pPr>
              <w:snapToGrid w:val="0"/>
              <w:spacing w:line="360" w:lineRule="exact"/>
              <w:jc w:val="left"/>
              <w:rPr>
                <w:rFonts w:hint="eastAsia" w:ascii="宋体"/>
                <w:color w:val="auto"/>
                <w:szCs w:val="21"/>
                <w:highlight w:val="none"/>
              </w:rPr>
            </w:pPr>
          </w:p>
        </w:tc>
      </w:tr>
      <w:tr w14:paraId="1749A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08A353E1">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553CEFB">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B5086C9">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FD61353">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752990F">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199C9F51">
            <w:pPr>
              <w:snapToGrid w:val="0"/>
              <w:spacing w:before="50" w:after="156" w:afterLines="50" w:line="360" w:lineRule="exact"/>
              <w:jc w:val="left"/>
              <w:rPr>
                <w:rFonts w:hint="eastAsia" w:ascii="宋体"/>
                <w:color w:val="auto"/>
                <w:szCs w:val="21"/>
                <w:highlight w:val="none"/>
              </w:rPr>
            </w:pPr>
          </w:p>
        </w:tc>
      </w:tr>
      <w:tr w14:paraId="01395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278F88B8">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24F61A2">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894DFFA">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AC5D87F">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6DA9C76">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2EB780FF">
            <w:pPr>
              <w:snapToGrid w:val="0"/>
              <w:spacing w:before="50" w:after="156" w:afterLines="50" w:line="360" w:lineRule="exact"/>
              <w:jc w:val="left"/>
              <w:rPr>
                <w:rFonts w:hint="eastAsia" w:ascii="宋体"/>
                <w:color w:val="auto"/>
                <w:szCs w:val="21"/>
                <w:highlight w:val="none"/>
              </w:rPr>
            </w:pPr>
          </w:p>
        </w:tc>
      </w:tr>
      <w:tr w14:paraId="48096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10B29184">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E9D7F70">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A7B73B3">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E81F2E">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E1A2549">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8E9ED9E">
            <w:pPr>
              <w:snapToGrid w:val="0"/>
              <w:spacing w:before="50" w:after="156" w:afterLines="50" w:line="360" w:lineRule="exact"/>
              <w:jc w:val="left"/>
              <w:rPr>
                <w:rFonts w:hint="eastAsia" w:ascii="宋体"/>
                <w:color w:val="auto"/>
                <w:szCs w:val="21"/>
                <w:highlight w:val="none"/>
              </w:rPr>
            </w:pPr>
          </w:p>
        </w:tc>
      </w:tr>
      <w:tr w14:paraId="05C9D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5713B685">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0DA1344">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753FA6F">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D991A0A">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ED3CD0A">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735D5D91">
            <w:pPr>
              <w:snapToGrid w:val="0"/>
              <w:spacing w:before="50" w:after="156" w:afterLines="50" w:line="360" w:lineRule="exact"/>
              <w:jc w:val="left"/>
              <w:rPr>
                <w:rFonts w:hint="eastAsia" w:ascii="宋体"/>
                <w:color w:val="auto"/>
                <w:szCs w:val="21"/>
                <w:highlight w:val="none"/>
              </w:rPr>
            </w:pPr>
          </w:p>
        </w:tc>
      </w:tr>
    </w:tbl>
    <w:p w14:paraId="1E8EFF50">
      <w:pPr>
        <w:pStyle w:val="15"/>
        <w:snapToGrid w:val="0"/>
        <w:spacing w:line="360" w:lineRule="exact"/>
        <w:rPr>
          <w:rFonts w:hint="eastAsia" w:ascii="宋体" w:eastAsia="宋体"/>
          <w:color w:val="auto"/>
          <w:sz w:val="21"/>
          <w:szCs w:val="21"/>
          <w:highlight w:val="none"/>
        </w:rPr>
      </w:pPr>
    </w:p>
    <w:p w14:paraId="758B6129">
      <w:pPr>
        <w:pStyle w:val="15"/>
        <w:snapToGrid w:val="0"/>
        <w:spacing w:line="360" w:lineRule="exact"/>
        <w:rPr>
          <w:rFonts w:hint="eastAsia" w:ascii="宋体" w:eastAsia="宋体"/>
          <w:color w:val="auto"/>
          <w:sz w:val="21"/>
          <w:szCs w:val="21"/>
          <w:highlight w:val="none"/>
          <w:u w:val="single"/>
        </w:rPr>
      </w:pPr>
      <w:r>
        <w:rPr>
          <w:rFonts w:hint="eastAsia" w:ascii="宋体" w:eastAsia="宋体"/>
          <w:color w:val="auto"/>
          <w:sz w:val="21"/>
          <w:szCs w:val="21"/>
          <w:highlight w:val="none"/>
        </w:rPr>
        <w:t xml:space="preserve">  法定代表人(负责人)签字或盖章：</w:t>
      </w:r>
      <w:r>
        <w:rPr>
          <w:rFonts w:hint="eastAsia" w:ascii="宋体" w:eastAsia="宋体"/>
          <w:color w:val="auto"/>
          <w:sz w:val="21"/>
          <w:szCs w:val="21"/>
          <w:highlight w:val="none"/>
          <w:u w:val="single"/>
        </w:rPr>
        <w:t>　　　    　　</w:t>
      </w:r>
    </w:p>
    <w:p w14:paraId="09BE800E">
      <w:pPr>
        <w:snapToGrid w:val="0"/>
        <w:spacing w:before="50" w:line="36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zCs w:val="21"/>
          <w:highlight w:val="none"/>
        </w:rPr>
        <w:t>：</w:t>
      </w:r>
      <w:r>
        <w:rPr>
          <w:rFonts w:hint="eastAsia" w:ascii="宋体"/>
          <w:color w:val="auto"/>
          <w:szCs w:val="21"/>
          <w:highlight w:val="none"/>
          <w:u w:val="single"/>
        </w:rPr>
        <w:t xml:space="preserve">                 </w:t>
      </w:r>
      <w:r>
        <w:rPr>
          <w:rFonts w:hint="eastAsia" w:ascii="宋体"/>
          <w:color w:val="auto"/>
          <w:szCs w:val="21"/>
          <w:highlight w:val="none"/>
        </w:rPr>
        <w:t xml:space="preserve">                                     年    月  日</w:t>
      </w:r>
    </w:p>
    <w:p w14:paraId="4F6E490C">
      <w:pPr>
        <w:rPr>
          <w:rFonts w:hint="eastAsia"/>
          <w:color w:val="auto"/>
          <w:highlight w:val="none"/>
        </w:rPr>
      </w:pPr>
    </w:p>
    <w:p w14:paraId="4C5C1EDD">
      <w:pPr>
        <w:rPr>
          <w:rFonts w:hint="eastAsia"/>
          <w:color w:val="auto"/>
          <w:highlight w:val="none"/>
        </w:rPr>
      </w:pPr>
    </w:p>
    <w:p w14:paraId="7746E08E">
      <w:pPr>
        <w:spacing w:line="300" w:lineRule="exact"/>
        <w:ind w:firstLine="42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）其他特殊资质证书；</w:t>
      </w:r>
    </w:p>
    <w:p w14:paraId="00A2975D">
      <w:pPr>
        <w:spacing w:line="300" w:lineRule="exact"/>
        <w:ind w:firstLine="420"/>
        <w:rPr>
          <w:rFonts w:hint="eastAsia" w:ascii="宋体" w:hAnsi="宋体"/>
          <w:color w:val="auto"/>
          <w:highlight w:val="none"/>
        </w:rPr>
      </w:pPr>
    </w:p>
    <w:p w14:paraId="3180F81F">
      <w:pPr>
        <w:spacing w:line="300" w:lineRule="exact"/>
        <w:rPr>
          <w:rFonts w:hint="eastAsia" w:ascii="宋体" w:hAnsi="宋体"/>
          <w:color w:val="auto"/>
          <w:highlight w:val="none"/>
        </w:rPr>
      </w:pPr>
    </w:p>
    <w:p w14:paraId="4041D0EF">
      <w:pPr>
        <w:spacing w:line="300" w:lineRule="exact"/>
        <w:ind w:firstLine="405"/>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9</w:t>
      </w:r>
      <w:r>
        <w:rPr>
          <w:rFonts w:hint="eastAsia" w:ascii="宋体" w:hAnsi="宋体"/>
          <w:color w:val="auto"/>
          <w:highlight w:val="none"/>
        </w:rPr>
        <w:t>）投标人质量管理和质量保证体系等方面的认证证书</w:t>
      </w:r>
    </w:p>
    <w:p w14:paraId="7D27E0EC">
      <w:pPr>
        <w:spacing w:line="300" w:lineRule="exact"/>
        <w:ind w:firstLine="405"/>
        <w:rPr>
          <w:rFonts w:hint="eastAsia" w:ascii="宋体" w:hAnsi="宋体"/>
          <w:color w:val="auto"/>
          <w:highlight w:val="none"/>
        </w:rPr>
      </w:pPr>
    </w:p>
    <w:p w14:paraId="0E523AAF">
      <w:pPr>
        <w:spacing w:line="300" w:lineRule="exact"/>
        <w:rPr>
          <w:rFonts w:hint="eastAsia" w:ascii="宋体" w:hAnsi="宋体"/>
          <w:color w:val="auto"/>
          <w:highlight w:val="none"/>
        </w:rPr>
      </w:pPr>
    </w:p>
    <w:p w14:paraId="1F130207">
      <w:pPr>
        <w:spacing w:line="300" w:lineRule="exact"/>
        <w:ind w:firstLine="405"/>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）投标人认为可以证明其能力或业绩的其他材料（格式自拟）</w:t>
      </w:r>
    </w:p>
    <w:p w14:paraId="13F8A2E8">
      <w:pPr>
        <w:spacing w:line="300" w:lineRule="exact"/>
        <w:ind w:firstLine="405"/>
        <w:rPr>
          <w:rFonts w:hint="eastAsia" w:ascii="宋体" w:hAnsi="宋体"/>
          <w:color w:val="auto"/>
          <w:highlight w:val="none"/>
        </w:rPr>
      </w:pPr>
    </w:p>
    <w:p w14:paraId="5FF0FE50">
      <w:pPr>
        <w:spacing w:line="300" w:lineRule="exact"/>
        <w:rPr>
          <w:rFonts w:hint="eastAsia" w:ascii="宋体" w:hAnsi="宋体"/>
          <w:color w:val="auto"/>
          <w:highlight w:val="none"/>
        </w:rPr>
      </w:pPr>
    </w:p>
    <w:p w14:paraId="1BEC2C7F">
      <w:pPr>
        <w:spacing w:line="300" w:lineRule="exact"/>
        <w:ind w:firstLine="435"/>
        <w:rPr>
          <w:rFonts w:hint="eastAsia" w:ascii="宋体" w:hAnsi="宋体"/>
          <w:color w:val="auto"/>
          <w:szCs w:val="21"/>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w:t>
      </w:r>
      <w:r>
        <w:rPr>
          <w:rFonts w:hint="eastAsia" w:ascii="宋体" w:hAnsi="宋体"/>
          <w:color w:val="auto"/>
          <w:szCs w:val="21"/>
          <w:highlight w:val="none"/>
        </w:rPr>
        <w:t>投标人关于服务升级以及本单位债务纠纷、违法违规记录等方面的情况（内容见投标声明书）</w:t>
      </w:r>
    </w:p>
    <w:p w14:paraId="462D1036">
      <w:pPr>
        <w:spacing w:line="300" w:lineRule="exact"/>
        <w:ind w:firstLine="435"/>
        <w:rPr>
          <w:rFonts w:hint="eastAsia" w:ascii="宋体" w:hAnsi="宋体"/>
          <w:color w:val="auto"/>
          <w:highlight w:val="none"/>
        </w:rPr>
      </w:pPr>
    </w:p>
    <w:p w14:paraId="03369933">
      <w:pPr>
        <w:snapToGrid w:val="0"/>
        <w:spacing w:line="300" w:lineRule="exact"/>
        <w:ind w:firstLine="411" w:firstLineChars="196"/>
        <w:jc w:val="left"/>
        <w:rPr>
          <w:rFonts w:hint="eastAsia" w:ascii="宋体" w:hAnsi="宋体"/>
          <w:color w:val="auto"/>
          <w:szCs w:val="21"/>
          <w:highlight w:val="none"/>
        </w:rPr>
      </w:pPr>
    </w:p>
    <w:p w14:paraId="6CDB256C">
      <w:pPr>
        <w:spacing w:line="300" w:lineRule="exact"/>
        <w:ind w:firstLine="435"/>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）投标人情况介绍（主要服务、技术力量、企业规模、经营业绩等，格式自拟）</w:t>
      </w:r>
    </w:p>
    <w:p w14:paraId="40AA5EB1">
      <w:pPr>
        <w:spacing w:line="300" w:lineRule="exact"/>
        <w:ind w:firstLine="435"/>
        <w:rPr>
          <w:rFonts w:hint="eastAsia" w:ascii="宋体" w:hAnsi="宋体"/>
          <w:color w:val="auto"/>
          <w:highlight w:val="none"/>
        </w:rPr>
      </w:pPr>
    </w:p>
    <w:p w14:paraId="4AF523AA">
      <w:pPr>
        <w:spacing w:line="300" w:lineRule="exact"/>
        <w:ind w:firstLine="435"/>
        <w:rPr>
          <w:rFonts w:hint="eastAsia" w:ascii="宋体" w:hAnsi="宋体"/>
          <w:color w:val="auto"/>
          <w:highlight w:val="none"/>
        </w:rPr>
      </w:pPr>
    </w:p>
    <w:p w14:paraId="2ADFFA8B">
      <w:pPr>
        <w:snapToGrid w:val="0"/>
        <w:spacing w:line="300" w:lineRule="exact"/>
        <w:ind w:firstLine="411" w:firstLineChars="196"/>
        <w:jc w:val="left"/>
        <w:rPr>
          <w:rFonts w:hint="eastAsia" w:ascii="宋体" w:hAns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3</w:t>
      </w:r>
      <w:r>
        <w:rPr>
          <w:rFonts w:hint="eastAsia" w:ascii="宋体"/>
          <w:color w:val="auto"/>
          <w:szCs w:val="21"/>
          <w:highlight w:val="none"/>
        </w:rPr>
        <w:t>）投标人认为需要提供的其他材料。</w:t>
      </w:r>
    </w:p>
    <w:p w14:paraId="59427F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eastAsia="zh-CN"/>
        </w:rPr>
      </w:pPr>
      <w:r>
        <w:rPr>
          <w:rFonts w:ascii="宋体" w:hAnsi="宋体"/>
          <w:color w:val="auto"/>
          <w:szCs w:val="21"/>
          <w:highlight w:val="none"/>
        </w:rPr>
        <w:br w:type="page"/>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本国产品</w:t>
      </w:r>
      <w:r>
        <w:rPr>
          <w:rFonts w:hint="eastAsia" w:ascii="Times New Roman" w:hAnsi="Times New Roman" w:eastAsia="宋体" w:cs="Times New Roman"/>
          <w:color w:val="auto"/>
          <w:highlight w:val="none"/>
        </w:rPr>
        <w:t>适用政府采购政策相关资料</w:t>
      </w:r>
      <w:r>
        <w:rPr>
          <w:rFonts w:hint="eastAsia" w:ascii="Times New Roman" w:hAnsi="Times New Roman" w:eastAsia="宋体" w:cs="Times New Roman"/>
          <w:color w:val="auto"/>
          <w:highlight w:val="none"/>
          <w:lang w:eastAsia="zh-CN"/>
        </w:rPr>
        <w:t>。</w:t>
      </w:r>
    </w:p>
    <w:p w14:paraId="0988B9B4">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关于符合本国产品标准的声明函</w:t>
      </w:r>
    </w:p>
    <w:p w14:paraId="0D4A9F68">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u w:val="single"/>
        </w:rPr>
        <w:t>本项目属于服务采购项目，不适用</w:t>
      </w:r>
      <w:r>
        <w:rPr>
          <w:rFonts w:hint="eastAsia" w:ascii="宋体" w:hAnsi="宋体" w:cs="宋体"/>
          <w:b/>
          <w:bCs/>
          <w:color w:val="auto"/>
          <w:sz w:val="28"/>
          <w:szCs w:val="28"/>
          <w:highlight w:val="none"/>
          <w:u w:val="single"/>
          <w:lang w:val="en-US" w:eastAsia="zh-CN"/>
        </w:rPr>
        <w:t>此内容</w:t>
      </w:r>
      <w:r>
        <w:rPr>
          <w:rFonts w:hint="eastAsia" w:ascii="宋体" w:hAnsi="宋体" w:eastAsia="宋体" w:cs="宋体"/>
          <w:b/>
          <w:bCs/>
          <w:color w:val="auto"/>
          <w:sz w:val="28"/>
          <w:szCs w:val="28"/>
          <w:highlight w:val="none"/>
          <w:lang w:eastAsia="zh-CN"/>
        </w:rPr>
        <w:t>）</w:t>
      </w:r>
    </w:p>
    <w:p w14:paraId="5056449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C827F30">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 xml:space="preserve"> （产品名称1）</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 xml:space="preserve">1 </w:t>
      </w:r>
      <w:r>
        <w:rPr>
          <w:rFonts w:hint="eastAsia" w:ascii="宋体" w:hAnsi="宋体" w:eastAsia="宋体" w:cs="宋体"/>
          <w:color w:val="auto"/>
          <w:kern w:val="0"/>
          <w:sz w:val="21"/>
          <w:szCs w:val="21"/>
          <w:highlight w:val="none"/>
          <w:shd w:val="clear" w:color="auto" w:fill="FFFFFF"/>
          <w:lang w:val="en-US" w:eastAsia="zh-CN" w:bidi="ar-SA"/>
        </w:rPr>
        <w:t>，生产厂为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（厂名）</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 xml:space="preserve">2 </w:t>
      </w:r>
      <w:r>
        <w:rPr>
          <w:rFonts w:hint="eastAsia" w:ascii="宋体" w:hAnsi="宋体" w:eastAsia="宋体" w:cs="宋体"/>
          <w:color w:val="auto"/>
          <w:kern w:val="0"/>
          <w:sz w:val="21"/>
          <w:szCs w:val="21"/>
          <w:highlight w:val="none"/>
          <w:shd w:val="clear" w:color="auto" w:fill="FFFFFF"/>
          <w:lang w:val="en-US" w:eastAsia="zh-CN" w:bidi="ar-SA"/>
        </w:rPr>
        <w:t>，厂址为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 xml:space="preserve">（生产厂址） </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 xml:space="preserve">（产品名称1） </w:t>
      </w:r>
      <w:r>
        <w:rPr>
          <w:rFonts w:hint="eastAsia" w:ascii="宋体" w:hAnsi="宋体" w:eastAsia="宋体" w:cs="宋体"/>
          <w:color w:val="auto"/>
          <w:kern w:val="0"/>
          <w:sz w:val="21"/>
          <w:szCs w:val="21"/>
          <w:highlight w:val="none"/>
          <w:shd w:val="clear" w:color="auto" w:fill="FFFFFF"/>
          <w:lang w:val="en-US" w:eastAsia="zh-CN" w:bidi="ar-SA"/>
        </w:rPr>
        <w:t>的中国境内生产的组件成本占比≥</w:t>
      </w:r>
      <w:r>
        <w:rPr>
          <w:rFonts w:hint="eastAsia" w:ascii="宋体" w:hAnsi="宋体" w:eastAsia="宋体" w:cs="宋体"/>
          <w:color w:val="auto"/>
          <w:kern w:val="2"/>
          <w:sz w:val="21"/>
          <w:szCs w:val="21"/>
          <w:highlight w:val="none"/>
          <w:u w:val="single"/>
          <w:shd w:val="clear" w:color="auto" w:fill="FFFFFF"/>
          <w:lang w:val="en-US" w:eastAsia="zh-CN" w:bidi="ar-SA"/>
        </w:rPr>
        <w:t>（规定比例）</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u w:val="single"/>
          <w:shd w:val="clear" w:color="auto" w:fill="FFFFFF"/>
          <w:lang w:val="en-US" w:eastAsia="zh-CN" w:bidi="ar-SA"/>
        </w:rPr>
        <w:t>（产品名称1）</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（关键组件）</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在中国境内生产。</w:t>
      </w:r>
      <w:r>
        <w:rPr>
          <w:rFonts w:hint="eastAsia" w:ascii="宋体" w:hAnsi="宋体" w:eastAsia="宋体" w:cs="宋体"/>
          <w:color w:val="auto"/>
          <w:kern w:val="2"/>
          <w:sz w:val="21"/>
          <w:szCs w:val="21"/>
          <w:highlight w:val="none"/>
          <w:u w:val="single"/>
          <w:shd w:val="clear" w:color="auto" w:fill="FFFFFF"/>
          <w:lang w:val="en-US" w:eastAsia="zh-CN" w:bidi="ar-SA"/>
        </w:rPr>
        <w:t>（产品名称1）</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（关键工序）</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在中国境内完成。</w:t>
      </w:r>
    </w:p>
    <w:p w14:paraId="302DAA1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2"/>
          <w:sz w:val="21"/>
          <w:szCs w:val="21"/>
          <w:highlight w:val="none"/>
          <w:u w:val="single"/>
          <w:shd w:val="clear" w:color="auto" w:fill="FFFFFF"/>
          <w:lang w:val="en-US" w:eastAsia="zh-CN" w:bidi="ar-SA"/>
        </w:rPr>
        <w:t xml:space="preserve"> （产品名称2） </w:t>
      </w:r>
      <w:r>
        <w:rPr>
          <w:rFonts w:hint="eastAsia" w:ascii="宋体" w:hAnsi="宋体" w:eastAsia="宋体" w:cs="宋体"/>
          <w:color w:val="auto"/>
          <w:kern w:val="0"/>
          <w:sz w:val="21"/>
          <w:szCs w:val="21"/>
          <w:highlight w:val="none"/>
          <w:shd w:val="clear" w:color="auto" w:fill="FFFFFF"/>
          <w:lang w:val="en-US" w:eastAsia="zh-CN" w:bidi="ar-SA"/>
        </w:rPr>
        <w:t>，生产厂为</w:t>
      </w:r>
      <w:r>
        <w:rPr>
          <w:rFonts w:hint="eastAsia" w:ascii="宋体" w:hAnsi="宋体" w:eastAsia="宋体" w:cs="宋体"/>
          <w:color w:val="auto"/>
          <w:kern w:val="2"/>
          <w:sz w:val="21"/>
          <w:szCs w:val="21"/>
          <w:highlight w:val="none"/>
          <w:u w:val="single"/>
          <w:shd w:val="clear" w:color="auto" w:fill="FFFFFF"/>
          <w:lang w:val="en-US" w:eastAsia="zh-CN" w:bidi="ar-SA"/>
        </w:rPr>
        <w:t>（厂名）</w:t>
      </w:r>
      <w:r>
        <w:rPr>
          <w:rFonts w:hint="eastAsia" w:ascii="宋体" w:hAnsi="宋体" w:eastAsia="宋体" w:cs="宋体"/>
          <w:color w:val="auto"/>
          <w:kern w:val="0"/>
          <w:sz w:val="21"/>
          <w:szCs w:val="21"/>
          <w:highlight w:val="none"/>
          <w:shd w:val="clear" w:color="auto" w:fill="FFFFFF"/>
          <w:lang w:val="en-US" w:eastAsia="zh-CN" w:bidi="ar-SA"/>
        </w:rPr>
        <w:t>，厂址为</w:t>
      </w:r>
      <w:r>
        <w:rPr>
          <w:rFonts w:hint="eastAsia" w:ascii="宋体" w:hAnsi="宋体" w:eastAsia="宋体" w:cs="宋体"/>
          <w:color w:val="auto"/>
          <w:kern w:val="2"/>
          <w:sz w:val="21"/>
          <w:szCs w:val="21"/>
          <w:highlight w:val="none"/>
          <w:u w:val="single"/>
          <w:shd w:val="clear" w:color="auto" w:fill="FFFFFF"/>
          <w:lang w:val="en-US" w:eastAsia="zh-CN" w:bidi="ar-SA"/>
        </w:rPr>
        <w:t>（生产厂址）</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u w:val="single"/>
          <w:shd w:val="clear" w:color="auto" w:fill="FFFFFF"/>
          <w:lang w:val="en-US" w:eastAsia="zh-CN" w:bidi="ar-SA"/>
        </w:rPr>
        <w:t>（产品名称2）</w:t>
      </w:r>
      <w:r>
        <w:rPr>
          <w:rFonts w:hint="eastAsia" w:ascii="宋体" w:hAnsi="宋体" w:eastAsia="宋体" w:cs="宋体"/>
          <w:color w:val="auto"/>
          <w:kern w:val="0"/>
          <w:sz w:val="21"/>
          <w:szCs w:val="21"/>
          <w:highlight w:val="none"/>
          <w:shd w:val="clear" w:color="auto" w:fill="FFFFFF"/>
          <w:lang w:val="en-US" w:eastAsia="zh-CN" w:bidi="ar-SA"/>
        </w:rPr>
        <w:t>的中国境内生产的组件成本占比≥</w:t>
      </w:r>
      <w:r>
        <w:rPr>
          <w:rFonts w:hint="eastAsia" w:ascii="宋体" w:hAnsi="宋体" w:eastAsia="宋体" w:cs="宋体"/>
          <w:color w:val="auto"/>
          <w:kern w:val="2"/>
          <w:sz w:val="21"/>
          <w:szCs w:val="21"/>
          <w:highlight w:val="none"/>
          <w:u w:val="single"/>
          <w:shd w:val="clear" w:color="auto" w:fill="FFFFFF"/>
          <w:lang w:val="en-US" w:eastAsia="zh-CN" w:bidi="ar-SA"/>
        </w:rPr>
        <w:t>（规定比例）</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u w:val="single"/>
          <w:shd w:val="clear" w:color="auto" w:fill="FFFFFF"/>
          <w:lang w:val="en-US" w:eastAsia="zh-CN" w:bidi="ar-SA"/>
        </w:rPr>
        <w:t>（产品名称2）</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（关键组件）</w:t>
      </w:r>
      <w:r>
        <w:rPr>
          <w:rFonts w:hint="eastAsia" w:ascii="宋体" w:hAnsi="宋体" w:eastAsia="宋体" w:cs="宋体"/>
          <w:color w:val="auto"/>
          <w:kern w:val="0"/>
          <w:sz w:val="21"/>
          <w:szCs w:val="21"/>
          <w:highlight w:val="none"/>
          <w:shd w:val="clear" w:color="auto" w:fill="FFFFFF"/>
          <w:lang w:val="en-US" w:eastAsia="zh-CN" w:bidi="ar-SA"/>
        </w:rPr>
        <w:t>在中国境内生产。</w:t>
      </w:r>
      <w:r>
        <w:rPr>
          <w:rFonts w:hint="eastAsia" w:ascii="宋体" w:hAnsi="宋体" w:eastAsia="宋体" w:cs="宋体"/>
          <w:color w:val="auto"/>
          <w:kern w:val="2"/>
          <w:sz w:val="21"/>
          <w:szCs w:val="21"/>
          <w:highlight w:val="none"/>
          <w:u w:val="single"/>
          <w:shd w:val="clear" w:color="auto" w:fill="FFFFFF"/>
          <w:lang w:val="en-US" w:eastAsia="zh-CN" w:bidi="ar-SA"/>
        </w:rPr>
        <w:t>（产品名称2）</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（关键工序）</w:t>
      </w:r>
      <w:r>
        <w:rPr>
          <w:rFonts w:hint="eastAsia" w:ascii="宋体" w:hAnsi="宋体" w:eastAsia="宋体" w:cs="宋体"/>
          <w:color w:val="auto"/>
          <w:kern w:val="0"/>
          <w:sz w:val="21"/>
          <w:szCs w:val="21"/>
          <w:highlight w:val="none"/>
          <w:shd w:val="clear" w:color="auto" w:fill="FFFFFF"/>
          <w:lang w:val="en-US" w:eastAsia="zh-CN" w:bidi="ar-SA"/>
        </w:rPr>
        <w:t>在中国境内完成。</w:t>
      </w:r>
    </w:p>
    <w:p w14:paraId="160408FD">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w:t>
      </w:r>
    </w:p>
    <w:p w14:paraId="3E98B54A">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本公司（单位）对上述声明内容的真实性负责。如有虚假，愿承担相应法律责任。</w:t>
      </w:r>
    </w:p>
    <w:p w14:paraId="76FCBEA0">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D42808">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公司（单位）名称（盖章）：      </w:t>
      </w:r>
    </w:p>
    <w:p w14:paraId="0EB74C48">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日期：　　年   月   日    </w:t>
      </w:r>
    </w:p>
    <w:p w14:paraId="67EE7F3A">
      <w:pPr>
        <w:keepNext w:val="0"/>
        <w:keepLines w:val="0"/>
        <w:pageBreakBefore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p>
    <w:p w14:paraId="121307E6">
      <w:pPr>
        <w:keepNext w:val="0"/>
        <w:keepLines w:val="0"/>
        <w:pageBreakBefore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p>
    <w:p w14:paraId="749CFDE6">
      <w:pPr>
        <w:keepNext w:val="0"/>
        <w:keepLines w:val="0"/>
        <w:pageBreakBefore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关于符合本国产品标准的声明函说明： </w:t>
      </w:r>
    </w:p>
    <w:p w14:paraId="7622E073">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1.产品如有型号，请在“产品名称”栏一并填写。</w:t>
      </w:r>
    </w:p>
    <w:p w14:paraId="2C938184">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2.生产厂名与厂址应与生产厂营业执照载明的相关信息保持一致。</w:t>
      </w:r>
    </w:p>
    <w:p w14:paraId="08981D46">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3.该产品的中国境内生产的组件成本占比相关要求实施前，“规定比例”栏可不填，下同。</w:t>
      </w:r>
    </w:p>
    <w:p w14:paraId="4AE91D68">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4.该产品的关键组件要求实施前，“关键组件”栏可不填，下同。</w:t>
      </w:r>
    </w:p>
    <w:p w14:paraId="213BF34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5.该产品的关键工序要求实施前，“关键工序”栏可不填，下同。</w:t>
      </w:r>
    </w:p>
    <w:p w14:paraId="17FAE712">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52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关于本国产品比例的承诺函（如适用）</w:t>
      </w:r>
    </w:p>
    <w:p w14:paraId="54F5BD1D">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52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本项目属于服务采购项目，不适用</w:t>
      </w:r>
      <w:r>
        <w:rPr>
          <w:rFonts w:hint="eastAsia" w:ascii="宋体" w:hAnsi="宋体" w:cs="宋体"/>
          <w:b/>
          <w:bCs/>
          <w:color w:val="auto"/>
          <w:sz w:val="28"/>
          <w:szCs w:val="28"/>
          <w:highlight w:val="none"/>
          <w:u w:val="single"/>
          <w:lang w:val="en-US" w:eastAsia="zh-CN"/>
        </w:rPr>
        <w:t>此内容</w:t>
      </w:r>
      <w:r>
        <w:rPr>
          <w:rFonts w:hint="eastAsia" w:ascii="宋体" w:hAnsi="宋体" w:eastAsia="宋体" w:cs="宋体"/>
          <w:b/>
          <w:bCs/>
          <w:color w:val="auto"/>
          <w:sz w:val="28"/>
          <w:szCs w:val="28"/>
          <w:highlight w:val="none"/>
        </w:rPr>
        <w:t>）</w:t>
      </w:r>
    </w:p>
    <w:p w14:paraId="57772E90">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69864AED">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本公司(单位)对上述承诺内容的真实性负责。如有虚假，愿承担相应法律责任。</w:t>
      </w:r>
    </w:p>
    <w:p w14:paraId="02CA9F85">
      <w:pPr>
        <w:widowControl/>
        <w:shd w:val="clear" w:color="auto"/>
        <w:spacing w:before="0" w:beforeAutospacing="0" w:after="0" w:afterAutospacing="0" w:line="480" w:lineRule="exact"/>
        <w:jc w:val="left"/>
        <w:rPr>
          <w:rFonts w:hint="eastAsia" w:ascii="宋体" w:hAnsi="宋体" w:eastAsia="宋体" w:cs="宋体"/>
          <w:color w:val="auto"/>
          <w:kern w:val="0"/>
          <w:sz w:val="21"/>
          <w:szCs w:val="21"/>
          <w:highlight w:val="none"/>
          <w:shd w:val="clear" w:color="auto" w:fill="FFFFFF"/>
          <w:lang w:val="en-US" w:eastAsia="zh-CN" w:bidi="ar-SA"/>
        </w:rPr>
      </w:pPr>
    </w:p>
    <w:p w14:paraId="753B0287">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公司（单位）名称（盖章）：      </w:t>
      </w:r>
    </w:p>
    <w:p w14:paraId="5E6387AD">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日期：　　　年</w:t>
      </w:r>
      <w:r>
        <w:rPr>
          <w:rFonts w:hint="eastAsia" w:ascii="宋体" w:hAnsi="宋体" w:eastAsia="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rPr>
        <w:t>月</w:t>
      </w:r>
      <w:r>
        <w:rPr>
          <w:rFonts w:hint="eastAsia" w:ascii="宋体" w:hAnsi="宋体" w:eastAsia="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rPr>
        <w:t>日   </w:t>
      </w:r>
    </w:p>
    <w:p w14:paraId="43321D38">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b/>
          <w:color w:val="auto"/>
          <w:highlight w:val="none"/>
        </w:rPr>
      </w:pPr>
      <w:r>
        <w:rPr>
          <w:rFonts w:hint="eastAsia" w:ascii="宋体" w:hAnsi="宋体" w:eastAsia="宋体" w:cs="宋体"/>
          <w:color w:val="auto"/>
          <w:kern w:val="0"/>
          <w:szCs w:val="21"/>
          <w:highlight w:val="none"/>
          <w:shd w:val="clear" w:color="auto" w:fill="FFFFFF"/>
        </w:rPr>
        <w:t>注：当采购项目或采购包中含有多种产品，符合有关政策的，供应商还应当提供本承诺函。</w:t>
      </w:r>
      <w:r>
        <w:rPr>
          <w:rFonts w:hint="eastAsia" w:ascii="宋体" w:hAnsi="宋体" w:eastAsia="宋体" w:cs="宋体"/>
          <w:color w:val="auto"/>
          <w:kern w:val="0"/>
          <w:szCs w:val="21"/>
          <w:highlight w:val="none"/>
          <w:shd w:val="clear" w:color="auto" w:fill="FFFFFF"/>
        </w:rPr>
        <w:br w:type="page"/>
      </w:r>
      <w:r>
        <w:rPr>
          <w:rFonts w:hint="eastAsia"/>
          <w:b/>
          <w:color w:val="auto"/>
          <w:highlight w:val="none"/>
        </w:rPr>
        <w:t>2.技术文件部分（格式）</w:t>
      </w:r>
    </w:p>
    <w:p w14:paraId="130466C2">
      <w:pPr>
        <w:spacing w:line="360" w:lineRule="exact"/>
        <w:rPr>
          <w:rFonts w:hint="eastAsia"/>
          <w:color w:val="auto"/>
          <w:highlight w:val="none"/>
        </w:rPr>
      </w:pPr>
      <w:r>
        <w:rPr>
          <w:rFonts w:hint="eastAsia"/>
          <w:color w:val="auto"/>
          <w:highlight w:val="none"/>
        </w:rPr>
        <w:t xml:space="preserve">    （1）服务响应表格式： </w:t>
      </w:r>
    </w:p>
    <w:tbl>
      <w:tblPr>
        <w:tblStyle w:val="4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2C14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463409CA">
            <w:pPr>
              <w:pStyle w:val="27"/>
              <w:spacing w:line="400" w:lineRule="exact"/>
              <w:jc w:val="center"/>
              <w:rPr>
                <w:rFonts w:hint="eastAsia" w:cs="Courier New"/>
                <w:color w:val="auto"/>
                <w:highlight w:val="none"/>
                <w:lang w:val="en-US" w:eastAsia="zh-CN"/>
              </w:rPr>
            </w:pPr>
            <w:r>
              <w:rPr>
                <w:rFonts w:hint="eastAsia" w:cs="Courier New"/>
                <w:color w:val="auto"/>
                <w:highlight w:val="none"/>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1499B50">
            <w:pPr>
              <w:pStyle w:val="27"/>
              <w:spacing w:line="400" w:lineRule="exact"/>
              <w:jc w:val="center"/>
              <w:rPr>
                <w:rFonts w:ascii="Times New Roman" w:cs="Courier New"/>
                <w:color w:val="auto"/>
                <w:highlight w:val="none"/>
                <w:lang w:val="en-US" w:eastAsia="zh-CN"/>
              </w:rPr>
            </w:pPr>
            <w:r>
              <w:rPr>
                <w:rFonts w:ascii="Times New Roman" w:cs="Courier New"/>
                <w:color w:val="auto"/>
                <w:highlight w:val="none"/>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EE6D4AE">
            <w:pPr>
              <w:pStyle w:val="27"/>
              <w:spacing w:line="400" w:lineRule="exact"/>
              <w:jc w:val="center"/>
              <w:rPr>
                <w:rFonts w:ascii="Times New Roman" w:cs="Courier New"/>
                <w:color w:val="auto"/>
                <w:highlight w:val="none"/>
                <w:lang w:val="en-US" w:eastAsia="zh-CN"/>
              </w:rPr>
            </w:pPr>
            <w:r>
              <w:rPr>
                <w:rFonts w:hAnsi="宋体" w:cs="Courier New"/>
                <w:color w:val="auto"/>
                <w:highlight w:val="none"/>
                <w:lang w:val="en-US" w:eastAsia="zh-CN"/>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2CBB3DB">
            <w:pPr>
              <w:pStyle w:val="27"/>
              <w:spacing w:line="400" w:lineRule="exact"/>
              <w:jc w:val="center"/>
              <w:rPr>
                <w:rFonts w:ascii="Times New Roman" w:cs="Courier New"/>
                <w:color w:val="auto"/>
                <w:highlight w:val="none"/>
                <w:lang w:val="en-US" w:eastAsia="zh-CN"/>
              </w:rPr>
            </w:pPr>
            <w:r>
              <w:rPr>
                <w:rFonts w:ascii="Times New Roman" w:cs="Courier New"/>
                <w:color w:val="auto"/>
                <w:highlight w:val="none"/>
                <w:lang w:val="en-US" w:eastAsia="zh-CN"/>
              </w:rPr>
              <w:t>偏离说明</w:t>
            </w:r>
          </w:p>
        </w:tc>
      </w:tr>
      <w:tr w14:paraId="42F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4FD099F9">
            <w:pPr>
              <w:pStyle w:val="27"/>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98F2FF9">
            <w:pPr>
              <w:pStyle w:val="27"/>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4D46A31">
            <w:pPr>
              <w:pStyle w:val="27"/>
              <w:spacing w:line="600" w:lineRule="exact"/>
              <w:ind w:left="5250"/>
              <w:jc w:val="center"/>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B9F7030">
            <w:pPr>
              <w:pStyle w:val="27"/>
              <w:spacing w:line="600" w:lineRule="exact"/>
              <w:ind w:left="5250"/>
              <w:jc w:val="center"/>
              <w:rPr>
                <w:rFonts w:ascii="Times New Roman" w:cs="Courier New"/>
                <w:color w:val="auto"/>
                <w:highlight w:val="none"/>
                <w:lang w:val="en-US" w:eastAsia="zh-CN"/>
              </w:rPr>
            </w:pPr>
          </w:p>
        </w:tc>
      </w:tr>
      <w:tr w14:paraId="3424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56B66F0">
            <w:pPr>
              <w:pStyle w:val="27"/>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00AB62D">
            <w:pPr>
              <w:pStyle w:val="27"/>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06958A0">
            <w:pPr>
              <w:pStyle w:val="27"/>
              <w:spacing w:line="600" w:lineRule="exact"/>
              <w:ind w:left="5250"/>
              <w:jc w:val="center"/>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0F7EE0D6">
            <w:pPr>
              <w:pStyle w:val="27"/>
              <w:spacing w:line="600" w:lineRule="exact"/>
              <w:ind w:left="5250"/>
              <w:jc w:val="center"/>
              <w:rPr>
                <w:rFonts w:ascii="Times New Roman" w:cs="Courier New"/>
                <w:color w:val="auto"/>
                <w:highlight w:val="none"/>
                <w:lang w:val="en-US" w:eastAsia="zh-CN"/>
              </w:rPr>
            </w:pPr>
          </w:p>
        </w:tc>
      </w:tr>
      <w:tr w14:paraId="437F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5C04D323">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C6F5695">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2586721">
            <w:pPr>
              <w:pStyle w:val="27"/>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2226D841">
            <w:pPr>
              <w:pStyle w:val="27"/>
              <w:spacing w:line="600" w:lineRule="exact"/>
              <w:ind w:left="5250"/>
              <w:rPr>
                <w:rFonts w:ascii="Times New Roman" w:cs="Courier New"/>
                <w:color w:val="auto"/>
                <w:highlight w:val="none"/>
                <w:lang w:val="en-US" w:eastAsia="zh-CN"/>
              </w:rPr>
            </w:pPr>
          </w:p>
        </w:tc>
      </w:tr>
      <w:tr w14:paraId="44A3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552535A2">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33215AF">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770FD06">
            <w:pPr>
              <w:pStyle w:val="27"/>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09E116A3">
            <w:pPr>
              <w:pStyle w:val="27"/>
              <w:spacing w:line="600" w:lineRule="exact"/>
              <w:ind w:left="5250"/>
              <w:rPr>
                <w:rFonts w:ascii="Times New Roman" w:cs="Courier New"/>
                <w:color w:val="auto"/>
                <w:highlight w:val="none"/>
                <w:lang w:val="en-US" w:eastAsia="zh-CN"/>
              </w:rPr>
            </w:pPr>
          </w:p>
        </w:tc>
      </w:tr>
      <w:tr w14:paraId="3CBB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C32ACD1">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5E9B22D">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ED60D53">
            <w:pPr>
              <w:pStyle w:val="27"/>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342841B0">
            <w:pPr>
              <w:pStyle w:val="27"/>
              <w:spacing w:line="600" w:lineRule="exact"/>
              <w:ind w:left="5250"/>
              <w:rPr>
                <w:rFonts w:ascii="Times New Roman" w:cs="Courier New"/>
                <w:color w:val="auto"/>
                <w:highlight w:val="none"/>
                <w:lang w:val="en-US" w:eastAsia="zh-CN"/>
              </w:rPr>
            </w:pPr>
          </w:p>
        </w:tc>
      </w:tr>
      <w:tr w14:paraId="24B5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A8307FC">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1D1897E">
            <w:pPr>
              <w:pStyle w:val="27"/>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14AF0C5">
            <w:pPr>
              <w:pStyle w:val="27"/>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2995CE7D">
            <w:pPr>
              <w:pStyle w:val="27"/>
              <w:spacing w:line="600" w:lineRule="exact"/>
              <w:ind w:left="5250"/>
              <w:rPr>
                <w:rFonts w:ascii="Times New Roman" w:cs="Courier New"/>
                <w:color w:val="auto"/>
                <w:highlight w:val="none"/>
                <w:lang w:val="en-US" w:eastAsia="zh-CN"/>
              </w:rPr>
            </w:pPr>
          </w:p>
        </w:tc>
      </w:tr>
    </w:tbl>
    <w:p w14:paraId="111270E6">
      <w:pPr>
        <w:spacing w:line="400" w:lineRule="exact"/>
        <w:rPr>
          <w:rFonts w:hint="eastAsia"/>
          <w:color w:val="auto"/>
          <w:highlight w:val="none"/>
        </w:rPr>
      </w:pPr>
      <w:r>
        <w:rPr>
          <w:rFonts w:hint="eastAsia"/>
          <w:color w:val="auto"/>
          <w:highlight w:val="none"/>
        </w:rPr>
        <w:t xml:space="preserve">   </w:t>
      </w:r>
    </w:p>
    <w:p w14:paraId="56FD7343">
      <w:pPr>
        <w:spacing w:line="360" w:lineRule="exact"/>
        <w:rPr>
          <w:rFonts w:hint="eastAsia"/>
          <w:b/>
          <w:color w:val="auto"/>
          <w:highlight w:val="none"/>
        </w:rPr>
      </w:pPr>
      <w:r>
        <w:rPr>
          <w:rFonts w:hint="eastAsia"/>
          <w:b/>
          <w:color w:val="auto"/>
          <w:highlight w:val="none"/>
        </w:rPr>
        <w:t>注：投标人应根据提供的服务、对照招标文件要求在服务响应表中详细列明招标要求及投标提供的服务的响应情况，并填写“</w:t>
      </w:r>
      <w:r>
        <w:rPr>
          <w:b/>
          <w:color w:val="auto"/>
          <w:sz w:val="24"/>
          <w:highlight w:val="none"/>
        </w:rPr>
        <w:t>偏离说明</w:t>
      </w:r>
      <w:r>
        <w:rPr>
          <w:rFonts w:hint="eastAsia"/>
          <w:b/>
          <w:color w:val="auto"/>
          <w:sz w:val="24"/>
          <w:highlight w:val="none"/>
        </w:rPr>
        <w:t>”</w:t>
      </w:r>
      <w:r>
        <w:rPr>
          <w:rFonts w:hint="eastAsia"/>
          <w:b/>
          <w:color w:val="auto"/>
          <w:highlight w:val="none"/>
        </w:rPr>
        <w:t>。“</w:t>
      </w:r>
      <w:r>
        <w:rPr>
          <w:rFonts w:hint="eastAsia"/>
          <w:b/>
          <w:color w:val="auto"/>
          <w:sz w:val="24"/>
          <w:highlight w:val="none"/>
        </w:rPr>
        <w:t>偏离</w:t>
      </w:r>
      <w:r>
        <w:rPr>
          <w:b/>
          <w:color w:val="auto"/>
          <w:sz w:val="24"/>
          <w:highlight w:val="none"/>
        </w:rPr>
        <w:t>说明</w:t>
      </w:r>
      <w:r>
        <w:rPr>
          <w:rFonts w:hint="eastAsia"/>
          <w:b/>
          <w:color w:val="auto"/>
          <w:highlight w:val="none"/>
        </w:rPr>
        <w:t>”栏注明“正偏离”、“负偏离”或“无偏离”。投标所提供的服务与招标要求相同的为无偏离，投标所提供的服务高于招标要求的为正偏离，低于招标要求的为负偏离。</w:t>
      </w:r>
    </w:p>
    <w:p w14:paraId="7B6557B0">
      <w:pPr>
        <w:rPr>
          <w:rFonts w:hint="eastAsia"/>
          <w:color w:val="auto"/>
          <w:highlight w:val="none"/>
        </w:rPr>
      </w:pPr>
    </w:p>
    <w:p w14:paraId="2052469F">
      <w:pPr>
        <w:spacing w:line="400" w:lineRule="exact"/>
        <w:rPr>
          <w:rFonts w:hint="eastAsia"/>
          <w:color w:val="auto"/>
          <w:highlight w:val="none"/>
          <w:u w:val="single"/>
        </w:rPr>
      </w:pPr>
      <w:r>
        <w:rPr>
          <w:rFonts w:hint="eastAsia"/>
          <w:color w:val="auto"/>
          <w:highlight w:val="none"/>
        </w:rPr>
        <w:t>法定代表人（负责人）或委托代理人签字或盖章：</w:t>
      </w:r>
      <w:r>
        <w:rPr>
          <w:rFonts w:hint="eastAsia"/>
          <w:color w:val="auto"/>
          <w:highlight w:val="none"/>
          <w:u w:val="single"/>
        </w:rPr>
        <w:t xml:space="preserve">                 </w:t>
      </w:r>
    </w:p>
    <w:p w14:paraId="4FCBE5D4">
      <w:pPr>
        <w:spacing w:line="400" w:lineRule="exact"/>
        <w:rPr>
          <w:rFonts w:hint="eastAsia"/>
          <w:color w:val="auto"/>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0E907221">
      <w:pPr>
        <w:rPr>
          <w:rFonts w:hint="eastAsia"/>
          <w:color w:val="auto"/>
          <w:highlight w:val="none"/>
        </w:rPr>
      </w:pPr>
    </w:p>
    <w:p w14:paraId="4B0AC1D4">
      <w:pPr>
        <w:spacing w:line="400" w:lineRule="exact"/>
        <w:rPr>
          <w:rFonts w:hint="eastAsia" w:ascii="宋体"/>
          <w:color w:val="auto"/>
          <w:spacing w:val="20"/>
          <w:szCs w:val="21"/>
          <w:highlight w:val="none"/>
          <w:u w:val="single"/>
        </w:rPr>
      </w:pPr>
      <w:r>
        <w:rPr>
          <w:rFonts w:hint="eastAsia"/>
          <w:color w:val="auto"/>
          <w:highlight w:val="none"/>
        </w:rPr>
        <w:t xml:space="preserve">    </w:t>
      </w:r>
    </w:p>
    <w:p w14:paraId="7169AAD5">
      <w:pPr>
        <w:spacing w:line="360" w:lineRule="exact"/>
        <w:rPr>
          <w:rFonts w:hint="eastAsia"/>
          <w:color w:val="auto"/>
          <w:highlight w:val="none"/>
        </w:rPr>
      </w:pPr>
      <w:r>
        <w:rPr>
          <w:rFonts w:hint="eastAsia"/>
          <w:color w:val="auto"/>
          <w:highlight w:val="none"/>
        </w:rPr>
        <w:t xml:space="preserve">    （2）服务方案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3D6F82E2">
      <w:pPr>
        <w:rPr>
          <w:rFonts w:hint="eastAsia"/>
          <w:color w:val="auto"/>
          <w:highlight w:val="none"/>
        </w:rPr>
      </w:pPr>
    </w:p>
    <w:p w14:paraId="26BC1EAA">
      <w:pPr>
        <w:spacing w:line="360" w:lineRule="exact"/>
        <w:rPr>
          <w:rFonts w:hint="eastAsia"/>
          <w:color w:val="auto"/>
          <w:highlight w:val="none"/>
        </w:rPr>
      </w:pPr>
      <w:r>
        <w:rPr>
          <w:rFonts w:hint="eastAsia"/>
          <w:color w:val="auto"/>
          <w:highlight w:val="none"/>
        </w:rPr>
        <w:t xml:space="preserve">    （3）投标人拥有主要服务设施的情况和现状（格式自拟）及项目实施人员一览表</w:t>
      </w:r>
    </w:p>
    <w:p w14:paraId="26DA845D">
      <w:pPr>
        <w:spacing w:line="360" w:lineRule="exact"/>
        <w:jc w:val="center"/>
        <w:rPr>
          <w:rFonts w:hint="eastAsia"/>
          <w:b/>
          <w:color w:val="auto"/>
          <w:highlight w:val="none"/>
        </w:rPr>
      </w:pPr>
      <w:r>
        <w:rPr>
          <w:rFonts w:hint="eastAsia"/>
          <w:b/>
          <w:color w:val="auto"/>
          <w:highlight w:val="none"/>
        </w:rPr>
        <w:t>项目实施人员（主要从业人员及其技术资格）一览表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4FB94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34D87BA9">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B8881D">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18BF045">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3364A50">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2A422537">
            <w:pPr>
              <w:snapToGrid w:val="0"/>
              <w:spacing w:before="156" w:beforeLines="50" w:after="50" w:line="200" w:lineRule="exact"/>
              <w:jc w:val="center"/>
              <w:rPr>
                <w:rFonts w:hint="eastAsia" w:ascii="宋体"/>
                <w:bCs/>
                <w:color w:val="auto"/>
                <w:szCs w:val="21"/>
                <w:highlight w:val="none"/>
              </w:rPr>
            </w:pPr>
            <w:r>
              <w:rPr>
                <w:rFonts w:hint="eastAsia" w:ascii="宋体"/>
                <w:bCs/>
                <w:color w:val="auto"/>
                <w:szCs w:val="21"/>
                <w:highlight w:val="none"/>
              </w:rPr>
              <w:t>参加本单位</w:t>
            </w:r>
          </w:p>
          <w:p w14:paraId="675EA4F4">
            <w:pPr>
              <w:snapToGrid w:val="0"/>
              <w:spacing w:before="156" w:beforeLines="50" w:after="50" w:line="200" w:lineRule="exact"/>
              <w:jc w:val="center"/>
              <w:rPr>
                <w:rFonts w:hint="eastAsia" w:ascii="宋体"/>
                <w:bCs/>
                <w:color w:val="auto"/>
                <w:szCs w:val="21"/>
                <w:highlight w:val="none"/>
              </w:rPr>
            </w:pPr>
            <w:r>
              <w:rPr>
                <w:rFonts w:hint="eastAsia" w:ascii="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8F98B09">
            <w:pPr>
              <w:snapToGrid w:val="0"/>
              <w:spacing w:before="156" w:beforeLines="50" w:after="50" w:line="360" w:lineRule="exact"/>
              <w:jc w:val="center"/>
              <w:rPr>
                <w:rFonts w:hint="eastAsia" w:ascii="宋体"/>
                <w:bCs/>
                <w:color w:val="auto"/>
                <w:szCs w:val="21"/>
                <w:highlight w:val="none"/>
              </w:rPr>
            </w:pPr>
            <w:r>
              <w:rPr>
                <w:rFonts w:hint="eastAsia" w:ascii="宋体"/>
                <w:bCs/>
                <w:color w:val="auto"/>
                <w:szCs w:val="21"/>
                <w:highlight w:val="none"/>
              </w:rPr>
              <w:t>劳动合同编号</w:t>
            </w:r>
          </w:p>
        </w:tc>
      </w:tr>
      <w:tr w14:paraId="2AD56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37F71882">
            <w:pP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EC07E8">
            <w:pP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C698745">
            <w:pPr>
              <w:snapToGrid w:val="0"/>
              <w:spacing w:before="156" w:beforeLines="50" w:after="50" w:line="360" w:lineRule="exact"/>
              <w:rPr>
                <w:rFonts w:hint="eastAsia" w:asci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E63B00E">
            <w:pP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0670B8DE">
            <w:pP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C90F293">
            <w:pPr>
              <w:snapToGrid w:val="0"/>
              <w:spacing w:before="156" w:beforeLines="50" w:after="50" w:line="360" w:lineRule="exact"/>
              <w:rPr>
                <w:rFonts w:hint="eastAsia" w:ascii="宋体"/>
                <w:color w:val="auto"/>
                <w:szCs w:val="21"/>
                <w:highlight w:val="none"/>
              </w:rPr>
            </w:pPr>
          </w:p>
        </w:tc>
      </w:tr>
      <w:tr w14:paraId="7E327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748191C4">
            <w:pP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ED6C3A">
            <w:pP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D0A2FC6">
            <w:pPr>
              <w:snapToGrid w:val="0"/>
              <w:spacing w:before="156" w:beforeLines="50" w:after="50" w:line="360" w:lineRule="exact"/>
              <w:rPr>
                <w:rFonts w:hint="eastAsia" w:asci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1DF19F5">
            <w:pP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6FA7A3EE">
            <w:pP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68DFD2C">
            <w:pPr>
              <w:snapToGrid w:val="0"/>
              <w:spacing w:before="156" w:beforeLines="50" w:after="50" w:line="360" w:lineRule="exact"/>
              <w:rPr>
                <w:rFonts w:hint="eastAsia" w:ascii="宋体"/>
                <w:color w:val="auto"/>
                <w:szCs w:val="21"/>
                <w:highlight w:val="none"/>
              </w:rPr>
            </w:pPr>
          </w:p>
        </w:tc>
      </w:tr>
      <w:tr w14:paraId="42582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70F0C916">
            <w:pP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CC2CC4">
            <w:pP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D7E4232">
            <w:pPr>
              <w:pStyle w:val="29"/>
              <w:snapToGrid w:val="0"/>
              <w:spacing w:before="156" w:beforeLines="50" w:after="50" w:line="360" w:lineRule="exact"/>
              <w:ind w:left="5250"/>
              <w:rPr>
                <w:rFonts w:hint="eastAsia"/>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32F420A">
            <w:pP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03D05BF8">
            <w:pP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26616A1">
            <w:pPr>
              <w:snapToGrid w:val="0"/>
              <w:spacing w:before="156" w:beforeLines="50" w:after="50" w:line="360" w:lineRule="exact"/>
              <w:rPr>
                <w:rFonts w:hint="eastAsia" w:ascii="宋体"/>
                <w:color w:val="auto"/>
                <w:szCs w:val="21"/>
                <w:highlight w:val="none"/>
              </w:rPr>
            </w:pPr>
          </w:p>
        </w:tc>
      </w:tr>
    </w:tbl>
    <w:p w14:paraId="03706D00">
      <w:pPr>
        <w:snapToGrid w:val="0"/>
        <w:spacing w:before="50" w:after="50" w:line="360" w:lineRule="exact"/>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0EAB9665">
      <w:pPr>
        <w:snapToGrid w:val="0"/>
        <w:spacing w:before="50" w:after="50" w:line="360" w:lineRule="exact"/>
        <w:rPr>
          <w:rFonts w:hint="eastAsia" w:ascii="宋体"/>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r>
        <w:rPr>
          <w:rFonts w:hint="eastAsia" w:ascii="宋体"/>
          <w:color w:val="auto"/>
          <w:spacing w:val="20"/>
          <w:szCs w:val="21"/>
          <w:highlight w:val="none"/>
        </w:rPr>
        <w:t xml:space="preserve">            日 期：</w:t>
      </w:r>
      <w:r>
        <w:rPr>
          <w:rFonts w:hint="eastAsia" w:ascii="宋体"/>
          <w:color w:val="auto"/>
          <w:spacing w:val="20"/>
          <w:szCs w:val="21"/>
          <w:highlight w:val="none"/>
          <w:u w:val="single"/>
        </w:rPr>
        <w:t xml:space="preserve">            </w:t>
      </w:r>
    </w:p>
    <w:p w14:paraId="0EA31A52">
      <w:pPr>
        <w:rPr>
          <w:rFonts w:hint="eastAsia"/>
          <w:color w:val="auto"/>
          <w:highlight w:val="none"/>
        </w:rPr>
      </w:pPr>
    </w:p>
    <w:p w14:paraId="5D1C7F63">
      <w:pPr>
        <w:rPr>
          <w:rFonts w:hint="eastAsia"/>
          <w:color w:val="auto"/>
          <w:highlight w:val="none"/>
        </w:rPr>
      </w:pPr>
    </w:p>
    <w:p w14:paraId="58E9B727">
      <w:pPr>
        <w:spacing w:line="360" w:lineRule="exact"/>
        <w:rPr>
          <w:rFonts w:hint="eastAsia"/>
          <w:color w:val="auto"/>
          <w:highlight w:val="none"/>
        </w:rPr>
      </w:pPr>
      <w:r>
        <w:rPr>
          <w:rFonts w:hint="eastAsia"/>
          <w:color w:val="auto"/>
          <w:highlight w:val="none"/>
        </w:rPr>
        <w:t xml:space="preserve">    （4）优惠条件：投标人承诺给予招标人的各种优惠条件</w:t>
      </w:r>
    </w:p>
    <w:p w14:paraId="53933AE8">
      <w:pPr>
        <w:rPr>
          <w:rFonts w:hint="eastAsia"/>
          <w:color w:val="auto"/>
          <w:highlight w:val="none"/>
        </w:rPr>
      </w:pPr>
    </w:p>
    <w:p w14:paraId="729C22A7">
      <w:pPr>
        <w:rPr>
          <w:rFonts w:hint="eastAsia"/>
          <w:color w:val="auto"/>
          <w:highlight w:val="none"/>
        </w:rPr>
      </w:pPr>
      <w:r>
        <w:rPr>
          <w:rFonts w:hint="eastAsia"/>
          <w:color w:val="auto"/>
          <w:highlight w:val="none"/>
        </w:rPr>
        <w:t xml:space="preserve">    （5）投标人对本项目的合理化建议和改进措施（格式自拟）</w:t>
      </w:r>
    </w:p>
    <w:p w14:paraId="5BF9973F">
      <w:pPr>
        <w:rPr>
          <w:rFonts w:hint="eastAsia"/>
          <w:color w:val="auto"/>
          <w:highlight w:val="none"/>
        </w:rPr>
      </w:pPr>
    </w:p>
    <w:p w14:paraId="37A86F22">
      <w:pPr>
        <w:rPr>
          <w:rFonts w:hint="eastAsia"/>
          <w:color w:val="auto"/>
          <w:highlight w:val="none"/>
        </w:rPr>
      </w:pPr>
      <w:r>
        <w:rPr>
          <w:rFonts w:hint="eastAsia"/>
          <w:color w:val="auto"/>
          <w:highlight w:val="none"/>
        </w:rPr>
        <w:t xml:space="preserve">    （6）投标人认为需要提供的其他材料（格式自拟）</w:t>
      </w:r>
    </w:p>
    <w:p w14:paraId="4EDCBCCF">
      <w:pPr>
        <w:rPr>
          <w:rFonts w:hint="eastAsia"/>
          <w:color w:val="auto"/>
          <w:highlight w:val="none"/>
        </w:rPr>
      </w:pPr>
    </w:p>
    <w:p w14:paraId="13042FCD">
      <w:pPr>
        <w:spacing w:line="360" w:lineRule="exact"/>
        <w:rPr>
          <w:color w:val="auto"/>
          <w:highlight w:val="none"/>
        </w:rPr>
      </w:pPr>
      <w:r>
        <w:rPr>
          <w:rFonts w:hint="eastAsia"/>
          <w:color w:val="auto"/>
          <w:highlight w:val="none"/>
        </w:rPr>
        <w:t xml:space="preserve">    （7）招标项目采购需求中要求必须提供的材料（招标项目采购需求中要求必须提供的材料，据实提供）</w:t>
      </w:r>
    </w:p>
    <w:p w14:paraId="1AD36288">
      <w:pPr>
        <w:spacing w:line="720" w:lineRule="auto"/>
        <w:rPr>
          <w:rFonts w:hint="eastAsia"/>
          <w:b/>
          <w:color w:val="auto"/>
          <w:highlight w:val="none"/>
        </w:rPr>
      </w:pPr>
      <w:r>
        <w:rPr>
          <w:color w:val="auto"/>
          <w:highlight w:val="none"/>
        </w:rPr>
        <w:br w:type="page"/>
      </w:r>
      <w:r>
        <w:rPr>
          <w:rFonts w:hint="eastAsia"/>
          <w:b/>
          <w:color w:val="auto"/>
          <w:highlight w:val="none"/>
        </w:rPr>
        <w:t>三）报价文件部分 （格式）</w:t>
      </w:r>
    </w:p>
    <w:p w14:paraId="20FDACCC">
      <w:pPr>
        <w:rPr>
          <w:rFonts w:hint="eastAsia"/>
          <w:color w:val="auto"/>
          <w:highlight w:val="none"/>
        </w:rPr>
      </w:pPr>
      <w:r>
        <w:rPr>
          <w:rFonts w:hint="eastAsia"/>
          <w:color w:val="auto"/>
          <w:highlight w:val="none"/>
        </w:rPr>
        <w:t xml:space="preserve">    （1）投标函格式</w:t>
      </w:r>
    </w:p>
    <w:p w14:paraId="3A30A81E">
      <w:pPr>
        <w:snapToGrid w:val="0"/>
        <w:spacing w:before="156" w:beforeLines="50" w:after="50" w:line="360" w:lineRule="exact"/>
        <w:jc w:val="center"/>
        <w:rPr>
          <w:rFonts w:hint="eastAsia" w:ascii="宋体"/>
          <w:b/>
          <w:color w:val="auto"/>
          <w:szCs w:val="21"/>
          <w:highlight w:val="none"/>
        </w:rPr>
      </w:pPr>
      <w:r>
        <w:rPr>
          <w:rFonts w:hint="eastAsia" w:ascii="宋体"/>
          <w:b/>
          <w:color w:val="auto"/>
          <w:szCs w:val="21"/>
          <w:highlight w:val="none"/>
        </w:rPr>
        <w:t>投 标 函</w:t>
      </w:r>
    </w:p>
    <w:p w14:paraId="6AEE6884">
      <w:pPr>
        <w:snapToGrid w:val="0"/>
        <w:spacing w:line="400" w:lineRule="exact"/>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color w:val="auto"/>
          <w:highlight w:val="none"/>
          <w:u w:val="single"/>
        </w:rPr>
        <w:t xml:space="preserve">广西国力招标有限公司 </w:t>
      </w:r>
    </w:p>
    <w:p w14:paraId="6C385C35">
      <w:pPr>
        <w:snapToGrid w:val="0"/>
        <w:spacing w:line="400" w:lineRule="exact"/>
        <w:rPr>
          <w:rFonts w:hint="eastAsia" w:ascii="宋体"/>
          <w:color w:val="auto"/>
          <w:szCs w:val="21"/>
          <w:highlight w:val="none"/>
        </w:rPr>
      </w:pPr>
      <w:r>
        <w:rPr>
          <w:rFonts w:hint="eastAsia" w:ascii="宋体"/>
          <w:color w:val="auto"/>
          <w:szCs w:val="21"/>
          <w:highlight w:val="none"/>
        </w:rPr>
        <w:t xml:space="preserve">    根据贵方为</w:t>
      </w:r>
      <w:r>
        <w:rPr>
          <w:rFonts w:hint="eastAsia" w:ascii="宋体"/>
          <w:color w:val="auto"/>
          <w:szCs w:val="21"/>
          <w:highlight w:val="none"/>
          <w:u w:val="single"/>
        </w:rPr>
        <w:t xml:space="preserve">               </w:t>
      </w:r>
      <w:r>
        <w:rPr>
          <w:rFonts w:hint="eastAsia" w:ascii="宋体"/>
          <w:color w:val="auto"/>
          <w:szCs w:val="21"/>
          <w:highlight w:val="none"/>
        </w:rPr>
        <w:t>项目的招标公告（项目编号：</w:t>
      </w:r>
      <w:r>
        <w:rPr>
          <w:rFonts w:hint="eastAsia" w:ascii="宋体"/>
          <w:color w:val="auto"/>
          <w:szCs w:val="21"/>
          <w:highlight w:val="none"/>
          <w:u w:val="single"/>
        </w:rPr>
        <w:t xml:space="preserve">            </w:t>
      </w:r>
      <w:r>
        <w:rPr>
          <w:rFonts w:hint="eastAsia" w:ascii="宋体"/>
          <w:color w:val="auto"/>
          <w:szCs w:val="21"/>
          <w:highlight w:val="none"/>
        </w:rPr>
        <w:t>），签字代表</w:t>
      </w:r>
      <w:r>
        <w:rPr>
          <w:rFonts w:hint="eastAsia" w:ascii="宋体"/>
          <w:color w:val="auto"/>
          <w:szCs w:val="21"/>
          <w:highlight w:val="none"/>
          <w:u w:val="single"/>
        </w:rPr>
        <w:t xml:space="preserve">        </w:t>
      </w:r>
      <w:r>
        <w:rPr>
          <w:rFonts w:hint="eastAsia" w:ascii="宋体"/>
          <w:color w:val="auto"/>
          <w:szCs w:val="21"/>
          <w:highlight w:val="none"/>
        </w:rPr>
        <w:t>（全名）经正式授权并代表投标人</w:t>
      </w:r>
      <w:r>
        <w:rPr>
          <w:rFonts w:hint="eastAsia" w:ascii="宋体"/>
          <w:color w:val="auto"/>
          <w:szCs w:val="21"/>
          <w:highlight w:val="none"/>
          <w:u w:val="single"/>
        </w:rPr>
        <w:t xml:space="preserve">                      </w:t>
      </w:r>
      <w:r>
        <w:rPr>
          <w:rFonts w:hint="eastAsia" w:ascii="宋体"/>
          <w:color w:val="auto"/>
          <w:szCs w:val="21"/>
          <w:highlight w:val="none"/>
        </w:rPr>
        <w:t>（投标人名称）</w:t>
      </w:r>
      <w:r>
        <w:rPr>
          <w:rFonts w:hint="eastAsia" w:ascii="宋体" w:hAnsi="宋体"/>
          <w:color w:val="auto"/>
          <w:szCs w:val="21"/>
          <w:highlight w:val="none"/>
        </w:rPr>
        <w:t>上传并提交加密的电子投标文件一份。</w:t>
      </w:r>
    </w:p>
    <w:p w14:paraId="5C4EEB85">
      <w:pPr>
        <w:snapToGrid w:val="0"/>
        <w:spacing w:line="400" w:lineRule="exact"/>
        <w:rPr>
          <w:rFonts w:hint="eastAsia" w:ascii="宋体"/>
          <w:color w:val="auto"/>
          <w:szCs w:val="21"/>
          <w:highlight w:val="none"/>
        </w:rPr>
      </w:pPr>
      <w:r>
        <w:rPr>
          <w:rFonts w:hint="eastAsia" w:ascii="宋体"/>
          <w:color w:val="auto"/>
          <w:szCs w:val="21"/>
          <w:highlight w:val="none"/>
        </w:rPr>
        <w:t xml:space="preserve">    据此函，签字代表宣布同意如下：</w:t>
      </w:r>
    </w:p>
    <w:p w14:paraId="780F15D9">
      <w:pPr>
        <w:snapToGrid w:val="0"/>
        <w:spacing w:line="400" w:lineRule="exact"/>
        <w:rPr>
          <w:rFonts w:hint="eastAsia" w:ascii="宋体"/>
          <w:color w:val="auto"/>
          <w:szCs w:val="21"/>
          <w:highlight w:val="none"/>
        </w:rPr>
      </w:pPr>
      <w:r>
        <w:rPr>
          <w:rFonts w:hint="eastAsia" w:ascii="宋体"/>
          <w:color w:val="auto"/>
          <w:szCs w:val="21"/>
          <w:highlight w:val="none"/>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5237101A">
      <w:pPr>
        <w:snapToGrid w:val="0"/>
        <w:spacing w:line="400" w:lineRule="exact"/>
        <w:rPr>
          <w:rFonts w:hint="eastAsia" w:ascii="宋体"/>
          <w:color w:val="auto"/>
          <w:szCs w:val="21"/>
          <w:highlight w:val="none"/>
        </w:rPr>
      </w:pPr>
      <w:r>
        <w:rPr>
          <w:rFonts w:hint="eastAsia" w:ascii="宋体"/>
          <w:color w:val="auto"/>
          <w:szCs w:val="21"/>
          <w:highlight w:val="none"/>
        </w:rPr>
        <w:t xml:space="preserve">    2.投标人在投标之前已经与贵方进行了充分的沟通，完全理解并接受招标文件的各项规定和要求，对招标文件的合理性、合法性不再有异议。</w:t>
      </w:r>
    </w:p>
    <w:p w14:paraId="0D86498B">
      <w:pPr>
        <w:snapToGrid w:val="0"/>
        <w:spacing w:line="400" w:lineRule="exact"/>
        <w:rPr>
          <w:rFonts w:hint="eastAsia" w:ascii="宋体"/>
          <w:color w:val="auto"/>
          <w:szCs w:val="21"/>
          <w:highlight w:val="none"/>
        </w:rPr>
      </w:pPr>
      <w:r>
        <w:rPr>
          <w:rFonts w:hint="eastAsia" w:ascii="宋体"/>
          <w:color w:val="auto"/>
          <w:szCs w:val="21"/>
          <w:highlight w:val="none"/>
        </w:rPr>
        <w:t xml:space="preserve">    3.本投标有效期自提交投标文件截止之日起</w:t>
      </w:r>
      <w:r>
        <w:rPr>
          <w:rFonts w:hint="eastAsia" w:ascii="宋体"/>
          <w:color w:val="auto"/>
          <w:szCs w:val="21"/>
          <w:highlight w:val="none"/>
          <w:u w:val="single"/>
        </w:rPr>
        <w:t xml:space="preserve">         </w:t>
      </w:r>
      <w:r>
        <w:rPr>
          <w:rFonts w:hint="eastAsia" w:ascii="宋体"/>
          <w:color w:val="auto"/>
          <w:szCs w:val="21"/>
          <w:highlight w:val="none"/>
        </w:rPr>
        <w:t>天。</w:t>
      </w:r>
    </w:p>
    <w:p w14:paraId="5793F7DF">
      <w:pPr>
        <w:snapToGrid w:val="0"/>
        <w:spacing w:line="400" w:lineRule="exact"/>
        <w:rPr>
          <w:rFonts w:hint="eastAsia" w:ascii="宋体"/>
          <w:color w:val="auto"/>
          <w:szCs w:val="21"/>
          <w:highlight w:val="none"/>
        </w:rPr>
      </w:pPr>
      <w:r>
        <w:rPr>
          <w:rFonts w:hint="eastAsia" w:ascii="宋体"/>
          <w:color w:val="auto"/>
          <w:szCs w:val="21"/>
          <w:highlight w:val="none"/>
        </w:rPr>
        <w:t xml:space="preserve">    4.如中标，本投标文件至本项目合同履行完毕止均保持有效，本投标人将按“招标文件”及政府采购法律、法规的规定履行合同责任和义务。</w:t>
      </w:r>
    </w:p>
    <w:p w14:paraId="40B9EDB4">
      <w:pPr>
        <w:snapToGrid w:val="0"/>
        <w:spacing w:line="400" w:lineRule="exact"/>
        <w:rPr>
          <w:rFonts w:hint="eastAsia" w:ascii="宋体"/>
          <w:color w:val="auto"/>
          <w:szCs w:val="21"/>
          <w:highlight w:val="none"/>
        </w:rPr>
      </w:pPr>
      <w:r>
        <w:rPr>
          <w:rFonts w:hint="eastAsia" w:ascii="宋体"/>
          <w:color w:val="auto"/>
          <w:szCs w:val="21"/>
          <w:highlight w:val="none"/>
        </w:rPr>
        <w:t xml:space="preserve">    5.投标人同意按照贵方要求提供与投标有关的一切数据或资料。</w:t>
      </w:r>
    </w:p>
    <w:p w14:paraId="526FB1C9">
      <w:pPr>
        <w:snapToGrid w:val="0"/>
        <w:spacing w:line="400" w:lineRule="exact"/>
        <w:rPr>
          <w:rFonts w:hint="eastAsia" w:ascii="宋体"/>
          <w:color w:val="auto"/>
          <w:szCs w:val="21"/>
          <w:highlight w:val="none"/>
        </w:rPr>
      </w:pPr>
      <w:r>
        <w:rPr>
          <w:rFonts w:hint="eastAsia" w:ascii="宋体"/>
          <w:color w:val="auto"/>
          <w:szCs w:val="21"/>
          <w:highlight w:val="none"/>
        </w:rPr>
        <w:t xml:space="preserve">    6.与本投标有关的一切正式往来信函请寄：</w:t>
      </w:r>
    </w:p>
    <w:p w14:paraId="07532907">
      <w:pPr>
        <w:snapToGrid w:val="0"/>
        <w:spacing w:line="400" w:lineRule="exact"/>
        <w:rPr>
          <w:rFonts w:hint="eastAsia" w:ascii="宋体"/>
          <w:color w:val="auto"/>
          <w:szCs w:val="21"/>
          <w:highlight w:val="none"/>
        </w:rPr>
      </w:pPr>
    </w:p>
    <w:p w14:paraId="68FE2969">
      <w:pPr>
        <w:snapToGrid w:val="0"/>
        <w:spacing w:line="400" w:lineRule="exact"/>
        <w:rPr>
          <w:rFonts w:hint="eastAsia" w:ascii="宋体"/>
          <w:color w:val="auto"/>
          <w:szCs w:val="21"/>
          <w:highlight w:val="none"/>
          <w:u w:val="single"/>
        </w:rPr>
      </w:pPr>
      <w:r>
        <w:rPr>
          <w:rFonts w:hint="eastAsia" w:ascii="宋体"/>
          <w:color w:val="auto"/>
          <w:szCs w:val="21"/>
          <w:highlight w:val="none"/>
        </w:rPr>
        <w:t>地址：</w:t>
      </w:r>
      <w:r>
        <w:rPr>
          <w:rFonts w:hint="eastAsia" w:ascii="宋体"/>
          <w:color w:val="auto"/>
          <w:szCs w:val="21"/>
          <w:highlight w:val="none"/>
          <w:u w:val="single"/>
        </w:rPr>
        <w:t xml:space="preserve">                         </w:t>
      </w:r>
      <w:r>
        <w:rPr>
          <w:rFonts w:hint="eastAsia" w:ascii="宋体"/>
          <w:color w:val="auto"/>
          <w:szCs w:val="21"/>
          <w:highlight w:val="none"/>
        </w:rPr>
        <w:t>邮编：</w:t>
      </w:r>
      <w:r>
        <w:rPr>
          <w:rFonts w:hint="eastAsia" w:ascii="宋体"/>
          <w:color w:val="auto"/>
          <w:szCs w:val="21"/>
          <w:highlight w:val="none"/>
          <w:u w:val="single"/>
        </w:rPr>
        <w:t xml:space="preserve">            </w:t>
      </w:r>
      <w:r>
        <w:rPr>
          <w:rFonts w:hint="eastAsia" w:ascii="宋体"/>
          <w:color w:val="auto"/>
          <w:szCs w:val="21"/>
          <w:highlight w:val="none"/>
        </w:rPr>
        <w:t xml:space="preserve">   电话：</w:t>
      </w:r>
      <w:r>
        <w:rPr>
          <w:rFonts w:hint="eastAsia" w:ascii="宋体"/>
          <w:color w:val="auto"/>
          <w:szCs w:val="21"/>
          <w:highlight w:val="none"/>
          <w:u w:val="single"/>
        </w:rPr>
        <w:t xml:space="preserve">               </w:t>
      </w:r>
    </w:p>
    <w:p w14:paraId="02E127CA">
      <w:pPr>
        <w:snapToGrid w:val="0"/>
        <w:spacing w:line="400" w:lineRule="exact"/>
        <w:rPr>
          <w:rFonts w:hint="eastAsia" w:ascii="宋体"/>
          <w:color w:val="auto"/>
          <w:szCs w:val="21"/>
          <w:highlight w:val="none"/>
          <w:u w:val="single"/>
        </w:rPr>
      </w:pPr>
      <w:r>
        <w:rPr>
          <w:rFonts w:hint="eastAsia" w:ascii="宋体"/>
          <w:color w:val="auto"/>
          <w:szCs w:val="21"/>
          <w:highlight w:val="none"/>
        </w:rPr>
        <w:t>传真：</w:t>
      </w:r>
      <w:r>
        <w:rPr>
          <w:rFonts w:hint="eastAsia" w:ascii="宋体"/>
          <w:color w:val="auto"/>
          <w:szCs w:val="21"/>
          <w:highlight w:val="none"/>
          <w:u w:val="single"/>
        </w:rPr>
        <w:t xml:space="preserve">               </w:t>
      </w:r>
      <w:r>
        <w:rPr>
          <w:rFonts w:hint="eastAsia" w:ascii="宋体"/>
          <w:color w:val="auto"/>
          <w:szCs w:val="21"/>
          <w:highlight w:val="none"/>
        </w:rPr>
        <w:t>投标人代表姓名：</w:t>
      </w:r>
      <w:r>
        <w:rPr>
          <w:rFonts w:hint="eastAsia" w:ascii="宋体"/>
          <w:color w:val="auto"/>
          <w:szCs w:val="21"/>
          <w:highlight w:val="none"/>
          <w:u w:val="single"/>
        </w:rPr>
        <w:t xml:space="preserve">            </w:t>
      </w:r>
      <w:r>
        <w:rPr>
          <w:rFonts w:hint="eastAsia" w:ascii="宋体"/>
          <w:color w:val="auto"/>
          <w:szCs w:val="21"/>
          <w:highlight w:val="none"/>
        </w:rPr>
        <w:t xml:space="preserve">  职务：</w:t>
      </w:r>
      <w:r>
        <w:rPr>
          <w:rFonts w:hint="eastAsia" w:ascii="宋体"/>
          <w:color w:val="auto"/>
          <w:szCs w:val="21"/>
          <w:highlight w:val="none"/>
          <w:u w:val="single"/>
        </w:rPr>
        <w:t xml:space="preserve">               </w:t>
      </w:r>
    </w:p>
    <w:p w14:paraId="1D598F50">
      <w:pPr>
        <w:snapToGrid w:val="0"/>
        <w:spacing w:line="400" w:lineRule="exact"/>
        <w:rPr>
          <w:rFonts w:hint="eastAsia" w:ascii="宋体"/>
          <w:color w:val="auto"/>
          <w:szCs w:val="21"/>
          <w:highlight w:val="none"/>
        </w:rPr>
      </w:pPr>
      <w:r>
        <w:rPr>
          <w:rFonts w:hint="eastAsia" w:ascii="宋体"/>
          <w:color w:val="auto"/>
          <w:szCs w:val="21"/>
          <w:highlight w:val="none"/>
        </w:rPr>
        <w:t>开户银行：</w:t>
      </w:r>
      <w:r>
        <w:rPr>
          <w:rFonts w:hint="eastAsia" w:ascii="宋体"/>
          <w:color w:val="auto"/>
          <w:szCs w:val="21"/>
          <w:highlight w:val="none"/>
          <w:u w:val="single"/>
        </w:rPr>
        <w:t xml:space="preserve">                      </w:t>
      </w:r>
      <w:r>
        <w:rPr>
          <w:rFonts w:hint="eastAsia" w:ascii="宋体"/>
          <w:color w:val="auto"/>
          <w:szCs w:val="21"/>
          <w:highlight w:val="none"/>
        </w:rPr>
        <w:t xml:space="preserve">   银行账号：</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9B3C589">
      <w:pPr>
        <w:snapToGrid w:val="0"/>
        <w:spacing w:line="400" w:lineRule="exact"/>
        <w:rPr>
          <w:rFonts w:hint="eastAsia" w:ascii="宋体"/>
          <w:color w:val="auto"/>
          <w:szCs w:val="21"/>
          <w:highlight w:val="none"/>
        </w:rPr>
      </w:pPr>
    </w:p>
    <w:p w14:paraId="7FE3B7F9">
      <w:pPr>
        <w:snapToGrid w:val="0"/>
        <w:spacing w:line="400" w:lineRule="exact"/>
        <w:rPr>
          <w:rFonts w:hint="eastAsia" w:ascii="宋体"/>
          <w:color w:val="auto"/>
          <w:szCs w:val="21"/>
          <w:highlight w:val="none"/>
        </w:rPr>
      </w:pPr>
      <w:r>
        <w:rPr>
          <w:rFonts w:hint="eastAsia" w:ascii="宋体"/>
          <w:color w:val="auto"/>
          <w:szCs w:val="21"/>
          <w:highlight w:val="none"/>
        </w:rPr>
        <w:t>法定代表人（负责人）或委托代理人签字或盖章:</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1F7B1C26">
      <w:pPr>
        <w:snapToGrid w:val="0"/>
        <w:spacing w:line="400" w:lineRule="exact"/>
        <w:rPr>
          <w:rFonts w:hint="eastAsia" w:ascii="宋体"/>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zCs w:val="21"/>
          <w:highlight w:val="none"/>
        </w:rPr>
        <w:t>:</w:t>
      </w:r>
      <w:r>
        <w:rPr>
          <w:rFonts w:hint="eastAsia" w:ascii="宋体"/>
          <w:color w:val="auto"/>
          <w:szCs w:val="21"/>
          <w:highlight w:val="none"/>
          <w:u w:val="single"/>
        </w:rPr>
        <w:t xml:space="preserve">              </w:t>
      </w:r>
    </w:p>
    <w:p w14:paraId="0384BF4C">
      <w:pPr>
        <w:snapToGrid w:val="0"/>
        <w:spacing w:line="400" w:lineRule="exact"/>
        <w:jc w:val="left"/>
        <w:rPr>
          <w:rFonts w:hint="eastAsia" w:ascii="宋体"/>
          <w:color w:val="auto"/>
          <w:szCs w:val="21"/>
          <w:highlight w:val="none"/>
        </w:rPr>
      </w:pPr>
      <w:r>
        <w:rPr>
          <w:rFonts w:hint="eastAsia" w:ascii="宋体"/>
          <w:color w:val="auto"/>
          <w:szCs w:val="21"/>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25D58F11">
      <w:pPr>
        <w:rPr>
          <w:rFonts w:hint="eastAsia"/>
          <w:color w:val="auto"/>
          <w:highlight w:val="none"/>
        </w:rPr>
      </w:pPr>
    </w:p>
    <w:p w14:paraId="7A7CAB94">
      <w:pPr>
        <w:rPr>
          <w:rFonts w:hint="eastAsia"/>
          <w:color w:val="auto"/>
          <w:highlight w:val="none"/>
        </w:rPr>
      </w:pPr>
    </w:p>
    <w:p w14:paraId="2595C800">
      <w:pPr>
        <w:rPr>
          <w:rFonts w:hint="eastAsia"/>
          <w:color w:val="auto"/>
          <w:highlight w:val="none"/>
        </w:rPr>
      </w:pPr>
    </w:p>
    <w:p w14:paraId="2096245D">
      <w:pPr>
        <w:spacing w:line="720" w:lineRule="auto"/>
        <w:rPr>
          <w:rFonts w:hint="eastAsia"/>
          <w:color w:val="auto"/>
          <w:highlight w:val="none"/>
        </w:rPr>
      </w:pPr>
      <w:r>
        <w:rPr>
          <w:color w:val="auto"/>
          <w:highlight w:val="none"/>
        </w:rPr>
        <w:br w:type="page"/>
      </w:r>
      <w:r>
        <w:rPr>
          <w:rFonts w:hint="eastAsia"/>
          <w:color w:val="auto"/>
          <w:highlight w:val="none"/>
        </w:rPr>
        <w:t xml:space="preserve">    （2）投标报价明细表格式</w:t>
      </w:r>
    </w:p>
    <w:p w14:paraId="134F5219">
      <w:pPr>
        <w:spacing w:line="360" w:lineRule="exact"/>
        <w:jc w:val="center"/>
        <w:rPr>
          <w:rFonts w:hint="eastAsia"/>
          <w:b/>
          <w:color w:val="auto"/>
          <w:highlight w:val="none"/>
        </w:rPr>
      </w:pPr>
      <w:r>
        <w:rPr>
          <w:rFonts w:hint="eastAsia"/>
          <w:b/>
          <w:color w:val="auto"/>
          <w:highlight w:val="none"/>
        </w:rPr>
        <w:t>投标报价明细表</w:t>
      </w:r>
    </w:p>
    <w:p w14:paraId="5155C4F3">
      <w:pPr>
        <w:ind w:firstLine="420" w:firstLineChars="200"/>
        <w:rPr>
          <w:rFonts w:hint="eastAsia"/>
          <w:color w:val="auto"/>
          <w:highlight w:val="none"/>
        </w:rPr>
      </w:pPr>
      <w:r>
        <w:rPr>
          <w:rFonts w:hint="eastAsia"/>
          <w:color w:val="auto"/>
          <w:highlight w:val="none"/>
        </w:rPr>
        <w:t xml:space="preserve">    分标号（如有）：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381"/>
        <w:gridCol w:w="3183"/>
        <w:gridCol w:w="2041"/>
        <w:gridCol w:w="1244"/>
      </w:tblGrid>
      <w:tr w14:paraId="5F05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22C9D1B">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2381" w:type="dxa"/>
            <w:tcBorders>
              <w:top w:val="single" w:color="auto" w:sz="4" w:space="0"/>
              <w:left w:val="single" w:color="auto" w:sz="4" w:space="0"/>
              <w:bottom w:val="single" w:color="auto" w:sz="4" w:space="0"/>
              <w:right w:val="single" w:color="auto" w:sz="4" w:space="0"/>
            </w:tcBorders>
            <w:noWrap w:val="0"/>
            <w:vAlign w:val="center"/>
          </w:tcPr>
          <w:p w14:paraId="3BDF0393">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3183" w:type="dxa"/>
            <w:tcBorders>
              <w:top w:val="single" w:color="auto" w:sz="4" w:space="0"/>
              <w:left w:val="single" w:color="auto" w:sz="4" w:space="0"/>
              <w:bottom w:val="single" w:color="auto" w:sz="4" w:space="0"/>
              <w:right w:val="single" w:color="auto" w:sz="4" w:space="0"/>
            </w:tcBorders>
            <w:noWrap w:val="0"/>
            <w:vAlign w:val="center"/>
          </w:tcPr>
          <w:p w14:paraId="224FB0D0">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FAF3413">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投标报价（元）</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206353D">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46F54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25904E02">
            <w:pPr>
              <w:jc w:val="center"/>
              <w:rPr>
                <w:rFonts w:hint="eastAsia"/>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6EF0887D">
            <w:pPr>
              <w:jc w:val="center"/>
              <w:rPr>
                <w:rFonts w:hint="eastAsia"/>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58FE6171">
            <w:pPr>
              <w:jc w:val="center"/>
              <w:rPr>
                <w:rFonts w:hint="eastAsia"/>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31D6C3C">
            <w:pPr>
              <w:jc w:val="center"/>
              <w:rPr>
                <w:rFonts w:hint="eastAsia"/>
                <w:color w:val="auto"/>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C56EA3E">
            <w:pPr>
              <w:jc w:val="center"/>
              <w:rPr>
                <w:rFonts w:hint="eastAsia"/>
                <w:color w:val="auto"/>
                <w:highlight w:val="none"/>
              </w:rPr>
            </w:pPr>
          </w:p>
        </w:tc>
      </w:tr>
      <w:tr w14:paraId="79590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59CA78F9">
            <w:pPr>
              <w:jc w:val="center"/>
              <w:rPr>
                <w:rFonts w:hint="eastAsia"/>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55D5AEF3">
            <w:pPr>
              <w:jc w:val="center"/>
              <w:rPr>
                <w:rFonts w:hint="eastAsia"/>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12A00B07">
            <w:pPr>
              <w:jc w:val="center"/>
              <w:rPr>
                <w:rFonts w:hint="eastAsia"/>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4F384F5">
            <w:pPr>
              <w:jc w:val="center"/>
              <w:rPr>
                <w:rFonts w:hint="eastAsia"/>
                <w:color w:val="auto"/>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1274BC6">
            <w:pPr>
              <w:jc w:val="center"/>
              <w:rPr>
                <w:rFonts w:hint="eastAsia"/>
                <w:color w:val="auto"/>
                <w:highlight w:val="none"/>
              </w:rPr>
            </w:pPr>
          </w:p>
        </w:tc>
      </w:tr>
      <w:tr w14:paraId="63A48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9D274F9">
            <w:pPr>
              <w:jc w:val="center"/>
              <w:rPr>
                <w:rFonts w:hint="eastAsia"/>
                <w:color w:val="auto"/>
                <w:highlight w:val="none"/>
              </w:rPr>
            </w:pPr>
          </w:p>
        </w:tc>
        <w:tc>
          <w:tcPr>
            <w:tcW w:w="2381" w:type="dxa"/>
            <w:tcBorders>
              <w:top w:val="single" w:color="auto" w:sz="4" w:space="0"/>
              <w:left w:val="single" w:color="auto" w:sz="4" w:space="0"/>
              <w:bottom w:val="single" w:color="auto" w:sz="4" w:space="0"/>
              <w:right w:val="single" w:color="auto" w:sz="4" w:space="0"/>
            </w:tcBorders>
            <w:noWrap w:val="0"/>
            <w:vAlign w:val="center"/>
          </w:tcPr>
          <w:p w14:paraId="2A5BD29F">
            <w:pPr>
              <w:jc w:val="center"/>
              <w:rPr>
                <w:rFonts w:hint="eastAsia"/>
                <w:color w:val="auto"/>
                <w:highlight w:val="none"/>
              </w:rPr>
            </w:pPr>
          </w:p>
        </w:tc>
        <w:tc>
          <w:tcPr>
            <w:tcW w:w="3183" w:type="dxa"/>
            <w:tcBorders>
              <w:top w:val="single" w:color="auto" w:sz="4" w:space="0"/>
              <w:left w:val="single" w:color="auto" w:sz="4" w:space="0"/>
              <w:bottom w:val="single" w:color="auto" w:sz="4" w:space="0"/>
              <w:right w:val="single" w:color="auto" w:sz="4" w:space="0"/>
            </w:tcBorders>
            <w:noWrap w:val="0"/>
            <w:vAlign w:val="center"/>
          </w:tcPr>
          <w:p w14:paraId="35EC37F9">
            <w:pPr>
              <w:jc w:val="center"/>
              <w:rPr>
                <w:rFonts w:hint="eastAsia"/>
                <w:color w:val="auto"/>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288C8AE">
            <w:pPr>
              <w:jc w:val="center"/>
              <w:rPr>
                <w:rFonts w:hint="eastAsia"/>
                <w:color w:val="auto"/>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5477A4B">
            <w:pPr>
              <w:jc w:val="center"/>
              <w:rPr>
                <w:rFonts w:hint="eastAsia"/>
                <w:color w:val="auto"/>
                <w:highlight w:val="none"/>
              </w:rPr>
            </w:pPr>
          </w:p>
        </w:tc>
      </w:tr>
      <w:tr w14:paraId="4E64B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579" w:type="dxa"/>
            <w:gridSpan w:val="5"/>
            <w:tcBorders>
              <w:top w:val="single" w:color="auto" w:sz="4" w:space="0"/>
              <w:left w:val="single" w:color="auto" w:sz="4" w:space="0"/>
              <w:bottom w:val="single" w:color="auto" w:sz="4" w:space="0"/>
              <w:right w:val="single" w:color="auto" w:sz="4" w:space="0"/>
            </w:tcBorders>
            <w:noWrap w:val="0"/>
            <w:vAlign w:val="center"/>
          </w:tcPr>
          <w:p w14:paraId="7F031DE6">
            <w:pPr>
              <w:snapToGrid w:val="0"/>
              <w:spacing w:before="50" w:after="50" w:line="360" w:lineRule="exact"/>
              <w:rPr>
                <w:rFonts w:hint="eastAsia" w:ascii="宋体" w:hAnsi="宋体"/>
                <w:color w:val="auto"/>
                <w:szCs w:val="21"/>
                <w:highlight w:val="none"/>
                <w:u w:val="single"/>
              </w:rPr>
            </w:pPr>
            <w:r>
              <w:rPr>
                <w:rFonts w:hint="eastAsia" w:hAnsi="宋体"/>
                <w:color w:val="auto"/>
                <w:highlight w:val="none"/>
              </w:rPr>
              <w:t>投标总价（</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14:paraId="00145B06">
      <w:pPr>
        <w:rPr>
          <w:rFonts w:hint="eastAsia"/>
          <w:color w:val="auto"/>
          <w:highlight w:val="none"/>
        </w:rPr>
      </w:pPr>
    </w:p>
    <w:p w14:paraId="6A15D44D">
      <w:pPr>
        <w:snapToGrid w:val="0"/>
        <w:spacing w:before="50" w:after="50" w:line="360" w:lineRule="exact"/>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3703A6A8">
      <w:pPr>
        <w:rPr>
          <w:rFonts w:hint="eastAsia"/>
          <w:color w:val="auto"/>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6CFD79CF">
      <w:pPr>
        <w:rPr>
          <w:rFonts w:hint="eastAsia"/>
          <w:color w:val="auto"/>
          <w:highlight w:val="none"/>
        </w:rPr>
      </w:pPr>
    </w:p>
    <w:p w14:paraId="6E6786AE">
      <w:pPr>
        <w:rPr>
          <w:color w:val="auto"/>
          <w:highlight w:val="none"/>
        </w:rPr>
      </w:pPr>
    </w:p>
    <w:p w14:paraId="76DA6FAB">
      <w:pPr>
        <w:rPr>
          <w:color w:val="auto"/>
          <w:highlight w:val="none"/>
        </w:rPr>
      </w:pPr>
    </w:p>
    <w:p w14:paraId="609A231C">
      <w:pPr>
        <w:rPr>
          <w:color w:val="auto"/>
          <w:highlight w:val="none"/>
        </w:rPr>
      </w:pPr>
    </w:p>
    <w:p w14:paraId="52A982ED">
      <w:pPr>
        <w:rPr>
          <w:color w:val="auto"/>
          <w:highlight w:val="none"/>
        </w:rPr>
      </w:pPr>
    </w:p>
    <w:p w14:paraId="36617A8B">
      <w:pPr>
        <w:rPr>
          <w:color w:val="auto"/>
          <w:highlight w:val="none"/>
        </w:rPr>
      </w:pPr>
    </w:p>
    <w:p w14:paraId="11157204">
      <w:pPr>
        <w:rPr>
          <w:color w:val="auto"/>
          <w:highlight w:val="none"/>
        </w:rPr>
      </w:pPr>
    </w:p>
    <w:p w14:paraId="2FE90E62">
      <w:pPr>
        <w:rPr>
          <w:color w:val="auto"/>
          <w:highlight w:val="none"/>
        </w:rPr>
      </w:pPr>
    </w:p>
    <w:p w14:paraId="025F8236">
      <w:pPr>
        <w:rPr>
          <w:rFonts w:hint="eastAsia"/>
          <w:color w:val="auto"/>
          <w:highlight w:val="none"/>
        </w:rPr>
      </w:pPr>
    </w:p>
    <w:p w14:paraId="41A6C05B">
      <w:pPr>
        <w:rPr>
          <w:rFonts w:hint="eastAsia"/>
          <w:color w:val="auto"/>
          <w:highlight w:val="none"/>
        </w:rPr>
      </w:pPr>
      <w:r>
        <w:rPr>
          <w:rFonts w:hint="eastAsia"/>
          <w:color w:val="auto"/>
          <w:highlight w:val="none"/>
        </w:rPr>
        <w:t xml:space="preserve">    （3）投标人针对报价需要说明的其他文件和说明（格式自拟）</w:t>
      </w:r>
    </w:p>
    <w:p w14:paraId="393A821B">
      <w:pPr>
        <w:spacing w:line="720" w:lineRule="auto"/>
        <w:rPr>
          <w:color w:val="auto"/>
          <w:highlight w:val="none"/>
        </w:rPr>
      </w:pPr>
      <w:r>
        <w:rPr>
          <w:rFonts w:hint="eastAsia"/>
          <w:color w:val="auto"/>
          <w:highlight w:val="none"/>
        </w:rPr>
        <w:t xml:space="preserve">    </w:t>
      </w:r>
    </w:p>
    <w:p w14:paraId="3AA0A691">
      <w:pPr>
        <w:spacing w:line="720" w:lineRule="auto"/>
        <w:rPr>
          <w:rFonts w:hint="eastAsia"/>
          <w:b/>
          <w:color w:val="auto"/>
          <w:highlight w:val="none"/>
        </w:rPr>
      </w:pPr>
      <w:r>
        <w:rPr>
          <w:color w:val="auto"/>
          <w:highlight w:val="none"/>
        </w:rPr>
        <w:br w:type="page"/>
      </w:r>
      <w:r>
        <w:rPr>
          <w:rFonts w:hint="eastAsia"/>
          <w:b/>
          <w:color w:val="auto"/>
          <w:highlight w:val="none"/>
        </w:rPr>
        <w:t>（4）开标一览表</w:t>
      </w:r>
    </w:p>
    <w:p w14:paraId="0D8B17A4">
      <w:pPr>
        <w:jc w:val="center"/>
        <w:rPr>
          <w:rFonts w:hint="eastAsia"/>
          <w:b/>
          <w:color w:val="auto"/>
          <w:highlight w:val="none"/>
        </w:rPr>
      </w:pPr>
      <w:r>
        <w:rPr>
          <w:rFonts w:hint="eastAsia"/>
          <w:b/>
          <w:color w:val="auto"/>
          <w:highlight w:val="none"/>
        </w:rPr>
        <w:t>开标一览表</w:t>
      </w:r>
    </w:p>
    <w:p w14:paraId="0F9CCA4E">
      <w:pPr>
        <w:spacing w:line="360" w:lineRule="exact"/>
        <w:rPr>
          <w:rFonts w:hint="eastAsia"/>
          <w:color w:val="auto"/>
          <w:highlight w:val="none"/>
        </w:rPr>
      </w:pPr>
      <w:r>
        <w:rPr>
          <w:rFonts w:hint="eastAsia"/>
          <w:color w:val="auto"/>
          <w:highlight w:val="none"/>
        </w:rPr>
        <w:t>采购项目名称：</w:t>
      </w:r>
    </w:p>
    <w:p w14:paraId="5CEEEEC6">
      <w:pPr>
        <w:spacing w:line="360" w:lineRule="exact"/>
        <w:rPr>
          <w:rFonts w:hint="eastAsia"/>
          <w:color w:val="auto"/>
          <w:highlight w:val="none"/>
        </w:rPr>
      </w:pPr>
      <w:r>
        <w:rPr>
          <w:rFonts w:hint="eastAsia"/>
          <w:color w:val="auto"/>
          <w:highlight w:val="none"/>
        </w:rPr>
        <w:t>采购项目编号：</w:t>
      </w:r>
    </w:p>
    <w:p w14:paraId="0D7834A3">
      <w:pPr>
        <w:spacing w:line="360" w:lineRule="exact"/>
        <w:rPr>
          <w:rFonts w:hint="eastAsia"/>
          <w:color w:val="auto"/>
          <w:highlight w:val="none"/>
        </w:rPr>
      </w:pPr>
      <w:r>
        <w:rPr>
          <w:rFonts w:hint="eastAsia"/>
          <w:color w:val="auto"/>
          <w:highlight w:val="none"/>
        </w:rPr>
        <w:t>分标号（如有）：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412"/>
        <w:gridCol w:w="3224"/>
        <w:gridCol w:w="2068"/>
        <w:gridCol w:w="1256"/>
      </w:tblGrid>
      <w:tr w14:paraId="6ED3A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7209AA3">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20AB1367">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3224" w:type="dxa"/>
            <w:tcBorders>
              <w:top w:val="single" w:color="auto" w:sz="4" w:space="0"/>
              <w:left w:val="single" w:color="auto" w:sz="4" w:space="0"/>
              <w:bottom w:val="single" w:color="auto" w:sz="4" w:space="0"/>
              <w:right w:val="single" w:color="auto" w:sz="4" w:space="0"/>
            </w:tcBorders>
            <w:noWrap w:val="0"/>
            <w:vAlign w:val="center"/>
          </w:tcPr>
          <w:p w14:paraId="5632C1BF">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068" w:type="dxa"/>
            <w:tcBorders>
              <w:top w:val="single" w:color="auto" w:sz="4" w:space="0"/>
              <w:left w:val="single" w:color="auto" w:sz="4" w:space="0"/>
              <w:bottom w:val="single" w:color="auto" w:sz="4" w:space="0"/>
              <w:right w:val="single" w:color="auto" w:sz="4" w:space="0"/>
            </w:tcBorders>
            <w:noWrap w:val="0"/>
            <w:vAlign w:val="center"/>
          </w:tcPr>
          <w:p w14:paraId="0D47CBDE">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投标报价（元）</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286D62D">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7D500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F76EAA6">
            <w:pPr>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6E8B6E0B">
            <w:pPr>
              <w:jc w:val="center"/>
              <w:rPr>
                <w:rFonts w:hint="eastAsia"/>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50E792B5">
            <w:pPr>
              <w:jc w:val="center"/>
              <w:rPr>
                <w:rFonts w:hint="eastAsia"/>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46306AB2">
            <w:pPr>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82886C2">
            <w:pPr>
              <w:jc w:val="center"/>
              <w:rPr>
                <w:rFonts w:hint="eastAsia"/>
                <w:color w:val="auto"/>
                <w:highlight w:val="none"/>
              </w:rPr>
            </w:pPr>
          </w:p>
        </w:tc>
      </w:tr>
      <w:tr w14:paraId="615C5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38BFE98">
            <w:pPr>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56F19BAA">
            <w:pPr>
              <w:jc w:val="center"/>
              <w:rPr>
                <w:rFonts w:hint="eastAsia"/>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BF3E455">
            <w:pPr>
              <w:jc w:val="center"/>
              <w:rPr>
                <w:rFonts w:hint="eastAsia"/>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9496B83">
            <w:pPr>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C05C813">
            <w:pPr>
              <w:jc w:val="center"/>
              <w:rPr>
                <w:rFonts w:hint="eastAsia"/>
                <w:color w:val="auto"/>
                <w:highlight w:val="none"/>
              </w:rPr>
            </w:pPr>
          </w:p>
        </w:tc>
      </w:tr>
      <w:tr w14:paraId="3771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9780FF8">
            <w:pPr>
              <w:jc w:val="center"/>
              <w:rPr>
                <w:rFonts w:hint="eastAsia"/>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14:paraId="7B63CB89">
            <w:pPr>
              <w:jc w:val="center"/>
              <w:rPr>
                <w:rFonts w:hint="eastAsia"/>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5CC87E78">
            <w:pPr>
              <w:jc w:val="center"/>
              <w:rPr>
                <w:rFonts w:hint="eastAsia"/>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67E0EA51">
            <w:pPr>
              <w:jc w:val="center"/>
              <w:rPr>
                <w:rFonts w:hint="eastAsia"/>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826DFCE">
            <w:pPr>
              <w:jc w:val="center"/>
              <w:rPr>
                <w:rFonts w:hint="eastAsia"/>
                <w:color w:val="auto"/>
                <w:highlight w:val="none"/>
              </w:rPr>
            </w:pPr>
          </w:p>
        </w:tc>
      </w:tr>
      <w:tr w14:paraId="614FA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6AAADC9E">
            <w:pPr>
              <w:snapToGrid w:val="0"/>
              <w:spacing w:before="50" w:after="50" w:line="360" w:lineRule="exact"/>
              <w:rPr>
                <w:rFonts w:hint="eastAsia" w:ascii="宋体" w:hAnsi="宋体"/>
                <w:color w:val="auto"/>
                <w:szCs w:val="21"/>
                <w:highlight w:val="none"/>
                <w:u w:val="single"/>
              </w:rPr>
            </w:pPr>
            <w:r>
              <w:rPr>
                <w:rFonts w:hint="eastAsia" w:hAnsi="宋体"/>
                <w:color w:val="auto"/>
                <w:highlight w:val="none"/>
              </w:rPr>
              <w:t>投标总价（</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14:paraId="6CE780A7">
      <w:pPr>
        <w:spacing w:line="360" w:lineRule="exact"/>
        <w:rPr>
          <w:rFonts w:hint="eastAsia"/>
          <w:color w:val="auto"/>
          <w:highlight w:val="none"/>
        </w:rPr>
      </w:pPr>
      <w:r>
        <w:rPr>
          <w:rFonts w:hint="eastAsia"/>
          <w:color w:val="auto"/>
          <w:highlight w:val="none"/>
        </w:rPr>
        <w:t>注：1.报价一经涂改，应在涂改处加盖单位公章或者由法定代表人（负责人）或授权委托人签字或盖章，否则其投标作无效标处理。</w:t>
      </w:r>
    </w:p>
    <w:p w14:paraId="7F3CA828">
      <w:pPr>
        <w:spacing w:line="360" w:lineRule="exact"/>
        <w:ind w:firstLine="420" w:firstLineChars="200"/>
        <w:rPr>
          <w:rFonts w:hint="eastAsia"/>
          <w:color w:val="auto"/>
          <w:highlight w:val="none"/>
        </w:rPr>
      </w:pPr>
      <w:r>
        <w:rPr>
          <w:rFonts w:hint="eastAsia"/>
          <w:color w:val="auto"/>
          <w:highlight w:val="none"/>
        </w:rPr>
        <w:t>2.开标一览表中的“服务项目名称”、“服务内容”、“投标报价”、“</w:t>
      </w:r>
      <w:r>
        <w:rPr>
          <w:rFonts w:hint="eastAsia" w:hAnsi="宋体"/>
          <w:color w:val="auto"/>
          <w:highlight w:val="none"/>
        </w:rPr>
        <w:t>投标总价</w:t>
      </w:r>
      <w:r>
        <w:rPr>
          <w:rFonts w:hint="eastAsia"/>
          <w:color w:val="auto"/>
          <w:highlight w:val="none"/>
        </w:rPr>
        <w:t>”必须填写。</w:t>
      </w:r>
    </w:p>
    <w:p w14:paraId="517F08FD">
      <w:pPr>
        <w:spacing w:line="360" w:lineRule="exact"/>
        <w:rPr>
          <w:rFonts w:hint="eastAsia"/>
          <w:color w:val="auto"/>
          <w:highlight w:val="none"/>
        </w:rPr>
      </w:pPr>
      <w:r>
        <w:rPr>
          <w:rFonts w:hint="eastAsia"/>
          <w:color w:val="auto"/>
          <w:highlight w:val="none"/>
        </w:rPr>
        <w:t xml:space="preserve">    3.投标费用包括项目实施所需的人工费、服务费、运输费、安装调试费、获取及制作标书费、税费及其他一切费用。</w:t>
      </w:r>
    </w:p>
    <w:p w14:paraId="11138801">
      <w:pPr>
        <w:spacing w:line="360" w:lineRule="exact"/>
        <w:rPr>
          <w:rFonts w:hint="eastAsia"/>
          <w:color w:val="auto"/>
          <w:highlight w:val="none"/>
        </w:rPr>
      </w:pPr>
      <w:r>
        <w:rPr>
          <w:rFonts w:hint="eastAsia"/>
          <w:color w:val="auto"/>
          <w:highlight w:val="none"/>
        </w:rPr>
        <w:t xml:space="preserve">    4.以上报价应与“投标报价明细表”中的“投标总价”相一致。</w:t>
      </w:r>
    </w:p>
    <w:p w14:paraId="55248A61">
      <w:pPr>
        <w:spacing w:line="360" w:lineRule="exact"/>
        <w:rPr>
          <w:rFonts w:hint="eastAsia"/>
          <w:color w:val="auto"/>
          <w:highlight w:val="none"/>
        </w:rPr>
      </w:pPr>
      <w:r>
        <w:rPr>
          <w:rFonts w:hint="eastAsia"/>
          <w:color w:val="auto"/>
          <w:highlight w:val="none"/>
        </w:rPr>
        <w:t xml:space="preserve">    5.联合体投标时，开标一览表中投标人名称必须注明联合体并加盖联合体各方公章，同时须提供联合协议。</w:t>
      </w:r>
    </w:p>
    <w:p w14:paraId="683857EE">
      <w:pPr>
        <w:spacing w:line="360" w:lineRule="exact"/>
        <w:rPr>
          <w:rFonts w:hint="eastAsia"/>
          <w:color w:val="auto"/>
          <w:highlight w:val="none"/>
        </w:rPr>
      </w:pPr>
      <w:r>
        <w:rPr>
          <w:rFonts w:hint="eastAsia"/>
          <w:color w:val="auto"/>
          <w:highlight w:val="none"/>
        </w:rPr>
        <w:t xml:space="preserve">    6.项目中有多个分标的，每一分标的开标一览表必须分别按格式要求填写并签字、盖章。</w:t>
      </w:r>
    </w:p>
    <w:p w14:paraId="1C59CED4">
      <w:pPr>
        <w:snapToGrid w:val="0"/>
        <w:spacing w:before="50" w:after="50" w:line="360" w:lineRule="exact"/>
        <w:ind w:left="-2" w:leftChars="-1" w:right="-817" w:rightChars="-389" w:firstLine="420" w:firstLineChars="200"/>
        <w:rPr>
          <w:rFonts w:hint="eastAsia" w:ascii="宋体" w:hAnsi="宋体"/>
          <w:color w:val="auto"/>
          <w:szCs w:val="21"/>
          <w:highlight w:val="none"/>
        </w:rPr>
      </w:pPr>
    </w:p>
    <w:p w14:paraId="75FC52D2">
      <w:pPr>
        <w:snapToGrid w:val="0"/>
        <w:spacing w:before="50" w:after="50" w:line="360" w:lineRule="exact"/>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法定代表人(负责人)或委托代理人（签字或盖章）：</w:t>
      </w:r>
      <w:r>
        <w:rPr>
          <w:rFonts w:hint="eastAsia" w:ascii="宋体" w:hAnsi="宋体"/>
          <w:color w:val="auto"/>
          <w:szCs w:val="21"/>
          <w:highlight w:val="none"/>
          <w:u w:val="single"/>
        </w:rPr>
        <w:t xml:space="preserve">                   </w:t>
      </w:r>
    </w:p>
    <w:p w14:paraId="1BD1F445">
      <w:pPr>
        <w:snapToGrid w:val="0"/>
        <w:spacing w:before="50" w:after="50" w:line="360" w:lineRule="exact"/>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r>
        <w:rPr>
          <w:rFonts w:hint="eastAsia" w:ascii="宋体" w:hAnsi="宋体"/>
          <w:color w:val="auto"/>
          <w:szCs w:val="21"/>
          <w:highlight w:val="none"/>
          <w:u w:val="single"/>
        </w:rPr>
        <w:t xml:space="preserve">                               </w:t>
      </w:r>
    </w:p>
    <w:p w14:paraId="65B317A6">
      <w:pPr>
        <w:snapToGrid w:val="0"/>
        <w:spacing w:before="50" w:after="50" w:line="360" w:lineRule="exact"/>
        <w:ind w:right="-817" w:rightChars="-389" w:firstLine="420"/>
        <w:rPr>
          <w:rFonts w:hint="eastAsia" w:ascii="宋体" w:hAnsi="宋体"/>
          <w:color w:val="auto"/>
          <w:szCs w:val="21"/>
          <w:highlight w:val="none"/>
        </w:rPr>
      </w:pPr>
      <w:r>
        <w:rPr>
          <w:rFonts w:hint="eastAsia" w:ascii="宋体" w:hAnsi="宋体"/>
          <w:color w:val="auto"/>
          <w:szCs w:val="21"/>
          <w:highlight w:val="none"/>
        </w:rPr>
        <w:t>日期：    年    月    日</w:t>
      </w:r>
    </w:p>
    <w:p w14:paraId="57736C2D">
      <w:pPr>
        <w:snapToGrid w:val="0"/>
        <w:spacing w:before="50" w:after="50" w:line="340" w:lineRule="exact"/>
        <w:ind w:right="-817" w:rightChars="-389"/>
        <w:jc w:val="both"/>
        <w:rPr>
          <w:rFonts w:hint="eastAsia" w:ascii="宋体"/>
          <w:color w:val="auto"/>
          <w:szCs w:val="21"/>
          <w:highlight w:val="none"/>
        </w:rPr>
      </w:pPr>
    </w:p>
    <w:sectPr>
      <w:footerReference r:id="rId8" w:type="first"/>
      <w:headerReference r:id="rId6" w:type="default"/>
      <w:footerReference r:id="rId7" w:type="default"/>
      <w:pgSz w:w="11906" w:h="16838"/>
      <w:pgMar w:top="1440" w:right="1083" w:bottom="1440" w:left="1083" w:header="1134" w:footer="590" w:gutter="0"/>
      <w:pgBorders>
        <w:top w:val="none" w:sz="0" w:space="0"/>
        <w:left w:val="none" w:sz="0" w:space="0"/>
        <w:bottom w:val="none" w:sz="0" w:space="0"/>
        <w:right w:val="none" w:sz="0" w:space="0"/>
      </w:pgBorders>
      <w:pgNumType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创艺简黑体">
    <w:altName w:val="黑体"/>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6E9A">
    <w:pPr>
      <w:pStyle w:val="33"/>
      <w:framePr w:wrap="around" w:vAnchor="text" w:hAnchor="margin" w:xAlign="center" w:y="1"/>
      <w:rPr>
        <w:rStyle w:val="52"/>
      </w:rPr>
    </w:pPr>
    <w:r>
      <w:fldChar w:fldCharType="begin"/>
    </w:r>
    <w:r>
      <w:rPr>
        <w:rStyle w:val="52"/>
      </w:rPr>
      <w:instrText xml:space="preserve">PAGE  </w:instrText>
    </w:r>
    <w:r>
      <w:fldChar w:fldCharType="separate"/>
    </w:r>
    <w:r>
      <w:t xml:space="preserve"> </w:t>
    </w:r>
    <w:r>
      <w:fldChar w:fldCharType="end"/>
    </w:r>
  </w:p>
  <w:p w14:paraId="7469C93E">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7AC2">
    <w:pPr>
      <w:pStyle w:val="33"/>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779A">
    <w:pPr>
      <w:pStyle w:val="33"/>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7CCE50D5">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995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8CB39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vSG/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Xdqo2Aq4m0PAdlKXscIIOxXG8SWe06rF/Xjqp6zH&#10;32vz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Fr0hv1AEAAKYDAAAOAAAAAAAAAAEAIAAA&#10;ACIBAABkcnMvZTJvRG9jLnhtbFBLBQYAAAAABgAGAFkBAABoBQAAAAA=&#10;">
              <v:fill on="f" focussize="0,0"/>
              <v:stroke on="f" weight="1.25pt"/>
              <v:imagedata o:title=""/>
              <o:lock v:ext="edit" aspectratio="f"/>
              <v:textbox inset="0mm,0mm,0mm,0mm" style="mso-fit-shape-to-text:t;">
                <w:txbxContent>
                  <w:p w14:paraId="7F8CB39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0B04">
    <w:pPr>
      <w:pStyle w:val="34"/>
      <w:pBdr>
        <w:bottom w:val="single" w:color="auto" w:sz="4" w:space="0"/>
      </w:pBdr>
      <w:jc w:val="right"/>
      <w:rPr>
        <w:rFonts w:hint="eastAsia" w:eastAsia="宋体"/>
        <w:lang w:eastAsia="zh-CN"/>
      </w:rPr>
    </w:pPr>
    <w:r>
      <w:rPr>
        <w:rFonts w:hint="eastAsia" w:ascii="宋体" w:hAnsi="宋体" w:cs="宋体"/>
        <w:lang w:eastAsia="zh-CN"/>
      </w:rPr>
      <w:t>广西博物馆陈列大楼沉浸式夜游光影项目</w:t>
    </w:r>
    <w:r>
      <w:rPr>
        <w:rFonts w:hint="eastAsia" w:ascii="宋体" w:hAnsi="宋体" w:eastAsia="宋体" w:cs="宋体"/>
        <w:lang w:eastAsia="zh-CN"/>
      </w:rPr>
      <w:t>（</w:t>
    </w:r>
    <w:r>
      <w:rPr>
        <w:rFonts w:hint="eastAsia" w:ascii="宋体" w:hAnsi="宋体" w:cs="宋体"/>
        <w:lang w:eastAsia="zh-CN"/>
      </w:rPr>
      <w:t>GXZC2026-G3-000585-GLZB</w:t>
    </w:r>
    <w:r>
      <w:rPr>
        <w:rFonts w:hint="eastAsia" w:ascii="宋体" w:hAnsi="宋体" w:eastAsia="宋体" w:cs="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BD0F">
    <w:pPr>
      <w:pStyle w:val="34"/>
      <w:wordWrap w:val="0"/>
      <w:jc w:val="right"/>
      <w:rPr>
        <w:rFonts w:hint="eastAsia" w:ascii="宋体" w:hAnsi="宋体" w:eastAsia="宋体" w:cs="宋体"/>
        <w:color w:val="FF0000"/>
      </w:rPr>
    </w:pPr>
    <w:r>
      <w:rPr>
        <w:rFonts w:hint="eastAsia" w:ascii="宋体" w:hAnsi="宋体" w:eastAsia="宋体" w:cs="宋体"/>
        <w:color w:val="FF0000"/>
      </w:rPr>
      <w:t xml:space="preserve"> </w:t>
    </w:r>
    <w:r>
      <w:rPr>
        <w:rFonts w:hint="eastAsia" w:ascii="宋体" w:hAnsi="宋体" w:cs="宋体"/>
        <w:color w:val="auto"/>
        <w:lang w:eastAsia="zh-CN"/>
      </w:rPr>
      <w:t>广西博物馆陈列大楼沉浸式夜游光影项目</w:t>
    </w:r>
    <w:r>
      <w:rPr>
        <w:rFonts w:hint="eastAsia" w:ascii="宋体" w:hAnsi="宋体" w:eastAsia="宋体" w:cs="宋体"/>
        <w:color w:val="auto"/>
      </w:rPr>
      <w:t>（</w:t>
    </w:r>
    <w:r>
      <w:rPr>
        <w:rFonts w:hint="eastAsia" w:ascii="宋体" w:hAnsi="宋体" w:cs="宋体"/>
        <w:color w:val="auto"/>
        <w:lang w:eastAsia="zh-CN"/>
      </w:rPr>
      <w:t>GXZC2026-G3-000585-GLZB</w:t>
    </w:r>
    <w:r>
      <w:rPr>
        <w:rFonts w:hint="eastAsia" w:ascii="宋体" w:hAnsi="宋体" w:eastAsia="宋体" w:cs="宋体"/>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ZGU5YTk5NTc0NmEwNTg5MWNhZWEzNDNmZWRjZDIifQ=="/>
  </w:docVars>
  <w:rsids>
    <w:rsidRoot w:val="00172A27"/>
    <w:rsid w:val="0000123D"/>
    <w:rsid w:val="00002D52"/>
    <w:rsid w:val="00005084"/>
    <w:rsid w:val="0000581B"/>
    <w:rsid w:val="00005A3C"/>
    <w:rsid w:val="00005B8D"/>
    <w:rsid w:val="00015EC6"/>
    <w:rsid w:val="00020778"/>
    <w:rsid w:val="00020EFF"/>
    <w:rsid w:val="000254EE"/>
    <w:rsid w:val="000266D5"/>
    <w:rsid w:val="00031801"/>
    <w:rsid w:val="000340C9"/>
    <w:rsid w:val="000359F4"/>
    <w:rsid w:val="00035B2A"/>
    <w:rsid w:val="00036401"/>
    <w:rsid w:val="000409C1"/>
    <w:rsid w:val="00040A1A"/>
    <w:rsid w:val="000417FF"/>
    <w:rsid w:val="000423BA"/>
    <w:rsid w:val="0004795F"/>
    <w:rsid w:val="00050056"/>
    <w:rsid w:val="00053D9B"/>
    <w:rsid w:val="000571A8"/>
    <w:rsid w:val="00062357"/>
    <w:rsid w:val="0006471F"/>
    <w:rsid w:val="00065369"/>
    <w:rsid w:val="00072BA9"/>
    <w:rsid w:val="00076F83"/>
    <w:rsid w:val="00077DB7"/>
    <w:rsid w:val="00086B56"/>
    <w:rsid w:val="00086CC0"/>
    <w:rsid w:val="00087B64"/>
    <w:rsid w:val="00087DD9"/>
    <w:rsid w:val="00087EEF"/>
    <w:rsid w:val="00090478"/>
    <w:rsid w:val="00091966"/>
    <w:rsid w:val="000935CF"/>
    <w:rsid w:val="000A1B27"/>
    <w:rsid w:val="000A2AD4"/>
    <w:rsid w:val="000B1872"/>
    <w:rsid w:val="000B235E"/>
    <w:rsid w:val="000B376B"/>
    <w:rsid w:val="000B39C5"/>
    <w:rsid w:val="000B616A"/>
    <w:rsid w:val="000B644A"/>
    <w:rsid w:val="000C5F82"/>
    <w:rsid w:val="000D27E1"/>
    <w:rsid w:val="000D2C19"/>
    <w:rsid w:val="000D3D1B"/>
    <w:rsid w:val="000D3F59"/>
    <w:rsid w:val="000E1A0E"/>
    <w:rsid w:val="000E259A"/>
    <w:rsid w:val="000E350C"/>
    <w:rsid w:val="000E3DFE"/>
    <w:rsid w:val="000F397E"/>
    <w:rsid w:val="000F56C6"/>
    <w:rsid w:val="00100D24"/>
    <w:rsid w:val="00102A8E"/>
    <w:rsid w:val="00102B90"/>
    <w:rsid w:val="00104C54"/>
    <w:rsid w:val="0010585A"/>
    <w:rsid w:val="0011053F"/>
    <w:rsid w:val="0011315C"/>
    <w:rsid w:val="001155B7"/>
    <w:rsid w:val="00115E2F"/>
    <w:rsid w:val="00117090"/>
    <w:rsid w:val="00120138"/>
    <w:rsid w:val="001204A4"/>
    <w:rsid w:val="00124C1D"/>
    <w:rsid w:val="001266B8"/>
    <w:rsid w:val="001270DF"/>
    <w:rsid w:val="00133696"/>
    <w:rsid w:val="001415DD"/>
    <w:rsid w:val="00143B59"/>
    <w:rsid w:val="00145A14"/>
    <w:rsid w:val="0015249A"/>
    <w:rsid w:val="0015364E"/>
    <w:rsid w:val="001554B6"/>
    <w:rsid w:val="0015592B"/>
    <w:rsid w:val="001574E7"/>
    <w:rsid w:val="00157E55"/>
    <w:rsid w:val="00160230"/>
    <w:rsid w:val="001614DC"/>
    <w:rsid w:val="00161CA4"/>
    <w:rsid w:val="00162E03"/>
    <w:rsid w:val="00164FA0"/>
    <w:rsid w:val="00167234"/>
    <w:rsid w:val="001679F2"/>
    <w:rsid w:val="001710BF"/>
    <w:rsid w:val="001720FD"/>
    <w:rsid w:val="00173280"/>
    <w:rsid w:val="00175395"/>
    <w:rsid w:val="001761D9"/>
    <w:rsid w:val="00182D31"/>
    <w:rsid w:val="001844CD"/>
    <w:rsid w:val="00184DFE"/>
    <w:rsid w:val="00185993"/>
    <w:rsid w:val="00185C37"/>
    <w:rsid w:val="001861BE"/>
    <w:rsid w:val="0018641B"/>
    <w:rsid w:val="00186B17"/>
    <w:rsid w:val="00193055"/>
    <w:rsid w:val="001946C2"/>
    <w:rsid w:val="001A097A"/>
    <w:rsid w:val="001A0CD5"/>
    <w:rsid w:val="001A3545"/>
    <w:rsid w:val="001A4B56"/>
    <w:rsid w:val="001A4D6E"/>
    <w:rsid w:val="001B212E"/>
    <w:rsid w:val="001B232C"/>
    <w:rsid w:val="001B3AAA"/>
    <w:rsid w:val="001B3CD0"/>
    <w:rsid w:val="001B48EE"/>
    <w:rsid w:val="001B6C59"/>
    <w:rsid w:val="001D1613"/>
    <w:rsid w:val="001D6671"/>
    <w:rsid w:val="001E3A4A"/>
    <w:rsid w:val="001E3FDA"/>
    <w:rsid w:val="001E61F5"/>
    <w:rsid w:val="001F4D25"/>
    <w:rsid w:val="001F60A6"/>
    <w:rsid w:val="001F7FA3"/>
    <w:rsid w:val="00203635"/>
    <w:rsid w:val="00206CE2"/>
    <w:rsid w:val="00207563"/>
    <w:rsid w:val="00211E15"/>
    <w:rsid w:val="00214E3F"/>
    <w:rsid w:val="00214E5F"/>
    <w:rsid w:val="00224974"/>
    <w:rsid w:val="00224D42"/>
    <w:rsid w:val="00224DC3"/>
    <w:rsid w:val="00225529"/>
    <w:rsid w:val="00231ADF"/>
    <w:rsid w:val="00234C80"/>
    <w:rsid w:val="00235073"/>
    <w:rsid w:val="00235355"/>
    <w:rsid w:val="00236BBF"/>
    <w:rsid w:val="002402B7"/>
    <w:rsid w:val="00240692"/>
    <w:rsid w:val="0024391F"/>
    <w:rsid w:val="00243EF0"/>
    <w:rsid w:val="002441CF"/>
    <w:rsid w:val="0024531C"/>
    <w:rsid w:val="00251C1A"/>
    <w:rsid w:val="00254063"/>
    <w:rsid w:val="00254C0D"/>
    <w:rsid w:val="002559EF"/>
    <w:rsid w:val="00255BBD"/>
    <w:rsid w:val="002601B1"/>
    <w:rsid w:val="00261045"/>
    <w:rsid w:val="00262EE5"/>
    <w:rsid w:val="002643AA"/>
    <w:rsid w:val="00265F57"/>
    <w:rsid w:val="002707AB"/>
    <w:rsid w:val="002707F9"/>
    <w:rsid w:val="00275E6D"/>
    <w:rsid w:val="00275FF1"/>
    <w:rsid w:val="0027659B"/>
    <w:rsid w:val="00283272"/>
    <w:rsid w:val="00283EEC"/>
    <w:rsid w:val="00287C7B"/>
    <w:rsid w:val="002908FE"/>
    <w:rsid w:val="00291A7E"/>
    <w:rsid w:val="00291AF5"/>
    <w:rsid w:val="00292EF5"/>
    <w:rsid w:val="002965D9"/>
    <w:rsid w:val="002970AF"/>
    <w:rsid w:val="0029785A"/>
    <w:rsid w:val="002A0F85"/>
    <w:rsid w:val="002A1266"/>
    <w:rsid w:val="002A1C32"/>
    <w:rsid w:val="002A3776"/>
    <w:rsid w:val="002B0117"/>
    <w:rsid w:val="002B0566"/>
    <w:rsid w:val="002B15BD"/>
    <w:rsid w:val="002B1D9A"/>
    <w:rsid w:val="002B1EA5"/>
    <w:rsid w:val="002C0236"/>
    <w:rsid w:val="002C0375"/>
    <w:rsid w:val="002C389E"/>
    <w:rsid w:val="002C545F"/>
    <w:rsid w:val="002C64AF"/>
    <w:rsid w:val="002C718E"/>
    <w:rsid w:val="002D058C"/>
    <w:rsid w:val="002D2677"/>
    <w:rsid w:val="002D5185"/>
    <w:rsid w:val="002D54C3"/>
    <w:rsid w:val="002D6C4C"/>
    <w:rsid w:val="002D6E53"/>
    <w:rsid w:val="002E0481"/>
    <w:rsid w:val="002E19C9"/>
    <w:rsid w:val="002E1ACB"/>
    <w:rsid w:val="002E3FB3"/>
    <w:rsid w:val="002E50C4"/>
    <w:rsid w:val="002E53DE"/>
    <w:rsid w:val="002E5B8F"/>
    <w:rsid w:val="002E6F0E"/>
    <w:rsid w:val="002F253F"/>
    <w:rsid w:val="002F2F54"/>
    <w:rsid w:val="002F6AB2"/>
    <w:rsid w:val="002F6B80"/>
    <w:rsid w:val="00300947"/>
    <w:rsid w:val="00300B3A"/>
    <w:rsid w:val="00301253"/>
    <w:rsid w:val="0030429F"/>
    <w:rsid w:val="00307A7C"/>
    <w:rsid w:val="003165E1"/>
    <w:rsid w:val="00316A52"/>
    <w:rsid w:val="003224D0"/>
    <w:rsid w:val="003236DC"/>
    <w:rsid w:val="00325A56"/>
    <w:rsid w:val="003277B2"/>
    <w:rsid w:val="0033062F"/>
    <w:rsid w:val="003314B7"/>
    <w:rsid w:val="003317DE"/>
    <w:rsid w:val="00337A74"/>
    <w:rsid w:val="0034020D"/>
    <w:rsid w:val="00340980"/>
    <w:rsid w:val="00341710"/>
    <w:rsid w:val="00342B86"/>
    <w:rsid w:val="0035009C"/>
    <w:rsid w:val="00350EC5"/>
    <w:rsid w:val="00352D27"/>
    <w:rsid w:val="00355F0B"/>
    <w:rsid w:val="00355F24"/>
    <w:rsid w:val="003572E2"/>
    <w:rsid w:val="00360184"/>
    <w:rsid w:val="00361E72"/>
    <w:rsid w:val="0036278F"/>
    <w:rsid w:val="00362E49"/>
    <w:rsid w:val="0036377E"/>
    <w:rsid w:val="00365464"/>
    <w:rsid w:val="003660AE"/>
    <w:rsid w:val="003667D1"/>
    <w:rsid w:val="00367C08"/>
    <w:rsid w:val="00367E33"/>
    <w:rsid w:val="0037358F"/>
    <w:rsid w:val="0037509C"/>
    <w:rsid w:val="00375E57"/>
    <w:rsid w:val="00377E9F"/>
    <w:rsid w:val="00387ED3"/>
    <w:rsid w:val="0039069F"/>
    <w:rsid w:val="00392B40"/>
    <w:rsid w:val="003942F8"/>
    <w:rsid w:val="00397BB9"/>
    <w:rsid w:val="003A13D1"/>
    <w:rsid w:val="003A1717"/>
    <w:rsid w:val="003A1779"/>
    <w:rsid w:val="003A2FF2"/>
    <w:rsid w:val="003A3DBD"/>
    <w:rsid w:val="003A7808"/>
    <w:rsid w:val="003B1B07"/>
    <w:rsid w:val="003B28F1"/>
    <w:rsid w:val="003B4FB6"/>
    <w:rsid w:val="003B560A"/>
    <w:rsid w:val="003B69E7"/>
    <w:rsid w:val="003C0F74"/>
    <w:rsid w:val="003C11D5"/>
    <w:rsid w:val="003C3D44"/>
    <w:rsid w:val="003C50FE"/>
    <w:rsid w:val="003C7280"/>
    <w:rsid w:val="003C73E6"/>
    <w:rsid w:val="003C7E74"/>
    <w:rsid w:val="003D22A1"/>
    <w:rsid w:val="003D23E1"/>
    <w:rsid w:val="003D3F85"/>
    <w:rsid w:val="003D4971"/>
    <w:rsid w:val="003D6F97"/>
    <w:rsid w:val="003E0844"/>
    <w:rsid w:val="003E0E40"/>
    <w:rsid w:val="003E235D"/>
    <w:rsid w:val="003E797B"/>
    <w:rsid w:val="003F02E8"/>
    <w:rsid w:val="003F4127"/>
    <w:rsid w:val="004061AD"/>
    <w:rsid w:val="004117C5"/>
    <w:rsid w:val="00415F37"/>
    <w:rsid w:val="004251E1"/>
    <w:rsid w:val="004262B7"/>
    <w:rsid w:val="00431E8D"/>
    <w:rsid w:val="00436368"/>
    <w:rsid w:val="004410A5"/>
    <w:rsid w:val="00442F8A"/>
    <w:rsid w:val="00444CBA"/>
    <w:rsid w:val="004471F7"/>
    <w:rsid w:val="00452427"/>
    <w:rsid w:val="00456998"/>
    <w:rsid w:val="00457AE7"/>
    <w:rsid w:val="00461C94"/>
    <w:rsid w:val="00466241"/>
    <w:rsid w:val="00471F39"/>
    <w:rsid w:val="00472DB2"/>
    <w:rsid w:val="00475BC0"/>
    <w:rsid w:val="00481C6D"/>
    <w:rsid w:val="00483764"/>
    <w:rsid w:val="00485AD1"/>
    <w:rsid w:val="00487600"/>
    <w:rsid w:val="00487A0F"/>
    <w:rsid w:val="00490223"/>
    <w:rsid w:val="00495921"/>
    <w:rsid w:val="0049791A"/>
    <w:rsid w:val="00497DF9"/>
    <w:rsid w:val="004A1EEE"/>
    <w:rsid w:val="004A4FF4"/>
    <w:rsid w:val="004A51AE"/>
    <w:rsid w:val="004A652C"/>
    <w:rsid w:val="004B0028"/>
    <w:rsid w:val="004B1E54"/>
    <w:rsid w:val="004B265E"/>
    <w:rsid w:val="004B2E98"/>
    <w:rsid w:val="004B395D"/>
    <w:rsid w:val="004D1D96"/>
    <w:rsid w:val="004D5D4F"/>
    <w:rsid w:val="004D7756"/>
    <w:rsid w:val="004E1DCE"/>
    <w:rsid w:val="004E289D"/>
    <w:rsid w:val="004F1B05"/>
    <w:rsid w:val="004F27E4"/>
    <w:rsid w:val="004F43B9"/>
    <w:rsid w:val="004F7AA9"/>
    <w:rsid w:val="00501ACA"/>
    <w:rsid w:val="0050201C"/>
    <w:rsid w:val="00504F67"/>
    <w:rsid w:val="00507B20"/>
    <w:rsid w:val="00510415"/>
    <w:rsid w:val="0051277C"/>
    <w:rsid w:val="00513221"/>
    <w:rsid w:val="00513639"/>
    <w:rsid w:val="00515CE7"/>
    <w:rsid w:val="0052179B"/>
    <w:rsid w:val="00521A7C"/>
    <w:rsid w:val="00523068"/>
    <w:rsid w:val="00524E9A"/>
    <w:rsid w:val="005265D7"/>
    <w:rsid w:val="00526EB4"/>
    <w:rsid w:val="00530797"/>
    <w:rsid w:val="005315C2"/>
    <w:rsid w:val="00534322"/>
    <w:rsid w:val="00534B18"/>
    <w:rsid w:val="00537BF7"/>
    <w:rsid w:val="00543D59"/>
    <w:rsid w:val="005452AF"/>
    <w:rsid w:val="00547F6B"/>
    <w:rsid w:val="00553349"/>
    <w:rsid w:val="00556BB7"/>
    <w:rsid w:val="00557C0D"/>
    <w:rsid w:val="00561C95"/>
    <w:rsid w:val="005628E3"/>
    <w:rsid w:val="0056663F"/>
    <w:rsid w:val="00571788"/>
    <w:rsid w:val="00572B92"/>
    <w:rsid w:val="00574CB9"/>
    <w:rsid w:val="00583342"/>
    <w:rsid w:val="005834D5"/>
    <w:rsid w:val="0058648B"/>
    <w:rsid w:val="00587DB7"/>
    <w:rsid w:val="0059102D"/>
    <w:rsid w:val="00591CC1"/>
    <w:rsid w:val="00596152"/>
    <w:rsid w:val="00596892"/>
    <w:rsid w:val="00597562"/>
    <w:rsid w:val="00597E5E"/>
    <w:rsid w:val="005A2A99"/>
    <w:rsid w:val="005A3D65"/>
    <w:rsid w:val="005A5790"/>
    <w:rsid w:val="005A74D0"/>
    <w:rsid w:val="005A7F64"/>
    <w:rsid w:val="005B010E"/>
    <w:rsid w:val="005B2CAD"/>
    <w:rsid w:val="005B3677"/>
    <w:rsid w:val="005B6903"/>
    <w:rsid w:val="005B6FDF"/>
    <w:rsid w:val="005C2035"/>
    <w:rsid w:val="005D17CF"/>
    <w:rsid w:val="005D33F1"/>
    <w:rsid w:val="005D3765"/>
    <w:rsid w:val="005E0275"/>
    <w:rsid w:val="005E02CB"/>
    <w:rsid w:val="005E0A1C"/>
    <w:rsid w:val="005E0C50"/>
    <w:rsid w:val="005E2249"/>
    <w:rsid w:val="005E3400"/>
    <w:rsid w:val="005E4670"/>
    <w:rsid w:val="005E61D9"/>
    <w:rsid w:val="005F2B89"/>
    <w:rsid w:val="005F76F1"/>
    <w:rsid w:val="005F78C7"/>
    <w:rsid w:val="006017D4"/>
    <w:rsid w:val="00601936"/>
    <w:rsid w:val="00605312"/>
    <w:rsid w:val="006122E4"/>
    <w:rsid w:val="00612ED7"/>
    <w:rsid w:val="006132DB"/>
    <w:rsid w:val="00614A89"/>
    <w:rsid w:val="0061520A"/>
    <w:rsid w:val="00617FEB"/>
    <w:rsid w:val="00620010"/>
    <w:rsid w:val="0062156A"/>
    <w:rsid w:val="0062239C"/>
    <w:rsid w:val="00630BB4"/>
    <w:rsid w:val="00632BD2"/>
    <w:rsid w:val="006336E7"/>
    <w:rsid w:val="006354A8"/>
    <w:rsid w:val="006354D8"/>
    <w:rsid w:val="00642D40"/>
    <w:rsid w:val="006443BD"/>
    <w:rsid w:val="00644FE1"/>
    <w:rsid w:val="0064521D"/>
    <w:rsid w:val="006465DB"/>
    <w:rsid w:val="0065061B"/>
    <w:rsid w:val="00652180"/>
    <w:rsid w:val="006521A6"/>
    <w:rsid w:val="00653E48"/>
    <w:rsid w:val="006543B6"/>
    <w:rsid w:val="00656F09"/>
    <w:rsid w:val="00661656"/>
    <w:rsid w:val="006616EF"/>
    <w:rsid w:val="00662ECA"/>
    <w:rsid w:val="00664C75"/>
    <w:rsid w:val="00666F7F"/>
    <w:rsid w:val="00670347"/>
    <w:rsid w:val="00670AA2"/>
    <w:rsid w:val="00674F23"/>
    <w:rsid w:val="00680687"/>
    <w:rsid w:val="006813C2"/>
    <w:rsid w:val="00686AFC"/>
    <w:rsid w:val="006870DF"/>
    <w:rsid w:val="00692B85"/>
    <w:rsid w:val="00693EC9"/>
    <w:rsid w:val="00694FCD"/>
    <w:rsid w:val="006A1432"/>
    <w:rsid w:val="006A6FEE"/>
    <w:rsid w:val="006A7337"/>
    <w:rsid w:val="006B0735"/>
    <w:rsid w:val="006B0E97"/>
    <w:rsid w:val="006B25E0"/>
    <w:rsid w:val="006B2C30"/>
    <w:rsid w:val="006B5CA0"/>
    <w:rsid w:val="006C5F4E"/>
    <w:rsid w:val="006D103C"/>
    <w:rsid w:val="006D2391"/>
    <w:rsid w:val="006D282D"/>
    <w:rsid w:val="006D4ED5"/>
    <w:rsid w:val="006D5BE3"/>
    <w:rsid w:val="006E3B0E"/>
    <w:rsid w:val="006E53F9"/>
    <w:rsid w:val="006E6468"/>
    <w:rsid w:val="006E6631"/>
    <w:rsid w:val="006F152A"/>
    <w:rsid w:val="006F1F45"/>
    <w:rsid w:val="006F2ED5"/>
    <w:rsid w:val="006F4713"/>
    <w:rsid w:val="006F5399"/>
    <w:rsid w:val="006F5A86"/>
    <w:rsid w:val="006F5E95"/>
    <w:rsid w:val="006F6CE5"/>
    <w:rsid w:val="007001BA"/>
    <w:rsid w:val="00700204"/>
    <w:rsid w:val="007003F6"/>
    <w:rsid w:val="007010B7"/>
    <w:rsid w:val="0070156B"/>
    <w:rsid w:val="00703615"/>
    <w:rsid w:val="00703768"/>
    <w:rsid w:val="0070444A"/>
    <w:rsid w:val="00705B28"/>
    <w:rsid w:val="00705D0F"/>
    <w:rsid w:val="00705FB7"/>
    <w:rsid w:val="007076B0"/>
    <w:rsid w:val="00710248"/>
    <w:rsid w:val="0071406B"/>
    <w:rsid w:val="0071590A"/>
    <w:rsid w:val="007167F3"/>
    <w:rsid w:val="00720A28"/>
    <w:rsid w:val="00721FC6"/>
    <w:rsid w:val="007227B0"/>
    <w:rsid w:val="00724FC3"/>
    <w:rsid w:val="0072611D"/>
    <w:rsid w:val="00726C92"/>
    <w:rsid w:val="00727457"/>
    <w:rsid w:val="007279E5"/>
    <w:rsid w:val="00730BA8"/>
    <w:rsid w:val="00731683"/>
    <w:rsid w:val="00733173"/>
    <w:rsid w:val="00735AF6"/>
    <w:rsid w:val="00751777"/>
    <w:rsid w:val="007527F5"/>
    <w:rsid w:val="0075325D"/>
    <w:rsid w:val="00753DA5"/>
    <w:rsid w:val="00753F78"/>
    <w:rsid w:val="007558AF"/>
    <w:rsid w:val="00757732"/>
    <w:rsid w:val="00762591"/>
    <w:rsid w:val="0076433A"/>
    <w:rsid w:val="00766B79"/>
    <w:rsid w:val="00770D6E"/>
    <w:rsid w:val="007717BA"/>
    <w:rsid w:val="00771847"/>
    <w:rsid w:val="00772053"/>
    <w:rsid w:val="007762A8"/>
    <w:rsid w:val="00780173"/>
    <w:rsid w:val="00783FB9"/>
    <w:rsid w:val="00784C67"/>
    <w:rsid w:val="00785DC8"/>
    <w:rsid w:val="007867E4"/>
    <w:rsid w:val="00786C28"/>
    <w:rsid w:val="00787BAF"/>
    <w:rsid w:val="00792612"/>
    <w:rsid w:val="00794C67"/>
    <w:rsid w:val="00795CAC"/>
    <w:rsid w:val="00797B41"/>
    <w:rsid w:val="007A0AFB"/>
    <w:rsid w:val="007A0F8E"/>
    <w:rsid w:val="007A1B1B"/>
    <w:rsid w:val="007A4E9B"/>
    <w:rsid w:val="007B6AAD"/>
    <w:rsid w:val="007C1036"/>
    <w:rsid w:val="007C18B5"/>
    <w:rsid w:val="007C1AD9"/>
    <w:rsid w:val="007C28EA"/>
    <w:rsid w:val="007D1D40"/>
    <w:rsid w:val="007D3223"/>
    <w:rsid w:val="007D38F5"/>
    <w:rsid w:val="007D78D9"/>
    <w:rsid w:val="007E1A3C"/>
    <w:rsid w:val="007E2B10"/>
    <w:rsid w:val="007E4014"/>
    <w:rsid w:val="007E60DF"/>
    <w:rsid w:val="007F0359"/>
    <w:rsid w:val="007F2200"/>
    <w:rsid w:val="00800012"/>
    <w:rsid w:val="00801945"/>
    <w:rsid w:val="00802588"/>
    <w:rsid w:val="008049AE"/>
    <w:rsid w:val="00810527"/>
    <w:rsid w:val="0081076F"/>
    <w:rsid w:val="00811FEE"/>
    <w:rsid w:val="0081232B"/>
    <w:rsid w:val="00816FB9"/>
    <w:rsid w:val="00821170"/>
    <w:rsid w:val="00821ACF"/>
    <w:rsid w:val="0082234F"/>
    <w:rsid w:val="00825338"/>
    <w:rsid w:val="00825761"/>
    <w:rsid w:val="00826900"/>
    <w:rsid w:val="0083704F"/>
    <w:rsid w:val="00840B61"/>
    <w:rsid w:val="00840DED"/>
    <w:rsid w:val="00841369"/>
    <w:rsid w:val="00843E18"/>
    <w:rsid w:val="00844004"/>
    <w:rsid w:val="0084401F"/>
    <w:rsid w:val="0085083D"/>
    <w:rsid w:val="00856590"/>
    <w:rsid w:val="0086123B"/>
    <w:rsid w:val="0086242D"/>
    <w:rsid w:val="00863915"/>
    <w:rsid w:val="00864D17"/>
    <w:rsid w:val="008655F7"/>
    <w:rsid w:val="00867590"/>
    <w:rsid w:val="008678E0"/>
    <w:rsid w:val="0087242F"/>
    <w:rsid w:val="00873F7F"/>
    <w:rsid w:val="00881EC2"/>
    <w:rsid w:val="00883A2B"/>
    <w:rsid w:val="008855F6"/>
    <w:rsid w:val="00890293"/>
    <w:rsid w:val="008921C4"/>
    <w:rsid w:val="0089395D"/>
    <w:rsid w:val="00893BEF"/>
    <w:rsid w:val="00895422"/>
    <w:rsid w:val="00896445"/>
    <w:rsid w:val="00897EBF"/>
    <w:rsid w:val="008A082B"/>
    <w:rsid w:val="008A2223"/>
    <w:rsid w:val="008A28BE"/>
    <w:rsid w:val="008A3648"/>
    <w:rsid w:val="008A71A0"/>
    <w:rsid w:val="008A71DE"/>
    <w:rsid w:val="008A752B"/>
    <w:rsid w:val="008A7BCD"/>
    <w:rsid w:val="008B0766"/>
    <w:rsid w:val="008B0D1C"/>
    <w:rsid w:val="008B1502"/>
    <w:rsid w:val="008B5581"/>
    <w:rsid w:val="008C4A4B"/>
    <w:rsid w:val="008D1131"/>
    <w:rsid w:val="008D4BCA"/>
    <w:rsid w:val="008D5118"/>
    <w:rsid w:val="008D64C8"/>
    <w:rsid w:val="008D764C"/>
    <w:rsid w:val="008E6BC3"/>
    <w:rsid w:val="008E73AC"/>
    <w:rsid w:val="008F7E07"/>
    <w:rsid w:val="0090033A"/>
    <w:rsid w:val="00903CC2"/>
    <w:rsid w:val="00906A75"/>
    <w:rsid w:val="00916C09"/>
    <w:rsid w:val="00917E4B"/>
    <w:rsid w:val="00920F83"/>
    <w:rsid w:val="00922810"/>
    <w:rsid w:val="00923F89"/>
    <w:rsid w:val="009264BA"/>
    <w:rsid w:val="00930B99"/>
    <w:rsid w:val="00936F54"/>
    <w:rsid w:val="00942E43"/>
    <w:rsid w:val="00943120"/>
    <w:rsid w:val="00943EC3"/>
    <w:rsid w:val="00945AB7"/>
    <w:rsid w:val="00945BD2"/>
    <w:rsid w:val="009462F7"/>
    <w:rsid w:val="00947C6B"/>
    <w:rsid w:val="009506F1"/>
    <w:rsid w:val="00957969"/>
    <w:rsid w:val="0096346F"/>
    <w:rsid w:val="0097052E"/>
    <w:rsid w:val="00974128"/>
    <w:rsid w:val="00974445"/>
    <w:rsid w:val="009750EE"/>
    <w:rsid w:val="00977014"/>
    <w:rsid w:val="00984095"/>
    <w:rsid w:val="00984F4A"/>
    <w:rsid w:val="009869B3"/>
    <w:rsid w:val="00986EDB"/>
    <w:rsid w:val="00991674"/>
    <w:rsid w:val="00991CE2"/>
    <w:rsid w:val="00992C31"/>
    <w:rsid w:val="00997B84"/>
    <w:rsid w:val="009A04D4"/>
    <w:rsid w:val="009A0855"/>
    <w:rsid w:val="009A3CE9"/>
    <w:rsid w:val="009A52A3"/>
    <w:rsid w:val="009B1225"/>
    <w:rsid w:val="009B2295"/>
    <w:rsid w:val="009B5446"/>
    <w:rsid w:val="009B645A"/>
    <w:rsid w:val="009C1AC7"/>
    <w:rsid w:val="009C2C0E"/>
    <w:rsid w:val="009C365B"/>
    <w:rsid w:val="009C3776"/>
    <w:rsid w:val="009C5B12"/>
    <w:rsid w:val="009D0324"/>
    <w:rsid w:val="009D124C"/>
    <w:rsid w:val="009D148F"/>
    <w:rsid w:val="009D726F"/>
    <w:rsid w:val="009D7DE9"/>
    <w:rsid w:val="009E3C2C"/>
    <w:rsid w:val="009E4ED9"/>
    <w:rsid w:val="009E58D2"/>
    <w:rsid w:val="009F1C0F"/>
    <w:rsid w:val="009F4AA5"/>
    <w:rsid w:val="00A002D8"/>
    <w:rsid w:val="00A00736"/>
    <w:rsid w:val="00A028DC"/>
    <w:rsid w:val="00A0403D"/>
    <w:rsid w:val="00A05711"/>
    <w:rsid w:val="00A10C6E"/>
    <w:rsid w:val="00A12F1D"/>
    <w:rsid w:val="00A13603"/>
    <w:rsid w:val="00A155AD"/>
    <w:rsid w:val="00A20B93"/>
    <w:rsid w:val="00A2369F"/>
    <w:rsid w:val="00A24298"/>
    <w:rsid w:val="00A257A2"/>
    <w:rsid w:val="00A268FE"/>
    <w:rsid w:val="00A30388"/>
    <w:rsid w:val="00A3093A"/>
    <w:rsid w:val="00A32D06"/>
    <w:rsid w:val="00A35663"/>
    <w:rsid w:val="00A379E1"/>
    <w:rsid w:val="00A40EC2"/>
    <w:rsid w:val="00A4379C"/>
    <w:rsid w:val="00A439AA"/>
    <w:rsid w:val="00A439BD"/>
    <w:rsid w:val="00A44399"/>
    <w:rsid w:val="00A44AFC"/>
    <w:rsid w:val="00A4526B"/>
    <w:rsid w:val="00A4683C"/>
    <w:rsid w:val="00A503C8"/>
    <w:rsid w:val="00A50FC4"/>
    <w:rsid w:val="00A52E6A"/>
    <w:rsid w:val="00A6196E"/>
    <w:rsid w:val="00A64847"/>
    <w:rsid w:val="00A70A74"/>
    <w:rsid w:val="00A712EB"/>
    <w:rsid w:val="00A72939"/>
    <w:rsid w:val="00A7310A"/>
    <w:rsid w:val="00A739BC"/>
    <w:rsid w:val="00A74942"/>
    <w:rsid w:val="00A749B1"/>
    <w:rsid w:val="00A7561C"/>
    <w:rsid w:val="00A86921"/>
    <w:rsid w:val="00A86AF4"/>
    <w:rsid w:val="00A91C0F"/>
    <w:rsid w:val="00A91C94"/>
    <w:rsid w:val="00A9223E"/>
    <w:rsid w:val="00A95820"/>
    <w:rsid w:val="00A966A8"/>
    <w:rsid w:val="00AA2B6B"/>
    <w:rsid w:val="00AA2E59"/>
    <w:rsid w:val="00AA3577"/>
    <w:rsid w:val="00AA6937"/>
    <w:rsid w:val="00AA74B0"/>
    <w:rsid w:val="00AA7A13"/>
    <w:rsid w:val="00AB0EC1"/>
    <w:rsid w:val="00AB2518"/>
    <w:rsid w:val="00AB4259"/>
    <w:rsid w:val="00AB5F88"/>
    <w:rsid w:val="00AB64AE"/>
    <w:rsid w:val="00AD0524"/>
    <w:rsid w:val="00AD1F3F"/>
    <w:rsid w:val="00AD3851"/>
    <w:rsid w:val="00AD744E"/>
    <w:rsid w:val="00AD755F"/>
    <w:rsid w:val="00AE1181"/>
    <w:rsid w:val="00AE635C"/>
    <w:rsid w:val="00AE6783"/>
    <w:rsid w:val="00AE7162"/>
    <w:rsid w:val="00AF0BBE"/>
    <w:rsid w:val="00AF123B"/>
    <w:rsid w:val="00AF2CDF"/>
    <w:rsid w:val="00AF3445"/>
    <w:rsid w:val="00AF56FD"/>
    <w:rsid w:val="00AF7F87"/>
    <w:rsid w:val="00B01C0B"/>
    <w:rsid w:val="00B06CA4"/>
    <w:rsid w:val="00B06D13"/>
    <w:rsid w:val="00B0733C"/>
    <w:rsid w:val="00B1055A"/>
    <w:rsid w:val="00B11301"/>
    <w:rsid w:val="00B12D01"/>
    <w:rsid w:val="00B13626"/>
    <w:rsid w:val="00B163F1"/>
    <w:rsid w:val="00B200D5"/>
    <w:rsid w:val="00B2093C"/>
    <w:rsid w:val="00B20E41"/>
    <w:rsid w:val="00B21363"/>
    <w:rsid w:val="00B24586"/>
    <w:rsid w:val="00B27B90"/>
    <w:rsid w:val="00B30459"/>
    <w:rsid w:val="00B33C57"/>
    <w:rsid w:val="00B33D40"/>
    <w:rsid w:val="00B447ED"/>
    <w:rsid w:val="00B44CAA"/>
    <w:rsid w:val="00B508BC"/>
    <w:rsid w:val="00B50DD0"/>
    <w:rsid w:val="00B5188B"/>
    <w:rsid w:val="00B61989"/>
    <w:rsid w:val="00B61A18"/>
    <w:rsid w:val="00B66AC2"/>
    <w:rsid w:val="00B717B5"/>
    <w:rsid w:val="00B71BF9"/>
    <w:rsid w:val="00B721DB"/>
    <w:rsid w:val="00B72DD5"/>
    <w:rsid w:val="00B801DB"/>
    <w:rsid w:val="00B80298"/>
    <w:rsid w:val="00B834D2"/>
    <w:rsid w:val="00B8776B"/>
    <w:rsid w:val="00B87FAD"/>
    <w:rsid w:val="00B93D5A"/>
    <w:rsid w:val="00B95CC0"/>
    <w:rsid w:val="00B95F2D"/>
    <w:rsid w:val="00B9742D"/>
    <w:rsid w:val="00B97BB5"/>
    <w:rsid w:val="00BA02CC"/>
    <w:rsid w:val="00BA2CED"/>
    <w:rsid w:val="00BA3305"/>
    <w:rsid w:val="00BA47CD"/>
    <w:rsid w:val="00BA583C"/>
    <w:rsid w:val="00BB1B64"/>
    <w:rsid w:val="00BB1E6A"/>
    <w:rsid w:val="00BB396C"/>
    <w:rsid w:val="00BB611D"/>
    <w:rsid w:val="00BB7D23"/>
    <w:rsid w:val="00BC1C9E"/>
    <w:rsid w:val="00BC227F"/>
    <w:rsid w:val="00BC4F34"/>
    <w:rsid w:val="00BC696D"/>
    <w:rsid w:val="00BD24F1"/>
    <w:rsid w:val="00BD3F76"/>
    <w:rsid w:val="00BD5113"/>
    <w:rsid w:val="00BE23B3"/>
    <w:rsid w:val="00BE3123"/>
    <w:rsid w:val="00BE49C7"/>
    <w:rsid w:val="00BE52FC"/>
    <w:rsid w:val="00BE5598"/>
    <w:rsid w:val="00BE5961"/>
    <w:rsid w:val="00BF1FBC"/>
    <w:rsid w:val="00C05EE7"/>
    <w:rsid w:val="00C06E6D"/>
    <w:rsid w:val="00C078D6"/>
    <w:rsid w:val="00C15382"/>
    <w:rsid w:val="00C16D59"/>
    <w:rsid w:val="00C17952"/>
    <w:rsid w:val="00C2503F"/>
    <w:rsid w:val="00C26F3F"/>
    <w:rsid w:val="00C32000"/>
    <w:rsid w:val="00C32509"/>
    <w:rsid w:val="00C34344"/>
    <w:rsid w:val="00C34508"/>
    <w:rsid w:val="00C36F0B"/>
    <w:rsid w:val="00C42E18"/>
    <w:rsid w:val="00C4382A"/>
    <w:rsid w:val="00C43D71"/>
    <w:rsid w:val="00C446AE"/>
    <w:rsid w:val="00C47BB8"/>
    <w:rsid w:val="00C47F9C"/>
    <w:rsid w:val="00C52893"/>
    <w:rsid w:val="00C52ECC"/>
    <w:rsid w:val="00C57E5D"/>
    <w:rsid w:val="00C622D6"/>
    <w:rsid w:val="00C625E1"/>
    <w:rsid w:val="00C632C1"/>
    <w:rsid w:val="00C63E21"/>
    <w:rsid w:val="00C655CF"/>
    <w:rsid w:val="00C66B4D"/>
    <w:rsid w:val="00C671E0"/>
    <w:rsid w:val="00C70365"/>
    <w:rsid w:val="00C72A59"/>
    <w:rsid w:val="00C743C8"/>
    <w:rsid w:val="00C75272"/>
    <w:rsid w:val="00C769C2"/>
    <w:rsid w:val="00C85EF4"/>
    <w:rsid w:val="00C9022D"/>
    <w:rsid w:val="00C91EC9"/>
    <w:rsid w:val="00C926D2"/>
    <w:rsid w:val="00C941FE"/>
    <w:rsid w:val="00C95843"/>
    <w:rsid w:val="00C95C89"/>
    <w:rsid w:val="00C95FD5"/>
    <w:rsid w:val="00C963FA"/>
    <w:rsid w:val="00C96A35"/>
    <w:rsid w:val="00C9718D"/>
    <w:rsid w:val="00CA189A"/>
    <w:rsid w:val="00CA3A0B"/>
    <w:rsid w:val="00CA5DBB"/>
    <w:rsid w:val="00CA62D6"/>
    <w:rsid w:val="00CB1A41"/>
    <w:rsid w:val="00CB5E8E"/>
    <w:rsid w:val="00CB615C"/>
    <w:rsid w:val="00CB640F"/>
    <w:rsid w:val="00CB7704"/>
    <w:rsid w:val="00CC0147"/>
    <w:rsid w:val="00CC07DC"/>
    <w:rsid w:val="00CC4FD3"/>
    <w:rsid w:val="00CC6643"/>
    <w:rsid w:val="00CC73AD"/>
    <w:rsid w:val="00CD17E3"/>
    <w:rsid w:val="00CD3BFB"/>
    <w:rsid w:val="00CD5A9B"/>
    <w:rsid w:val="00CD6039"/>
    <w:rsid w:val="00CD76D4"/>
    <w:rsid w:val="00CD7F04"/>
    <w:rsid w:val="00CE1C9F"/>
    <w:rsid w:val="00CE2A9E"/>
    <w:rsid w:val="00CE4CB2"/>
    <w:rsid w:val="00CE5D17"/>
    <w:rsid w:val="00CE6AC3"/>
    <w:rsid w:val="00CE7923"/>
    <w:rsid w:val="00CF55C0"/>
    <w:rsid w:val="00D046FE"/>
    <w:rsid w:val="00D047E4"/>
    <w:rsid w:val="00D054A9"/>
    <w:rsid w:val="00D062BC"/>
    <w:rsid w:val="00D067F1"/>
    <w:rsid w:val="00D06AA8"/>
    <w:rsid w:val="00D10EC2"/>
    <w:rsid w:val="00D126D4"/>
    <w:rsid w:val="00D12898"/>
    <w:rsid w:val="00D1604A"/>
    <w:rsid w:val="00D16EE7"/>
    <w:rsid w:val="00D20B6B"/>
    <w:rsid w:val="00D22FE4"/>
    <w:rsid w:val="00D2395A"/>
    <w:rsid w:val="00D23DBB"/>
    <w:rsid w:val="00D249C7"/>
    <w:rsid w:val="00D25BBD"/>
    <w:rsid w:val="00D263F8"/>
    <w:rsid w:val="00D26E50"/>
    <w:rsid w:val="00D30751"/>
    <w:rsid w:val="00D31824"/>
    <w:rsid w:val="00D370BD"/>
    <w:rsid w:val="00D40388"/>
    <w:rsid w:val="00D426F1"/>
    <w:rsid w:val="00D47724"/>
    <w:rsid w:val="00D47A96"/>
    <w:rsid w:val="00D47ECF"/>
    <w:rsid w:val="00D52D34"/>
    <w:rsid w:val="00D53679"/>
    <w:rsid w:val="00D54FB7"/>
    <w:rsid w:val="00D561C6"/>
    <w:rsid w:val="00D579E7"/>
    <w:rsid w:val="00D60134"/>
    <w:rsid w:val="00D633CF"/>
    <w:rsid w:val="00D7092B"/>
    <w:rsid w:val="00D71BF0"/>
    <w:rsid w:val="00D73311"/>
    <w:rsid w:val="00D740C3"/>
    <w:rsid w:val="00D7591A"/>
    <w:rsid w:val="00D767D6"/>
    <w:rsid w:val="00D80900"/>
    <w:rsid w:val="00D82087"/>
    <w:rsid w:val="00D84238"/>
    <w:rsid w:val="00D843EE"/>
    <w:rsid w:val="00D8740A"/>
    <w:rsid w:val="00D878B9"/>
    <w:rsid w:val="00D903CC"/>
    <w:rsid w:val="00D92170"/>
    <w:rsid w:val="00DA4807"/>
    <w:rsid w:val="00DA75CC"/>
    <w:rsid w:val="00DA7B73"/>
    <w:rsid w:val="00DB3A61"/>
    <w:rsid w:val="00DB63A3"/>
    <w:rsid w:val="00DB670F"/>
    <w:rsid w:val="00DB765A"/>
    <w:rsid w:val="00DB7E0F"/>
    <w:rsid w:val="00DC03CA"/>
    <w:rsid w:val="00DC10A5"/>
    <w:rsid w:val="00DC1AF7"/>
    <w:rsid w:val="00DC4789"/>
    <w:rsid w:val="00DC5F42"/>
    <w:rsid w:val="00DD0812"/>
    <w:rsid w:val="00DD3348"/>
    <w:rsid w:val="00DD3D34"/>
    <w:rsid w:val="00DE15D0"/>
    <w:rsid w:val="00DE56BC"/>
    <w:rsid w:val="00DE7770"/>
    <w:rsid w:val="00DE77F1"/>
    <w:rsid w:val="00DF1BF1"/>
    <w:rsid w:val="00DF5418"/>
    <w:rsid w:val="00DF54A5"/>
    <w:rsid w:val="00DF5962"/>
    <w:rsid w:val="00DF6568"/>
    <w:rsid w:val="00E00D71"/>
    <w:rsid w:val="00E01094"/>
    <w:rsid w:val="00E01B23"/>
    <w:rsid w:val="00E03CDB"/>
    <w:rsid w:val="00E049B2"/>
    <w:rsid w:val="00E04E61"/>
    <w:rsid w:val="00E07E76"/>
    <w:rsid w:val="00E1135B"/>
    <w:rsid w:val="00E14A13"/>
    <w:rsid w:val="00E17910"/>
    <w:rsid w:val="00E20048"/>
    <w:rsid w:val="00E26594"/>
    <w:rsid w:val="00E26BBA"/>
    <w:rsid w:val="00E27230"/>
    <w:rsid w:val="00E322A9"/>
    <w:rsid w:val="00E363E2"/>
    <w:rsid w:val="00E3706A"/>
    <w:rsid w:val="00E408A4"/>
    <w:rsid w:val="00E40D3A"/>
    <w:rsid w:val="00E41384"/>
    <w:rsid w:val="00E41DE9"/>
    <w:rsid w:val="00E421DB"/>
    <w:rsid w:val="00E47EC7"/>
    <w:rsid w:val="00E52F6B"/>
    <w:rsid w:val="00E54411"/>
    <w:rsid w:val="00E57A52"/>
    <w:rsid w:val="00E62AC8"/>
    <w:rsid w:val="00E63863"/>
    <w:rsid w:val="00E670F7"/>
    <w:rsid w:val="00E74EEA"/>
    <w:rsid w:val="00E80617"/>
    <w:rsid w:val="00E806C3"/>
    <w:rsid w:val="00E822C0"/>
    <w:rsid w:val="00E82F7F"/>
    <w:rsid w:val="00E83896"/>
    <w:rsid w:val="00E86B03"/>
    <w:rsid w:val="00E87D4C"/>
    <w:rsid w:val="00E91A93"/>
    <w:rsid w:val="00E9784C"/>
    <w:rsid w:val="00E97DB7"/>
    <w:rsid w:val="00EA0AD8"/>
    <w:rsid w:val="00EA1DA2"/>
    <w:rsid w:val="00EA5198"/>
    <w:rsid w:val="00EA52EE"/>
    <w:rsid w:val="00EA68B8"/>
    <w:rsid w:val="00EA79D5"/>
    <w:rsid w:val="00EB26E9"/>
    <w:rsid w:val="00EB3A1D"/>
    <w:rsid w:val="00EB3CAA"/>
    <w:rsid w:val="00EB7CA9"/>
    <w:rsid w:val="00EC028C"/>
    <w:rsid w:val="00EC0D6E"/>
    <w:rsid w:val="00EC3F40"/>
    <w:rsid w:val="00EC4FDF"/>
    <w:rsid w:val="00EC6EBB"/>
    <w:rsid w:val="00EC701C"/>
    <w:rsid w:val="00ED3523"/>
    <w:rsid w:val="00ED46C2"/>
    <w:rsid w:val="00ED52E6"/>
    <w:rsid w:val="00ED5966"/>
    <w:rsid w:val="00ED5B72"/>
    <w:rsid w:val="00EE32FB"/>
    <w:rsid w:val="00EE512E"/>
    <w:rsid w:val="00EE576E"/>
    <w:rsid w:val="00EE7A33"/>
    <w:rsid w:val="00EF1592"/>
    <w:rsid w:val="00EF2FD4"/>
    <w:rsid w:val="00EF33EC"/>
    <w:rsid w:val="00EF5896"/>
    <w:rsid w:val="00F001C1"/>
    <w:rsid w:val="00F118FF"/>
    <w:rsid w:val="00F12460"/>
    <w:rsid w:val="00F14CA1"/>
    <w:rsid w:val="00F1583B"/>
    <w:rsid w:val="00F22C7B"/>
    <w:rsid w:val="00F23E08"/>
    <w:rsid w:val="00F24B9E"/>
    <w:rsid w:val="00F27F10"/>
    <w:rsid w:val="00F301E3"/>
    <w:rsid w:val="00F31BDF"/>
    <w:rsid w:val="00F31D13"/>
    <w:rsid w:val="00F32853"/>
    <w:rsid w:val="00F33DDB"/>
    <w:rsid w:val="00F35A60"/>
    <w:rsid w:val="00F406E8"/>
    <w:rsid w:val="00F4096C"/>
    <w:rsid w:val="00F43D47"/>
    <w:rsid w:val="00F44512"/>
    <w:rsid w:val="00F45C20"/>
    <w:rsid w:val="00F47482"/>
    <w:rsid w:val="00F50D69"/>
    <w:rsid w:val="00F51744"/>
    <w:rsid w:val="00F5381E"/>
    <w:rsid w:val="00F54F42"/>
    <w:rsid w:val="00F55228"/>
    <w:rsid w:val="00F60137"/>
    <w:rsid w:val="00F60BE8"/>
    <w:rsid w:val="00F6346B"/>
    <w:rsid w:val="00F636EF"/>
    <w:rsid w:val="00F6394F"/>
    <w:rsid w:val="00F652AF"/>
    <w:rsid w:val="00F664E7"/>
    <w:rsid w:val="00F7133B"/>
    <w:rsid w:val="00F76CCE"/>
    <w:rsid w:val="00F82195"/>
    <w:rsid w:val="00F84010"/>
    <w:rsid w:val="00F84EF7"/>
    <w:rsid w:val="00F8652F"/>
    <w:rsid w:val="00F9134B"/>
    <w:rsid w:val="00F93582"/>
    <w:rsid w:val="00F95746"/>
    <w:rsid w:val="00F9652F"/>
    <w:rsid w:val="00FA0441"/>
    <w:rsid w:val="00FA64F3"/>
    <w:rsid w:val="00FA7819"/>
    <w:rsid w:val="00FB01A4"/>
    <w:rsid w:val="00FB2124"/>
    <w:rsid w:val="00FB34A2"/>
    <w:rsid w:val="00FB5A23"/>
    <w:rsid w:val="00FB5AC3"/>
    <w:rsid w:val="00FB79FB"/>
    <w:rsid w:val="00FC084A"/>
    <w:rsid w:val="00FC25E8"/>
    <w:rsid w:val="00FC2F5A"/>
    <w:rsid w:val="00FC5D39"/>
    <w:rsid w:val="00FC61BC"/>
    <w:rsid w:val="00FD2801"/>
    <w:rsid w:val="00FD2DAA"/>
    <w:rsid w:val="00FD3ECA"/>
    <w:rsid w:val="00FD5A4B"/>
    <w:rsid w:val="00FE10F9"/>
    <w:rsid w:val="00FE320E"/>
    <w:rsid w:val="00FE3C74"/>
    <w:rsid w:val="00FE3DE8"/>
    <w:rsid w:val="00FE73D5"/>
    <w:rsid w:val="00FF59CC"/>
    <w:rsid w:val="00FF5C5E"/>
    <w:rsid w:val="00FF73F1"/>
    <w:rsid w:val="00FF7898"/>
    <w:rsid w:val="02783817"/>
    <w:rsid w:val="028137CD"/>
    <w:rsid w:val="09EE1DA6"/>
    <w:rsid w:val="0A3E5960"/>
    <w:rsid w:val="0AC154AC"/>
    <w:rsid w:val="0AC338BB"/>
    <w:rsid w:val="0C7C244D"/>
    <w:rsid w:val="0CB23CF5"/>
    <w:rsid w:val="0D505AB0"/>
    <w:rsid w:val="0E5E50D0"/>
    <w:rsid w:val="0EFA095F"/>
    <w:rsid w:val="115B3DB8"/>
    <w:rsid w:val="13D23411"/>
    <w:rsid w:val="15095874"/>
    <w:rsid w:val="160222AF"/>
    <w:rsid w:val="163C2834"/>
    <w:rsid w:val="1BF15BF6"/>
    <w:rsid w:val="1C377C81"/>
    <w:rsid w:val="1C691D81"/>
    <w:rsid w:val="1DA703E3"/>
    <w:rsid w:val="1FC157EC"/>
    <w:rsid w:val="210E7C4B"/>
    <w:rsid w:val="214951E9"/>
    <w:rsid w:val="21A519A5"/>
    <w:rsid w:val="223C2C54"/>
    <w:rsid w:val="23687446"/>
    <w:rsid w:val="237E651B"/>
    <w:rsid w:val="259712BE"/>
    <w:rsid w:val="26224EDB"/>
    <w:rsid w:val="2A30713C"/>
    <w:rsid w:val="2AB07CD8"/>
    <w:rsid w:val="2AC22CF3"/>
    <w:rsid w:val="2BC74CE2"/>
    <w:rsid w:val="2C566B76"/>
    <w:rsid w:val="2D807FE2"/>
    <w:rsid w:val="2D9A3185"/>
    <w:rsid w:val="2E447B2F"/>
    <w:rsid w:val="2EB14F54"/>
    <w:rsid w:val="30430043"/>
    <w:rsid w:val="328F493E"/>
    <w:rsid w:val="332D5859"/>
    <w:rsid w:val="33460DA3"/>
    <w:rsid w:val="3497243E"/>
    <w:rsid w:val="356443DA"/>
    <w:rsid w:val="3C8F414C"/>
    <w:rsid w:val="3CC8014B"/>
    <w:rsid w:val="3D500825"/>
    <w:rsid w:val="3E56414B"/>
    <w:rsid w:val="3F2D33E2"/>
    <w:rsid w:val="40540BAF"/>
    <w:rsid w:val="41B8796A"/>
    <w:rsid w:val="43FB4FA5"/>
    <w:rsid w:val="44C46566"/>
    <w:rsid w:val="454E72B1"/>
    <w:rsid w:val="47717ACD"/>
    <w:rsid w:val="48DE70B5"/>
    <w:rsid w:val="4A5B1857"/>
    <w:rsid w:val="4AEF0CE7"/>
    <w:rsid w:val="4BDC7E1B"/>
    <w:rsid w:val="4C8E104D"/>
    <w:rsid w:val="4F657E91"/>
    <w:rsid w:val="517F1AF6"/>
    <w:rsid w:val="53AE2819"/>
    <w:rsid w:val="554F2D7B"/>
    <w:rsid w:val="59E03192"/>
    <w:rsid w:val="5A661D2E"/>
    <w:rsid w:val="5AD03BDB"/>
    <w:rsid w:val="5C700983"/>
    <w:rsid w:val="5C8A4BE0"/>
    <w:rsid w:val="5D047C3A"/>
    <w:rsid w:val="5F987482"/>
    <w:rsid w:val="5FC9205D"/>
    <w:rsid w:val="62FE7C3E"/>
    <w:rsid w:val="64C70B5D"/>
    <w:rsid w:val="694B1A4D"/>
    <w:rsid w:val="6D185A0C"/>
    <w:rsid w:val="6D661777"/>
    <w:rsid w:val="6F0F06A6"/>
    <w:rsid w:val="6F315F51"/>
    <w:rsid w:val="6F93528C"/>
    <w:rsid w:val="70933559"/>
    <w:rsid w:val="73375656"/>
    <w:rsid w:val="75563FAE"/>
    <w:rsid w:val="76070232"/>
    <w:rsid w:val="76942720"/>
    <w:rsid w:val="779B29CA"/>
    <w:rsid w:val="7A3017EF"/>
    <w:rsid w:val="7B2800F0"/>
    <w:rsid w:val="7BEB1482"/>
    <w:rsid w:val="7C593933"/>
    <w:rsid w:val="7CAB4B18"/>
    <w:rsid w:val="7E0304D5"/>
    <w:rsid w:val="FFAFADF0"/>
    <w:rsid w:val="FFFFBB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widowControl w:val="0"/>
      <w:spacing w:before="280" w:after="290" w:line="376" w:lineRule="auto"/>
      <w:outlineLvl w:val="4"/>
    </w:pPr>
    <w:rPr>
      <w:b/>
      <w:sz w:val="28"/>
    </w:rPr>
  </w:style>
  <w:style w:type="paragraph" w:styleId="8">
    <w:name w:val="heading 6"/>
    <w:basedOn w:val="1"/>
    <w:next w:val="7"/>
    <w:qFormat/>
    <w:uiPriority w:val="0"/>
    <w:pPr>
      <w:keepNext/>
      <w:keepLines/>
      <w:widowControl w:val="0"/>
      <w:spacing w:before="240" w:after="64" w:line="319" w:lineRule="auto"/>
      <w:outlineLvl w:val="5"/>
    </w:pPr>
    <w:rPr>
      <w:rFonts w:ascii="Arial" w:hAnsi="Arial" w:eastAsia="黑体"/>
      <w:b/>
      <w:sz w:val="24"/>
    </w:rPr>
  </w:style>
  <w:style w:type="paragraph" w:styleId="9">
    <w:name w:val="heading 7"/>
    <w:basedOn w:val="1"/>
    <w:next w:val="7"/>
    <w:qFormat/>
    <w:uiPriority w:val="0"/>
    <w:pPr>
      <w:keepNext/>
      <w:keepLines/>
      <w:widowControl w:val="0"/>
      <w:spacing w:before="240" w:after="64" w:line="319" w:lineRule="auto"/>
      <w:outlineLvl w:val="6"/>
    </w:pPr>
    <w:rPr>
      <w:b/>
      <w:sz w:val="24"/>
    </w:rPr>
  </w:style>
  <w:style w:type="paragraph" w:styleId="10">
    <w:name w:val="heading 8"/>
    <w:basedOn w:val="1"/>
    <w:next w:val="7"/>
    <w:qFormat/>
    <w:uiPriority w:val="0"/>
    <w:pPr>
      <w:keepNext/>
      <w:keepLines/>
      <w:widowControl w:val="0"/>
      <w:spacing w:before="240" w:after="64" w:line="319" w:lineRule="auto"/>
      <w:outlineLvl w:val="7"/>
    </w:pPr>
    <w:rPr>
      <w:rFonts w:ascii="Arial" w:hAnsi="Arial" w:eastAsia="黑体"/>
      <w:sz w:val="24"/>
    </w:rPr>
  </w:style>
  <w:style w:type="paragraph" w:styleId="11">
    <w:name w:val="heading 9"/>
    <w:basedOn w:val="1"/>
    <w:next w:val="7"/>
    <w:qFormat/>
    <w:uiPriority w:val="0"/>
    <w:pPr>
      <w:keepNext/>
      <w:keepLines/>
      <w:widowControl w:val="0"/>
      <w:spacing w:before="240" w:after="64" w:line="319" w:lineRule="auto"/>
      <w:outlineLvl w:val="8"/>
    </w:pPr>
    <w:rPr>
      <w:rFonts w:ascii="Arial" w:hAnsi="Arial" w:eastAsia="黑体"/>
    </w:rPr>
  </w:style>
  <w:style w:type="character" w:default="1" w:styleId="50">
    <w:name w:val="Default Paragraph Font"/>
    <w:qFormat/>
    <w:uiPriority w:val="0"/>
  </w:style>
  <w:style w:type="table" w:default="1" w:styleId="49">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unhideWhenUsed/>
    <w:qFormat/>
    <w:uiPriority w:val="0"/>
    <w:pPr>
      <w:ind w:left="1680" w:hanging="210"/>
      <w:jc w:val="left"/>
    </w:pPr>
    <w:rPr>
      <w:rFonts w:ascii="Calibri" w:hAnsi="Calibri"/>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lang w:bidi="ar-SA"/>
    </w:rPr>
  </w:style>
  <w:style w:type="paragraph" w:styleId="16">
    <w:name w:val="Document Map"/>
    <w:basedOn w:val="1"/>
    <w:qFormat/>
    <w:uiPriority w:val="0"/>
    <w:pPr>
      <w:shd w:val="clear" w:color="auto" w:fill="000080"/>
    </w:pPr>
  </w:style>
  <w:style w:type="paragraph" w:styleId="17">
    <w:name w:val="annotation text"/>
    <w:basedOn w:val="1"/>
    <w:link w:val="57"/>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rPr>
      <w:sz w:val="28"/>
    </w:rPr>
  </w:style>
  <w:style w:type="paragraph" w:styleId="19">
    <w:name w:val="Body Text 3"/>
    <w:basedOn w:val="1"/>
    <w:qFormat/>
    <w:uiPriority w:val="0"/>
    <w:pPr>
      <w:spacing w:line="500" w:lineRule="exact"/>
    </w:pPr>
    <w:rPr>
      <w:b/>
      <w:bCs/>
      <w:sz w:val="24"/>
    </w:rPr>
  </w:style>
  <w:style w:type="paragraph" w:styleId="20">
    <w:name w:val="Body Text"/>
    <w:basedOn w:val="1"/>
    <w:qFormat/>
    <w:uiPriority w:val="0"/>
    <w:pPr>
      <w:spacing w:line="380" w:lineRule="exact"/>
    </w:pPr>
    <w:rPr>
      <w:sz w:val="24"/>
    </w:rPr>
  </w:style>
  <w:style w:type="paragraph" w:styleId="21">
    <w:name w:val="Body Text Indent"/>
    <w:basedOn w:val="1"/>
    <w:qFormat/>
    <w:uiPriority w:val="0"/>
    <w:pPr>
      <w:ind w:firstLine="352"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4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0"/>
    <w:pPr>
      <w:ind w:left="400" w:leftChars="400"/>
    </w:pPr>
  </w:style>
  <w:style w:type="paragraph" w:styleId="27">
    <w:name w:val="Plain Text"/>
    <w:basedOn w:val="1"/>
    <w:link w:val="58"/>
    <w:qFormat/>
    <w:uiPriority w:val="0"/>
    <w:rPr>
      <w:rFonts w:ascii="宋体"/>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qFormat/>
    <w:uiPriority w:val="0"/>
    <w:pPr>
      <w:ind w:left="2500" w:leftChars="2500"/>
    </w:pPr>
    <w:rPr>
      <w:rFonts w:ascii="宋体" w:cs="Courier New"/>
      <w:szCs w:val="21"/>
      <w:lang w:bidi="ar-SA"/>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rPr>
      <w:rFonts w:ascii="Calibri" w:hAnsi="Calibri"/>
      <w:szCs w:val="22"/>
    </w:rPr>
  </w:style>
  <w:style w:type="paragraph" w:styleId="32">
    <w:name w:val="Balloon Text"/>
    <w:basedOn w:val="1"/>
    <w:qFormat/>
    <w:uiPriority w:val="0"/>
    <w:rPr>
      <w:sz w:val="18"/>
      <w:szCs w:val="18"/>
    </w:rPr>
  </w:style>
  <w:style w:type="paragraph" w:styleId="33">
    <w:name w:val="footer"/>
    <w:basedOn w:val="1"/>
    <w:qFormat/>
    <w:uiPriority w:val="0"/>
    <w:pPr>
      <w:tabs>
        <w:tab w:val="center" w:pos="4153"/>
        <w:tab w:val="right" w:pos="8306"/>
      </w:tabs>
      <w:snapToGrid w:val="0"/>
      <w:jc w:val="left"/>
    </w:pPr>
    <w:rPr>
      <w:sz w:val="18"/>
      <w:szCs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36">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qFormat/>
    <w:uiPriority w:val="0"/>
    <w:pPr>
      <w:spacing w:after="120"/>
      <w:ind w:left="200" w:leftChars="200"/>
    </w:pPr>
    <w:rPr>
      <w:sz w:val="16"/>
      <w:szCs w:val="16"/>
    </w:rPr>
  </w:style>
  <w:style w:type="paragraph" w:styleId="41">
    <w:name w:val="toc 2"/>
    <w:basedOn w:val="1"/>
    <w:next w:val="1"/>
    <w:qFormat/>
    <w:uiPriority w:val="0"/>
    <w:pPr>
      <w:ind w:left="20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45">
    <w:name w:val="Normal (Web)"/>
    <w:basedOn w:val="1"/>
    <w:qFormat/>
    <w:uiPriority w:val="0"/>
    <w:pPr>
      <w:widowControl/>
      <w:spacing w:before="100" w:beforeAutospacing="1" w:after="100" w:afterAutospacing="1"/>
      <w:jc w:val="left"/>
    </w:pPr>
    <w:rPr>
      <w:rFonts w:ascii="宋体"/>
      <w:kern w:val="0"/>
      <w:sz w:val="24"/>
    </w:rPr>
  </w:style>
  <w:style w:type="paragraph" w:styleId="46">
    <w:name w:val="index 1"/>
    <w:basedOn w:val="1"/>
    <w:next w:val="1"/>
    <w:qFormat/>
    <w:uiPriority w:val="0"/>
    <w:pPr>
      <w:spacing w:line="400" w:lineRule="exact"/>
      <w:ind w:firstLine="200" w:firstLineChars="200"/>
    </w:pPr>
    <w:rPr>
      <w:rFonts w:ascii="宋体"/>
      <w:b/>
      <w:szCs w:val="20"/>
    </w:rPr>
  </w:style>
  <w:style w:type="paragraph" w:styleId="47">
    <w:name w:val="Title"/>
    <w:basedOn w:val="1"/>
    <w:qFormat/>
    <w:uiPriority w:val="0"/>
    <w:pPr>
      <w:spacing w:before="240" w:after="60"/>
      <w:jc w:val="center"/>
      <w:outlineLvl w:val="0"/>
    </w:pPr>
    <w:rPr>
      <w:rFonts w:ascii="Arial" w:hAnsi="Arial"/>
      <w:b/>
      <w:bCs/>
      <w:sz w:val="32"/>
      <w:szCs w:val="32"/>
    </w:rPr>
  </w:style>
  <w:style w:type="paragraph" w:styleId="48">
    <w:name w:val="annotation subject"/>
    <w:basedOn w:val="17"/>
    <w:next w:val="17"/>
    <w:qFormat/>
    <w:uiPriority w:val="0"/>
    <w:pPr>
      <w:adjustRightInd/>
      <w:spacing w:line="240" w:lineRule="auto"/>
      <w:textAlignment w:val="auto"/>
    </w:pPr>
    <w:rPr>
      <w:b/>
      <w:bCs/>
      <w:kern w:val="2"/>
      <w:sz w:val="21"/>
      <w:szCs w:val="24"/>
    </w:r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00"/>
    </w:rPr>
  </w:style>
  <w:style w:type="character" w:styleId="55">
    <w:name w:val="Hyperlink"/>
    <w:qFormat/>
    <w:uiPriority w:val="0"/>
    <w:rPr>
      <w:color w:val="0000FF"/>
      <w:u w:val="single"/>
    </w:rPr>
  </w:style>
  <w:style w:type="character" w:styleId="56">
    <w:name w:val="annotation reference"/>
    <w:qFormat/>
    <w:uiPriority w:val="0"/>
    <w:rPr>
      <w:sz w:val="21"/>
      <w:szCs w:val="21"/>
    </w:rPr>
  </w:style>
  <w:style w:type="character" w:customStyle="1" w:styleId="57">
    <w:name w:val="批注文字 Char"/>
    <w:link w:val="17"/>
    <w:qFormat/>
    <w:uiPriority w:val="0"/>
    <w:rPr>
      <w:rFonts w:eastAsia="宋体"/>
      <w:sz w:val="24"/>
    </w:rPr>
  </w:style>
  <w:style w:type="character" w:customStyle="1" w:styleId="58">
    <w:name w:val="纯文本 Char"/>
    <w:link w:val="27"/>
    <w:qFormat/>
    <w:uiPriority w:val="0"/>
    <w:rPr>
      <w:rFonts w:ascii="宋体" w:eastAsia="宋体" w:cs="Courier New"/>
      <w:kern w:val="2"/>
      <w:sz w:val="21"/>
      <w:szCs w:val="21"/>
    </w:rPr>
  </w:style>
  <w:style w:type="character" w:customStyle="1" w:styleId="59">
    <w:name w:val="自定义标题一 Char Char"/>
    <w:qFormat/>
    <w:uiPriority w:val="0"/>
    <w:rPr>
      <w:rFonts w:asci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60">
    <w:name w:val=" Char Char Char Char Char"/>
    <w:qFormat/>
    <w:uiPriority w:val="0"/>
    <w:rPr>
      <w:rFonts w:eastAsia="宋体"/>
      <w:b/>
      <w:bCs/>
      <w:kern w:val="44"/>
      <w:sz w:val="44"/>
      <w:szCs w:val="44"/>
      <w:lang w:val="en-US" w:eastAsia="zh-CN" w:bidi="ar-SA"/>
    </w:rPr>
  </w:style>
  <w:style w:type="character" w:customStyle="1" w:styleId="61">
    <w:name w:val="ca-0"/>
    <w:qFormat/>
    <w:uiPriority w:val="0"/>
  </w:style>
  <w:style w:type="character" w:customStyle="1" w:styleId="62">
    <w:name w:val=" Char Char15"/>
    <w:qFormat/>
    <w:uiPriority w:val="0"/>
    <w:rPr>
      <w:sz w:val="18"/>
      <w:szCs w:val="18"/>
    </w:rPr>
  </w:style>
  <w:style w:type="character" w:customStyle="1" w:styleId="63">
    <w:name w:val="正文文本缩进 Char1"/>
    <w:qFormat/>
    <w:uiPriority w:val="0"/>
    <w:rPr>
      <w:kern w:val="2"/>
      <w:sz w:val="21"/>
      <w:szCs w:val="22"/>
    </w:rPr>
  </w:style>
  <w:style w:type="character" w:customStyle="1" w:styleId="64">
    <w:name w:val=" Char Char10"/>
    <w:qFormat/>
    <w:uiPriority w:val="0"/>
    <w:rPr>
      <w:rFonts w:eastAsia="宋体"/>
      <w:kern w:val="2"/>
      <w:sz w:val="24"/>
      <w:szCs w:val="24"/>
      <w:lang w:val="en-US" w:eastAsia="zh-CN" w:bidi="ar-SA"/>
    </w:rPr>
  </w:style>
  <w:style w:type="character" w:customStyle="1" w:styleId="65">
    <w:name w:val="unnamed3"/>
    <w:basedOn w:val="50"/>
    <w:qFormat/>
    <w:uiPriority w:val="0"/>
  </w:style>
  <w:style w:type="character" w:customStyle="1" w:styleId="66">
    <w:name w:val="H1 Char2"/>
    <w:qFormat/>
    <w:uiPriority w:val="0"/>
    <w:rPr>
      <w:rFonts w:eastAsia="宋体"/>
      <w:b/>
      <w:bCs/>
      <w:kern w:val="44"/>
      <w:sz w:val="44"/>
      <w:szCs w:val="44"/>
      <w:lang w:val="en-US" w:eastAsia="zh-CN" w:bidi="ar-SA"/>
    </w:rPr>
  </w:style>
  <w:style w:type="character" w:customStyle="1" w:styleId="67">
    <w:name w:val="style31"/>
    <w:qFormat/>
    <w:uiPriority w:val="0"/>
    <w:rPr>
      <w:sz w:val="18"/>
      <w:szCs w:val="18"/>
    </w:rPr>
  </w:style>
  <w:style w:type="character" w:customStyle="1" w:styleId="68">
    <w:name w:val="无间隔 Char Char"/>
    <w:qFormat/>
    <w:uiPriority w:val="0"/>
    <w:rPr>
      <w:rFonts w:ascii="Calibri" w:hAnsi="Calibri" w:eastAsia="宋体"/>
      <w:sz w:val="22"/>
      <w:szCs w:val="22"/>
      <w:lang w:val="en-US" w:eastAsia="zh-CN" w:bidi="ar-SA"/>
    </w:rPr>
  </w:style>
  <w:style w:type="character" w:customStyle="1" w:styleId="69">
    <w:name w:val="正文文字首行缩进 Char"/>
    <w:qFormat/>
    <w:uiPriority w:val="0"/>
    <w:rPr>
      <w:rFonts w:ascii="仿宋_GB2312" w:eastAsia="仿宋_GB2312"/>
      <w:kern w:val="2"/>
      <w:sz w:val="32"/>
    </w:rPr>
  </w:style>
  <w:style w:type="character" w:customStyle="1" w:styleId="70">
    <w:name w:val="H1 Char"/>
    <w:qFormat/>
    <w:uiPriority w:val="0"/>
    <w:rPr>
      <w:rFonts w:eastAsia="宋体"/>
      <w:b/>
      <w:bCs/>
      <w:kern w:val="44"/>
      <w:sz w:val="44"/>
      <w:szCs w:val="44"/>
      <w:lang w:val="en-US" w:eastAsia="zh-CN" w:bidi="ar-SA"/>
    </w:rPr>
  </w:style>
  <w:style w:type="character" w:customStyle="1" w:styleId="71">
    <w:name w:val=" Char Char14"/>
    <w:qFormat/>
    <w:uiPriority w:val="0"/>
    <w:rPr>
      <w:sz w:val="18"/>
      <w:szCs w:val="18"/>
    </w:rPr>
  </w:style>
  <w:style w:type="character" w:customStyle="1" w:styleId="72">
    <w:name w:val="普通文字 Char Char2"/>
    <w:qFormat/>
    <w:uiPriority w:val="0"/>
    <w:rPr>
      <w:rFonts w:ascii="宋体" w:eastAsia="宋体"/>
      <w:kern w:val="2"/>
      <w:sz w:val="21"/>
      <w:lang w:val="en-US" w:eastAsia="zh-CN" w:bidi="ar-SA"/>
    </w:rPr>
  </w:style>
  <w:style w:type="character" w:customStyle="1" w:styleId="73">
    <w:name w:val="p1"/>
    <w:basedOn w:val="50"/>
    <w:qFormat/>
    <w:uiPriority w:val="0"/>
  </w:style>
  <w:style w:type="character" w:customStyle="1" w:styleId="74">
    <w:name w:val="apple-style-span"/>
    <w:basedOn w:val="50"/>
    <w:qFormat/>
    <w:uiPriority w:val="0"/>
  </w:style>
  <w:style w:type="character" w:customStyle="1" w:styleId="75">
    <w:name w:val="H1 Char1"/>
    <w:qFormat/>
    <w:uiPriority w:val="0"/>
    <w:rPr>
      <w:rFonts w:eastAsia="宋体"/>
      <w:b/>
      <w:bCs/>
      <w:kern w:val="44"/>
      <w:sz w:val="44"/>
      <w:szCs w:val="44"/>
      <w:lang w:val="en-US" w:eastAsia="zh-CN" w:bidi="ar-SA"/>
    </w:rPr>
  </w:style>
  <w:style w:type="character" w:customStyle="1" w:styleId="76">
    <w:name w:val="cubane_hilight1"/>
    <w:qFormat/>
    <w:uiPriority w:val="0"/>
    <w:rPr>
      <w:color w:val="CC0000"/>
    </w:rPr>
  </w:style>
  <w:style w:type="character" w:customStyle="1" w:styleId="77">
    <w:name w:val="Char Char17"/>
    <w:qFormat/>
    <w:uiPriority w:val="0"/>
    <w:rPr>
      <w:rFonts w:ascii="Times New Roman" w:hAnsi="Times New Roman" w:cs="Times New Roman"/>
      <w:b/>
      <w:bCs/>
      <w:kern w:val="2"/>
      <w:sz w:val="21"/>
      <w:szCs w:val="24"/>
      <w:lang w:bidi="ar-SA"/>
    </w:rPr>
  </w:style>
  <w:style w:type="character" w:customStyle="1" w:styleId="78">
    <w:name w:val="llyf92"/>
    <w:qFormat/>
    <w:uiPriority w:val="0"/>
    <w:rPr>
      <w:sz w:val="18"/>
      <w:szCs w:val="18"/>
    </w:rPr>
  </w:style>
  <w:style w:type="character" w:customStyle="1" w:styleId="79">
    <w:name w:val="1ji Char Char"/>
    <w:qFormat/>
    <w:uiPriority w:val="0"/>
    <w:rPr>
      <w:rFonts w:ascii="宋体" w:eastAsia="宋体"/>
      <w:b/>
      <w:bCs/>
      <w:kern w:val="44"/>
      <w:sz w:val="36"/>
      <w:szCs w:val="44"/>
    </w:rPr>
  </w:style>
  <w:style w:type="character" w:customStyle="1" w:styleId="80">
    <w:name w:val="Body Text Char"/>
    <w:qFormat/>
    <w:uiPriority w:val="0"/>
    <w:rPr>
      <w:rFonts w:eastAsia="宋体"/>
      <w:kern w:val="2"/>
      <w:sz w:val="24"/>
      <w:szCs w:val="24"/>
      <w:lang w:val="en-US" w:eastAsia="zh-CN" w:bidi="ar-SA"/>
    </w:rPr>
  </w:style>
  <w:style w:type="character" w:customStyle="1" w:styleId="81">
    <w:name w:val=" Char Char11"/>
    <w:qFormat/>
    <w:uiPriority w:val="0"/>
    <w:rPr>
      <w:rFonts w:ascii="Times New Roman" w:hAnsi="Times New Roman" w:eastAsia="宋体" w:cs="Times New Roman"/>
      <w:sz w:val="30"/>
      <w:szCs w:val="24"/>
      <w:lang w:bidi="ar-SA"/>
    </w:rPr>
  </w:style>
  <w:style w:type="character" w:customStyle="1" w:styleId="82">
    <w:name w:val="style161"/>
    <w:qFormat/>
    <w:uiPriority w:val="0"/>
    <w:rPr>
      <w:color w:val="666666"/>
    </w:rPr>
  </w:style>
  <w:style w:type="character" w:customStyle="1" w:styleId="83">
    <w:name w:val="标题 Char1"/>
    <w:qFormat/>
    <w:uiPriority w:val="0"/>
    <w:rPr>
      <w:rFonts w:ascii="Cambria" w:hAnsi="Cambria" w:cs="Times New Roman"/>
      <w:b/>
      <w:bCs/>
      <w:kern w:val="2"/>
      <w:sz w:val="32"/>
      <w:szCs w:val="32"/>
      <w:lang w:bidi="ar-SA"/>
    </w:rPr>
  </w:style>
  <w:style w:type="character" w:customStyle="1" w:styleId="84">
    <w:name w:val="纯文本 Char1"/>
    <w:qFormat/>
    <w:uiPriority w:val="0"/>
    <w:rPr>
      <w:rFonts w:ascii="宋体" w:eastAsia="宋体" w:cs="Courier New"/>
      <w:kern w:val="2"/>
      <w:sz w:val="21"/>
      <w:szCs w:val="21"/>
      <w:lang w:val="en-US" w:eastAsia="zh-CN" w:bidi="ar-SA"/>
    </w:rPr>
  </w:style>
  <w:style w:type="character" w:customStyle="1" w:styleId="85">
    <w:name w:val="普通文字 Char Char4"/>
    <w:qFormat/>
    <w:uiPriority w:val="0"/>
    <w:rPr>
      <w:rFonts w:ascii="宋体" w:eastAsia="宋体" w:cs="Courier New"/>
      <w:kern w:val="2"/>
      <w:sz w:val="21"/>
      <w:szCs w:val="21"/>
      <w:lang w:val="en-US" w:eastAsia="zh-CN" w:bidi="ar-SA"/>
    </w:rPr>
  </w:style>
  <w:style w:type="character" w:customStyle="1" w:styleId="86">
    <w:name w:val="style21"/>
    <w:qFormat/>
    <w:uiPriority w:val="0"/>
    <w:rPr>
      <w:sz w:val="18"/>
      <w:szCs w:val="18"/>
    </w:rPr>
  </w:style>
  <w:style w:type="character" w:customStyle="1" w:styleId="87">
    <w:name w:val=" Char Char23"/>
    <w:qFormat/>
    <w:uiPriority w:val="0"/>
    <w:rPr>
      <w:rFonts w:ascii="Times New Roman" w:hAnsi="Times New Roman" w:eastAsia="宋体" w:cs="Times New Roman"/>
      <w:b/>
      <w:bCs/>
      <w:kern w:val="44"/>
      <w:sz w:val="44"/>
      <w:szCs w:val="44"/>
      <w:lang w:bidi="ar-SA"/>
    </w:rPr>
  </w:style>
  <w:style w:type="paragraph" w:customStyle="1" w:styleId="88">
    <w:name w:val="List Paragraph1"/>
    <w:basedOn w:val="1"/>
    <w:qFormat/>
    <w:uiPriority w:val="0"/>
    <w:pPr>
      <w:ind w:firstLine="200" w:firstLineChars="200"/>
    </w:pPr>
    <w:rPr>
      <w:rFonts w:ascii="Calibri" w:hAnsi="Calibri"/>
      <w:szCs w:val="22"/>
    </w:rPr>
  </w:style>
  <w:style w:type="paragraph" w:customStyle="1" w:styleId="89">
    <w:name w:val="目录4"/>
    <w:basedOn w:val="1"/>
    <w:next w:val="1"/>
    <w:qFormat/>
    <w:uiPriority w:val="0"/>
    <w:pPr>
      <w:widowControl/>
      <w:tabs>
        <w:tab w:val="left" w:leader="dot" w:pos="8503"/>
      </w:tabs>
      <w:spacing w:line="317" w:lineRule="atLeast"/>
      <w:ind w:firstLine="629"/>
      <w:textAlignment w:val="baseline"/>
    </w:pPr>
    <w:rPr>
      <w:color w:val="000000"/>
      <w:kern w:val="0"/>
      <w:szCs w:val="20"/>
      <w:u w:val="none" w:color="000000"/>
    </w:rPr>
  </w:style>
  <w:style w:type="paragraph" w:customStyle="1" w:styleId="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91">
    <w:name w:val="目录3"/>
    <w:basedOn w:val="1"/>
    <w:next w:val="1"/>
    <w:qFormat/>
    <w:uiPriority w:val="0"/>
    <w:pPr>
      <w:widowControl/>
      <w:tabs>
        <w:tab w:val="left" w:leader="dot" w:pos="8503"/>
      </w:tabs>
      <w:spacing w:line="317" w:lineRule="atLeast"/>
      <w:ind w:firstLine="419"/>
      <w:textAlignment w:val="baseline"/>
    </w:pPr>
    <w:rPr>
      <w:color w:val="000000"/>
      <w:kern w:val="0"/>
      <w:szCs w:val="20"/>
      <w:u w:val="none" w:color="000000"/>
    </w:rPr>
  </w:style>
  <w:style w:type="paragraph" w:customStyle="1" w:styleId="92">
    <w:name w:val="1ji"/>
    <w:basedOn w:val="2"/>
    <w:qFormat/>
    <w:uiPriority w:val="0"/>
    <w:pPr>
      <w:keepNext/>
      <w:keepLines w:val="0"/>
      <w:widowControl/>
      <w:spacing w:before="0" w:after="0" w:line="240" w:lineRule="auto"/>
      <w:jc w:val="center"/>
    </w:pPr>
    <w:rPr>
      <w:rFonts w:ascii="宋体"/>
      <w:sz w:val="36"/>
    </w:rPr>
  </w:style>
  <w:style w:type="paragraph" w:customStyle="1" w:styleId="93">
    <w:name w:val=" Char"/>
    <w:basedOn w:val="16"/>
    <w:qFormat/>
    <w:uiPriority w:val="0"/>
    <w:pPr>
      <w:widowControl/>
      <w:ind w:firstLine="454"/>
      <w:jc w:val="left"/>
    </w:pPr>
    <w:rPr>
      <w:rFonts w:ascii="Tahoma" w:hAnsi="Tahoma" w:cs="宋体"/>
      <w:kern w:val="0"/>
      <w:sz w:val="24"/>
      <w:szCs w:val="20"/>
      <w:lang w:bidi="ar-SA"/>
    </w:r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customStyle="1" w:styleId="95">
    <w:name w:val="Char Char Char Char"/>
    <w:basedOn w:val="16"/>
    <w:qFormat/>
    <w:uiPriority w:val="0"/>
    <w:pPr>
      <w:adjustRightInd w:val="0"/>
      <w:snapToGrid w:val="0"/>
      <w:spacing w:line="360" w:lineRule="auto"/>
    </w:pPr>
    <w:rPr>
      <w:rFonts w:ascii="Tahoma" w:hAnsi="Tahoma"/>
      <w:sz w:val="24"/>
    </w:rPr>
  </w:style>
  <w:style w:type="paragraph" w:customStyle="1" w:styleId="96">
    <w:name w:val="_Style 35"/>
    <w:basedOn w:val="16"/>
    <w:qFormat/>
    <w:uiPriority w:val="0"/>
    <w:pPr>
      <w:widowControl/>
      <w:ind w:firstLine="454"/>
      <w:jc w:val="left"/>
    </w:pPr>
  </w:style>
  <w:style w:type="paragraph" w:customStyle="1" w:styleId="97">
    <w:name w:val="表内文字"/>
    <w:basedOn w:val="1"/>
    <w:qFormat/>
    <w:uiPriority w:val="0"/>
    <w:pPr>
      <w:snapToGrid w:val="0"/>
      <w:spacing w:before="50" w:after="50" w:line="360" w:lineRule="exact"/>
    </w:pPr>
    <w:rPr>
      <w:rFonts w:ascii="宋体"/>
      <w:b/>
      <w:color w:val="0000FF"/>
      <w:szCs w:val="21"/>
    </w:rPr>
  </w:style>
  <w:style w:type="paragraph" w:customStyle="1" w:styleId="9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1">
    <w:name w:val="444"/>
    <w:basedOn w:val="1"/>
    <w:qFormat/>
    <w:uiPriority w:val="0"/>
    <w:pPr>
      <w:adjustRightInd w:val="0"/>
      <w:spacing w:line="312" w:lineRule="atLeast"/>
      <w:jc w:val="center"/>
      <w:textAlignment w:val="baseline"/>
    </w:pPr>
    <w:rPr>
      <w:b/>
      <w:kern w:val="0"/>
      <w:sz w:val="36"/>
      <w:szCs w:val="36"/>
    </w:rPr>
  </w:style>
  <w:style w:type="paragraph" w:customStyle="1" w:styleId="102">
    <w:name w:val="列出段落1"/>
    <w:qFormat/>
    <w:uiPriority w:val="0"/>
    <w:pPr>
      <w:ind w:firstLine="200" w:firstLineChars="200"/>
    </w:pPr>
    <w:rPr>
      <w:rFonts w:ascii="Calibri" w:hAnsi="Calibri" w:eastAsia="宋体" w:cs="Times New Roman"/>
      <w:szCs w:val="22"/>
      <w:lang w:val="en-US" w:eastAsia="zh-CN" w:bidi="ar-SA"/>
    </w:rPr>
  </w:style>
  <w:style w:type="paragraph" w:customStyle="1" w:styleId="103">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val="none" w:color="000000"/>
    </w:rPr>
  </w:style>
  <w:style w:type="paragraph" w:customStyle="1" w:styleId="10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05">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自定义标题一"/>
    <w:basedOn w:val="2"/>
    <w:qFormat/>
    <w:uiPriority w:val="0"/>
    <w:pPr>
      <w:keepNext/>
      <w:keepLines/>
      <w:pageBreakBefore/>
      <w:widowControl w:val="0"/>
      <w:tabs>
        <w:tab w:val="left" w:pos="144"/>
      </w:tabs>
      <w:spacing w:before="0" w:after="0" w:line="360" w:lineRule="auto"/>
      <w:ind w:left="144" w:hanging="144"/>
      <w:jc w:val="center"/>
    </w:pPr>
    <w:rPr>
      <w:rFonts w:ascii="黑体" w:eastAsia="黑体"/>
      <w14:shadow w14:blurRad="50800" w14:dist="38100" w14:dir="2700000" w14:sx="100000" w14:sy="100000" w14:kx="0" w14:ky="0" w14:algn="tl">
        <w14:srgbClr w14:val="000000">
          <w14:alpha w14:val="60000"/>
        </w14:srgbClr>
      </w14:shadow>
    </w:rPr>
  </w:style>
  <w:style w:type="paragraph" w:customStyle="1" w:styleId="107">
    <w:name w:val="Plain Text"/>
    <w:basedOn w:val="1"/>
    <w:qFormat/>
    <w:uiPriority w:val="0"/>
    <w:rPr>
      <w:rFonts w:ascii="宋体"/>
      <w:szCs w:val="20"/>
    </w:rPr>
  </w:style>
  <w:style w:type="paragraph" w:customStyle="1" w:styleId="108">
    <w:name w:val="正文首行缩进两字符"/>
    <w:basedOn w:val="1"/>
    <w:qFormat/>
    <w:uiPriority w:val="0"/>
    <w:pPr>
      <w:spacing w:line="360" w:lineRule="auto"/>
      <w:ind w:firstLine="200" w:firstLineChars="200"/>
    </w:pPr>
  </w:style>
  <w:style w:type="paragraph" w:customStyle="1" w:styleId="109">
    <w:name w:val="小节标题"/>
    <w:basedOn w:val="1"/>
    <w:next w:val="1"/>
    <w:qFormat/>
    <w:uiPriority w:val="0"/>
    <w:pPr>
      <w:widowControl/>
      <w:spacing w:before="175" w:after="102" w:line="351" w:lineRule="atLeast"/>
      <w:textAlignment w:val="baseline"/>
    </w:pPr>
    <w:rPr>
      <w:rFonts w:eastAsia="黑体"/>
      <w:color w:val="000000"/>
      <w:kern w:val="0"/>
      <w:szCs w:val="20"/>
      <w:u w:val="none" w:color="000000"/>
    </w:rPr>
  </w:style>
  <w:style w:type="paragraph" w:customStyle="1" w:styleId="110">
    <w:name w:val="Char Char Char Char Char Char Char Char Char"/>
    <w:basedOn w:val="1"/>
    <w:qFormat/>
    <w:uiPriority w:val="0"/>
    <w:pPr>
      <w:widowControl/>
      <w:spacing w:after="160" w:line="240" w:lineRule="exact"/>
      <w:jc w:val="left"/>
    </w:pPr>
    <w:rPr>
      <w:szCs w:val="20"/>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13">
    <w:name w:val="样式 正文文字 + 小四 段后: 0 磅 行距: 1.5 倍行距"/>
    <w:basedOn w:val="20"/>
    <w:qFormat/>
    <w:uiPriority w:val="0"/>
    <w:pPr>
      <w:spacing w:line="360" w:lineRule="auto"/>
      <w:ind w:firstLine="200" w:firstLineChars="200"/>
    </w:pPr>
    <w:rPr>
      <w:rFonts w:cs="宋体"/>
      <w:szCs w:val="20"/>
      <w:lang w:bidi="ar-SA"/>
    </w:rPr>
  </w:style>
  <w:style w:type="paragraph" w:customStyle="1" w:styleId="114">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val="none" w:color="000000"/>
    </w:rPr>
  </w:style>
  <w:style w:type="paragraph" w:customStyle="1" w:styleId="115">
    <w:name w:val=" Char Char1 Char Char Char Char"/>
    <w:basedOn w:val="16"/>
    <w:qFormat/>
    <w:uiPriority w:val="0"/>
    <w:rPr>
      <w:rFonts w:ascii="Tahoma" w:hAnsi="Tahoma"/>
      <w:sz w:val="24"/>
    </w:rPr>
  </w:style>
  <w:style w:type="paragraph" w:customStyle="1" w:styleId="116">
    <w:name w:val="4"/>
    <w:basedOn w:val="1"/>
    <w:next w:val="30"/>
    <w:qFormat/>
    <w:uiPriority w:val="0"/>
    <w:pPr>
      <w:spacing w:line="420" w:lineRule="exact"/>
      <w:ind w:firstLine="195" w:firstLineChars="195"/>
    </w:pPr>
  </w:style>
  <w:style w:type="paragraph" w:customStyle="1" w:styleId="117">
    <w:name w:val="p15"/>
    <w:basedOn w:val="1"/>
    <w:qFormat/>
    <w:uiPriority w:val="0"/>
    <w:pPr>
      <w:widowControl/>
    </w:pPr>
    <w:rPr>
      <w:rFonts w:ascii="宋体" w:cs="宋体"/>
      <w:kern w:val="0"/>
      <w:szCs w:val="21"/>
      <w:lang w:bidi="ar-SA"/>
    </w:rPr>
  </w:style>
  <w:style w:type="paragraph" w:customStyle="1" w:styleId="118">
    <w:name w:val="文章附标题"/>
    <w:basedOn w:val="1"/>
    <w:next w:val="2"/>
    <w:qFormat/>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119">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bidi="ar-SA"/>
    </w:rPr>
  </w:style>
  <w:style w:type="paragraph" w:customStyle="1" w:styleId="12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1">
    <w:name w:val="表格"/>
    <w:basedOn w:val="1"/>
    <w:qFormat/>
    <w:uiPriority w:val="0"/>
    <w:pPr>
      <w:spacing w:line="400" w:lineRule="exact"/>
    </w:pPr>
    <w:rPr>
      <w:sz w:val="24"/>
    </w:rPr>
  </w:style>
  <w:style w:type="paragraph" w:customStyle="1" w:styleId="12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lang w:bidi="ar-SA"/>
    </w:rPr>
  </w:style>
  <w:style w:type="paragraph" w:customStyle="1" w:styleId="123">
    <w:name w:val="样式 标题 2 + (西文) 宋体 非加粗 居中"/>
    <w:basedOn w:val="3"/>
    <w:qFormat/>
    <w:uiPriority w:val="0"/>
    <w:pPr>
      <w:jc w:val="center"/>
    </w:pPr>
    <w:rPr>
      <w:rFonts w:ascii="宋体" w:hAnsi="宋体" w:cs="宋体"/>
      <w:b w:val="0"/>
      <w:bCs w:val="0"/>
      <w:spacing w:val="2"/>
      <w:sz w:val="28"/>
      <w:szCs w:val="20"/>
      <w:lang w:bidi="ar-SA"/>
    </w:rPr>
  </w:style>
  <w:style w:type="paragraph" w:customStyle="1" w:styleId="124">
    <w:name w:val="文章总标题"/>
    <w:basedOn w:val="1"/>
    <w:next w:val="118"/>
    <w:qFormat/>
    <w:uiPriority w:val="0"/>
    <w:pPr>
      <w:widowControl/>
      <w:spacing w:before="566" w:after="544" w:line="566" w:lineRule="atLeast"/>
      <w:jc w:val="center"/>
      <w:textAlignment w:val="baseline"/>
    </w:pPr>
    <w:rPr>
      <w:rFonts w:ascii="Arial" w:hAnsi="Arial" w:eastAsia="黑体"/>
      <w:color w:val="000000"/>
      <w:kern w:val="0"/>
      <w:sz w:val="54"/>
      <w:szCs w:val="20"/>
      <w:u w:val="none" w:color="000000"/>
    </w:rPr>
  </w:style>
  <w:style w:type="paragraph" w:customStyle="1" w:styleId="125">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2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Char"/>
    <w:basedOn w:val="16"/>
    <w:qFormat/>
    <w:uiPriority w:val="0"/>
    <w:pPr>
      <w:widowControl/>
      <w:ind w:firstLine="454"/>
      <w:jc w:val="left"/>
    </w:pPr>
    <w:rPr>
      <w:rFonts w:ascii="Tahoma" w:hAnsi="Tahoma" w:cs="宋体"/>
      <w:kern w:val="0"/>
      <w:sz w:val="24"/>
      <w:szCs w:val="20"/>
      <w:lang w:bidi="ar-SA"/>
    </w:rPr>
  </w:style>
  <w:style w:type="paragraph" w:customStyle="1" w:styleId="128">
    <w:name w:val="默认段落字体 Para Char"/>
    <w:basedOn w:val="1"/>
    <w:qFormat/>
    <w:uiPriority w:val="0"/>
    <w:pPr>
      <w:adjustRightInd w:val="0"/>
      <w:spacing w:line="360" w:lineRule="auto"/>
    </w:pPr>
    <w:rPr>
      <w:szCs w:val="20"/>
    </w:rPr>
  </w:style>
  <w:style w:type="paragraph" w:customStyle="1" w:styleId="129">
    <w:name w:val="插图题注"/>
    <w:next w:val="1"/>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130">
    <w:name w:val="标题3"/>
    <w:basedOn w:val="4"/>
    <w:qFormat/>
    <w:uiPriority w:val="0"/>
    <w:pPr>
      <w:keepNext/>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131">
    <w:name w:val="正文文本缩进 Char Char Char Char"/>
    <w:basedOn w:val="1"/>
    <w:qFormat/>
    <w:uiPriority w:val="0"/>
    <w:pPr>
      <w:ind w:firstLine="540"/>
    </w:pPr>
    <w:rPr>
      <w:rFonts w:ascii="宋体"/>
      <w:szCs w:val="20"/>
    </w:rPr>
  </w:style>
  <w:style w:type="paragraph" w:customStyle="1" w:styleId="132">
    <w:name w:val="表格题注"/>
    <w:next w:val="1"/>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styleId="133">
    <w:name w:val="List Paragraph"/>
    <w:basedOn w:val="1"/>
    <w:qFormat/>
    <w:uiPriority w:val="0"/>
    <w:pPr>
      <w:ind w:firstLine="200" w:firstLineChars="200"/>
    </w:pPr>
    <w:rPr>
      <w:rFonts w:ascii="Calibri" w:hAnsi="Calibri"/>
      <w:szCs w:val="22"/>
    </w:rPr>
  </w:style>
  <w:style w:type="paragraph" w:customStyle="1" w:styleId="134">
    <w:name w:val="F2"/>
    <w:basedOn w:val="1"/>
    <w:qFormat/>
    <w:uiPriority w:val="0"/>
    <w:pPr>
      <w:autoSpaceDE w:val="0"/>
      <w:autoSpaceDN w:val="0"/>
      <w:adjustRightInd w:val="0"/>
      <w:ind w:firstLine="601"/>
    </w:pPr>
    <w:rPr>
      <w:kern w:val="0"/>
      <w:sz w:val="24"/>
      <w:szCs w:val="20"/>
    </w:rPr>
  </w:style>
  <w:style w:type="paragraph" w:styleId="135">
    <w:name w:val="No Spacing"/>
    <w:qFormat/>
    <w:uiPriority w:val="0"/>
    <w:rPr>
      <w:rFonts w:ascii="Calibri" w:hAnsi="Calibri" w:eastAsia="宋体" w:cs="Times New Roman"/>
      <w:sz w:val="22"/>
      <w:szCs w:val="22"/>
      <w:lang w:val="en-US" w:eastAsia="zh-CN" w:bidi="ar-SA"/>
    </w:rPr>
  </w:style>
  <w:style w:type="paragraph" w:customStyle="1" w:styleId="136">
    <w:name w:val="目录2"/>
    <w:basedOn w:val="1"/>
    <w:next w:val="1"/>
    <w:qFormat/>
    <w:uiPriority w:val="0"/>
    <w:pPr>
      <w:widowControl/>
      <w:tabs>
        <w:tab w:val="left" w:leader="dot" w:pos="8503"/>
      </w:tabs>
      <w:spacing w:line="317" w:lineRule="atLeast"/>
      <w:ind w:firstLine="209"/>
      <w:textAlignment w:val="baseline"/>
    </w:pPr>
    <w:rPr>
      <w:color w:val="000000"/>
      <w:kern w:val="0"/>
      <w:szCs w:val="20"/>
      <w:u w:val="none" w:color="000000"/>
    </w:rPr>
  </w:style>
  <w:style w:type="paragraph" w:customStyle="1" w:styleId="137">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3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9">
    <w:name w:val="默认段落字体 Para Char Char Char Char Char Char Char Char Char1 Char Char Char Char"/>
    <w:basedOn w:val="1"/>
    <w:qFormat/>
    <w:uiPriority w:val="0"/>
    <w:rPr>
      <w:rFonts w:ascii="Tahoma" w:hAnsi="Tahoma"/>
      <w:sz w:val="24"/>
      <w:szCs w:val="20"/>
    </w:rPr>
  </w:style>
  <w:style w:type="paragraph" w:customStyle="1" w:styleId="140">
    <w:name w:val="p0"/>
    <w:basedOn w:val="1"/>
    <w:qFormat/>
    <w:uiPriority w:val="0"/>
    <w:pPr>
      <w:widowControl/>
    </w:pPr>
    <w:rPr>
      <w:kern w:val="0"/>
      <w:szCs w:val="21"/>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2-2ji"/>
    <w:basedOn w:val="3"/>
    <w:qFormat/>
    <w:uiPriority w:val="0"/>
    <w:pPr>
      <w:adjustRightInd w:val="0"/>
      <w:spacing w:before="0" w:after="0" w:line="360" w:lineRule="auto"/>
      <w:jc w:val="center"/>
      <w:textAlignment w:val="baseline"/>
    </w:pPr>
    <w:rPr>
      <w:rFonts w:ascii="宋体" w:eastAsia="宋体"/>
      <w:bCs w:val="0"/>
      <w:sz w:val="36"/>
    </w:rPr>
  </w:style>
  <w:style w:type="paragraph" w:customStyle="1" w:styleId="143">
    <w:name w:val="1"/>
    <w:basedOn w:val="1"/>
    <w:next w:val="27"/>
    <w:qFormat/>
    <w:uiPriority w:val="0"/>
    <w:rPr>
      <w:rFonts w:ascii="宋体"/>
      <w:szCs w:val="20"/>
    </w:rPr>
  </w:style>
  <w:style w:type="paragraph" w:customStyle="1" w:styleId="144">
    <w:name w:val="样式 首行缩进:  2 字符"/>
    <w:basedOn w:val="1"/>
    <w:qFormat/>
    <w:uiPriority w:val="0"/>
    <w:pPr>
      <w:spacing w:line="400" w:lineRule="exact"/>
      <w:ind w:firstLine="200" w:firstLineChars="200"/>
    </w:pPr>
    <w:rPr>
      <w:rFonts w:cs="宋体"/>
      <w:sz w:val="24"/>
      <w:lang w:bidi="ar-SA"/>
    </w:rPr>
  </w:style>
  <w:style w:type="paragraph" w:customStyle="1" w:styleId="14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7">
    <w:name w:val="Char1"/>
    <w:basedOn w:val="1"/>
    <w:qFormat/>
    <w:uiPriority w:val="0"/>
    <w:rPr>
      <w:szCs w:val="21"/>
    </w:rPr>
  </w:style>
  <w:style w:type="paragraph" w:customStyle="1" w:styleId="1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9">
    <w:name w:val="标题1"/>
    <w:basedOn w:val="2"/>
    <w:qFormat/>
    <w:uiPriority w:val="0"/>
    <w:pPr>
      <w:keepNext/>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50">
    <w:name w:val="节标题"/>
    <w:basedOn w:val="1"/>
    <w:next w:val="109"/>
    <w:qFormat/>
    <w:uiPriority w:val="0"/>
    <w:pPr>
      <w:widowControl/>
      <w:spacing w:line="289" w:lineRule="atLeast"/>
      <w:jc w:val="center"/>
      <w:textAlignment w:val="baseline"/>
    </w:pPr>
    <w:rPr>
      <w:color w:val="000000"/>
      <w:kern w:val="0"/>
      <w:sz w:val="28"/>
      <w:szCs w:val="20"/>
      <w:u w:val="none" w:color="000000"/>
    </w:rPr>
  </w:style>
  <w:style w:type="paragraph" w:customStyle="1" w:styleId="151">
    <w:name w:val="Body"/>
    <w:basedOn w:val="1"/>
    <w:qFormat/>
    <w:uiPriority w:val="0"/>
    <w:pPr>
      <w:widowControl/>
      <w:tabs>
        <w:tab w:val="left" w:pos="1980"/>
      </w:tabs>
      <w:spacing w:before="80" w:after="80" w:line="360" w:lineRule="auto"/>
      <w:jc w:val="center"/>
    </w:pPr>
    <w:rPr>
      <w:szCs w:val="21"/>
    </w:rPr>
  </w:style>
  <w:style w:type="paragraph" w:customStyle="1" w:styleId="152">
    <w:name w:val="样式1"/>
    <w:basedOn w:val="1"/>
    <w:qFormat/>
    <w:uiPriority w:val="0"/>
    <w:pPr>
      <w:spacing w:before="120" w:after="120" w:line="300" w:lineRule="auto"/>
    </w:pPr>
    <w:rPr>
      <w:rFonts w:ascii="宋体"/>
      <w:b/>
      <w:sz w:val="24"/>
      <w:szCs w:val="20"/>
    </w:rPr>
  </w:style>
  <w:style w:type="paragraph" w:customStyle="1" w:styleId="153">
    <w:name w:val="_Style 152"/>
    <w:qFormat/>
    <w:uiPriority w:val="0"/>
    <w:rPr>
      <w:rFonts w:ascii="Times New Roman" w:hAnsi="Times New Roman" w:eastAsia="宋体" w:cs="Times New Roman"/>
      <w:kern w:val="2"/>
      <w:sz w:val="21"/>
      <w:szCs w:val="24"/>
      <w:lang w:val="en-US" w:eastAsia="zh-CN" w:bidi="ar-SA"/>
    </w:rPr>
  </w:style>
  <w:style w:type="paragraph" w:customStyle="1" w:styleId="154">
    <w:name w:val="Char Char1 Char Char Char Char"/>
    <w:basedOn w:val="16"/>
    <w:qFormat/>
    <w:uiPriority w:val="0"/>
    <w:rPr>
      <w:rFonts w:ascii="Tahoma" w:hAnsi="Tahoma"/>
      <w:sz w:val="24"/>
    </w:rPr>
  </w:style>
  <w:style w:type="paragraph" w:customStyle="1" w:styleId="155">
    <w:name w:val=" Char2"/>
    <w:basedOn w:val="1"/>
    <w:qFormat/>
    <w:uiPriority w:val="0"/>
    <w:rPr>
      <w:szCs w:val="20"/>
    </w:rPr>
  </w:style>
  <w:style w:type="paragraph" w:customStyle="1" w:styleId="156">
    <w:name w:val="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7">
    <w:name w:val="2ji"/>
    <w:basedOn w:val="3"/>
    <w:qFormat/>
    <w:uiPriority w:val="0"/>
    <w:pPr>
      <w:adjustRightInd w:val="0"/>
      <w:spacing w:before="0" w:after="0" w:line="360" w:lineRule="auto"/>
      <w:textAlignment w:val="baseline"/>
    </w:pPr>
    <w:rPr>
      <w:rFonts w:ascii="宋体" w:eastAsia="宋体"/>
      <w:sz w:val="21"/>
      <w:szCs w:val="21"/>
    </w:rPr>
  </w:style>
  <w:style w:type="paragraph" w:customStyle="1" w:styleId="158">
    <w:name w:val="_Style 157"/>
    <w:basedOn w:val="2"/>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159">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160">
    <w:name w:val="纯文本1"/>
    <w:basedOn w:val="1"/>
    <w:next w:val="1"/>
    <w:qFormat/>
    <w:uiPriority w:val="0"/>
    <w:rPr>
      <w:rFonts w:ascii="宋体" w:hAnsi="宋体"/>
      <w:sz w:val="20"/>
      <w:szCs w:val="21"/>
    </w:rPr>
  </w:style>
  <w:style w:type="paragraph" w:customStyle="1" w:styleId="161">
    <w:name w:val="Table Paragraph"/>
    <w:basedOn w:val="1"/>
    <w:unhideWhenUsed/>
    <w:qFormat/>
    <w:uiPriority w:val="1"/>
    <w:pPr>
      <w:autoSpaceDE w:val="0"/>
      <w:autoSpaceDN w:val="0"/>
      <w:spacing w:beforeLines="0" w:afterLines="0"/>
      <w:jc w:val="left"/>
    </w:pPr>
    <w:rPr>
      <w:rFonts w:hint="eastAsia" w:ascii="方正仿宋_GBK" w:hAnsi="方正仿宋_GBK" w:eastAsia="方正仿宋_GBK" w:cs="方正仿宋_GBK"/>
      <w:kern w:val="0"/>
      <w:sz w:val="22"/>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46557</Words>
  <Characters>50824</Characters>
  <Lines>277</Lines>
  <Paragraphs>78</Paragraphs>
  <TotalTime>78</TotalTime>
  <ScaleCrop>false</ScaleCrop>
  <LinksUpToDate>false</LinksUpToDate>
  <CharactersWithSpaces>55776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2017-08-10T17:29:00Z</dcterms:created>
  <dc:creator>聂泉源</dc:creator>
  <cp:lastModifiedBy>招标代理机构</cp:lastModifiedBy>
  <cp:lastPrinted>2015-04-27T18:45:00Z</cp:lastPrinted>
  <dcterms:modified xsi:type="dcterms:W3CDTF">2026-03-31T02:35:36Z</dcterms:modified>
  <dc:title>3</dc:title>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4F3DCBFA282E4ED6BCD8825B0EA8B743_13</vt:lpwstr>
  </property>
  <property fmtid="{D5CDD505-2E9C-101B-9397-08002B2CF9AE}" pid="4" name="KSOTemplateDocerSaveRecord">
    <vt:lpwstr>eyJoZGlkIjoiY2ExZGU5YTk5NTc0NmEwNTg5MWNhZWEzNDNmZWRjZDIiLCJ1c2VySWQiOiIzNjQ5MTc2OTQifQ==</vt:lpwstr>
  </property>
</Properties>
</file>