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45815">
      <w:pPr>
        <w:tabs>
          <w:tab w:val="left" w:pos="6300"/>
        </w:tabs>
        <w:spacing w:line="240" w:lineRule="auto"/>
        <w:jc w:val="center"/>
        <w:outlineLvl w:val="9"/>
        <w:rPr>
          <w:rFonts w:hint="eastAsia" w:ascii="宋体" w:hAnsi="宋体" w:eastAsia="宋体" w:cs="宋体"/>
          <w:b/>
          <w:color w:val="auto"/>
          <w:kern w:val="44"/>
          <w:sz w:val="24"/>
          <w:szCs w:val="16"/>
          <w:highlight w:val="none"/>
          <w:lang w:eastAsia="zh-CN"/>
        </w:rPr>
      </w:pPr>
      <w:bookmarkStart w:id="0" w:name="_Toc22083"/>
      <w:bookmarkStart w:id="1" w:name="_Toc11880"/>
      <w:bookmarkStart w:id="2" w:name="_Toc13057"/>
      <w:bookmarkStart w:id="3" w:name="_Toc4177"/>
      <w:bookmarkStart w:id="4" w:name="_Toc29241"/>
      <w:bookmarkStart w:id="5" w:name="_Toc17321"/>
      <w:bookmarkStart w:id="6" w:name="_Toc27286"/>
      <w:bookmarkStart w:id="7" w:name="_Toc16093"/>
      <w:bookmarkStart w:id="8" w:name="_Toc31636"/>
      <w:bookmarkStart w:id="9" w:name="_Toc1934"/>
      <w:bookmarkStart w:id="10" w:name="_Toc12442"/>
      <w:bookmarkStart w:id="11" w:name="_Toc31645"/>
      <w:bookmarkStart w:id="12" w:name="_Toc3501"/>
      <w:bookmarkStart w:id="13" w:name="_Toc13297"/>
      <w:bookmarkStart w:id="14" w:name="_Toc32647"/>
      <w:bookmarkStart w:id="15" w:name="_Toc216582826"/>
      <w:bookmarkStart w:id="16" w:name="_Toc515647832"/>
      <w:bookmarkStart w:id="17" w:name="_Toc219175639"/>
      <w:bookmarkStart w:id="18" w:name="_Toc7971"/>
      <w:bookmarkStart w:id="19" w:name="_Toc507399907"/>
      <w:bookmarkStart w:id="20" w:name="_Toc218935355"/>
    </w:p>
    <w:p w14:paraId="1441118A">
      <w:pPr>
        <w:spacing w:line="240" w:lineRule="atLeast"/>
        <w:jc w:val="center"/>
        <w:outlineLvl w:val="9"/>
        <w:rPr>
          <w:rFonts w:hint="eastAsia" w:ascii="微软雅黑" w:hAnsi="微软雅黑" w:eastAsia="微软雅黑" w:cs="微软雅黑"/>
          <w:b/>
          <w:bCs w:val="0"/>
          <w:color w:val="auto"/>
          <w:sz w:val="56"/>
          <w:szCs w:val="56"/>
          <w:highlight w:val="none"/>
          <w:lang w:eastAsia="zh-CN"/>
        </w:rPr>
      </w:pPr>
      <w:r>
        <w:rPr>
          <w:rFonts w:hint="eastAsia" w:ascii="微软雅黑" w:hAnsi="微软雅黑" w:eastAsia="微软雅黑" w:cs="微软雅黑"/>
          <w:b/>
          <w:bCs w:val="0"/>
          <w:color w:val="auto"/>
          <w:sz w:val="56"/>
          <w:szCs w:val="56"/>
          <w:highlight w:val="none"/>
          <w:lang w:eastAsia="zh-CN"/>
        </w:rPr>
        <w:t>关于叶城县中等职业技术学校教官服务的采购</w:t>
      </w:r>
    </w:p>
    <w:p w14:paraId="643BFDCF">
      <w:pPr>
        <w:spacing w:line="240" w:lineRule="atLeast"/>
        <w:jc w:val="center"/>
        <w:outlineLvl w:val="9"/>
        <w:rPr>
          <w:rFonts w:hint="eastAsia" w:ascii="微软雅黑" w:hAnsi="微软雅黑" w:eastAsia="微软雅黑" w:cs="微软雅黑"/>
          <w:b/>
          <w:bCs w:val="0"/>
          <w:color w:val="auto"/>
          <w:sz w:val="56"/>
          <w:szCs w:val="56"/>
          <w:highlight w:val="none"/>
          <w:lang w:eastAsia="zh-CN"/>
        </w:rPr>
      </w:pPr>
    </w:p>
    <w:p w14:paraId="41D551D8">
      <w:pPr>
        <w:spacing w:line="240" w:lineRule="atLeast"/>
        <w:jc w:val="center"/>
        <w:outlineLvl w:val="9"/>
        <w:rPr>
          <w:rFonts w:hint="eastAsia" w:ascii="微软雅黑" w:hAnsi="微软雅黑" w:eastAsia="微软雅黑" w:cs="微软雅黑"/>
          <w:highlight w:val="none"/>
        </w:rPr>
      </w:pPr>
      <w:r>
        <w:rPr>
          <w:rFonts w:hint="eastAsia" w:ascii="微软雅黑" w:hAnsi="微软雅黑" w:eastAsia="微软雅黑" w:cs="微软雅黑"/>
          <w:b/>
          <w:bCs w:val="0"/>
          <w:color w:val="auto"/>
          <w:sz w:val="72"/>
          <w:szCs w:val="72"/>
          <w:highlight w:val="none"/>
        </w:rPr>
        <w:t>招标文件</w:t>
      </w:r>
    </w:p>
    <w:p w14:paraId="71E12583">
      <w:pPr>
        <w:outlineLvl w:val="9"/>
        <w:rPr>
          <w:rFonts w:hint="eastAsia" w:ascii="微软雅黑" w:hAnsi="微软雅黑" w:eastAsia="微软雅黑" w:cs="微软雅黑"/>
          <w:highlight w:val="none"/>
        </w:rPr>
      </w:pPr>
    </w:p>
    <w:p w14:paraId="01C22209">
      <w:pPr>
        <w:spacing w:line="360" w:lineRule="auto"/>
        <w:jc w:val="center"/>
        <w:outlineLvl w:val="9"/>
        <w:rPr>
          <w:rFonts w:hint="default" w:ascii="微软雅黑" w:hAnsi="微软雅黑" w:eastAsia="微软雅黑" w:cs="微软雅黑"/>
          <w:b/>
          <w:color w:val="auto"/>
          <w:sz w:val="28"/>
          <w:szCs w:val="28"/>
          <w:highlight w:val="none"/>
          <w:lang w:val="en-US"/>
        </w:rPr>
      </w:pPr>
      <w:r>
        <w:rPr>
          <w:rFonts w:hint="eastAsia" w:ascii="微软雅黑" w:hAnsi="微软雅黑" w:eastAsia="微软雅黑" w:cs="微软雅黑"/>
          <w:b/>
          <w:color w:val="auto"/>
          <w:sz w:val="28"/>
          <w:szCs w:val="28"/>
          <w:highlight w:val="none"/>
        </w:rPr>
        <w:t>项目编号：</w:t>
      </w:r>
      <w:r>
        <w:rPr>
          <w:rFonts w:hint="eastAsia" w:ascii="微软雅黑" w:hAnsi="微软雅黑" w:eastAsia="微软雅黑" w:cs="微软雅黑"/>
          <w:b/>
          <w:color w:val="auto"/>
          <w:sz w:val="28"/>
          <w:szCs w:val="28"/>
          <w:highlight w:val="none"/>
          <w:lang w:eastAsia="zh-CN"/>
        </w:rPr>
        <w:t xml:space="preserve"> 26GJ-(GK)01</w:t>
      </w:r>
      <w:r>
        <w:rPr>
          <w:rFonts w:hint="eastAsia" w:ascii="微软雅黑" w:hAnsi="微软雅黑" w:eastAsia="微软雅黑" w:cs="微软雅黑"/>
          <w:b/>
          <w:color w:val="auto"/>
          <w:sz w:val="28"/>
          <w:szCs w:val="28"/>
          <w:highlight w:val="none"/>
          <w:lang w:val="en-US" w:eastAsia="zh-CN"/>
        </w:rPr>
        <w:t>2</w:t>
      </w:r>
    </w:p>
    <w:p w14:paraId="7F5E6346">
      <w:pPr>
        <w:outlineLvl w:val="9"/>
        <w:rPr>
          <w:rFonts w:hint="eastAsia" w:ascii="微软雅黑" w:hAnsi="微软雅黑" w:eastAsia="微软雅黑" w:cs="微软雅黑"/>
          <w:highlight w:val="none"/>
        </w:rPr>
      </w:pPr>
    </w:p>
    <w:p w14:paraId="0C0ED878">
      <w:pPr>
        <w:pStyle w:val="22"/>
        <w:outlineLvl w:val="9"/>
        <w:rPr>
          <w:rFonts w:hint="eastAsia" w:ascii="微软雅黑" w:hAnsi="微软雅黑" w:eastAsia="微软雅黑" w:cs="微软雅黑"/>
          <w:highlight w:val="none"/>
        </w:rPr>
      </w:pPr>
    </w:p>
    <w:p w14:paraId="3835838E">
      <w:pPr>
        <w:spacing w:line="240" w:lineRule="atLeast"/>
        <w:ind w:firstLine="1120" w:firstLineChars="400"/>
        <w:outlineLvl w:val="9"/>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采</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rPr>
        <w:t>购</w:t>
      </w:r>
      <w:r>
        <w:rPr>
          <w:rFonts w:hint="eastAsia" w:ascii="微软雅黑" w:hAnsi="微软雅黑" w:eastAsia="微软雅黑" w:cs="微软雅黑"/>
          <w:b/>
          <w:color w:val="auto"/>
          <w:sz w:val="28"/>
          <w:szCs w:val="28"/>
          <w:highlight w:val="none"/>
          <w:lang w:val="en-US" w:eastAsia="zh-CN"/>
        </w:rPr>
        <w:t xml:space="preserve"> 人</w:t>
      </w:r>
      <w:r>
        <w:rPr>
          <w:rFonts w:hint="eastAsia" w:ascii="微软雅黑" w:hAnsi="微软雅黑" w:eastAsia="微软雅黑" w:cs="微软雅黑"/>
          <w:b/>
          <w:color w:val="auto"/>
          <w:sz w:val="28"/>
          <w:szCs w:val="28"/>
          <w:highlight w:val="none"/>
        </w:rPr>
        <w:t>：</w:t>
      </w:r>
      <w:r>
        <w:rPr>
          <w:rFonts w:hint="eastAsia" w:ascii="微软雅黑" w:hAnsi="微软雅黑" w:eastAsia="微软雅黑" w:cs="微软雅黑"/>
          <w:b/>
          <w:color w:val="auto"/>
          <w:sz w:val="28"/>
          <w:szCs w:val="28"/>
          <w:highlight w:val="none"/>
          <w:u w:val="single"/>
          <w:lang w:val="en-US" w:eastAsia="zh-CN"/>
        </w:rPr>
        <w:t xml:space="preserve">     叶城县中等职业技术学校     </w:t>
      </w:r>
      <w:r>
        <w:rPr>
          <w:rFonts w:hint="eastAsia" w:ascii="微软雅黑" w:hAnsi="微软雅黑" w:eastAsia="微软雅黑" w:cs="微软雅黑"/>
          <w:b/>
          <w:color w:val="auto"/>
          <w:sz w:val="28"/>
          <w:szCs w:val="28"/>
          <w:highlight w:val="none"/>
        </w:rPr>
        <w:t xml:space="preserve">  </w:t>
      </w:r>
    </w:p>
    <w:p w14:paraId="55420C62">
      <w:pPr>
        <w:ind w:firstLine="1120" w:firstLineChars="400"/>
        <w:outlineLvl w:val="9"/>
        <w:rPr>
          <w:rFonts w:hint="eastAsia" w:ascii="微软雅黑" w:hAnsi="微软雅黑" w:eastAsia="微软雅黑" w:cs="微软雅黑"/>
          <w:b/>
          <w:color w:val="auto"/>
          <w:sz w:val="28"/>
          <w:szCs w:val="28"/>
          <w:highlight w:val="none"/>
          <w:u w:val="single"/>
        </w:rPr>
      </w:pPr>
      <w:r>
        <w:rPr>
          <w:rFonts w:hint="eastAsia" w:ascii="微软雅黑" w:hAnsi="微软雅黑" w:eastAsia="微软雅黑" w:cs="微软雅黑"/>
          <w:b/>
          <w:color w:val="auto"/>
          <w:sz w:val="28"/>
          <w:szCs w:val="28"/>
          <w:highlight w:val="none"/>
        </w:rPr>
        <w:t>联</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rPr>
        <w:t>系</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rPr>
        <w:t>人：</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eastAsia="zh-CN"/>
        </w:rPr>
        <w:t>李兵</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rPr>
        <w:t xml:space="preserve">      </w:t>
      </w:r>
    </w:p>
    <w:p w14:paraId="7BAAFE27">
      <w:pPr>
        <w:spacing w:line="360" w:lineRule="auto"/>
        <w:ind w:firstLine="1120" w:firstLineChars="400"/>
        <w:outlineLvl w:val="9"/>
        <w:rPr>
          <w:rFonts w:hint="eastAsia" w:ascii="微软雅黑" w:hAnsi="微软雅黑" w:eastAsia="微软雅黑" w:cs="微软雅黑"/>
          <w:b/>
          <w:color w:val="auto"/>
          <w:sz w:val="28"/>
          <w:szCs w:val="28"/>
          <w:highlight w:val="none"/>
          <w:u w:val="single"/>
        </w:rPr>
      </w:pPr>
      <w:r>
        <w:rPr>
          <w:rFonts w:hint="eastAsia" w:ascii="微软雅黑" w:hAnsi="微软雅黑" w:eastAsia="微软雅黑" w:cs="微软雅黑"/>
          <w:b/>
          <w:color w:val="auto"/>
          <w:sz w:val="28"/>
          <w:szCs w:val="28"/>
          <w:highlight w:val="none"/>
        </w:rPr>
        <w:t>联系电话：</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eastAsia="zh-CN"/>
        </w:rPr>
        <w:t>18399615098</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p>
    <w:p w14:paraId="6D2AB1FA">
      <w:pPr>
        <w:pStyle w:val="8"/>
        <w:rPr>
          <w:rFonts w:hint="eastAsia"/>
          <w:highlight w:val="none"/>
        </w:rPr>
      </w:pPr>
    </w:p>
    <w:p w14:paraId="052D7ED4">
      <w:pPr>
        <w:spacing w:line="240" w:lineRule="atLeast"/>
        <w:ind w:firstLine="1120" w:firstLineChars="400"/>
        <w:outlineLvl w:val="9"/>
        <w:rPr>
          <w:rFonts w:hint="eastAsia" w:ascii="微软雅黑" w:hAnsi="微软雅黑" w:eastAsia="微软雅黑" w:cs="微软雅黑"/>
          <w:b/>
          <w:color w:val="auto"/>
          <w:sz w:val="28"/>
          <w:szCs w:val="28"/>
          <w:highlight w:val="none"/>
          <w:u w:val="single"/>
          <w:lang w:val="en-US" w:eastAsia="zh-CN"/>
        </w:rPr>
      </w:pPr>
      <w:r>
        <w:rPr>
          <w:rFonts w:hint="eastAsia" w:ascii="微软雅黑" w:hAnsi="微软雅黑" w:eastAsia="微软雅黑" w:cs="微软雅黑"/>
          <w:b/>
          <w:color w:val="auto"/>
          <w:sz w:val="28"/>
          <w:szCs w:val="28"/>
          <w:highlight w:val="none"/>
        </w:rPr>
        <w:t>代理机构：</w:t>
      </w:r>
      <w:r>
        <w:rPr>
          <w:rFonts w:hint="eastAsia" w:ascii="微软雅黑" w:hAnsi="微软雅黑" w:eastAsia="微软雅黑" w:cs="微软雅黑"/>
          <w:b/>
          <w:color w:val="auto"/>
          <w:sz w:val="28"/>
          <w:szCs w:val="28"/>
          <w:highlight w:val="none"/>
          <w:u w:val="single"/>
          <w:lang w:eastAsia="zh-CN"/>
        </w:rPr>
        <w:t>新疆共建恒业信息咨询有限责任公司</w:t>
      </w:r>
    </w:p>
    <w:p w14:paraId="1DC54DD7">
      <w:pPr>
        <w:spacing w:line="240" w:lineRule="atLeast"/>
        <w:ind w:firstLine="1120" w:firstLineChars="400"/>
        <w:outlineLvl w:val="9"/>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联</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rPr>
        <w:t>系</w:t>
      </w:r>
      <w:r>
        <w:rPr>
          <w:rFonts w:hint="eastAsia" w:ascii="微软雅黑" w:hAnsi="微软雅黑" w:eastAsia="微软雅黑" w:cs="微软雅黑"/>
          <w:b/>
          <w:color w:val="auto"/>
          <w:sz w:val="28"/>
          <w:szCs w:val="28"/>
          <w:highlight w:val="none"/>
          <w:lang w:val="en-US" w:eastAsia="zh-CN"/>
        </w:rPr>
        <w:t xml:space="preserve"> </w:t>
      </w:r>
      <w:r>
        <w:rPr>
          <w:rFonts w:hint="eastAsia" w:ascii="微软雅黑" w:hAnsi="微软雅黑" w:eastAsia="微软雅黑" w:cs="微软雅黑"/>
          <w:b/>
          <w:color w:val="auto"/>
          <w:sz w:val="28"/>
          <w:szCs w:val="28"/>
          <w:highlight w:val="none"/>
        </w:rPr>
        <w:t>人：</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eastAsia="zh-CN"/>
        </w:rPr>
        <w:t>刘晶晶</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rPr>
        <w:t xml:space="preserve">       </w:t>
      </w:r>
    </w:p>
    <w:p w14:paraId="126BEA17">
      <w:pPr>
        <w:spacing w:line="240" w:lineRule="atLeast"/>
        <w:ind w:firstLine="1120" w:firstLineChars="400"/>
        <w:outlineLvl w:val="9"/>
        <w:rPr>
          <w:rFonts w:hint="eastAsia" w:ascii="微软雅黑" w:hAnsi="微软雅黑" w:eastAsia="微软雅黑" w:cs="微软雅黑"/>
          <w:b/>
          <w:bCs/>
          <w:color w:val="auto"/>
          <w:sz w:val="32"/>
          <w:szCs w:val="40"/>
          <w:highlight w:val="none"/>
        </w:rPr>
      </w:pPr>
      <w:r>
        <w:rPr>
          <w:rFonts w:hint="eastAsia" w:ascii="微软雅黑" w:hAnsi="微软雅黑" w:eastAsia="微软雅黑" w:cs="微软雅黑"/>
          <w:b/>
          <w:color w:val="auto"/>
          <w:sz w:val="28"/>
          <w:szCs w:val="28"/>
          <w:highlight w:val="none"/>
        </w:rPr>
        <w:t>联系电话：</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eastAsia="zh-CN"/>
        </w:rPr>
        <w:t>18209987338</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rPr>
        <w:t xml:space="preserve">   </w:t>
      </w:r>
    </w:p>
    <w:p w14:paraId="55BC5C40">
      <w:pPr>
        <w:spacing w:line="240" w:lineRule="atLeast"/>
        <w:jc w:val="center"/>
        <w:outlineLvl w:val="9"/>
        <w:rPr>
          <w:rFonts w:hint="eastAsia" w:ascii="微软雅黑" w:hAnsi="微软雅黑" w:eastAsia="微软雅黑" w:cs="微软雅黑"/>
          <w:b/>
          <w:color w:val="auto"/>
          <w:sz w:val="28"/>
          <w:szCs w:val="28"/>
          <w:highlight w:val="none"/>
        </w:rPr>
      </w:pPr>
    </w:p>
    <w:p w14:paraId="37A44394">
      <w:pPr>
        <w:pStyle w:val="22"/>
        <w:rPr>
          <w:rFonts w:hint="eastAsia" w:ascii="微软雅黑" w:hAnsi="微软雅黑" w:eastAsia="微软雅黑" w:cs="微软雅黑"/>
          <w:highlight w:val="none"/>
        </w:rPr>
      </w:pPr>
    </w:p>
    <w:p w14:paraId="6304654E">
      <w:pPr>
        <w:spacing w:line="240" w:lineRule="atLeast"/>
        <w:jc w:val="center"/>
        <w:outlineLvl w:val="9"/>
        <w:rPr>
          <w:rFonts w:hint="eastAsia" w:ascii="微软雅黑" w:hAnsi="微软雅黑" w:eastAsia="微软雅黑" w:cs="微软雅黑"/>
          <w:b/>
          <w:color w:val="auto"/>
          <w:sz w:val="28"/>
          <w:szCs w:val="28"/>
          <w:highlight w:val="non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微软雅黑" w:hAnsi="微软雅黑" w:eastAsia="微软雅黑" w:cs="微软雅黑"/>
          <w:b/>
          <w:color w:val="auto"/>
          <w:sz w:val="28"/>
          <w:szCs w:val="28"/>
          <w:highlight w:val="none"/>
        </w:rPr>
        <w:t>日期：</w:t>
      </w:r>
      <w:r>
        <w:rPr>
          <w:rFonts w:hint="eastAsia" w:ascii="微软雅黑" w:hAnsi="微软雅黑" w:eastAsia="微软雅黑" w:cs="微软雅黑"/>
          <w:b/>
          <w:color w:val="auto"/>
          <w:sz w:val="28"/>
          <w:szCs w:val="28"/>
          <w:highlight w:val="none"/>
          <w:lang w:val="en-US" w:eastAsia="zh-CN"/>
        </w:rPr>
        <w:t>2026</w:t>
      </w:r>
      <w:r>
        <w:rPr>
          <w:rFonts w:hint="eastAsia" w:ascii="微软雅黑" w:hAnsi="微软雅黑" w:eastAsia="微软雅黑" w:cs="微软雅黑"/>
          <w:b/>
          <w:color w:val="auto"/>
          <w:sz w:val="28"/>
          <w:szCs w:val="28"/>
          <w:highlight w:val="none"/>
        </w:rPr>
        <w:t>年</w:t>
      </w:r>
      <w:r>
        <w:rPr>
          <w:rFonts w:hint="eastAsia" w:ascii="微软雅黑" w:hAnsi="微软雅黑" w:eastAsia="微软雅黑" w:cs="微软雅黑"/>
          <w:b/>
          <w:color w:val="auto"/>
          <w:sz w:val="28"/>
          <w:szCs w:val="28"/>
          <w:highlight w:val="none"/>
          <w:lang w:val="en-US" w:eastAsia="zh-CN"/>
        </w:rPr>
        <w:t>3月</w:t>
      </w:r>
    </w:p>
    <w:p w14:paraId="2B290D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auto"/>
          <w:sz w:val="28"/>
          <w:szCs w:val="28"/>
          <w:highlight w:val="none"/>
        </w:rPr>
      </w:pPr>
      <w:bookmarkStart w:id="21" w:name="_Toc216582804"/>
      <w:bookmarkStart w:id="22" w:name="_Toc22782"/>
      <w:bookmarkStart w:id="23" w:name="_Toc17230"/>
      <w:bookmarkStart w:id="24" w:name="_Toc8627"/>
      <w:bookmarkStart w:id="25" w:name="_Toc11115"/>
      <w:bookmarkStart w:id="26" w:name="_Toc16548"/>
      <w:bookmarkStart w:id="27" w:name="_Toc515647798"/>
      <w:bookmarkStart w:id="28" w:name="_Toc1148"/>
      <w:bookmarkStart w:id="29" w:name="_Toc25253"/>
      <w:r>
        <w:rPr>
          <w:rFonts w:hint="eastAsia" w:ascii="微软雅黑" w:hAnsi="微软雅黑" w:eastAsia="微软雅黑" w:cs="微软雅黑"/>
          <w:b/>
          <w:bCs/>
          <w:color w:val="auto"/>
          <w:sz w:val="28"/>
          <w:szCs w:val="28"/>
          <w:highlight w:val="none"/>
        </w:rPr>
        <w:t>目   录</w:t>
      </w:r>
    </w:p>
    <w:p w14:paraId="56198591">
      <w:pPr>
        <w:pStyle w:val="21"/>
        <w:tabs>
          <w:tab w:val="right" w:leader="dot" w:pos="8279"/>
        </w:tabs>
        <w:spacing w:line="360" w:lineRule="auto"/>
        <w:rPr>
          <w:highlight w:val="none"/>
        </w:rPr>
      </w:pPr>
      <w:r>
        <w:rPr>
          <w:rFonts w:hint="eastAsia" w:ascii="微软雅黑" w:hAnsi="微软雅黑" w:eastAsia="微软雅黑" w:cs="微软雅黑"/>
          <w:sz w:val="21"/>
          <w:szCs w:val="21"/>
          <w:highlight w:val="none"/>
        </w:rPr>
        <w:fldChar w:fldCharType="begin"/>
      </w:r>
      <w:r>
        <w:rPr>
          <w:rFonts w:hint="eastAsia" w:ascii="微软雅黑" w:hAnsi="微软雅黑" w:eastAsia="微软雅黑" w:cs="微软雅黑"/>
          <w:sz w:val="21"/>
          <w:szCs w:val="21"/>
          <w:highlight w:val="none"/>
        </w:rPr>
        <w:instrText xml:space="preserve">TOC \o "1-3" \h \u </w:instrText>
      </w:r>
      <w:r>
        <w:rPr>
          <w:rFonts w:hint="eastAsia" w:ascii="微软雅黑" w:hAnsi="微软雅黑" w:eastAsia="微软雅黑" w:cs="微软雅黑"/>
          <w:sz w:val="21"/>
          <w:szCs w:val="21"/>
          <w:highlight w:val="none"/>
        </w:rPr>
        <w:fldChar w:fldCharType="separate"/>
      </w: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_Toc7005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2"/>
          <w:highlight w:val="none"/>
        </w:rPr>
        <w:t>第1章</w:t>
      </w:r>
      <w:r>
        <w:rPr>
          <w:rFonts w:hint="eastAsia" w:ascii="微软雅黑" w:hAnsi="微软雅黑" w:eastAsia="微软雅黑" w:cs="微软雅黑"/>
          <w:bCs/>
          <w:szCs w:val="32"/>
          <w:highlight w:val="none"/>
          <w:lang w:val="en-US" w:eastAsia="zh-CN"/>
        </w:rPr>
        <w:t xml:space="preserve">  </w:t>
      </w:r>
      <w:r>
        <w:rPr>
          <w:rFonts w:hint="eastAsia" w:ascii="微软雅黑" w:hAnsi="微软雅黑" w:eastAsia="微软雅黑" w:cs="微软雅黑"/>
          <w:bCs/>
          <w:szCs w:val="32"/>
          <w:highlight w:val="none"/>
          <w:lang w:eastAsia="zh-CN"/>
        </w:rPr>
        <w:t>供应商</w:t>
      </w:r>
      <w:r>
        <w:rPr>
          <w:rFonts w:hint="eastAsia" w:ascii="微软雅黑" w:hAnsi="微软雅黑" w:eastAsia="微软雅黑" w:cs="微软雅黑"/>
          <w:bCs/>
          <w:szCs w:val="32"/>
          <w:highlight w:val="none"/>
        </w:rPr>
        <w:t>须知</w:t>
      </w:r>
      <w:r>
        <w:rPr>
          <w:highlight w:val="none"/>
        </w:rPr>
        <w:tab/>
      </w:r>
      <w:r>
        <w:rPr>
          <w:highlight w:val="none"/>
        </w:rPr>
        <w:fldChar w:fldCharType="begin"/>
      </w:r>
      <w:r>
        <w:rPr>
          <w:highlight w:val="none"/>
        </w:rPr>
        <w:instrText xml:space="preserve"> PAGEREF _Toc7005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szCs w:val="21"/>
          <w:highlight w:val="none"/>
        </w:rPr>
        <w:fldChar w:fldCharType="end"/>
      </w:r>
    </w:p>
    <w:p w14:paraId="257A3F00">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_Toc25844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lang w:val="en-US" w:eastAsia="zh-CN"/>
        </w:rPr>
        <w:t>一   总 则</w:t>
      </w:r>
      <w:r>
        <w:rPr>
          <w:highlight w:val="none"/>
        </w:rPr>
        <w:tab/>
      </w:r>
      <w:r>
        <w:rPr>
          <w:highlight w:val="none"/>
        </w:rPr>
        <w:fldChar w:fldCharType="begin"/>
      </w:r>
      <w:r>
        <w:rPr>
          <w:highlight w:val="none"/>
        </w:rPr>
        <w:instrText xml:space="preserve"> PAGEREF _Toc25844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szCs w:val="21"/>
          <w:highlight w:val="none"/>
        </w:rPr>
        <w:fldChar w:fldCharType="end"/>
      </w:r>
    </w:p>
    <w:p w14:paraId="7FBD6406">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_Toc11043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lang w:val="en-US" w:eastAsia="zh-CN"/>
        </w:rPr>
        <w:t>二   招标文件</w:t>
      </w:r>
      <w:r>
        <w:rPr>
          <w:highlight w:val="none"/>
        </w:rPr>
        <w:tab/>
      </w:r>
      <w:r>
        <w:rPr>
          <w:highlight w:val="none"/>
        </w:rPr>
        <w:fldChar w:fldCharType="begin"/>
      </w:r>
      <w:r>
        <w:rPr>
          <w:highlight w:val="none"/>
        </w:rPr>
        <w:instrText xml:space="preserve"> PAGEREF _Toc11043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szCs w:val="21"/>
          <w:highlight w:val="none"/>
        </w:rPr>
        <w:fldChar w:fldCharType="end"/>
      </w:r>
    </w:p>
    <w:p w14:paraId="41C5482E">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_Toc3507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lang w:val="en-US" w:eastAsia="zh-CN"/>
        </w:rPr>
        <w:t>三   投标文件的编制</w:t>
      </w:r>
      <w:r>
        <w:rPr>
          <w:highlight w:val="none"/>
        </w:rPr>
        <w:tab/>
      </w:r>
      <w:r>
        <w:rPr>
          <w:highlight w:val="none"/>
        </w:rPr>
        <w:fldChar w:fldCharType="begin"/>
      </w:r>
      <w:r>
        <w:rPr>
          <w:highlight w:val="none"/>
        </w:rPr>
        <w:instrText xml:space="preserve"> PAGEREF _Toc3507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szCs w:val="21"/>
          <w:highlight w:val="none"/>
        </w:rPr>
        <w:fldChar w:fldCharType="end"/>
      </w:r>
    </w:p>
    <w:p w14:paraId="71AD4FA9">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_Toc32694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lang w:val="en-US" w:eastAsia="zh-CN"/>
        </w:rPr>
        <w:t>四   投标文件的递交</w:t>
      </w:r>
      <w:r>
        <w:rPr>
          <w:highlight w:val="none"/>
        </w:rPr>
        <w:tab/>
      </w:r>
      <w:r>
        <w:rPr>
          <w:highlight w:val="none"/>
        </w:rPr>
        <w:fldChar w:fldCharType="begin"/>
      </w:r>
      <w:r>
        <w:rPr>
          <w:highlight w:val="none"/>
        </w:rPr>
        <w:instrText xml:space="preserve"> PAGEREF _Toc32694 \h </w:instrText>
      </w:r>
      <w:r>
        <w:rPr>
          <w:highlight w:val="none"/>
        </w:rPr>
        <w:fldChar w:fldCharType="separate"/>
      </w:r>
      <w:r>
        <w:rPr>
          <w:highlight w:val="none"/>
        </w:rPr>
        <w:t>7</w:t>
      </w:r>
      <w:r>
        <w:rPr>
          <w:highlight w:val="none"/>
        </w:rPr>
        <w:fldChar w:fldCharType="end"/>
      </w:r>
      <w:r>
        <w:rPr>
          <w:rFonts w:hint="eastAsia" w:ascii="微软雅黑" w:hAnsi="微软雅黑" w:eastAsia="微软雅黑" w:cs="微软雅黑"/>
          <w:szCs w:val="21"/>
          <w:highlight w:val="none"/>
        </w:rPr>
        <w:fldChar w:fldCharType="end"/>
      </w:r>
    </w:p>
    <w:p w14:paraId="77693F36">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_Toc27662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lang w:val="en-US" w:eastAsia="zh-CN"/>
        </w:rPr>
        <w:t>五   开标及评标</w:t>
      </w:r>
      <w:r>
        <w:rPr>
          <w:highlight w:val="none"/>
        </w:rPr>
        <w:tab/>
      </w:r>
      <w:r>
        <w:rPr>
          <w:highlight w:val="none"/>
        </w:rPr>
        <w:fldChar w:fldCharType="begin"/>
      </w:r>
      <w:r>
        <w:rPr>
          <w:highlight w:val="none"/>
        </w:rPr>
        <w:instrText xml:space="preserve"> PAGEREF _Toc27662 \h </w:instrText>
      </w:r>
      <w:r>
        <w:rPr>
          <w:highlight w:val="none"/>
        </w:rPr>
        <w:fldChar w:fldCharType="separate"/>
      </w:r>
      <w:r>
        <w:rPr>
          <w:highlight w:val="none"/>
        </w:rPr>
        <w:t>8</w:t>
      </w:r>
      <w:r>
        <w:rPr>
          <w:highlight w:val="none"/>
        </w:rPr>
        <w:fldChar w:fldCharType="end"/>
      </w:r>
      <w:r>
        <w:rPr>
          <w:rFonts w:hint="eastAsia" w:ascii="微软雅黑" w:hAnsi="微软雅黑" w:eastAsia="微软雅黑" w:cs="微软雅黑"/>
          <w:szCs w:val="21"/>
          <w:highlight w:val="none"/>
        </w:rPr>
        <w:fldChar w:fldCharType="end"/>
      </w:r>
    </w:p>
    <w:p w14:paraId="357E9595">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_Toc18592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lang w:val="en-US" w:eastAsia="zh-CN"/>
        </w:rPr>
        <w:t>六   确定中标</w:t>
      </w:r>
      <w:r>
        <w:rPr>
          <w:highlight w:val="none"/>
        </w:rPr>
        <w:tab/>
      </w:r>
      <w:r>
        <w:rPr>
          <w:highlight w:val="none"/>
        </w:rPr>
        <w:fldChar w:fldCharType="begin"/>
      </w:r>
      <w:r>
        <w:rPr>
          <w:highlight w:val="none"/>
        </w:rPr>
        <w:instrText xml:space="preserve"> PAGEREF _Toc18592 \h </w:instrText>
      </w:r>
      <w:r>
        <w:rPr>
          <w:highlight w:val="none"/>
        </w:rPr>
        <w:fldChar w:fldCharType="separate"/>
      </w:r>
      <w:r>
        <w:rPr>
          <w:highlight w:val="none"/>
        </w:rPr>
        <w:t>12</w:t>
      </w:r>
      <w:r>
        <w:rPr>
          <w:highlight w:val="none"/>
        </w:rPr>
        <w:fldChar w:fldCharType="end"/>
      </w:r>
      <w:r>
        <w:rPr>
          <w:rFonts w:hint="eastAsia" w:ascii="微软雅黑" w:hAnsi="微软雅黑" w:eastAsia="微软雅黑" w:cs="微软雅黑"/>
          <w:szCs w:val="21"/>
          <w:highlight w:val="none"/>
        </w:rPr>
        <w:fldChar w:fldCharType="end"/>
      </w:r>
    </w:p>
    <w:p w14:paraId="782DA228">
      <w:pPr>
        <w:pStyle w:val="21"/>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_Toc361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2"/>
          <w:highlight w:val="none"/>
          <w:lang w:val="en-US" w:eastAsia="zh-CN"/>
        </w:rPr>
        <w:t>第2章  投标文件格式</w:t>
      </w:r>
      <w:r>
        <w:rPr>
          <w:highlight w:val="none"/>
        </w:rPr>
        <w:tab/>
      </w:r>
      <w:r>
        <w:rPr>
          <w:highlight w:val="none"/>
        </w:rPr>
        <w:fldChar w:fldCharType="begin"/>
      </w:r>
      <w:r>
        <w:rPr>
          <w:highlight w:val="none"/>
        </w:rPr>
        <w:instrText xml:space="preserve"> PAGEREF _Toc361 \h </w:instrText>
      </w:r>
      <w:r>
        <w:rPr>
          <w:highlight w:val="none"/>
        </w:rPr>
        <w:fldChar w:fldCharType="separate"/>
      </w:r>
      <w:r>
        <w:rPr>
          <w:highlight w:val="none"/>
        </w:rPr>
        <w:t>18</w:t>
      </w:r>
      <w:r>
        <w:rPr>
          <w:highlight w:val="none"/>
        </w:rPr>
        <w:fldChar w:fldCharType="end"/>
      </w:r>
      <w:r>
        <w:rPr>
          <w:rFonts w:hint="eastAsia" w:ascii="微软雅黑" w:hAnsi="微软雅黑" w:eastAsia="微软雅黑" w:cs="微软雅黑"/>
          <w:szCs w:val="21"/>
          <w:highlight w:val="none"/>
        </w:rPr>
        <w:fldChar w:fldCharType="end"/>
      </w:r>
    </w:p>
    <w:p w14:paraId="584F376F">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_Toc8999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lang w:val="en-US" w:eastAsia="zh-CN"/>
        </w:rPr>
        <w:t>第一部分 开标一览表及资格证明文件</w:t>
      </w:r>
      <w:r>
        <w:rPr>
          <w:highlight w:val="none"/>
        </w:rPr>
        <w:tab/>
      </w:r>
      <w:r>
        <w:rPr>
          <w:highlight w:val="none"/>
        </w:rPr>
        <w:fldChar w:fldCharType="begin"/>
      </w:r>
      <w:r>
        <w:rPr>
          <w:highlight w:val="none"/>
        </w:rPr>
        <w:instrText xml:space="preserve"> PAGEREF _Toc8999 \h </w:instrText>
      </w:r>
      <w:r>
        <w:rPr>
          <w:highlight w:val="none"/>
        </w:rPr>
        <w:fldChar w:fldCharType="separate"/>
      </w:r>
      <w:r>
        <w:rPr>
          <w:highlight w:val="none"/>
        </w:rPr>
        <w:t>18</w:t>
      </w:r>
      <w:r>
        <w:rPr>
          <w:highlight w:val="none"/>
        </w:rPr>
        <w:fldChar w:fldCharType="end"/>
      </w:r>
      <w:r>
        <w:rPr>
          <w:rFonts w:hint="eastAsia" w:ascii="微软雅黑" w:hAnsi="微软雅黑" w:eastAsia="微软雅黑" w:cs="微软雅黑"/>
          <w:szCs w:val="21"/>
          <w:highlight w:val="none"/>
        </w:rPr>
        <w:fldChar w:fldCharType="end"/>
      </w:r>
    </w:p>
    <w:p w14:paraId="51027988">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_Toc125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lang w:val="en-US" w:eastAsia="zh-CN"/>
        </w:rPr>
        <w:t>第二部分  商务及技术文件</w:t>
      </w:r>
      <w:r>
        <w:rPr>
          <w:highlight w:val="none"/>
        </w:rPr>
        <w:tab/>
      </w:r>
      <w:r>
        <w:rPr>
          <w:highlight w:val="none"/>
        </w:rPr>
        <w:fldChar w:fldCharType="begin"/>
      </w:r>
      <w:r>
        <w:rPr>
          <w:highlight w:val="none"/>
        </w:rPr>
        <w:instrText xml:space="preserve"> PAGEREF _Toc125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szCs w:val="21"/>
          <w:highlight w:val="none"/>
        </w:rPr>
        <w:fldChar w:fldCharType="end"/>
      </w:r>
    </w:p>
    <w:p w14:paraId="1E4EDC0D">
      <w:pPr>
        <w:pStyle w:val="21"/>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_Toc23900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2"/>
          <w:highlight w:val="none"/>
          <w:lang w:val="en-US" w:eastAsia="zh-CN"/>
        </w:rPr>
        <w:t>第3章  投标邀请</w:t>
      </w:r>
      <w:r>
        <w:rPr>
          <w:highlight w:val="none"/>
        </w:rPr>
        <w:tab/>
      </w:r>
      <w:r>
        <w:rPr>
          <w:highlight w:val="none"/>
        </w:rPr>
        <w:fldChar w:fldCharType="begin"/>
      </w:r>
      <w:r>
        <w:rPr>
          <w:highlight w:val="none"/>
        </w:rPr>
        <w:instrText xml:space="preserve"> PAGEREF _Toc23900 \h </w:instrText>
      </w:r>
      <w:r>
        <w:rPr>
          <w:highlight w:val="none"/>
        </w:rPr>
        <w:fldChar w:fldCharType="separate"/>
      </w:r>
      <w:r>
        <w:rPr>
          <w:highlight w:val="none"/>
        </w:rPr>
        <w:t>37</w:t>
      </w:r>
      <w:r>
        <w:rPr>
          <w:highlight w:val="none"/>
        </w:rPr>
        <w:fldChar w:fldCharType="end"/>
      </w:r>
      <w:r>
        <w:rPr>
          <w:rFonts w:hint="eastAsia" w:ascii="微软雅黑" w:hAnsi="微软雅黑" w:eastAsia="微软雅黑" w:cs="微软雅黑"/>
          <w:szCs w:val="21"/>
          <w:highlight w:val="none"/>
        </w:rPr>
        <w:fldChar w:fldCharType="end"/>
      </w:r>
    </w:p>
    <w:p w14:paraId="34A720DA">
      <w:pPr>
        <w:pStyle w:val="21"/>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_Toc31071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2"/>
          <w:highlight w:val="none"/>
          <w:lang w:val="en-US" w:eastAsia="zh-CN"/>
        </w:rPr>
        <w:t>第4章  供应商须知资料表</w:t>
      </w:r>
      <w:r>
        <w:rPr>
          <w:highlight w:val="none"/>
        </w:rPr>
        <w:tab/>
      </w:r>
      <w:r>
        <w:rPr>
          <w:highlight w:val="none"/>
        </w:rPr>
        <w:fldChar w:fldCharType="begin"/>
      </w:r>
      <w:r>
        <w:rPr>
          <w:highlight w:val="none"/>
        </w:rPr>
        <w:instrText xml:space="preserve"> PAGEREF _Toc31071 \h </w:instrText>
      </w:r>
      <w:r>
        <w:rPr>
          <w:highlight w:val="none"/>
        </w:rPr>
        <w:fldChar w:fldCharType="separate"/>
      </w:r>
      <w:r>
        <w:rPr>
          <w:highlight w:val="none"/>
        </w:rPr>
        <w:t>41</w:t>
      </w:r>
      <w:r>
        <w:rPr>
          <w:highlight w:val="none"/>
        </w:rPr>
        <w:fldChar w:fldCharType="end"/>
      </w:r>
      <w:r>
        <w:rPr>
          <w:rFonts w:hint="eastAsia" w:ascii="微软雅黑" w:hAnsi="微软雅黑" w:eastAsia="微软雅黑" w:cs="微软雅黑"/>
          <w:szCs w:val="21"/>
          <w:highlight w:val="none"/>
        </w:rPr>
        <w:fldChar w:fldCharType="end"/>
      </w:r>
    </w:p>
    <w:p w14:paraId="2167F7D3">
      <w:pPr>
        <w:pStyle w:val="21"/>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_Toc9954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44"/>
          <w:highlight w:val="none"/>
          <w:lang w:val="en-US" w:eastAsia="zh-CN"/>
        </w:rPr>
        <w:t>第5章 服务内容及项目要求</w:t>
      </w:r>
      <w:r>
        <w:rPr>
          <w:highlight w:val="none"/>
        </w:rPr>
        <w:tab/>
      </w:r>
      <w:r>
        <w:rPr>
          <w:highlight w:val="none"/>
        </w:rPr>
        <w:fldChar w:fldCharType="begin"/>
      </w:r>
      <w:r>
        <w:rPr>
          <w:highlight w:val="none"/>
        </w:rPr>
        <w:instrText xml:space="preserve"> PAGEREF _Toc9954 \h </w:instrText>
      </w:r>
      <w:r>
        <w:rPr>
          <w:highlight w:val="none"/>
        </w:rPr>
        <w:fldChar w:fldCharType="separate"/>
      </w:r>
      <w:r>
        <w:rPr>
          <w:highlight w:val="none"/>
        </w:rPr>
        <w:t>45</w:t>
      </w:r>
      <w:r>
        <w:rPr>
          <w:highlight w:val="none"/>
        </w:rPr>
        <w:fldChar w:fldCharType="end"/>
      </w:r>
      <w:r>
        <w:rPr>
          <w:rFonts w:hint="eastAsia" w:ascii="微软雅黑" w:hAnsi="微软雅黑" w:eastAsia="微软雅黑" w:cs="微软雅黑"/>
          <w:szCs w:val="21"/>
          <w:highlight w:val="none"/>
        </w:rPr>
        <w:fldChar w:fldCharType="end"/>
      </w:r>
    </w:p>
    <w:p w14:paraId="70C8F0FB">
      <w:pPr>
        <w:pStyle w:val="21"/>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_Toc8866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2"/>
          <w:highlight w:val="none"/>
          <w:lang w:val="en-US" w:eastAsia="zh-CN"/>
        </w:rPr>
        <w:t>第6章  评标方法和标准</w:t>
      </w:r>
      <w:r>
        <w:rPr>
          <w:highlight w:val="none"/>
        </w:rPr>
        <w:tab/>
      </w:r>
      <w:r>
        <w:rPr>
          <w:highlight w:val="none"/>
        </w:rPr>
        <w:fldChar w:fldCharType="begin"/>
      </w:r>
      <w:r>
        <w:rPr>
          <w:highlight w:val="none"/>
        </w:rPr>
        <w:instrText xml:space="preserve"> PAGEREF _Toc8866 \h </w:instrText>
      </w:r>
      <w:r>
        <w:rPr>
          <w:highlight w:val="none"/>
        </w:rPr>
        <w:fldChar w:fldCharType="separate"/>
      </w:r>
      <w:r>
        <w:rPr>
          <w:highlight w:val="none"/>
        </w:rPr>
        <w:t>47</w:t>
      </w:r>
      <w:r>
        <w:rPr>
          <w:highlight w:val="none"/>
        </w:rPr>
        <w:fldChar w:fldCharType="end"/>
      </w:r>
      <w:r>
        <w:rPr>
          <w:rFonts w:hint="eastAsia" w:ascii="微软雅黑" w:hAnsi="微软雅黑" w:eastAsia="微软雅黑" w:cs="微软雅黑"/>
          <w:szCs w:val="21"/>
          <w:highlight w:val="none"/>
        </w:rPr>
        <w:fldChar w:fldCharType="end"/>
      </w:r>
    </w:p>
    <w:p w14:paraId="5A8ADAFD">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_Toc18363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初步评审—资格性审查表</w:t>
      </w:r>
      <w:r>
        <w:rPr>
          <w:highlight w:val="none"/>
        </w:rPr>
        <w:tab/>
      </w:r>
      <w:r>
        <w:rPr>
          <w:highlight w:val="none"/>
        </w:rPr>
        <w:fldChar w:fldCharType="begin"/>
      </w:r>
      <w:r>
        <w:rPr>
          <w:highlight w:val="none"/>
        </w:rPr>
        <w:instrText xml:space="preserve"> PAGEREF _Toc18363 \h </w:instrText>
      </w:r>
      <w:r>
        <w:rPr>
          <w:highlight w:val="none"/>
        </w:rPr>
        <w:fldChar w:fldCharType="separate"/>
      </w:r>
      <w:r>
        <w:rPr>
          <w:highlight w:val="none"/>
        </w:rPr>
        <w:t>52</w:t>
      </w:r>
      <w:r>
        <w:rPr>
          <w:highlight w:val="none"/>
        </w:rPr>
        <w:fldChar w:fldCharType="end"/>
      </w:r>
      <w:r>
        <w:rPr>
          <w:rFonts w:hint="eastAsia" w:ascii="微软雅黑" w:hAnsi="微软雅黑" w:eastAsia="微软雅黑" w:cs="微软雅黑"/>
          <w:szCs w:val="21"/>
          <w:highlight w:val="none"/>
        </w:rPr>
        <w:fldChar w:fldCharType="end"/>
      </w:r>
    </w:p>
    <w:p w14:paraId="11F965B5">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_Toc24532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初步评审—符合性审查表</w:t>
      </w:r>
      <w:r>
        <w:rPr>
          <w:highlight w:val="none"/>
        </w:rPr>
        <w:tab/>
      </w:r>
      <w:r>
        <w:rPr>
          <w:highlight w:val="none"/>
        </w:rPr>
        <w:fldChar w:fldCharType="begin"/>
      </w:r>
      <w:r>
        <w:rPr>
          <w:highlight w:val="none"/>
        </w:rPr>
        <w:instrText xml:space="preserve"> PAGEREF _Toc24532 \h </w:instrText>
      </w:r>
      <w:r>
        <w:rPr>
          <w:highlight w:val="none"/>
        </w:rPr>
        <w:fldChar w:fldCharType="separate"/>
      </w:r>
      <w:r>
        <w:rPr>
          <w:highlight w:val="none"/>
        </w:rPr>
        <w:t>53</w:t>
      </w:r>
      <w:r>
        <w:rPr>
          <w:highlight w:val="none"/>
        </w:rPr>
        <w:fldChar w:fldCharType="end"/>
      </w:r>
      <w:r>
        <w:rPr>
          <w:rFonts w:hint="eastAsia" w:ascii="微软雅黑" w:hAnsi="微软雅黑" w:eastAsia="微软雅黑" w:cs="微软雅黑"/>
          <w:szCs w:val="21"/>
          <w:highlight w:val="none"/>
        </w:rPr>
        <w:fldChar w:fldCharType="end"/>
      </w:r>
    </w:p>
    <w:p w14:paraId="109B96C1">
      <w:pPr>
        <w:pStyle w:val="24"/>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_Toc20492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i w:val="0"/>
          <w:spacing w:val="0"/>
          <w:w w:val="100"/>
          <w:szCs w:val="28"/>
          <w:highlight w:val="none"/>
        </w:rPr>
        <w:t>综合评分表</w:t>
      </w:r>
      <w:r>
        <w:rPr>
          <w:highlight w:val="none"/>
        </w:rPr>
        <w:tab/>
      </w:r>
      <w:r>
        <w:rPr>
          <w:highlight w:val="none"/>
        </w:rPr>
        <w:fldChar w:fldCharType="begin"/>
      </w:r>
      <w:r>
        <w:rPr>
          <w:highlight w:val="none"/>
        </w:rPr>
        <w:instrText xml:space="preserve"> PAGEREF _Toc20492 \h </w:instrText>
      </w:r>
      <w:r>
        <w:rPr>
          <w:highlight w:val="none"/>
        </w:rPr>
        <w:fldChar w:fldCharType="separate"/>
      </w:r>
      <w:r>
        <w:rPr>
          <w:highlight w:val="none"/>
        </w:rPr>
        <w:t>54</w:t>
      </w:r>
      <w:r>
        <w:rPr>
          <w:highlight w:val="none"/>
        </w:rPr>
        <w:fldChar w:fldCharType="end"/>
      </w:r>
      <w:r>
        <w:rPr>
          <w:rFonts w:hint="eastAsia" w:ascii="微软雅黑" w:hAnsi="微软雅黑" w:eastAsia="微软雅黑" w:cs="微软雅黑"/>
          <w:szCs w:val="21"/>
          <w:highlight w:val="none"/>
        </w:rPr>
        <w:fldChar w:fldCharType="end"/>
      </w:r>
    </w:p>
    <w:p w14:paraId="6B623346">
      <w:pPr>
        <w:pStyle w:val="21"/>
        <w:tabs>
          <w:tab w:val="right" w:leader="dot" w:pos="8279"/>
        </w:tabs>
        <w:spacing w:line="360" w:lineRule="auto"/>
        <w:rPr>
          <w:highlight w:val="none"/>
        </w:rPr>
      </w:pPr>
      <w:r>
        <w:rPr>
          <w:rFonts w:hint="eastAsia" w:ascii="微软雅黑" w:hAnsi="微软雅黑" w:eastAsia="微软雅黑" w:cs="微软雅黑"/>
          <w:szCs w:val="21"/>
          <w:highlight w:val="none"/>
        </w:rPr>
        <w:fldChar w:fldCharType="begin"/>
      </w:r>
      <w:r>
        <w:rPr>
          <w:rFonts w:hint="eastAsia" w:ascii="微软雅黑" w:hAnsi="微软雅黑" w:eastAsia="微软雅黑" w:cs="微软雅黑"/>
          <w:szCs w:val="21"/>
          <w:highlight w:val="none"/>
        </w:rPr>
        <w:instrText xml:space="preserve"> HYPERLINK \l _Toc10696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bCs/>
          <w:szCs w:val="32"/>
          <w:highlight w:val="none"/>
          <w:lang w:val="en-US" w:eastAsia="zh-CN"/>
        </w:rPr>
        <w:t>第7章  政府采购合同</w:t>
      </w:r>
      <w:r>
        <w:rPr>
          <w:highlight w:val="none"/>
        </w:rPr>
        <w:tab/>
      </w:r>
      <w:r>
        <w:rPr>
          <w:highlight w:val="none"/>
        </w:rPr>
        <w:fldChar w:fldCharType="begin"/>
      </w:r>
      <w:r>
        <w:rPr>
          <w:highlight w:val="none"/>
        </w:rPr>
        <w:instrText xml:space="preserve"> PAGEREF _Toc10696 \h </w:instrText>
      </w:r>
      <w:r>
        <w:rPr>
          <w:highlight w:val="none"/>
        </w:rPr>
        <w:fldChar w:fldCharType="separate"/>
      </w:r>
      <w:r>
        <w:rPr>
          <w:highlight w:val="none"/>
        </w:rPr>
        <w:t>58</w:t>
      </w:r>
      <w:r>
        <w:rPr>
          <w:highlight w:val="none"/>
        </w:rPr>
        <w:fldChar w:fldCharType="end"/>
      </w:r>
      <w:r>
        <w:rPr>
          <w:rFonts w:hint="eastAsia" w:ascii="微软雅黑" w:hAnsi="微软雅黑" w:eastAsia="微软雅黑" w:cs="微软雅黑"/>
          <w:szCs w:val="21"/>
          <w:highlight w:val="none"/>
        </w:rPr>
        <w:fldChar w:fldCharType="end"/>
      </w:r>
    </w:p>
    <w:p w14:paraId="21BA1731">
      <w:pPr>
        <w:pStyle w:val="22"/>
        <w:keepNext w:val="0"/>
        <w:keepLines w:val="0"/>
        <w:pageBreakBefore w:val="0"/>
        <w:widowControl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szCs w:val="21"/>
          <w:highlight w:val="none"/>
        </w:rPr>
        <w:fldChar w:fldCharType="end"/>
      </w:r>
    </w:p>
    <w:p w14:paraId="796806F9">
      <w:pPr>
        <w:pStyle w:val="22"/>
        <w:rPr>
          <w:rFonts w:hint="eastAsia" w:ascii="微软雅黑" w:hAnsi="微软雅黑" w:eastAsia="微软雅黑" w:cs="微软雅黑"/>
          <w:highlight w:val="none"/>
        </w:rPr>
      </w:pPr>
    </w:p>
    <w:p w14:paraId="0C75BC01">
      <w:pPr>
        <w:spacing w:line="240" w:lineRule="atLeast"/>
        <w:jc w:val="center"/>
        <w:rPr>
          <w:rFonts w:hint="eastAsia" w:ascii="微软雅黑" w:hAnsi="微软雅黑" w:eastAsia="微软雅黑" w:cs="微软雅黑"/>
          <w:color w:val="auto"/>
          <w:sz w:val="32"/>
          <w:szCs w:val="32"/>
          <w:highlight w:val="none"/>
        </w:rPr>
      </w:pPr>
    </w:p>
    <w:p w14:paraId="7CFBB694">
      <w:pPr>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br w:type="page"/>
      </w:r>
    </w:p>
    <w:p w14:paraId="4A8C2B97">
      <w:pPr>
        <w:outlineLvl w:val="9"/>
        <w:rPr>
          <w:rFonts w:hint="eastAsia" w:ascii="微软雅黑" w:hAnsi="微软雅黑" w:eastAsia="微软雅黑" w:cs="微软雅黑"/>
          <w:highlight w:val="none"/>
        </w:rPr>
      </w:pPr>
    </w:p>
    <w:p w14:paraId="7547E217">
      <w:pPr>
        <w:outlineLvl w:val="9"/>
        <w:rPr>
          <w:rFonts w:hint="eastAsia" w:ascii="微软雅黑" w:hAnsi="微软雅黑" w:eastAsia="微软雅黑" w:cs="微软雅黑"/>
          <w:color w:val="auto"/>
          <w:sz w:val="32"/>
          <w:szCs w:val="32"/>
          <w:highlight w:val="none"/>
        </w:rPr>
      </w:pPr>
    </w:p>
    <w:p w14:paraId="78EB2928">
      <w:pPr>
        <w:outlineLvl w:val="9"/>
        <w:rPr>
          <w:rFonts w:hint="eastAsia" w:ascii="微软雅黑" w:hAnsi="微软雅黑" w:eastAsia="微软雅黑" w:cs="微软雅黑"/>
          <w:highlight w:val="none"/>
        </w:rPr>
      </w:pPr>
    </w:p>
    <w:p w14:paraId="07BDD1C0">
      <w:pPr>
        <w:outlineLvl w:val="9"/>
        <w:rPr>
          <w:rFonts w:hint="eastAsia" w:ascii="微软雅黑" w:hAnsi="微软雅黑" w:eastAsia="微软雅黑" w:cs="微软雅黑"/>
          <w:highlight w:val="none"/>
        </w:rPr>
      </w:pPr>
    </w:p>
    <w:p w14:paraId="7F859A6A">
      <w:pPr>
        <w:outlineLvl w:val="9"/>
        <w:rPr>
          <w:rFonts w:hint="eastAsia" w:ascii="微软雅黑" w:hAnsi="微软雅黑" w:eastAsia="微软雅黑" w:cs="微软雅黑"/>
          <w:color w:val="auto"/>
          <w:sz w:val="32"/>
          <w:szCs w:val="32"/>
          <w:highlight w:val="none"/>
        </w:rPr>
      </w:pPr>
    </w:p>
    <w:p w14:paraId="4AC597CB">
      <w:pPr>
        <w:pStyle w:val="22"/>
        <w:outlineLvl w:val="9"/>
        <w:rPr>
          <w:rFonts w:hint="eastAsia" w:ascii="微软雅黑" w:hAnsi="微软雅黑" w:eastAsia="微软雅黑" w:cs="微软雅黑"/>
          <w:highlight w:val="none"/>
        </w:rPr>
      </w:pPr>
    </w:p>
    <w:p w14:paraId="13CBE212">
      <w:pPr>
        <w:spacing w:line="240" w:lineRule="atLeast"/>
        <w:jc w:val="center"/>
        <w:outlineLvl w:val="9"/>
        <w:rPr>
          <w:rFonts w:hint="eastAsia" w:ascii="微软雅黑" w:hAnsi="微软雅黑" w:eastAsia="微软雅黑" w:cs="微软雅黑"/>
          <w:color w:val="auto"/>
          <w:sz w:val="32"/>
          <w:szCs w:val="32"/>
          <w:highlight w:val="none"/>
        </w:rPr>
      </w:pPr>
    </w:p>
    <w:p w14:paraId="66697209">
      <w:pPr>
        <w:spacing w:line="240" w:lineRule="atLeast"/>
        <w:jc w:val="center"/>
        <w:outlineLvl w:val="9"/>
        <w:rPr>
          <w:rFonts w:hint="eastAsia" w:ascii="微软雅黑" w:hAnsi="微软雅黑" w:eastAsia="微软雅黑" w:cs="微软雅黑"/>
          <w:color w:val="auto"/>
          <w:sz w:val="32"/>
          <w:szCs w:val="32"/>
          <w:highlight w:val="none"/>
        </w:rPr>
      </w:pPr>
    </w:p>
    <w:p w14:paraId="6BE57258">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14:paraId="6A5A1C1D">
      <w:pPr>
        <w:spacing w:line="240" w:lineRule="auto"/>
        <w:rPr>
          <w:rFonts w:hint="eastAsia" w:ascii="微软雅黑" w:hAnsi="微软雅黑" w:eastAsia="微软雅黑" w:cs="微软雅黑"/>
          <w:b/>
          <w:color w:val="auto"/>
          <w:sz w:val="44"/>
          <w:szCs w:val="44"/>
          <w:highlight w:val="none"/>
        </w:rPr>
      </w:pPr>
    </w:p>
    <w:p w14:paraId="02ECCEB7">
      <w:pPr>
        <w:spacing w:line="240" w:lineRule="auto"/>
        <w:jc w:val="center"/>
        <w:outlineLvl w:val="9"/>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rPr>
        <w:t>项目编号：</w:t>
      </w:r>
      <w:r>
        <w:rPr>
          <w:rFonts w:hint="eastAsia" w:ascii="微软雅黑" w:hAnsi="微软雅黑" w:eastAsia="微软雅黑" w:cs="微软雅黑"/>
          <w:b/>
          <w:color w:val="auto"/>
          <w:sz w:val="44"/>
          <w:szCs w:val="44"/>
          <w:highlight w:val="none"/>
          <w:lang w:eastAsia="zh-CN"/>
        </w:rPr>
        <w:t>26GJ-(GK)012</w:t>
      </w:r>
    </w:p>
    <w:p w14:paraId="42B7B245">
      <w:pPr>
        <w:spacing w:line="240" w:lineRule="auto"/>
        <w:rPr>
          <w:rFonts w:hint="eastAsia" w:ascii="微软雅黑" w:hAnsi="微软雅黑" w:eastAsia="微软雅黑" w:cs="微软雅黑"/>
          <w:b/>
          <w:color w:val="auto"/>
          <w:sz w:val="44"/>
          <w:szCs w:val="44"/>
          <w:highlight w:val="none"/>
        </w:rPr>
      </w:pPr>
    </w:p>
    <w:p w14:paraId="102F9E09">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 xml:space="preserve">第 </w:t>
      </w:r>
      <w:r>
        <w:rPr>
          <w:rFonts w:hint="eastAsia" w:ascii="微软雅黑" w:hAnsi="微软雅黑" w:eastAsia="微软雅黑" w:cs="微软雅黑"/>
          <w:b/>
          <w:color w:val="auto"/>
          <w:sz w:val="44"/>
          <w:szCs w:val="44"/>
          <w:highlight w:val="none"/>
          <w:lang w:val="en-US" w:eastAsia="zh-CN"/>
        </w:rPr>
        <w:t>一</w:t>
      </w:r>
      <w:r>
        <w:rPr>
          <w:rFonts w:hint="eastAsia" w:ascii="微软雅黑" w:hAnsi="微软雅黑" w:eastAsia="微软雅黑" w:cs="微软雅黑"/>
          <w:b/>
          <w:color w:val="auto"/>
          <w:sz w:val="44"/>
          <w:szCs w:val="44"/>
          <w:highlight w:val="none"/>
        </w:rPr>
        <w:t xml:space="preserve"> 册</w:t>
      </w:r>
    </w:p>
    <w:p w14:paraId="3B88AD65">
      <w:pPr>
        <w:outlineLvl w:val="9"/>
        <w:rPr>
          <w:rFonts w:hint="eastAsia" w:ascii="微软雅黑" w:hAnsi="微软雅黑" w:eastAsia="微软雅黑" w:cs="微软雅黑"/>
          <w:b/>
          <w:color w:val="auto"/>
          <w:sz w:val="44"/>
          <w:szCs w:val="36"/>
          <w:highlight w:val="none"/>
        </w:rPr>
      </w:pPr>
      <w:r>
        <w:rPr>
          <w:rFonts w:hint="eastAsia" w:ascii="微软雅黑" w:hAnsi="微软雅黑" w:eastAsia="微软雅黑" w:cs="微软雅黑"/>
          <w:b/>
          <w:color w:val="auto"/>
          <w:sz w:val="44"/>
          <w:szCs w:val="36"/>
          <w:highlight w:val="none"/>
        </w:rPr>
        <w:br w:type="page"/>
      </w:r>
    </w:p>
    <w:p w14:paraId="306F18D4">
      <w:pPr>
        <w:pStyle w:val="7"/>
        <w:ind w:firstLine="0"/>
        <w:jc w:val="center"/>
        <w:outlineLvl w:val="0"/>
        <w:rPr>
          <w:rFonts w:hint="eastAsia" w:ascii="微软雅黑" w:hAnsi="微软雅黑" w:eastAsia="微软雅黑" w:cs="微软雅黑"/>
          <w:color w:val="auto"/>
          <w:sz w:val="32"/>
          <w:szCs w:val="32"/>
          <w:highlight w:val="none"/>
        </w:rPr>
      </w:pPr>
      <w:bookmarkStart w:id="30" w:name="_Toc16201"/>
      <w:bookmarkStart w:id="31" w:name="_Toc7005"/>
      <w:bookmarkStart w:id="32" w:name="_Toc11041"/>
      <w:r>
        <w:rPr>
          <w:rFonts w:hint="eastAsia" w:ascii="微软雅黑" w:hAnsi="微软雅黑" w:eastAsia="微软雅黑" w:cs="微软雅黑"/>
          <w:b/>
          <w:bCs/>
          <w:color w:val="auto"/>
          <w:sz w:val="32"/>
          <w:szCs w:val="32"/>
          <w:highlight w:val="none"/>
        </w:rPr>
        <w:t>第1章</w:t>
      </w:r>
      <w:bookmarkStart w:id="33" w:name="_Toc515647756"/>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供应商</w:t>
      </w:r>
      <w:r>
        <w:rPr>
          <w:rFonts w:hint="eastAsia" w:ascii="微软雅黑" w:hAnsi="微软雅黑" w:eastAsia="微软雅黑" w:cs="微软雅黑"/>
          <w:b/>
          <w:bCs/>
          <w:color w:val="auto"/>
          <w:sz w:val="32"/>
          <w:szCs w:val="32"/>
          <w:highlight w:val="none"/>
        </w:rPr>
        <w:t>须知</w:t>
      </w:r>
      <w:bookmarkEnd w:id="21"/>
      <w:bookmarkEnd w:id="22"/>
      <w:bookmarkEnd w:id="23"/>
      <w:bookmarkEnd w:id="24"/>
      <w:bookmarkEnd w:id="30"/>
      <w:bookmarkEnd w:id="31"/>
      <w:bookmarkEnd w:id="32"/>
      <w:bookmarkEnd w:id="33"/>
    </w:p>
    <w:p w14:paraId="08A90EC0">
      <w:pPr>
        <w:pStyle w:val="2"/>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34" w:name="_Toc216582805"/>
      <w:bookmarkStart w:id="35" w:name="_Toc520356143"/>
      <w:bookmarkStart w:id="36" w:name="_Toc515647757"/>
      <w:bookmarkStart w:id="37" w:name="_Toc4886"/>
      <w:bookmarkStart w:id="38" w:name="_Toc21215"/>
      <w:bookmarkStart w:id="39" w:name="_Toc11227"/>
      <w:bookmarkStart w:id="40" w:name="_Toc4604"/>
      <w:bookmarkStart w:id="41" w:name="_Toc25844"/>
      <w:bookmarkStart w:id="42" w:name="_Toc21015"/>
      <w:r>
        <w:rPr>
          <w:rFonts w:hint="eastAsia" w:ascii="微软雅黑" w:hAnsi="微软雅黑" w:eastAsia="微软雅黑" w:cs="微软雅黑"/>
          <w:color w:val="auto"/>
          <w:sz w:val="28"/>
          <w:szCs w:val="28"/>
          <w:highlight w:val="none"/>
          <w:lang w:val="en-US" w:eastAsia="zh-CN"/>
        </w:rPr>
        <w:t xml:space="preserve">一   </w:t>
      </w:r>
      <w:bookmarkEnd w:id="34"/>
      <w:bookmarkEnd w:id="35"/>
      <w:bookmarkEnd w:id="36"/>
      <w:r>
        <w:rPr>
          <w:rFonts w:hint="eastAsia" w:ascii="微软雅黑" w:hAnsi="微软雅黑" w:eastAsia="微软雅黑" w:cs="微软雅黑"/>
          <w:color w:val="auto"/>
          <w:sz w:val="28"/>
          <w:szCs w:val="28"/>
          <w:highlight w:val="none"/>
          <w:lang w:val="en-US" w:eastAsia="zh-CN"/>
        </w:rPr>
        <w:t>总 则</w:t>
      </w:r>
      <w:bookmarkEnd w:id="37"/>
      <w:bookmarkEnd w:id="38"/>
      <w:bookmarkEnd w:id="39"/>
      <w:bookmarkEnd w:id="40"/>
      <w:bookmarkEnd w:id="41"/>
      <w:bookmarkEnd w:id="42"/>
    </w:p>
    <w:p w14:paraId="50402B9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sz w:val="24"/>
          <w:szCs w:val="24"/>
          <w:highlight w:val="none"/>
          <w:u w:val="none"/>
        </w:rPr>
      </w:pPr>
      <w:bookmarkStart w:id="43" w:name="_Toc515647758"/>
      <w:bookmarkStart w:id="44" w:name="_Toc4880"/>
      <w:bookmarkStart w:id="45" w:name="_Toc31685"/>
      <w:bookmarkStart w:id="46" w:name="_Toc29554"/>
      <w:bookmarkStart w:id="47" w:name="_Toc32623"/>
      <w:bookmarkStart w:id="48" w:name="_Toc11808"/>
      <w:bookmarkStart w:id="49" w:name="_Toc32189"/>
      <w:bookmarkStart w:id="50" w:name="_Toc520356144"/>
      <w:bookmarkStart w:id="51" w:name="_Toc12861"/>
      <w:bookmarkStart w:id="52" w:name="_Toc23985"/>
      <w:bookmarkStart w:id="53" w:name="_Toc28967"/>
      <w:bookmarkStart w:id="54" w:name="_Toc333"/>
      <w:bookmarkStart w:id="55" w:name="_Toc29345"/>
      <w:bookmarkStart w:id="56" w:name="_Toc30663"/>
      <w:bookmarkStart w:id="57" w:name="_Toc874"/>
      <w:bookmarkStart w:id="58" w:name="_Toc32211"/>
      <w:bookmarkStart w:id="59" w:name="_Toc15081"/>
      <w:bookmarkStart w:id="60" w:name="_Toc7594"/>
      <w:bookmarkStart w:id="61" w:name="_Toc23304"/>
      <w:bookmarkStart w:id="62" w:name="_Toc18012"/>
      <w:bookmarkStart w:id="63" w:name="_Toc22141"/>
      <w:bookmarkStart w:id="64" w:name="_Toc9349"/>
      <w:bookmarkStart w:id="65" w:name="_Toc16660"/>
      <w:bookmarkStart w:id="66" w:name="_Toc18221"/>
      <w:bookmarkStart w:id="67" w:name="_Toc5495"/>
      <w:bookmarkStart w:id="68" w:name="_Toc27367"/>
      <w:bookmarkStart w:id="69" w:name="_Toc19435"/>
      <w:bookmarkStart w:id="70" w:name="_Toc9137"/>
      <w:bookmarkStart w:id="71" w:name="_Toc26341"/>
      <w:bookmarkStart w:id="72" w:name="_Toc27714"/>
      <w:bookmarkStart w:id="73" w:name="_Toc22180"/>
      <w:bookmarkStart w:id="74" w:name="_Toc12038"/>
      <w:bookmarkStart w:id="75" w:name="_Toc8169"/>
      <w:bookmarkStart w:id="76" w:name="_Toc20841"/>
      <w:bookmarkStart w:id="77" w:name="_Toc5164"/>
      <w:bookmarkStart w:id="78" w:name="_Toc11261"/>
      <w:bookmarkStart w:id="79" w:name="_Toc32508"/>
      <w:bookmarkStart w:id="80" w:name="_Toc3199"/>
      <w:bookmarkStart w:id="81" w:name="_Toc26485"/>
      <w:bookmarkStart w:id="82" w:name="_Toc31317"/>
      <w:bookmarkStart w:id="83" w:name="_Toc30703"/>
      <w:bookmarkStart w:id="84" w:name="_Toc15043"/>
      <w:bookmarkStart w:id="85" w:name="_Toc25783"/>
      <w:bookmarkStart w:id="86" w:name="_Toc17254"/>
      <w:bookmarkStart w:id="87" w:name="_Toc16228"/>
      <w:bookmarkStart w:id="88" w:name="_Toc30123"/>
      <w:bookmarkStart w:id="89" w:name="_Toc8320"/>
      <w:bookmarkStart w:id="90" w:name="_Toc5938"/>
      <w:bookmarkStart w:id="91" w:name="_Toc6671"/>
      <w:bookmarkStart w:id="92" w:name="_Toc18135"/>
      <w:bookmarkStart w:id="93" w:name="_Toc27685"/>
      <w:bookmarkStart w:id="94" w:name="_Toc26687"/>
      <w:bookmarkStart w:id="95" w:name="_Toc32450"/>
      <w:bookmarkStart w:id="96" w:name="_Toc14634"/>
      <w:bookmarkStart w:id="97" w:name="_Toc16133"/>
      <w:bookmarkStart w:id="98" w:name="_Toc29127"/>
      <w:bookmarkStart w:id="99" w:name="_Toc32697"/>
      <w:bookmarkStart w:id="100" w:name="_Toc12102"/>
      <w:bookmarkStart w:id="101" w:name="_Toc21041"/>
      <w:bookmarkStart w:id="102" w:name="_Toc842"/>
      <w:bookmarkStart w:id="103" w:name="_Toc13597"/>
      <w:bookmarkStart w:id="104" w:name="_Toc32742"/>
      <w:bookmarkStart w:id="105" w:name="_Toc9452"/>
      <w:bookmarkStart w:id="106" w:name="_Toc18081"/>
      <w:bookmarkStart w:id="107" w:name="_Toc20026"/>
      <w:r>
        <w:rPr>
          <w:rFonts w:hint="eastAsia" w:ascii="微软雅黑" w:hAnsi="微软雅黑" w:eastAsia="微软雅黑" w:cs="微软雅黑"/>
          <w:b/>
          <w:bCs/>
          <w:color w:val="auto"/>
          <w:kern w:val="2"/>
          <w:sz w:val="24"/>
          <w:szCs w:val="24"/>
          <w:highlight w:val="none"/>
          <w:u w:val="none"/>
          <w:lang w:val="en-US" w:eastAsia="zh-CN" w:bidi="ar-SA"/>
        </w:rPr>
        <w:t>1.</w:t>
      </w:r>
      <w:r>
        <w:rPr>
          <w:rFonts w:hint="eastAsia" w:ascii="微软雅黑" w:hAnsi="微软雅黑" w:eastAsia="微软雅黑" w:cs="微软雅黑"/>
          <w:b/>
          <w:bCs/>
          <w:color w:val="auto"/>
          <w:sz w:val="24"/>
          <w:szCs w:val="24"/>
          <w:highlight w:val="none"/>
          <w:u w:val="none"/>
        </w:rPr>
        <w:t>采购人、采购代理机构及</w:t>
      </w:r>
      <w:bookmarkEnd w:id="43"/>
      <w:bookmarkEnd w:id="44"/>
      <w:bookmarkEnd w:id="45"/>
      <w:bookmarkEnd w:id="46"/>
      <w:bookmarkEnd w:id="47"/>
      <w:bookmarkEnd w:id="48"/>
      <w:bookmarkEnd w:id="49"/>
      <w:bookmarkEnd w:id="50"/>
      <w:bookmarkEnd w:id="51"/>
      <w:bookmarkEnd w:id="52"/>
      <w:bookmarkEnd w:id="53"/>
      <w:bookmarkEnd w:id="54"/>
      <w:r>
        <w:rPr>
          <w:rFonts w:hint="eastAsia" w:ascii="微软雅黑" w:hAnsi="微软雅黑" w:eastAsia="微软雅黑" w:cs="微软雅黑"/>
          <w:b/>
          <w:bCs/>
          <w:color w:val="auto"/>
          <w:sz w:val="24"/>
          <w:szCs w:val="24"/>
          <w:highlight w:val="none"/>
          <w:u w:val="none"/>
          <w:lang w:eastAsia="zh-CN"/>
        </w:rPr>
        <w:t>供应商</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58B3482">
      <w:pPr>
        <w:pageBreakBefore w:val="0"/>
        <w:widowControl w:val="0"/>
        <w:numPr>
          <w:ilvl w:val="0"/>
          <w:numId w:val="0"/>
        </w:numPr>
        <w:tabs>
          <w:tab w:val="left" w:pos="0"/>
        </w:tabs>
        <w:kinsoku/>
        <w:wordWrap/>
        <w:overflowPunct/>
        <w:topLinePunct w:val="0"/>
        <w:bidi w:val="0"/>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 xml:space="preserve">   采购人：是指依法开展政府采购活动的国家机关、事业单位、团体组织。</w:t>
      </w:r>
    </w:p>
    <w:p w14:paraId="6A28DED8">
      <w:pPr>
        <w:pageBreakBefore w:val="0"/>
        <w:widowControl w:val="0"/>
        <w:tabs>
          <w:tab w:val="left" w:pos="0"/>
        </w:tabs>
        <w:kinsoku/>
        <w:wordWrap/>
        <w:overflowPunct/>
        <w:topLinePunct w:val="0"/>
        <w:bidi w:val="0"/>
        <w:spacing w:line="360" w:lineRule="exact"/>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本项目的采购人见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547C15A8">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 xml:space="preserve">   采购代理机构：是指在集中采购机构或从事采购代理业务的社会中介机构。本项目的采购代理机构见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24D089F6">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：是指向采购人提供货物、工程或者服务的法人、非法人组织或者自然人。本项目的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及其投标</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须满足以下条件：</w:t>
      </w:r>
    </w:p>
    <w:p w14:paraId="3D11CB58">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在中华人民共和国境内注册，能够独立承担民事责任，有生产或供应能力的本国供应商。</w:t>
      </w:r>
    </w:p>
    <w:p w14:paraId="1FF89334">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   具备《中华人民共和国政府采购法》第二十二条关于供应商条件的规定，遵守本项目采购人本级和上级财政部门政府采购的有关规定。</w:t>
      </w:r>
    </w:p>
    <w:p w14:paraId="3D27844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1.3.3   以采购代理机构认可的方式获得了本项目的招标文件。</w:t>
      </w:r>
    </w:p>
    <w:p w14:paraId="2CAD01C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   符合</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中规定的其他要求。</w:t>
      </w:r>
    </w:p>
    <w:p w14:paraId="08E124DC">
      <w:pPr>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1.3.5   若</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中写明专门面向中小企业采购的，如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为非中小企业且所投产品为非中小企业产品，其投标将被认定为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75FD562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如</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中允许联合体投标，对联合体规定如下：</w:t>
      </w:r>
    </w:p>
    <w:p w14:paraId="1E9E9C37">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两个以上供应商可以组成一个投标联合体，以一个</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的身份投标。</w:t>
      </w:r>
    </w:p>
    <w:p w14:paraId="718EB44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联合体各方均应符合《中华人民共和国政府采购法》第二十二条规定的条件。</w:t>
      </w:r>
    </w:p>
    <w:p w14:paraId="0AC2A95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1.4.3   采购人根据采购项目对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的特殊要求，联合体中至少应当有一方符合相关规定。</w:t>
      </w:r>
    </w:p>
    <w:p w14:paraId="0E3B628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   联合体各方应签订共同投标协议，明确约定联合体各方承担的工作和相应的责任，并将共同投标协议连同作为投标文件第一部分的内容提交。</w:t>
      </w:r>
    </w:p>
    <w:p w14:paraId="45938A46">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5C0ADE9D">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1.4.6  联合体中有同类资质的供应商按照联合体分工承担相同工作的，按照较低的资质等级确定联合体的资质等级。</w:t>
      </w:r>
    </w:p>
    <w:p w14:paraId="1E9384C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1A83D6EA">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   对联合体投标的其他资格要求见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176896CA">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28EFE848">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1.6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在投标过程中不得向采购人提供、给予任何有价值的物品，影响其正常决策行为。一经发现，其将被认定为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23233412">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08" w:name="_Toc22677"/>
      <w:bookmarkStart w:id="109" w:name="_Toc15272"/>
      <w:bookmarkStart w:id="110" w:name="_Toc9028"/>
      <w:bookmarkStart w:id="111" w:name="_Toc31582"/>
      <w:bookmarkStart w:id="112" w:name="_Toc515647759"/>
      <w:bookmarkStart w:id="113" w:name="_Toc12981"/>
      <w:bookmarkStart w:id="114" w:name="_Toc24503"/>
      <w:bookmarkStart w:id="115" w:name="_Toc162"/>
      <w:bookmarkStart w:id="116" w:name="_Toc21568"/>
      <w:bookmarkStart w:id="117" w:name="_Toc10899"/>
      <w:bookmarkStart w:id="118" w:name="_Toc4016"/>
      <w:bookmarkStart w:id="119" w:name="_Toc1760"/>
      <w:bookmarkStart w:id="120" w:name="_Toc16822"/>
      <w:bookmarkStart w:id="121" w:name="_Toc13065"/>
      <w:bookmarkStart w:id="122" w:name="_Toc4046"/>
      <w:bookmarkStart w:id="123" w:name="_Toc13679"/>
      <w:bookmarkStart w:id="124" w:name="_Toc10189"/>
      <w:bookmarkStart w:id="125" w:name="_Toc22129"/>
      <w:bookmarkStart w:id="126" w:name="_Toc10315"/>
      <w:bookmarkStart w:id="127" w:name="_Toc690"/>
      <w:bookmarkStart w:id="128" w:name="_Toc7825"/>
      <w:bookmarkStart w:id="129" w:name="_Toc15249"/>
      <w:bookmarkStart w:id="130" w:name="_Toc27814"/>
      <w:bookmarkStart w:id="131" w:name="_Toc24766"/>
      <w:bookmarkStart w:id="132" w:name="_Toc12041"/>
      <w:bookmarkStart w:id="133" w:name="_Toc8397"/>
      <w:bookmarkStart w:id="134" w:name="_Toc1973"/>
      <w:bookmarkStart w:id="135" w:name="_Toc6957"/>
      <w:bookmarkStart w:id="136" w:name="_Toc4816"/>
      <w:bookmarkStart w:id="137" w:name="_Toc28511"/>
      <w:bookmarkStart w:id="138" w:name="_Toc30940"/>
      <w:bookmarkStart w:id="139" w:name="_Toc11068"/>
      <w:bookmarkStart w:id="140" w:name="_Toc13272"/>
      <w:bookmarkStart w:id="141" w:name="_Toc22446"/>
      <w:bookmarkStart w:id="142" w:name="_Toc10699"/>
      <w:bookmarkStart w:id="143" w:name="_Toc26117"/>
      <w:bookmarkStart w:id="144" w:name="_Toc16369"/>
      <w:bookmarkStart w:id="145" w:name="_Toc15091"/>
      <w:bookmarkStart w:id="146" w:name="_Toc1685"/>
      <w:bookmarkStart w:id="147" w:name="_Toc1403"/>
      <w:bookmarkStart w:id="148" w:name="_Toc31332"/>
      <w:bookmarkStart w:id="149" w:name="_Toc19202"/>
      <w:bookmarkStart w:id="150" w:name="_Toc2321"/>
      <w:bookmarkStart w:id="151" w:name="_Toc10433"/>
      <w:bookmarkStart w:id="152" w:name="_Toc15523"/>
      <w:bookmarkStart w:id="153" w:name="_Toc20739"/>
      <w:bookmarkStart w:id="154" w:name="_Toc18986"/>
      <w:bookmarkStart w:id="155" w:name="_Toc18536"/>
      <w:bookmarkStart w:id="156" w:name="_Toc7800"/>
      <w:bookmarkStart w:id="157" w:name="_Toc12139"/>
      <w:bookmarkStart w:id="158" w:name="_Toc5286"/>
      <w:bookmarkStart w:id="159" w:name="_Toc27445"/>
      <w:bookmarkStart w:id="160" w:name="_Toc21047"/>
      <w:bookmarkStart w:id="161" w:name="_Toc19970"/>
      <w:bookmarkStart w:id="162" w:name="_Toc12936"/>
      <w:bookmarkStart w:id="163" w:name="_Toc4311"/>
      <w:bookmarkStart w:id="164" w:name="_Toc27451"/>
      <w:bookmarkStart w:id="165" w:name="_Toc28008"/>
      <w:bookmarkStart w:id="166" w:name="_Toc30599"/>
      <w:bookmarkStart w:id="167" w:name="_Toc21286"/>
      <w:bookmarkStart w:id="168" w:name="_Toc19600"/>
      <w:bookmarkStart w:id="169" w:name="_Toc8958"/>
      <w:bookmarkStart w:id="170" w:name="_Toc25669"/>
      <w:bookmarkStart w:id="171" w:name="_Toc25920"/>
      <w:r>
        <w:rPr>
          <w:rFonts w:hint="eastAsia" w:ascii="微软雅黑" w:hAnsi="微软雅黑" w:eastAsia="微软雅黑" w:cs="微软雅黑"/>
          <w:b/>
          <w:bCs/>
          <w:color w:val="auto"/>
          <w:kern w:val="2"/>
          <w:sz w:val="24"/>
          <w:szCs w:val="24"/>
          <w:highlight w:val="none"/>
          <w:u w:val="none"/>
          <w:lang w:val="en-US" w:eastAsia="zh-CN" w:bidi="ar-SA"/>
        </w:rPr>
        <w:t>2.资金来源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DEB0891">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本项目的采购人已获得足以支付本次招标后所签订的合同项下的资金（包括财政性资金和本项目采购中无法与财政性资金分割的非财政性资金）。</w:t>
      </w:r>
    </w:p>
    <w:p w14:paraId="50939427">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    项目预算金额和分</w:t>
      </w:r>
      <w:r>
        <w:rPr>
          <w:rFonts w:hint="eastAsia" w:ascii="微软雅黑" w:hAnsi="微软雅黑" w:eastAsia="微软雅黑" w:cs="微软雅黑"/>
          <w:color w:val="auto"/>
          <w:sz w:val="24"/>
          <w:szCs w:val="24"/>
          <w:highlight w:val="none"/>
          <w:lang w:val="en-US" w:eastAsia="zh-CN"/>
        </w:rPr>
        <w:t>包</w:t>
      </w:r>
      <w:r>
        <w:rPr>
          <w:rFonts w:hint="eastAsia" w:ascii="微软雅黑" w:hAnsi="微软雅黑" w:eastAsia="微软雅黑" w:cs="微软雅黑"/>
          <w:color w:val="auto"/>
          <w:sz w:val="24"/>
          <w:szCs w:val="24"/>
          <w:highlight w:val="none"/>
        </w:rPr>
        <w:t>或分</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最高限价</w:t>
      </w:r>
      <w:r>
        <w:rPr>
          <w:rFonts w:hint="eastAsia" w:ascii="微软雅黑" w:hAnsi="微软雅黑" w:eastAsia="微软雅黑" w:cs="微软雅黑"/>
          <w:color w:val="auto"/>
          <w:sz w:val="24"/>
          <w:szCs w:val="24"/>
          <w:highlight w:val="none"/>
          <w:u w:val="single"/>
        </w:rPr>
        <w:t>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7B974D71">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2.3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报价超过招标文件规定的预算金额或者分</w:t>
      </w:r>
      <w:r>
        <w:rPr>
          <w:rFonts w:hint="eastAsia" w:ascii="微软雅黑" w:hAnsi="微软雅黑" w:eastAsia="微软雅黑" w:cs="微软雅黑"/>
          <w:color w:val="auto"/>
          <w:sz w:val="24"/>
          <w:szCs w:val="24"/>
          <w:highlight w:val="none"/>
          <w:lang w:val="en-US" w:eastAsia="zh-CN"/>
        </w:rPr>
        <w:t>包</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最高限价的，其投标将被认定为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78B832DC">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72" w:name="_Toc515647760"/>
      <w:bookmarkStart w:id="173" w:name="_Toc13867"/>
      <w:bookmarkStart w:id="174" w:name="_Toc520356145"/>
      <w:bookmarkStart w:id="175" w:name="_Toc30708"/>
      <w:bookmarkStart w:id="176" w:name="_Toc27479"/>
      <w:bookmarkStart w:id="177" w:name="_Toc7108"/>
      <w:bookmarkStart w:id="178" w:name="_Toc26620"/>
      <w:bookmarkStart w:id="179" w:name="_Toc25515"/>
      <w:bookmarkStart w:id="180" w:name="_Toc6389"/>
      <w:bookmarkStart w:id="181" w:name="_Toc5757"/>
      <w:bookmarkStart w:id="182" w:name="_Toc7365"/>
      <w:bookmarkStart w:id="183" w:name="_Toc13276"/>
      <w:bookmarkStart w:id="184" w:name="_Toc27044"/>
      <w:bookmarkStart w:id="185" w:name="_Toc30754"/>
      <w:bookmarkStart w:id="186" w:name="_Toc3976"/>
      <w:bookmarkStart w:id="187" w:name="_Toc32436"/>
      <w:bookmarkStart w:id="188" w:name="_Toc12188"/>
      <w:bookmarkStart w:id="189" w:name="_Toc14612"/>
      <w:bookmarkStart w:id="190" w:name="_Toc29504"/>
      <w:bookmarkStart w:id="191" w:name="_Toc18651"/>
      <w:bookmarkStart w:id="192" w:name="_Toc15368"/>
      <w:bookmarkStart w:id="193" w:name="_Toc26361"/>
      <w:bookmarkStart w:id="194" w:name="_Toc6415"/>
      <w:bookmarkStart w:id="195" w:name="_Toc25543"/>
      <w:bookmarkStart w:id="196" w:name="_Toc14735"/>
      <w:bookmarkStart w:id="197" w:name="_Toc30650"/>
      <w:bookmarkStart w:id="198" w:name="_Toc5254"/>
      <w:bookmarkStart w:id="199" w:name="_Toc15901"/>
      <w:bookmarkStart w:id="200" w:name="_Toc26559"/>
      <w:bookmarkStart w:id="201" w:name="_Toc20285"/>
      <w:bookmarkStart w:id="202" w:name="_Toc144"/>
      <w:bookmarkStart w:id="203" w:name="_Toc13340"/>
      <w:bookmarkStart w:id="204" w:name="_Toc22731"/>
      <w:bookmarkStart w:id="205" w:name="_Toc10963"/>
      <w:bookmarkStart w:id="206" w:name="_Toc16018"/>
      <w:bookmarkStart w:id="207" w:name="_Toc23084"/>
      <w:bookmarkStart w:id="208" w:name="_Toc15936"/>
      <w:bookmarkStart w:id="209" w:name="_Toc18657"/>
      <w:bookmarkStart w:id="210" w:name="_Toc903"/>
      <w:bookmarkStart w:id="211" w:name="_Toc29689"/>
      <w:bookmarkStart w:id="212" w:name="_Toc9776"/>
      <w:bookmarkStart w:id="213" w:name="_Toc15199"/>
      <w:bookmarkStart w:id="214" w:name="_Toc20526"/>
      <w:bookmarkStart w:id="215" w:name="_Toc30737"/>
      <w:bookmarkStart w:id="216" w:name="_Toc32114"/>
      <w:bookmarkStart w:id="217" w:name="_Toc23959"/>
      <w:bookmarkStart w:id="218" w:name="_Toc9436"/>
      <w:bookmarkStart w:id="219" w:name="_Toc7188"/>
      <w:bookmarkStart w:id="220" w:name="_Toc5207"/>
      <w:bookmarkStart w:id="221" w:name="_Toc20799"/>
      <w:bookmarkStart w:id="222" w:name="_Toc29041"/>
      <w:bookmarkStart w:id="223" w:name="_Toc22005"/>
      <w:bookmarkStart w:id="224" w:name="_Toc4007"/>
      <w:bookmarkStart w:id="225" w:name="_Toc14829"/>
      <w:bookmarkStart w:id="226" w:name="_Toc29481"/>
      <w:bookmarkStart w:id="227" w:name="_Toc9766"/>
      <w:bookmarkStart w:id="228" w:name="_Toc700"/>
      <w:bookmarkStart w:id="229" w:name="_Toc7261"/>
      <w:bookmarkStart w:id="230" w:name="_Toc1796"/>
      <w:bookmarkStart w:id="231" w:name="_Toc12313"/>
      <w:bookmarkStart w:id="232" w:name="_Toc19999"/>
      <w:bookmarkStart w:id="233" w:name="_Toc30670"/>
      <w:bookmarkStart w:id="234" w:name="_Toc15518"/>
      <w:bookmarkStart w:id="235" w:name="_Toc20044"/>
      <w:bookmarkStart w:id="236" w:name="_Toc27956"/>
      <w:r>
        <w:rPr>
          <w:rFonts w:hint="eastAsia" w:ascii="微软雅黑" w:hAnsi="微软雅黑" w:eastAsia="微软雅黑" w:cs="微软雅黑"/>
          <w:b/>
          <w:bCs/>
          <w:color w:val="auto"/>
          <w:kern w:val="2"/>
          <w:sz w:val="24"/>
          <w:szCs w:val="24"/>
          <w:highlight w:val="none"/>
          <w:u w:val="none"/>
          <w:lang w:val="en-US" w:eastAsia="zh-CN" w:bidi="ar-SA"/>
        </w:rPr>
        <w:t>3.投标费用</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D897CBC">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不论投标的结果如何，</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应承担所有与准备和参加投标有关的费用。</w:t>
      </w:r>
    </w:p>
    <w:p w14:paraId="4736A27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37" w:name="_Toc11989"/>
      <w:bookmarkStart w:id="238" w:name="_Toc6116"/>
      <w:bookmarkStart w:id="239" w:name="_Toc27446"/>
      <w:bookmarkStart w:id="240" w:name="_Toc8324"/>
      <w:bookmarkStart w:id="241" w:name="_Toc4272"/>
      <w:bookmarkStart w:id="242" w:name="_Toc26349"/>
      <w:bookmarkStart w:id="243" w:name="_Toc25077"/>
      <w:bookmarkStart w:id="244" w:name="_Toc32017"/>
      <w:bookmarkStart w:id="245" w:name="_Toc25242"/>
      <w:bookmarkStart w:id="246" w:name="_Toc12888"/>
      <w:bookmarkStart w:id="247" w:name="_Toc24881"/>
      <w:bookmarkStart w:id="248" w:name="_Toc4463"/>
      <w:bookmarkStart w:id="249" w:name="_Toc12920"/>
      <w:bookmarkStart w:id="250" w:name="_Toc17979"/>
      <w:bookmarkStart w:id="251" w:name="_Toc11355"/>
      <w:bookmarkStart w:id="252" w:name="_Toc22058"/>
      <w:bookmarkStart w:id="253" w:name="_Toc7915"/>
      <w:bookmarkStart w:id="254" w:name="_Toc16328"/>
      <w:bookmarkStart w:id="255" w:name="_Toc22687"/>
      <w:bookmarkStart w:id="256" w:name="_Toc6097"/>
      <w:bookmarkStart w:id="257" w:name="_Toc7043"/>
      <w:bookmarkStart w:id="258" w:name="_Toc14443"/>
      <w:bookmarkStart w:id="259" w:name="_Toc515647761"/>
      <w:bookmarkStart w:id="260" w:name="_Toc22957"/>
      <w:bookmarkStart w:id="261" w:name="_Toc10864"/>
      <w:bookmarkStart w:id="262" w:name="_Toc2389"/>
      <w:bookmarkStart w:id="263" w:name="_Toc13150"/>
      <w:bookmarkStart w:id="264" w:name="_Toc27739"/>
      <w:bookmarkStart w:id="265" w:name="_Toc31836"/>
      <w:bookmarkStart w:id="266" w:name="_Toc6895"/>
      <w:bookmarkStart w:id="267" w:name="_Toc21923"/>
      <w:bookmarkStart w:id="268" w:name="_Toc15507"/>
      <w:bookmarkStart w:id="269" w:name="_Toc4389"/>
      <w:bookmarkStart w:id="270" w:name="_Toc21002"/>
      <w:bookmarkStart w:id="271" w:name="_Toc31193"/>
      <w:bookmarkStart w:id="272" w:name="_Toc11505"/>
      <w:bookmarkStart w:id="273" w:name="_Toc30864"/>
      <w:bookmarkStart w:id="274" w:name="_Toc29011"/>
      <w:bookmarkStart w:id="275" w:name="_Toc3955"/>
      <w:bookmarkStart w:id="276" w:name="_Toc2915"/>
      <w:bookmarkStart w:id="277" w:name="_Toc5456"/>
      <w:bookmarkStart w:id="278" w:name="_Toc17308"/>
      <w:bookmarkStart w:id="279" w:name="_Toc22663"/>
      <w:bookmarkStart w:id="280" w:name="_Toc15600"/>
      <w:bookmarkStart w:id="281" w:name="_Toc5853"/>
      <w:bookmarkStart w:id="282" w:name="_Toc5321"/>
      <w:bookmarkStart w:id="283" w:name="_Toc7511"/>
      <w:bookmarkStart w:id="284" w:name="_Toc32103"/>
      <w:bookmarkStart w:id="285" w:name="_Toc24310"/>
      <w:bookmarkStart w:id="286" w:name="_Toc4284"/>
      <w:bookmarkStart w:id="287" w:name="_Toc1714"/>
      <w:bookmarkStart w:id="288" w:name="_Toc21048"/>
      <w:bookmarkStart w:id="289" w:name="_Toc16751"/>
      <w:bookmarkStart w:id="290" w:name="_Toc4925"/>
      <w:bookmarkStart w:id="291" w:name="_Toc24859"/>
      <w:bookmarkStart w:id="292" w:name="_Toc2208"/>
      <w:bookmarkStart w:id="293" w:name="_Toc1198"/>
      <w:bookmarkStart w:id="294" w:name="_Toc10109"/>
      <w:bookmarkStart w:id="295" w:name="_Toc13524"/>
      <w:bookmarkStart w:id="296" w:name="_Toc27687"/>
      <w:bookmarkStart w:id="297" w:name="_Toc21641"/>
      <w:bookmarkStart w:id="298" w:name="_Toc2839"/>
      <w:bookmarkStart w:id="299" w:name="_Toc16395"/>
      <w:bookmarkStart w:id="300" w:name="_Toc6759"/>
      <w:r>
        <w:rPr>
          <w:rFonts w:hint="eastAsia" w:ascii="微软雅黑" w:hAnsi="微软雅黑" w:eastAsia="微软雅黑" w:cs="微软雅黑"/>
          <w:b/>
          <w:bCs/>
          <w:color w:val="auto"/>
          <w:kern w:val="2"/>
          <w:sz w:val="24"/>
          <w:szCs w:val="24"/>
          <w:highlight w:val="none"/>
          <w:u w:val="none"/>
          <w:lang w:val="en-US" w:eastAsia="zh-CN" w:bidi="ar-SA"/>
        </w:rPr>
        <w:t>4.适用法律</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7914006">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本项目采购人、采购代理机构、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、评标委员会的相关行为均受《中华人民共和国政府采购法》、《中华人民共和国政府采购法实施条例》</w:t>
      </w:r>
      <w:r>
        <w:rPr>
          <w:rFonts w:hint="eastAsia" w:ascii="微软雅黑" w:hAnsi="微软雅黑" w:eastAsia="微软雅黑" w:cs="微软雅黑"/>
          <w:color w:val="auto"/>
          <w:sz w:val="24"/>
          <w:szCs w:val="24"/>
          <w:highlight w:val="none"/>
          <w:lang w:eastAsia="zh-CN"/>
        </w:rPr>
        <w:t>、中华人民共和国财政部令第87号--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政府采购货物和服务招标投标管理办法</w:t>
      </w:r>
      <w:r>
        <w:rPr>
          <w:rFonts w:hint="eastAsia" w:ascii="微软雅黑" w:hAnsi="微软雅黑" w:eastAsia="微软雅黑" w:cs="微软雅黑"/>
          <w:color w:val="auto"/>
          <w:sz w:val="24"/>
          <w:szCs w:val="24"/>
          <w:highlight w:val="none"/>
        </w:rPr>
        <w:t>》及本项目本级和上级财政部门政府采购有关规定的约束，其权利受到上述法律法规的保护。</w:t>
      </w:r>
    </w:p>
    <w:p w14:paraId="3BF87885">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szCs w:val="24"/>
          <w:highlight w:val="none"/>
        </w:rPr>
      </w:pPr>
    </w:p>
    <w:p w14:paraId="38E542BE">
      <w:pPr>
        <w:pStyle w:val="2"/>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301" w:name="_Toc520356146"/>
      <w:bookmarkStart w:id="302" w:name="_Toc216582806"/>
      <w:bookmarkStart w:id="303" w:name="_Toc6385"/>
      <w:bookmarkStart w:id="304" w:name="_Toc21566"/>
      <w:bookmarkStart w:id="305" w:name="_Toc22711"/>
      <w:bookmarkStart w:id="306" w:name="_Toc515647762"/>
      <w:bookmarkStart w:id="307" w:name="_Toc4365"/>
      <w:bookmarkStart w:id="308" w:name="_Toc11043"/>
      <w:bookmarkStart w:id="309" w:name="_Toc872"/>
      <w:r>
        <w:rPr>
          <w:rFonts w:hint="eastAsia" w:ascii="微软雅黑" w:hAnsi="微软雅黑" w:eastAsia="微软雅黑" w:cs="微软雅黑"/>
          <w:color w:val="auto"/>
          <w:sz w:val="28"/>
          <w:szCs w:val="28"/>
          <w:highlight w:val="none"/>
          <w:lang w:val="en-US" w:eastAsia="zh-CN"/>
        </w:rPr>
        <w:t>二   招标文件</w:t>
      </w:r>
      <w:bookmarkEnd w:id="301"/>
      <w:bookmarkEnd w:id="302"/>
      <w:bookmarkEnd w:id="303"/>
      <w:bookmarkEnd w:id="304"/>
      <w:bookmarkEnd w:id="305"/>
      <w:bookmarkEnd w:id="306"/>
      <w:bookmarkEnd w:id="307"/>
      <w:bookmarkEnd w:id="308"/>
      <w:bookmarkEnd w:id="309"/>
    </w:p>
    <w:p w14:paraId="4AD77C4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310" w:name="_Toc27186"/>
      <w:bookmarkStart w:id="311" w:name="_Toc13816"/>
      <w:bookmarkStart w:id="312" w:name="_Toc25743"/>
      <w:bookmarkStart w:id="313" w:name="_Toc31428"/>
      <w:bookmarkStart w:id="314" w:name="_Toc27237"/>
      <w:bookmarkStart w:id="315" w:name="_Toc6541"/>
      <w:bookmarkStart w:id="316" w:name="_Toc520356147"/>
      <w:bookmarkStart w:id="317" w:name="_Toc21841"/>
      <w:bookmarkStart w:id="318" w:name="_Toc30387"/>
      <w:bookmarkStart w:id="319" w:name="_Toc31526"/>
      <w:bookmarkStart w:id="320" w:name="_Toc26336"/>
      <w:bookmarkStart w:id="321" w:name="_Toc14530"/>
      <w:bookmarkStart w:id="322" w:name="_Toc21275"/>
      <w:bookmarkStart w:id="323" w:name="_Toc17097"/>
      <w:bookmarkStart w:id="324" w:name="_Toc2036"/>
      <w:bookmarkStart w:id="325" w:name="_Toc16320"/>
      <w:bookmarkStart w:id="326" w:name="_Toc1044"/>
      <w:bookmarkStart w:id="327" w:name="_Toc12831"/>
      <w:bookmarkStart w:id="328" w:name="_Toc27288"/>
      <w:bookmarkStart w:id="329" w:name="_Toc19323"/>
      <w:bookmarkStart w:id="330" w:name="_Toc25976"/>
      <w:bookmarkStart w:id="331" w:name="_Toc15568"/>
      <w:bookmarkStart w:id="332" w:name="_Toc202"/>
      <w:bookmarkStart w:id="333" w:name="_Toc7413"/>
      <w:bookmarkStart w:id="334" w:name="_Toc15203"/>
      <w:bookmarkStart w:id="335" w:name="_Toc25008"/>
      <w:bookmarkStart w:id="336" w:name="_Toc12596"/>
      <w:bookmarkStart w:id="337" w:name="_Toc11394"/>
      <w:bookmarkStart w:id="338" w:name="_Toc29550"/>
      <w:bookmarkStart w:id="339" w:name="_Toc5875"/>
      <w:bookmarkStart w:id="340" w:name="_Toc17343"/>
      <w:bookmarkStart w:id="341" w:name="_Toc21734"/>
      <w:bookmarkStart w:id="342" w:name="_Toc539"/>
      <w:bookmarkStart w:id="343" w:name="_Toc594"/>
      <w:bookmarkStart w:id="344" w:name="_Toc30280"/>
      <w:bookmarkStart w:id="345" w:name="_Toc25207"/>
      <w:bookmarkStart w:id="346" w:name="_Toc5479"/>
      <w:bookmarkStart w:id="347" w:name="_Toc13966"/>
      <w:bookmarkStart w:id="348" w:name="_Toc15153"/>
      <w:bookmarkStart w:id="349" w:name="_Toc31862"/>
      <w:bookmarkStart w:id="350" w:name="_Toc3341"/>
      <w:bookmarkStart w:id="351" w:name="_Toc7177"/>
      <w:bookmarkStart w:id="352" w:name="_Toc14447"/>
      <w:bookmarkStart w:id="353" w:name="_Toc3517"/>
      <w:bookmarkStart w:id="354" w:name="_Toc2876"/>
      <w:bookmarkStart w:id="355" w:name="_Toc4087"/>
      <w:bookmarkStart w:id="356" w:name="_Toc7251"/>
      <w:bookmarkStart w:id="357" w:name="_Toc515647763"/>
      <w:bookmarkStart w:id="358" w:name="_Toc6234"/>
      <w:bookmarkStart w:id="359" w:name="_Toc18714"/>
      <w:bookmarkStart w:id="360" w:name="_Toc14084"/>
      <w:bookmarkStart w:id="361" w:name="_Toc9966"/>
      <w:bookmarkStart w:id="362" w:name="_Toc10704"/>
      <w:bookmarkStart w:id="363" w:name="_Toc22056"/>
      <w:bookmarkStart w:id="364" w:name="_Toc555"/>
      <w:bookmarkStart w:id="365" w:name="_Toc24971"/>
      <w:bookmarkStart w:id="366" w:name="_Toc18213"/>
      <w:bookmarkStart w:id="367" w:name="_Toc15795"/>
      <w:bookmarkStart w:id="368" w:name="_Toc1265"/>
      <w:bookmarkStart w:id="369" w:name="_Toc19525"/>
      <w:bookmarkStart w:id="370" w:name="_Toc27066"/>
      <w:bookmarkStart w:id="371" w:name="_Toc25777"/>
      <w:bookmarkStart w:id="372" w:name="_Toc9411"/>
      <w:bookmarkStart w:id="373" w:name="_Toc8514"/>
      <w:bookmarkStart w:id="374" w:name="_Toc328"/>
      <w:r>
        <w:rPr>
          <w:rFonts w:hint="eastAsia" w:ascii="微软雅黑" w:hAnsi="微软雅黑" w:eastAsia="微软雅黑" w:cs="微软雅黑"/>
          <w:b/>
          <w:bCs/>
          <w:color w:val="auto"/>
          <w:kern w:val="2"/>
          <w:sz w:val="24"/>
          <w:szCs w:val="24"/>
          <w:highlight w:val="none"/>
          <w:u w:val="none"/>
          <w:lang w:val="en-US" w:eastAsia="zh-CN" w:bidi="ar-SA"/>
        </w:rPr>
        <w:t>5.招标文件构成</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DD6695F">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招标文件分为三册共7章，内容如下：</w:t>
      </w:r>
    </w:p>
    <w:p w14:paraId="3A0B1535">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第一册</w:t>
      </w:r>
    </w:p>
    <w:p w14:paraId="5E558EF9">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第1章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w:t>
      </w:r>
    </w:p>
    <w:p w14:paraId="1196E32B">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章  投标文件格式</w:t>
      </w:r>
    </w:p>
    <w:p w14:paraId="5CDFDF93">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第二册</w:t>
      </w:r>
    </w:p>
    <w:p w14:paraId="1EBC67F5">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章  投标邀请</w:t>
      </w:r>
    </w:p>
    <w:p w14:paraId="50E979E0">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xml:space="preserve">章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14:paraId="4CDB0A5E">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章  </w:t>
      </w:r>
      <w:r>
        <w:rPr>
          <w:rFonts w:hint="eastAsia" w:ascii="微软雅黑" w:hAnsi="微软雅黑" w:eastAsia="微软雅黑" w:cs="微软雅黑"/>
          <w:color w:val="auto"/>
          <w:sz w:val="24"/>
          <w:szCs w:val="24"/>
          <w:highlight w:val="none"/>
          <w:lang w:val="en-US" w:eastAsia="zh-CN"/>
        </w:rPr>
        <w:t>服务内容</w:t>
      </w:r>
      <w:r>
        <w:rPr>
          <w:rFonts w:hint="eastAsia" w:ascii="微软雅黑" w:hAnsi="微软雅黑" w:eastAsia="微软雅黑" w:cs="微软雅黑"/>
          <w:color w:val="auto"/>
          <w:sz w:val="24"/>
          <w:szCs w:val="24"/>
          <w:highlight w:val="none"/>
        </w:rPr>
        <w:t xml:space="preserve">及项目要求 </w:t>
      </w:r>
    </w:p>
    <w:p w14:paraId="0330D489">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章  评标方法和标准</w:t>
      </w:r>
    </w:p>
    <w:p w14:paraId="4A82497C">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第三册</w:t>
      </w:r>
    </w:p>
    <w:p w14:paraId="145118B9">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章  政府采购合同</w:t>
      </w:r>
    </w:p>
    <w:p w14:paraId="099BB16E">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如本文件的前后内容不一致，以最后描述为准。</w:t>
      </w:r>
    </w:p>
    <w:p w14:paraId="7861C42A">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5.3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应认真阅读招标文件所有的事项、格式、条款和技术规范等。如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784D35E3">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375" w:name="_Toc515904805"/>
      <w:bookmarkStart w:id="376" w:name="_Toc520356148"/>
      <w:bookmarkStart w:id="377" w:name="_Toc9646"/>
      <w:bookmarkStart w:id="378" w:name="_Toc25187"/>
      <w:bookmarkStart w:id="379" w:name="_Toc12996"/>
      <w:bookmarkStart w:id="380" w:name="_Toc19551"/>
      <w:bookmarkStart w:id="381" w:name="_Toc20556"/>
      <w:bookmarkStart w:id="382" w:name="_Toc18610"/>
      <w:bookmarkStart w:id="383" w:name="_Toc31580"/>
      <w:bookmarkStart w:id="384" w:name="_Toc2224"/>
      <w:bookmarkStart w:id="385" w:name="_Toc8590"/>
      <w:bookmarkStart w:id="386" w:name="_Toc28731"/>
      <w:bookmarkStart w:id="387" w:name="_Toc20604"/>
      <w:bookmarkStart w:id="388" w:name="_Toc22319"/>
      <w:bookmarkStart w:id="389" w:name="_Toc7764"/>
      <w:bookmarkStart w:id="390" w:name="_Toc9195"/>
      <w:bookmarkStart w:id="391" w:name="_Toc4559"/>
      <w:bookmarkStart w:id="392" w:name="_Toc12813"/>
      <w:bookmarkStart w:id="393" w:name="_Toc27659"/>
      <w:bookmarkStart w:id="394" w:name="_Toc27465"/>
      <w:bookmarkStart w:id="395" w:name="_Toc9232"/>
      <w:bookmarkStart w:id="396" w:name="_Toc24459"/>
      <w:bookmarkStart w:id="397" w:name="_Toc24976"/>
      <w:bookmarkStart w:id="398" w:name="_Toc25615"/>
      <w:bookmarkStart w:id="399" w:name="_Toc9124"/>
      <w:bookmarkStart w:id="400" w:name="_Toc15721"/>
      <w:bookmarkStart w:id="401" w:name="_Toc32213"/>
      <w:bookmarkStart w:id="402" w:name="_Toc26044"/>
      <w:bookmarkStart w:id="403" w:name="_Toc25866"/>
      <w:bookmarkStart w:id="404" w:name="_Toc1117"/>
      <w:bookmarkStart w:id="405" w:name="_Toc13020"/>
      <w:bookmarkStart w:id="406" w:name="_Toc25436"/>
      <w:bookmarkStart w:id="407" w:name="_Toc23724"/>
      <w:bookmarkStart w:id="408" w:name="_Toc4375"/>
      <w:bookmarkStart w:id="409" w:name="_Toc18881"/>
      <w:bookmarkStart w:id="410" w:name="_Toc29944"/>
      <w:bookmarkStart w:id="411" w:name="_Toc23221"/>
      <w:bookmarkStart w:id="412" w:name="_Toc24822"/>
      <w:bookmarkStart w:id="413" w:name="_Toc3905"/>
      <w:bookmarkStart w:id="414" w:name="_Toc25668"/>
      <w:bookmarkStart w:id="415" w:name="_Toc14516"/>
      <w:bookmarkStart w:id="416" w:name="_Toc5765"/>
      <w:bookmarkStart w:id="417" w:name="_Toc3322"/>
      <w:bookmarkStart w:id="418" w:name="_Toc30185"/>
      <w:bookmarkStart w:id="419" w:name="_Toc15818"/>
      <w:bookmarkStart w:id="420" w:name="_Toc20825"/>
      <w:bookmarkStart w:id="421" w:name="_Toc26186"/>
      <w:bookmarkStart w:id="422" w:name="_Toc13183"/>
      <w:bookmarkStart w:id="423" w:name="_Toc15327"/>
      <w:bookmarkStart w:id="424" w:name="_Toc25682"/>
      <w:bookmarkStart w:id="425" w:name="_Toc10034"/>
      <w:bookmarkStart w:id="426" w:name="_Toc20202"/>
      <w:bookmarkStart w:id="427" w:name="_Toc3246"/>
      <w:bookmarkStart w:id="428" w:name="_Toc24647"/>
      <w:bookmarkStart w:id="429" w:name="_Toc20995"/>
      <w:bookmarkStart w:id="430" w:name="_Toc6332"/>
      <w:bookmarkStart w:id="431" w:name="_Toc21165"/>
      <w:bookmarkStart w:id="432" w:name="_Toc19174"/>
      <w:bookmarkStart w:id="433" w:name="_Toc21098"/>
      <w:bookmarkStart w:id="434" w:name="_Toc19275"/>
      <w:bookmarkStart w:id="435" w:name="_Toc31837"/>
      <w:bookmarkStart w:id="436" w:name="_Toc10213"/>
      <w:bookmarkStart w:id="437" w:name="_Toc29804"/>
      <w:bookmarkStart w:id="438" w:name="_Toc31486"/>
      <w:bookmarkStart w:id="439" w:name="_Toc5991"/>
      <w:r>
        <w:rPr>
          <w:rFonts w:hint="eastAsia" w:ascii="微软雅黑" w:hAnsi="微软雅黑" w:eastAsia="微软雅黑" w:cs="微软雅黑"/>
          <w:b/>
          <w:bCs/>
          <w:color w:val="auto"/>
          <w:kern w:val="2"/>
          <w:sz w:val="24"/>
          <w:szCs w:val="24"/>
          <w:highlight w:val="none"/>
          <w:u w:val="none"/>
          <w:lang w:val="en-US" w:eastAsia="zh-CN" w:bidi="ar-SA"/>
        </w:rPr>
        <w:t>6.招标文件的澄清</w:t>
      </w:r>
      <w:bookmarkEnd w:id="375"/>
      <w:bookmarkEnd w:id="376"/>
      <w:r>
        <w:rPr>
          <w:rFonts w:hint="eastAsia" w:ascii="微软雅黑" w:hAnsi="微软雅黑" w:eastAsia="微软雅黑" w:cs="微软雅黑"/>
          <w:b/>
          <w:bCs/>
          <w:color w:val="auto"/>
          <w:kern w:val="2"/>
          <w:sz w:val="24"/>
          <w:szCs w:val="24"/>
          <w:highlight w:val="none"/>
          <w:u w:val="none"/>
          <w:lang w:val="en-US" w:eastAsia="zh-CN" w:bidi="ar-SA"/>
        </w:rPr>
        <w:t>与修改</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8E84168">
      <w:pPr>
        <w:pStyle w:val="7"/>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    为了保证对招标文件的澄清和修改满足法律的时限要求，任何要求对招标文件进行澄清的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，均应在投标截止期十五日前，以书面形式将澄清要求通知采购人或采购代理机构。</w:t>
      </w:r>
    </w:p>
    <w:p w14:paraId="00614AAD">
      <w:pPr>
        <w:pStyle w:val="7"/>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szCs w:val="24"/>
          <w:highlight w:val="none"/>
        </w:rPr>
      </w:pPr>
      <w:bookmarkStart w:id="440" w:name="_Toc515904806"/>
      <w:bookmarkStart w:id="441" w:name="_Ref467378678"/>
      <w:bookmarkStart w:id="442" w:name="_Toc520356149"/>
      <w:r>
        <w:rPr>
          <w:rFonts w:hint="eastAsia" w:ascii="微软雅黑" w:hAnsi="微软雅黑" w:eastAsia="微软雅黑" w:cs="微软雅黑"/>
          <w:color w:val="auto"/>
          <w:sz w:val="24"/>
          <w:szCs w:val="24"/>
          <w:highlight w:val="none"/>
        </w:rPr>
        <w:t>6.2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采购人可主动地或在解答</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6F103DE6">
      <w:pPr>
        <w:pStyle w:val="7"/>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澄清或者修改的内容可能影响投标文件编制的，采购代理机构将以书面形式通知所有购买招标文件的潜在</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，并对其具有约束力。</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在收到上述通知后，应及时向采购代理机构回函确认。</w:t>
      </w:r>
    </w:p>
    <w:bookmarkEnd w:id="440"/>
    <w:bookmarkEnd w:id="441"/>
    <w:bookmarkEnd w:id="442"/>
    <w:p w14:paraId="5CA746A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443" w:name="_Toc17485"/>
      <w:bookmarkStart w:id="444" w:name="_Toc24201"/>
      <w:bookmarkStart w:id="445" w:name="_Toc9080"/>
      <w:bookmarkStart w:id="446" w:name="_Toc10823"/>
      <w:bookmarkStart w:id="447" w:name="_Toc19513"/>
      <w:bookmarkStart w:id="448" w:name="_Toc7468"/>
      <w:bookmarkStart w:id="449" w:name="_Toc9516"/>
      <w:bookmarkStart w:id="450" w:name="_Toc8333"/>
      <w:bookmarkStart w:id="451" w:name="_Toc14935"/>
      <w:bookmarkStart w:id="452" w:name="_Toc19424"/>
      <w:bookmarkStart w:id="453" w:name="_Toc21235"/>
      <w:bookmarkStart w:id="454" w:name="_Toc27422"/>
      <w:bookmarkStart w:id="455" w:name="_Toc20504"/>
      <w:bookmarkStart w:id="456" w:name="_Toc32529"/>
      <w:bookmarkStart w:id="457" w:name="_Toc30959"/>
      <w:bookmarkStart w:id="458" w:name="_Toc32714"/>
      <w:bookmarkStart w:id="459" w:name="_Toc32098"/>
      <w:bookmarkStart w:id="460" w:name="_Toc11082"/>
      <w:bookmarkStart w:id="461" w:name="_Toc8800"/>
      <w:bookmarkStart w:id="462" w:name="_Toc3544"/>
      <w:bookmarkStart w:id="463" w:name="_Toc22035"/>
      <w:bookmarkStart w:id="464" w:name="_Toc6199"/>
      <w:bookmarkStart w:id="465" w:name="_Toc21187"/>
      <w:bookmarkStart w:id="466" w:name="_Toc20069"/>
      <w:bookmarkStart w:id="467" w:name="_Toc20757"/>
      <w:bookmarkStart w:id="468" w:name="_Toc3862"/>
      <w:bookmarkStart w:id="469" w:name="_Toc4110"/>
      <w:bookmarkStart w:id="470" w:name="_Toc10906"/>
      <w:bookmarkStart w:id="471" w:name="_Toc23063"/>
      <w:bookmarkStart w:id="472" w:name="_Toc18450"/>
      <w:bookmarkStart w:id="473" w:name="_Toc14901"/>
      <w:bookmarkStart w:id="474" w:name="_Toc4560"/>
      <w:bookmarkStart w:id="475" w:name="_Toc20376"/>
      <w:bookmarkStart w:id="476" w:name="_Toc22107"/>
      <w:bookmarkStart w:id="477" w:name="_Toc27811"/>
      <w:bookmarkStart w:id="478" w:name="_Toc18300"/>
      <w:bookmarkStart w:id="479" w:name="_Toc6936"/>
      <w:bookmarkStart w:id="480" w:name="_Toc1275"/>
      <w:bookmarkStart w:id="481" w:name="_Toc31419"/>
      <w:bookmarkStart w:id="482" w:name="_Toc14645"/>
      <w:bookmarkStart w:id="483" w:name="_Toc24028"/>
      <w:bookmarkStart w:id="484" w:name="_Toc30846"/>
      <w:bookmarkStart w:id="485" w:name="_Toc9244"/>
      <w:bookmarkStart w:id="486" w:name="_Toc1073"/>
      <w:bookmarkStart w:id="487" w:name="_Toc32761"/>
      <w:bookmarkStart w:id="488" w:name="_Toc15695"/>
      <w:bookmarkStart w:id="489" w:name="_Toc30435"/>
      <w:bookmarkStart w:id="490" w:name="_Toc29411"/>
      <w:bookmarkStart w:id="491" w:name="_Toc517"/>
      <w:bookmarkStart w:id="492" w:name="_Toc23583"/>
      <w:bookmarkStart w:id="493" w:name="_Toc72"/>
      <w:bookmarkStart w:id="494" w:name="_Toc14569"/>
      <w:bookmarkStart w:id="495" w:name="_Toc7919"/>
      <w:bookmarkStart w:id="496" w:name="_Toc25635"/>
      <w:bookmarkStart w:id="497" w:name="_Toc28095"/>
      <w:bookmarkStart w:id="498" w:name="_Toc5103"/>
      <w:bookmarkStart w:id="499" w:name="_Toc28126"/>
      <w:bookmarkStart w:id="500" w:name="_Toc20273"/>
      <w:bookmarkStart w:id="501" w:name="_Toc25578"/>
      <w:bookmarkStart w:id="502" w:name="_Toc19679"/>
      <w:bookmarkStart w:id="503" w:name="_Toc978"/>
      <w:bookmarkStart w:id="504" w:name="_Toc16761"/>
      <w:bookmarkStart w:id="505" w:name="_Toc9691"/>
      <w:r>
        <w:rPr>
          <w:rFonts w:hint="eastAsia" w:ascii="微软雅黑" w:hAnsi="微软雅黑" w:eastAsia="微软雅黑" w:cs="微软雅黑"/>
          <w:b/>
          <w:bCs/>
          <w:color w:val="auto"/>
          <w:kern w:val="2"/>
          <w:sz w:val="24"/>
          <w:szCs w:val="24"/>
          <w:highlight w:val="none"/>
          <w:u w:val="none"/>
          <w:lang w:val="en-US" w:eastAsia="zh-CN" w:bidi="ar-SA"/>
        </w:rPr>
        <w:t>7.投标截止时间的顺延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749B3BF7">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为使</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准备投标时有足够的时间对招标文件的澄清或者修改部分进行研究，采购人将依法决定是否顺延投标截止时间。</w:t>
      </w:r>
      <w:bookmarkStart w:id="506" w:name="_Toc516367020"/>
      <w:bookmarkStart w:id="507" w:name="_Toc7636"/>
      <w:bookmarkStart w:id="508" w:name="_Toc216582807"/>
      <w:bookmarkStart w:id="509" w:name="_Toc520356150"/>
      <w:bookmarkStart w:id="510" w:name="_Toc515647766"/>
      <w:bookmarkStart w:id="511" w:name="_Toc30808"/>
    </w:p>
    <w:p w14:paraId="43D158B0">
      <w:pPr>
        <w:pageBreakBefore w:val="0"/>
        <w:widowControl w:val="0"/>
        <w:tabs>
          <w:tab w:val="left" w:pos="900"/>
        </w:tabs>
        <w:kinsoku/>
        <w:wordWrap/>
        <w:overflowPunct/>
        <w:topLinePunct w:val="0"/>
        <w:bidi w:val="0"/>
        <w:spacing w:line="360" w:lineRule="exact"/>
        <w:ind w:left="0" w:leftChars="0" w:hanging="540"/>
        <w:textAlignment w:val="auto"/>
        <w:rPr>
          <w:rFonts w:hint="eastAsia" w:ascii="微软雅黑" w:hAnsi="微软雅黑" w:eastAsia="微软雅黑" w:cs="微软雅黑"/>
          <w:color w:val="auto"/>
          <w:sz w:val="24"/>
          <w:szCs w:val="24"/>
          <w:highlight w:val="none"/>
        </w:rPr>
      </w:pPr>
    </w:p>
    <w:p w14:paraId="3250189B">
      <w:pPr>
        <w:pStyle w:val="2"/>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512" w:name="_Toc25166"/>
      <w:bookmarkStart w:id="513" w:name="_Toc3507"/>
      <w:bookmarkStart w:id="514" w:name="_Toc29522"/>
      <w:bookmarkStart w:id="515" w:name="_Toc26987"/>
      <w:r>
        <w:rPr>
          <w:rFonts w:hint="eastAsia" w:ascii="微软雅黑" w:hAnsi="微软雅黑" w:eastAsia="微软雅黑" w:cs="微软雅黑"/>
          <w:color w:val="auto"/>
          <w:sz w:val="28"/>
          <w:szCs w:val="28"/>
          <w:highlight w:val="none"/>
          <w:lang w:val="en-US" w:eastAsia="zh-CN"/>
        </w:rPr>
        <w:t>三   投标文件</w:t>
      </w:r>
      <w:bookmarkEnd w:id="506"/>
      <w:r>
        <w:rPr>
          <w:rFonts w:hint="eastAsia" w:ascii="微软雅黑" w:hAnsi="微软雅黑" w:eastAsia="微软雅黑" w:cs="微软雅黑"/>
          <w:color w:val="auto"/>
          <w:sz w:val="28"/>
          <w:szCs w:val="28"/>
          <w:highlight w:val="none"/>
          <w:lang w:val="en-US" w:eastAsia="zh-CN"/>
        </w:rPr>
        <w:t>的编制</w:t>
      </w:r>
      <w:bookmarkEnd w:id="507"/>
      <w:bookmarkEnd w:id="508"/>
      <w:bookmarkEnd w:id="509"/>
      <w:bookmarkEnd w:id="510"/>
      <w:bookmarkEnd w:id="511"/>
      <w:bookmarkEnd w:id="512"/>
      <w:bookmarkEnd w:id="513"/>
      <w:bookmarkEnd w:id="514"/>
      <w:bookmarkEnd w:id="515"/>
    </w:p>
    <w:p w14:paraId="4FC0B004">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516" w:name="_Toc18295"/>
      <w:bookmarkStart w:id="517" w:name="_Toc20926"/>
      <w:bookmarkStart w:id="518" w:name="_Toc2539"/>
      <w:bookmarkStart w:id="519" w:name="_Toc30652"/>
      <w:bookmarkStart w:id="520" w:name="_Toc19317"/>
      <w:bookmarkStart w:id="521" w:name="_Toc13375"/>
      <w:bookmarkStart w:id="522" w:name="_Toc7786"/>
      <w:bookmarkStart w:id="523" w:name="_Toc9725"/>
      <w:bookmarkStart w:id="524" w:name="_Toc520356151"/>
      <w:bookmarkStart w:id="525" w:name="_Toc515647767"/>
      <w:bookmarkStart w:id="526" w:name="_Toc804"/>
      <w:bookmarkStart w:id="527" w:name="_Toc14313"/>
      <w:bookmarkStart w:id="528" w:name="_Toc7120"/>
      <w:bookmarkStart w:id="529" w:name="_Toc27497"/>
      <w:bookmarkStart w:id="530" w:name="_Toc28980"/>
      <w:bookmarkStart w:id="531" w:name="_Toc15642"/>
      <w:bookmarkStart w:id="532" w:name="_Toc10810"/>
      <w:bookmarkStart w:id="533" w:name="_Toc10748"/>
      <w:bookmarkStart w:id="534" w:name="_Toc10277"/>
      <w:bookmarkStart w:id="535" w:name="_Toc19609"/>
      <w:bookmarkStart w:id="536" w:name="_Toc2129"/>
      <w:bookmarkStart w:id="537" w:name="_Toc13856"/>
      <w:bookmarkStart w:id="538" w:name="_Toc1416"/>
      <w:bookmarkStart w:id="539" w:name="_Toc13994"/>
      <w:bookmarkStart w:id="540" w:name="_Toc14708"/>
      <w:bookmarkStart w:id="541" w:name="_Toc10861"/>
      <w:bookmarkStart w:id="542" w:name="_Toc3553"/>
      <w:bookmarkStart w:id="543" w:name="_Toc20871"/>
      <w:bookmarkStart w:id="544" w:name="_Toc6939"/>
      <w:bookmarkStart w:id="545" w:name="_Toc2826"/>
      <w:bookmarkStart w:id="546" w:name="_Toc3668"/>
      <w:bookmarkStart w:id="547" w:name="_Toc10679"/>
      <w:bookmarkStart w:id="548" w:name="_Toc3062"/>
      <w:bookmarkStart w:id="549" w:name="_Toc27504"/>
      <w:bookmarkStart w:id="550" w:name="_Toc4573"/>
      <w:bookmarkStart w:id="551" w:name="_Toc20486"/>
      <w:bookmarkStart w:id="552" w:name="_Toc14086"/>
      <w:bookmarkStart w:id="553" w:name="_Toc251"/>
      <w:bookmarkStart w:id="554" w:name="_Toc7224"/>
      <w:bookmarkStart w:id="555" w:name="_Toc20573"/>
      <w:bookmarkStart w:id="556" w:name="_Toc51"/>
      <w:bookmarkStart w:id="557" w:name="_Toc28703"/>
      <w:bookmarkStart w:id="558" w:name="_Toc14466"/>
      <w:bookmarkStart w:id="559" w:name="_Toc23956"/>
      <w:bookmarkStart w:id="560" w:name="_Toc21289"/>
      <w:bookmarkStart w:id="561" w:name="_Toc14739"/>
      <w:bookmarkStart w:id="562" w:name="_Toc9383"/>
      <w:bookmarkStart w:id="563" w:name="_Toc10118"/>
      <w:bookmarkStart w:id="564" w:name="_Toc2420"/>
      <w:bookmarkStart w:id="565" w:name="_Toc16526"/>
      <w:bookmarkStart w:id="566" w:name="_Toc4200"/>
      <w:bookmarkStart w:id="567" w:name="_Toc30485"/>
      <w:bookmarkStart w:id="568" w:name="_Toc5675"/>
      <w:bookmarkStart w:id="569" w:name="_Toc32487"/>
      <w:bookmarkStart w:id="570" w:name="_Toc9778"/>
      <w:bookmarkStart w:id="571" w:name="_Toc5583"/>
      <w:bookmarkStart w:id="572" w:name="_Toc27273"/>
      <w:bookmarkStart w:id="573" w:name="_Toc655"/>
      <w:bookmarkStart w:id="574" w:name="_Toc15038"/>
      <w:bookmarkStart w:id="575" w:name="_Toc29528"/>
      <w:bookmarkStart w:id="576" w:name="_Toc516367021"/>
      <w:bookmarkStart w:id="577" w:name="_Toc5025"/>
      <w:bookmarkStart w:id="578" w:name="_Toc1632"/>
      <w:bookmarkStart w:id="579" w:name="_Toc14051"/>
      <w:bookmarkStart w:id="580" w:name="_Toc23855"/>
      <w:bookmarkStart w:id="581" w:name="_Toc29965"/>
      <w:r>
        <w:rPr>
          <w:rFonts w:hint="eastAsia" w:ascii="微软雅黑" w:hAnsi="微软雅黑" w:eastAsia="微软雅黑" w:cs="微软雅黑"/>
          <w:b/>
          <w:bCs/>
          <w:color w:val="auto"/>
          <w:kern w:val="2"/>
          <w:sz w:val="24"/>
          <w:szCs w:val="24"/>
          <w:highlight w:val="none"/>
          <w:u w:val="none"/>
          <w:lang w:val="en-US" w:eastAsia="zh-CN" w:bidi="ar-SA"/>
        </w:rPr>
        <w:t>8.投标范围及投标文件中标准和计量单位的使用</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85F0234">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项目有分</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可对招标文件其中某一个或几个</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服务进行投标，除非在</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中另有规定。</w:t>
      </w:r>
    </w:p>
    <w:p w14:paraId="1CC1379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8.2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应当对所投</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招标文件中“服务内容及项目要求”所列的所有内容进行投标，如仅响应某一</w:t>
      </w:r>
      <w:r>
        <w:rPr>
          <w:rFonts w:hint="eastAsia" w:ascii="微软雅黑" w:hAnsi="微软雅黑" w:eastAsia="微软雅黑" w:cs="微软雅黑"/>
          <w:color w:val="auto"/>
          <w:sz w:val="24"/>
          <w:szCs w:val="24"/>
          <w:highlight w:val="none"/>
          <w:lang w:val="en-US" w:eastAsia="zh-CN"/>
        </w:rPr>
        <w:t>标项</w:t>
      </w:r>
      <w:r>
        <w:rPr>
          <w:rFonts w:hint="eastAsia" w:ascii="微软雅黑" w:hAnsi="微软雅黑" w:eastAsia="微软雅黑" w:cs="微软雅黑"/>
          <w:color w:val="auto"/>
          <w:sz w:val="24"/>
          <w:szCs w:val="24"/>
          <w:highlight w:val="none"/>
        </w:rPr>
        <w:t>中的部分内容，其该</w:t>
      </w:r>
      <w:r>
        <w:rPr>
          <w:rFonts w:hint="eastAsia" w:ascii="微软雅黑" w:hAnsi="微软雅黑" w:eastAsia="微软雅黑" w:cs="微软雅黑"/>
          <w:color w:val="auto"/>
          <w:sz w:val="24"/>
          <w:szCs w:val="24"/>
          <w:highlight w:val="none"/>
          <w:lang w:val="en-US" w:eastAsia="zh-CN"/>
        </w:rPr>
        <w:t>标项</w:t>
      </w:r>
      <w:r>
        <w:rPr>
          <w:rFonts w:hint="eastAsia" w:ascii="微软雅黑" w:hAnsi="微软雅黑" w:eastAsia="微软雅黑" w:cs="微软雅黑"/>
          <w:color w:val="auto"/>
          <w:sz w:val="24"/>
          <w:szCs w:val="24"/>
          <w:highlight w:val="none"/>
        </w:rPr>
        <w:t>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5AB8880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8.3     除招标文件中有特殊要求外，投标文件中所使用的计量单位，应采用中华人民共和国法定计量单位。</w:t>
      </w:r>
    </w:p>
    <w:p w14:paraId="4CAF3294">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582" w:name="_Ref467306195"/>
      <w:bookmarkStart w:id="583" w:name="_Toc516367022"/>
      <w:bookmarkStart w:id="584" w:name="_Ref467306676"/>
      <w:bookmarkStart w:id="585" w:name="_Toc10592"/>
      <w:bookmarkStart w:id="586" w:name="_Toc10364"/>
      <w:bookmarkStart w:id="587" w:name="_Toc8710"/>
      <w:bookmarkStart w:id="588" w:name="_Toc515647768"/>
      <w:bookmarkStart w:id="589" w:name="_Toc23680"/>
      <w:bookmarkStart w:id="590" w:name="_Toc16016"/>
      <w:bookmarkStart w:id="591" w:name="_Toc28039"/>
      <w:bookmarkStart w:id="592" w:name="_Toc7578"/>
      <w:bookmarkStart w:id="593" w:name="_Toc32355"/>
      <w:bookmarkStart w:id="594" w:name="_Toc31658"/>
      <w:bookmarkStart w:id="595" w:name="_Toc16534"/>
      <w:bookmarkStart w:id="596" w:name="_Toc7972"/>
      <w:bookmarkStart w:id="597" w:name="_Toc6152"/>
      <w:bookmarkStart w:id="598" w:name="_Toc22621"/>
      <w:bookmarkStart w:id="599" w:name="_Toc23291"/>
      <w:bookmarkStart w:id="600" w:name="_Toc23658"/>
      <w:bookmarkStart w:id="601" w:name="_Toc30196"/>
      <w:bookmarkStart w:id="602" w:name="_Toc20101"/>
      <w:bookmarkStart w:id="603" w:name="_Toc2700"/>
      <w:bookmarkStart w:id="604" w:name="_Toc13462"/>
      <w:bookmarkStart w:id="605" w:name="_Toc18739"/>
      <w:bookmarkStart w:id="606" w:name="_Toc30788"/>
      <w:bookmarkStart w:id="607" w:name="_Toc27535"/>
      <w:bookmarkStart w:id="608" w:name="_Toc16650"/>
      <w:bookmarkStart w:id="609" w:name="_Toc22037"/>
      <w:bookmarkStart w:id="610" w:name="_Toc3144"/>
      <w:bookmarkStart w:id="611" w:name="_Toc24357"/>
      <w:bookmarkStart w:id="612" w:name="_Toc13425"/>
      <w:bookmarkStart w:id="613" w:name="_Toc3591"/>
      <w:bookmarkStart w:id="614" w:name="_Toc8426"/>
      <w:bookmarkStart w:id="615" w:name="_Toc18673"/>
      <w:bookmarkStart w:id="616" w:name="_Toc9101"/>
      <w:bookmarkStart w:id="617" w:name="_Toc15857"/>
      <w:bookmarkStart w:id="618" w:name="_Toc4770"/>
      <w:bookmarkStart w:id="619" w:name="_Toc22897"/>
      <w:bookmarkStart w:id="620" w:name="_Toc21512"/>
      <w:bookmarkStart w:id="621" w:name="_Toc2609"/>
      <w:bookmarkStart w:id="622" w:name="_Toc23093"/>
      <w:bookmarkStart w:id="623" w:name="_Toc258"/>
      <w:bookmarkStart w:id="624" w:name="_Toc12220"/>
      <w:bookmarkStart w:id="625" w:name="_Toc32392"/>
      <w:bookmarkStart w:id="626" w:name="_Toc28307"/>
      <w:bookmarkStart w:id="627" w:name="_Toc15248"/>
      <w:bookmarkStart w:id="628" w:name="_Toc22958"/>
      <w:bookmarkStart w:id="629" w:name="_Toc22417"/>
      <w:bookmarkStart w:id="630" w:name="_Toc28912"/>
      <w:bookmarkStart w:id="631" w:name="_Toc11888"/>
      <w:bookmarkStart w:id="632" w:name="_Toc25199"/>
      <w:bookmarkStart w:id="633" w:name="_Toc18125"/>
      <w:bookmarkStart w:id="634" w:name="_Toc10992"/>
      <w:bookmarkStart w:id="635" w:name="_Toc23640"/>
      <w:bookmarkStart w:id="636" w:name="_Toc8927"/>
      <w:bookmarkStart w:id="637" w:name="_Toc11847"/>
      <w:bookmarkStart w:id="638" w:name="_Toc25596"/>
      <w:bookmarkStart w:id="639" w:name="_Toc15740"/>
      <w:bookmarkStart w:id="640" w:name="_Toc520356152"/>
      <w:bookmarkStart w:id="641" w:name="_Toc29634"/>
      <w:bookmarkStart w:id="642" w:name="_Toc23749"/>
      <w:bookmarkStart w:id="643" w:name="_Toc9593"/>
      <w:bookmarkStart w:id="644" w:name="_Toc22779"/>
      <w:bookmarkStart w:id="645" w:name="_Toc9418"/>
      <w:bookmarkStart w:id="646" w:name="_Toc12343"/>
      <w:bookmarkStart w:id="647" w:name="_Toc24338"/>
      <w:bookmarkStart w:id="648" w:name="_Toc32288"/>
      <w:bookmarkStart w:id="649" w:name="_Toc21335"/>
      <w:r>
        <w:rPr>
          <w:rFonts w:hint="eastAsia" w:ascii="微软雅黑" w:hAnsi="微软雅黑" w:eastAsia="微软雅黑" w:cs="微软雅黑"/>
          <w:b/>
          <w:bCs/>
          <w:color w:val="auto"/>
          <w:kern w:val="2"/>
          <w:sz w:val="24"/>
          <w:szCs w:val="24"/>
          <w:highlight w:val="none"/>
          <w:u w:val="none"/>
          <w:lang w:val="en-US" w:eastAsia="zh-CN" w:bidi="ar-SA"/>
        </w:rPr>
        <w:t>9.投标文件</w:t>
      </w:r>
      <w:bookmarkEnd w:id="582"/>
      <w:bookmarkEnd w:id="583"/>
      <w:bookmarkEnd w:id="584"/>
      <w:r>
        <w:rPr>
          <w:rFonts w:hint="eastAsia" w:ascii="微软雅黑" w:hAnsi="微软雅黑" w:eastAsia="微软雅黑" w:cs="微软雅黑"/>
          <w:b/>
          <w:bCs/>
          <w:color w:val="auto"/>
          <w:kern w:val="2"/>
          <w:sz w:val="24"/>
          <w:szCs w:val="24"/>
          <w:highlight w:val="none"/>
          <w:u w:val="none"/>
          <w:lang w:val="en-US" w:eastAsia="zh-CN" w:bidi="ar-SA"/>
        </w:rPr>
        <w:t>构成</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7A897409">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szCs w:val="24"/>
          <w:highlight w:val="none"/>
          <w:u w:val="single"/>
        </w:rPr>
      </w:pPr>
      <w:bookmarkStart w:id="650" w:name="_Ref467052588"/>
      <w:r>
        <w:rPr>
          <w:rFonts w:hint="eastAsia" w:ascii="微软雅黑" w:hAnsi="微软雅黑" w:eastAsia="微软雅黑" w:cs="微软雅黑"/>
          <w:color w:val="auto"/>
          <w:sz w:val="24"/>
          <w:szCs w:val="24"/>
          <w:highlight w:val="none"/>
        </w:rPr>
        <w:t xml:space="preserve">9.1    </w:t>
      </w:r>
      <w:r>
        <w:rPr>
          <w:rFonts w:hint="eastAsia" w:ascii="微软雅黑" w:hAnsi="微软雅黑" w:eastAsia="微软雅黑" w:cs="微软雅黑"/>
          <w:b/>
          <w:bCs/>
          <w:color w:val="auto"/>
          <w:sz w:val="24"/>
          <w:szCs w:val="24"/>
          <w:highlight w:val="none"/>
          <w:u w:val="single"/>
          <w:lang w:eastAsia="zh-CN"/>
        </w:rPr>
        <w:t>供应商应完整地按招标文件提供的投标文件格式及要求编写投标文件，根据平台关联点上传对应佐证资料</w:t>
      </w:r>
      <w:r>
        <w:rPr>
          <w:rFonts w:hint="eastAsia" w:ascii="微软雅黑" w:hAnsi="微软雅黑" w:eastAsia="微软雅黑" w:cs="微软雅黑"/>
          <w:b/>
          <w:bCs/>
          <w:color w:val="auto"/>
          <w:sz w:val="24"/>
          <w:szCs w:val="24"/>
          <w:highlight w:val="none"/>
          <w:u w:val="single"/>
          <w:lang w:val="en-US" w:eastAsia="zh-CN"/>
        </w:rPr>
        <w:t>,</w:t>
      </w:r>
      <w:r>
        <w:rPr>
          <w:rFonts w:hint="eastAsia" w:ascii="微软雅黑" w:hAnsi="微软雅黑" w:eastAsia="微软雅黑" w:cs="微软雅黑"/>
          <w:b/>
          <w:bCs/>
          <w:color w:val="auto"/>
          <w:sz w:val="24"/>
          <w:szCs w:val="24"/>
          <w:highlight w:val="none"/>
          <w:u w:val="single"/>
          <w:lang w:eastAsia="zh-CN"/>
        </w:rPr>
        <w:t>供应商应承担上传失误产生的任何后果。</w:t>
      </w:r>
    </w:p>
    <w:p w14:paraId="72DF3C8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    上述文件应按照招标文件规定的格式填写、签署和盖章。</w:t>
      </w:r>
      <w:bookmarkEnd w:id="650"/>
    </w:p>
    <w:p w14:paraId="2F7EC6B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651" w:name="_Toc2056"/>
      <w:bookmarkStart w:id="652" w:name="_Toc10584"/>
      <w:bookmarkStart w:id="653" w:name="_Toc515647769"/>
      <w:bookmarkStart w:id="654" w:name="_Toc520356153"/>
      <w:bookmarkStart w:id="655" w:name="_Toc15151"/>
      <w:bookmarkStart w:id="656" w:name="_Toc10379"/>
      <w:bookmarkStart w:id="657" w:name="_Toc516367023"/>
      <w:bookmarkStart w:id="658" w:name="_Toc4601"/>
      <w:bookmarkStart w:id="659" w:name="_Toc17715"/>
      <w:bookmarkStart w:id="660" w:name="_Toc14035"/>
      <w:bookmarkStart w:id="661" w:name="_Toc30354"/>
      <w:bookmarkStart w:id="662" w:name="_Toc12338"/>
      <w:bookmarkStart w:id="663" w:name="_Toc17150"/>
      <w:bookmarkStart w:id="664" w:name="_Toc12121"/>
      <w:bookmarkStart w:id="665" w:name="_Toc6978"/>
      <w:bookmarkStart w:id="666" w:name="_Toc22195"/>
      <w:bookmarkStart w:id="667" w:name="_Toc15834"/>
      <w:bookmarkStart w:id="668" w:name="_Toc17413"/>
      <w:bookmarkStart w:id="669" w:name="_Toc28408"/>
      <w:bookmarkStart w:id="670" w:name="_Toc26648"/>
      <w:bookmarkStart w:id="671" w:name="_Toc34"/>
      <w:bookmarkStart w:id="672" w:name="_Toc19876"/>
      <w:bookmarkStart w:id="673" w:name="_Toc436"/>
      <w:bookmarkStart w:id="674" w:name="_Toc18045"/>
      <w:bookmarkStart w:id="675" w:name="_Toc31364"/>
      <w:bookmarkStart w:id="676" w:name="_Toc16271"/>
      <w:bookmarkStart w:id="677" w:name="_Toc11704"/>
      <w:bookmarkStart w:id="678" w:name="_Toc25894"/>
      <w:bookmarkStart w:id="679" w:name="_Toc11735"/>
      <w:bookmarkStart w:id="680" w:name="_Toc11889"/>
      <w:bookmarkStart w:id="681" w:name="_Toc19129"/>
      <w:bookmarkStart w:id="682" w:name="_Toc31348"/>
      <w:bookmarkStart w:id="683" w:name="_Toc11022"/>
      <w:bookmarkStart w:id="684" w:name="_Toc10487"/>
      <w:bookmarkStart w:id="685" w:name="_Toc19062"/>
      <w:bookmarkStart w:id="686" w:name="_Toc29543"/>
      <w:bookmarkStart w:id="687" w:name="_Toc20671"/>
      <w:bookmarkStart w:id="688" w:name="_Toc24462"/>
      <w:bookmarkStart w:id="689" w:name="_Toc2130"/>
      <w:bookmarkStart w:id="690" w:name="_Toc1458"/>
      <w:bookmarkStart w:id="691" w:name="_Toc3678"/>
      <w:bookmarkStart w:id="692" w:name="_Toc17390"/>
      <w:bookmarkStart w:id="693" w:name="_Toc29405"/>
      <w:bookmarkStart w:id="694" w:name="_Toc3164"/>
      <w:bookmarkStart w:id="695" w:name="_Toc27240"/>
      <w:bookmarkStart w:id="696" w:name="_Toc11323"/>
      <w:bookmarkStart w:id="697" w:name="_Toc7210"/>
      <w:bookmarkStart w:id="698" w:name="_Toc27003"/>
      <w:bookmarkStart w:id="699" w:name="_Toc18829"/>
      <w:bookmarkStart w:id="700" w:name="_Toc32276"/>
      <w:bookmarkStart w:id="701" w:name="_Toc1845"/>
      <w:bookmarkStart w:id="702" w:name="_Toc29581"/>
      <w:bookmarkStart w:id="703" w:name="_Toc30742"/>
      <w:bookmarkStart w:id="704" w:name="_Toc4909"/>
      <w:bookmarkStart w:id="705" w:name="_Toc25836"/>
      <w:bookmarkStart w:id="706" w:name="_Toc25987"/>
      <w:bookmarkStart w:id="707" w:name="_Toc23149"/>
      <w:bookmarkStart w:id="708" w:name="_Toc5709"/>
      <w:bookmarkStart w:id="709" w:name="_Toc10531"/>
      <w:bookmarkStart w:id="710" w:name="_Toc2503"/>
      <w:bookmarkStart w:id="711" w:name="_Toc8150"/>
      <w:bookmarkStart w:id="712" w:name="_Toc1959"/>
      <w:bookmarkStart w:id="713" w:name="_Toc23028"/>
      <w:bookmarkStart w:id="714" w:name="_Toc1879"/>
      <w:bookmarkStart w:id="715" w:name="_Toc6453"/>
      <w:bookmarkStart w:id="716" w:name="_Toc8234"/>
      <w:r>
        <w:rPr>
          <w:rFonts w:hint="eastAsia" w:ascii="微软雅黑" w:hAnsi="微软雅黑" w:eastAsia="微软雅黑" w:cs="微软雅黑"/>
          <w:b/>
          <w:bCs/>
          <w:color w:val="auto"/>
          <w:kern w:val="2"/>
          <w:sz w:val="24"/>
          <w:szCs w:val="24"/>
          <w:highlight w:val="none"/>
          <w:u w:val="none"/>
          <w:lang w:val="en-US" w:eastAsia="zh-CN" w:bidi="ar-SA"/>
        </w:rPr>
        <w:t>10.证明投标的的合格性和符合招标文件规定的技术文件</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Pr>
          <w:rFonts w:hint="eastAsia" w:ascii="微软雅黑" w:hAnsi="微软雅黑" w:eastAsia="微软雅黑" w:cs="微软雅黑"/>
          <w:b/>
          <w:bCs/>
          <w:color w:val="auto"/>
          <w:kern w:val="2"/>
          <w:sz w:val="24"/>
          <w:szCs w:val="24"/>
          <w:highlight w:val="none"/>
          <w:u w:val="none"/>
          <w:lang w:val="en-US" w:eastAsia="zh-CN" w:bidi="ar-SA"/>
        </w:rPr>
        <w:t>。</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CE2B960">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应提交证明文件，证明其投标内容符合招标文件规定。该证明文件是投标文件的一部分。</w:t>
      </w:r>
    </w:p>
    <w:p w14:paraId="59A5306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bookmarkStart w:id="717" w:name="_Ref467306244"/>
      <w:r>
        <w:rPr>
          <w:rFonts w:hint="eastAsia" w:ascii="微软雅黑" w:hAnsi="微软雅黑" w:eastAsia="微软雅黑" w:cs="微软雅黑"/>
          <w:color w:val="auto"/>
          <w:sz w:val="24"/>
          <w:szCs w:val="24"/>
          <w:highlight w:val="none"/>
        </w:rPr>
        <w:t>10.2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上款所述的证明文件，可以是文字资料、图纸和数据，</w:t>
      </w:r>
      <w:bookmarkEnd w:id="717"/>
      <w:r>
        <w:rPr>
          <w:rFonts w:hint="eastAsia" w:ascii="微软雅黑" w:hAnsi="微软雅黑" w:eastAsia="微软雅黑" w:cs="微软雅黑"/>
          <w:color w:val="auto"/>
          <w:sz w:val="24"/>
          <w:szCs w:val="24"/>
          <w:highlight w:val="none"/>
        </w:rPr>
        <w:t>它包括：</w:t>
      </w:r>
    </w:p>
    <w:p w14:paraId="45A0A308">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服务主要技术指标的详细说明；</w:t>
      </w:r>
    </w:p>
    <w:p w14:paraId="0E7D4A2E">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对照招标文件技术要求，逐条说明所提供服务及伴随的履约服务已对招标文件的技术要求做出了实质性的响应，或申明与技术要求条文的偏差和例外。</w:t>
      </w:r>
    </w:p>
    <w:p w14:paraId="1430B39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718" w:name="_Toc27588"/>
      <w:bookmarkStart w:id="719" w:name="_Toc17853"/>
      <w:bookmarkStart w:id="720" w:name="_Toc8434"/>
      <w:bookmarkStart w:id="721" w:name="_Toc26101"/>
      <w:bookmarkStart w:id="722" w:name="_Toc24261"/>
      <w:bookmarkStart w:id="723" w:name="_Toc11399"/>
      <w:bookmarkStart w:id="724" w:name="_Toc22128"/>
      <w:bookmarkStart w:id="725" w:name="_Toc7731"/>
      <w:bookmarkStart w:id="726" w:name="_Toc24468"/>
      <w:bookmarkStart w:id="727" w:name="_Toc7366"/>
      <w:bookmarkStart w:id="728" w:name="_Toc25087"/>
      <w:bookmarkStart w:id="729" w:name="_Toc10326"/>
      <w:bookmarkStart w:id="730" w:name="_Toc169"/>
      <w:bookmarkStart w:id="731" w:name="_Toc23231"/>
      <w:bookmarkStart w:id="732" w:name="_Toc515647770"/>
      <w:bookmarkStart w:id="733" w:name="_Toc8914"/>
      <w:bookmarkStart w:id="734" w:name="_Toc7947"/>
      <w:bookmarkStart w:id="735" w:name="_Toc17557"/>
      <w:bookmarkStart w:id="736" w:name="_Toc28480"/>
      <w:bookmarkStart w:id="737" w:name="_Toc5930"/>
      <w:bookmarkStart w:id="738" w:name="_Toc15832"/>
      <w:bookmarkStart w:id="739" w:name="_Toc8592"/>
      <w:bookmarkStart w:id="740" w:name="_Toc25641"/>
      <w:bookmarkStart w:id="741" w:name="_Toc520356155"/>
      <w:bookmarkStart w:id="742" w:name="_Toc2248"/>
      <w:bookmarkStart w:id="743" w:name="_Toc24179"/>
      <w:bookmarkStart w:id="744" w:name="_Toc2151"/>
      <w:bookmarkStart w:id="745" w:name="_Toc15965"/>
      <w:bookmarkStart w:id="746" w:name="_Toc3868"/>
      <w:bookmarkStart w:id="747" w:name="_Toc710"/>
      <w:bookmarkStart w:id="748" w:name="_Toc25685"/>
      <w:bookmarkStart w:id="749" w:name="_Toc21172"/>
      <w:bookmarkStart w:id="750" w:name="_Toc29220"/>
      <w:bookmarkStart w:id="751" w:name="_Toc21557"/>
      <w:bookmarkStart w:id="752" w:name="_Toc24633"/>
      <w:bookmarkStart w:id="753" w:name="_Toc6035"/>
      <w:bookmarkStart w:id="754" w:name="_Toc10910"/>
      <w:bookmarkStart w:id="755" w:name="_Toc21396"/>
      <w:bookmarkStart w:id="756" w:name="_Toc6981"/>
      <w:bookmarkStart w:id="757" w:name="_Toc30792"/>
      <w:bookmarkStart w:id="758" w:name="_Toc18502"/>
      <w:bookmarkStart w:id="759" w:name="_Toc30467"/>
      <w:bookmarkStart w:id="760" w:name="_Toc26145"/>
      <w:bookmarkStart w:id="761" w:name="_Toc5614"/>
      <w:bookmarkStart w:id="762" w:name="_Toc301"/>
      <w:bookmarkStart w:id="763" w:name="_Toc29303"/>
      <w:bookmarkStart w:id="764" w:name="_Toc29204"/>
      <w:bookmarkStart w:id="765" w:name="_Toc1487"/>
      <w:bookmarkStart w:id="766" w:name="_Toc5144"/>
      <w:bookmarkStart w:id="767" w:name="_Toc1914"/>
      <w:bookmarkStart w:id="768" w:name="_Toc22495"/>
      <w:bookmarkStart w:id="769" w:name="_Toc28553"/>
      <w:bookmarkStart w:id="770" w:name="_Toc11160"/>
      <w:bookmarkStart w:id="771" w:name="_Toc32622"/>
      <w:bookmarkStart w:id="772" w:name="_Toc24345"/>
      <w:bookmarkStart w:id="773" w:name="_Toc2311"/>
      <w:bookmarkStart w:id="774" w:name="_Toc23732"/>
      <w:bookmarkStart w:id="775" w:name="_Toc15951"/>
      <w:bookmarkStart w:id="776" w:name="_Toc16384"/>
      <w:bookmarkStart w:id="777" w:name="_Toc13193"/>
      <w:bookmarkStart w:id="778" w:name="_Toc25118"/>
      <w:bookmarkStart w:id="779" w:name="_Toc15670"/>
      <w:bookmarkStart w:id="780" w:name="_Toc2375"/>
      <w:bookmarkStart w:id="781" w:name="_Toc29694"/>
      <w:bookmarkStart w:id="782" w:name="_Toc7193"/>
      <w:r>
        <w:rPr>
          <w:rFonts w:hint="eastAsia" w:ascii="微软雅黑" w:hAnsi="微软雅黑" w:eastAsia="微软雅黑" w:cs="微软雅黑"/>
          <w:b/>
          <w:bCs/>
          <w:color w:val="auto"/>
          <w:kern w:val="2"/>
          <w:sz w:val="24"/>
          <w:szCs w:val="24"/>
          <w:highlight w:val="none"/>
          <w:u w:val="none"/>
          <w:lang w:val="en-US" w:eastAsia="zh-CN" w:bidi="ar-SA"/>
        </w:rPr>
        <w:t>11.投标报价</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30C4B4A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所有投标均以人民币报价。</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01ECBA7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应在投标分项报价表上标明投标相关</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的单价（如适用）和总价，并由法定代表人签署。</w:t>
      </w:r>
    </w:p>
    <w:p w14:paraId="09A1259F">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投标分项报价表上的价格应按下列方式填写；</w:t>
      </w:r>
    </w:p>
    <w:p w14:paraId="2751A0B6">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5B835AC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每种</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只能有一个投标报价。采购人不接受具有附加条件的报价。</w:t>
      </w:r>
    </w:p>
    <w:p w14:paraId="659C4332">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783" w:name="_Toc14430"/>
      <w:bookmarkStart w:id="784" w:name="_Toc2547"/>
      <w:bookmarkStart w:id="785" w:name="_Toc20606"/>
      <w:bookmarkStart w:id="786" w:name="_Toc4769"/>
      <w:bookmarkStart w:id="787" w:name="_Toc28643"/>
      <w:bookmarkStart w:id="788" w:name="_Toc12341"/>
      <w:bookmarkStart w:id="789" w:name="_Toc29102"/>
      <w:bookmarkStart w:id="790" w:name="_Toc1693"/>
      <w:bookmarkStart w:id="791" w:name="_Toc1840"/>
      <w:bookmarkStart w:id="792" w:name="_Toc13010"/>
      <w:bookmarkStart w:id="793" w:name="_Toc22618"/>
      <w:bookmarkStart w:id="794" w:name="_Toc8616"/>
      <w:bookmarkStart w:id="795" w:name="_Toc14189"/>
      <w:bookmarkStart w:id="796" w:name="_Toc21776"/>
      <w:bookmarkStart w:id="797" w:name="_Toc3787"/>
      <w:bookmarkStart w:id="798" w:name="_Toc5791"/>
      <w:bookmarkStart w:id="799" w:name="_Toc886"/>
      <w:bookmarkStart w:id="800" w:name="_Toc21719"/>
      <w:bookmarkStart w:id="801" w:name="_Toc30245"/>
      <w:bookmarkStart w:id="802" w:name="_Toc26371"/>
      <w:bookmarkStart w:id="803" w:name="_Toc3397"/>
      <w:bookmarkStart w:id="804" w:name="_Toc27716"/>
      <w:bookmarkStart w:id="805" w:name="_Toc18483"/>
      <w:bookmarkStart w:id="806" w:name="_Toc27489"/>
      <w:bookmarkStart w:id="807" w:name="_Toc5648"/>
      <w:bookmarkStart w:id="808" w:name="_Toc17637"/>
      <w:bookmarkStart w:id="809" w:name="_Toc18556"/>
      <w:bookmarkStart w:id="810" w:name="_Toc23666"/>
      <w:bookmarkStart w:id="811" w:name="_Toc30071"/>
      <w:bookmarkStart w:id="812" w:name="_Toc14406"/>
      <w:bookmarkStart w:id="813" w:name="_Toc3503"/>
      <w:bookmarkStart w:id="814" w:name="_Toc1683"/>
      <w:bookmarkStart w:id="815" w:name="_Toc4711"/>
      <w:bookmarkStart w:id="816" w:name="_Toc5727"/>
      <w:bookmarkStart w:id="817" w:name="_Toc2102"/>
      <w:bookmarkStart w:id="818" w:name="_Toc25003"/>
      <w:bookmarkStart w:id="819" w:name="_Toc23761"/>
      <w:bookmarkStart w:id="820" w:name="_Toc3670"/>
      <w:bookmarkStart w:id="821" w:name="_Toc24283"/>
      <w:bookmarkStart w:id="822" w:name="_Toc520356156"/>
      <w:bookmarkStart w:id="823" w:name="_Toc14919"/>
      <w:bookmarkStart w:id="824" w:name="_Toc17788"/>
      <w:bookmarkStart w:id="825" w:name="_Toc11514"/>
      <w:bookmarkStart w:id="826" w:name="_Toc15349"/>
      <w:bookmarkStart w:id="827" w:name="_Toc2938"/>
      <w:bookmarkStart w:id="828" w:name="_Ref467306513"/>
      <w:bookmarkStart w:id="829" w:name="_Toc12407"/>
      <w:bookmarkStart w:id="830" w:name="_Toc30515"/>
      <w:bookmarkStart w:id="831" w:name="_Toc10600"/>
      <w:bookmarkStart w:id="832" w:name="_Toc7793"/>
      <w:bookmarkStart w:id="833" w:name="_Toc15914"/>
      <w:bookmarkStart w:id="834" w:name="_Toc31455"/>
      <w:bookmarkStart w:id="835" w:name="_Toc12354"/>
      <w:bookmarkStart w:id="836" w:name="_Toc16947"/>
      <w:bookmarkStart w:id="837" w:name="_Toc5799"/>
      <w:bookmarkStart w:id="838" w:name="_Toc28602"/>
      <w:bookmarkStart w:id="839" w:name="_Toc10897"/>
      <w:bookmarkStart w:id="840" w:name="_Toc28730"/>
      <w:bookmarkStart w:id="841" w:name="_Toc28149"/>
      <w:bookmarkStart w:id="842" w:name="_Toc18090"/>
      <w:bookmarkStart w:id="843" w:name="_Toc23784"/>
      <w:bookmarkStart w:id="844" w:name="_Toc26723"/>
      <w:bookmarkStart w:id="845" w:name="_Toc515647771"/>
      <w:bookmarkStart w:id="846" w:name="_Toc10329"/>
      <w:bookmarkStart w:id="847" w:name="_Toc9979"/>
      <w:bookmarkStart w:id="848" w:name="_Toc11706"/>
      <w:r>
        <w:rPr>
          <w:rFonts w:hint="eastAsia" w:ascii="微软雅黑" w:hAnsi="微软雅黑" w:eastAsia="微软雅黑" w:cs="微软雅黑"/>
          <w:b/>
          <w:bCs/>
          <w:color w:val="auto"/>
          <w:kern w:val="2"/>
          <w:sz w:val="24"/>
          <w:szCs w:val="24"/>
          <w:highlight w:val="none"/>
          <w:u w:val="none"/>
          <w:lang w:val="en-US" w:eastAsia="zh-CN" w:bidi="ar-SA"/>
        </w:rPr>
        <w:t>12.投标保证金</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6055E95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bookmarkStart w:id="849" w:name="_Ref467306302"/>
      <w:r>
        <w:rPr>
          <w:rFonts w:hint="eastAsia" w:ascii="微软雅黑" w:hAnsi="微软雅黑" w:eastAsia="微软雅黑" w:cs="微软雅黑"/>
          <w:color w:val="auto"/>
          <w:sz w:val="24"/>
          <w:szCs w:val="24"/>
          <w:highlight w:val="none"/>
        </w:rPr>
        <w:t>12.1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应提交</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中规定的投标保证金</w:t>
      </w:r>
      <w:bookmarkEnd w:id="849"/>
      <w:r>
        <w:rPr>
          <w:rFonts w:hint="eastAsia" w:ascii="微软雅黑" w:hAnsi="微软雅黑" w:eastAsia="微软雅黑" w:cs="微软雅黑"/>
          <w:color w:val="auto"/>
          <w:sz w:val="24"/>
          <w:szCs w:val="24"/>
          <w:highlight w:val="none"/>
        </w:rPr>
        <w:t>，并作为其投标的一部分。</w:t>
      </w:r>
    </w:p>
    <w:p w14:paraId="6C922D1A">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存在下列情形的，投标保证金不予退还：</w:t>
      </w:r>
    </w:p>
    <w:p w14:paraId="39BD203C">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（1）在投标有效期内，撤销投标的；</w:t>
      </w:r>
    </w:p>
    <w:p w14:paraId="486F77F5">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（2）中标后不按本须知第30条的规定与采购人签订合同的；</w:t>
      </w:r>
    </w:p>
    <w:p w14:paraId="47B7097F">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（3）中标后不按本须知第31条的规定提交履约保证金的；</w:t>
      </w:r>
    </w:p>
    <w:p w14:paraId="1CF4A588">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（4）中标后不按本须知第32条的规定缴纳中标服务费的；</w:t>
      </w:r>
    </w:p>
    <w:p w14:paraId="0547D39B">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（5）存在其他违法违规行为的。</w:t>
      </w:r>
    </w:p>
    <w:p w14:paraId="6EB9259C">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bookmarkStart w:id="850" w:name="_Ref467306336"/>
      <w:r>
        <w:rPr>
          <w:rFonts w:hint="eastAsia" w:ascii="微软雅黑" w:hAnsi="微软雅黑" w:eastAsia="微软雅黑" w:cs="微软雅黑"/>
          <w:color w:val="auto"/>
          <w:sz w:val="24"/>
          <w:szCs w:val="24"/>
          <w:highlight w:val="none"/>
        </w:rPr>
        <w:t>12.3</w:t>
      </w:r>
      <w:r>
        <w:rPr>
          <w:rFonts w:hint="eastAsia" w:ascii="微软雅黑" w:hAnsi="微软雅黑" w:eastAsia="微软雅黑" w:cs="微软雅黑"/>
          <w:color w:val="auto"/>
          <w:sz w:val="24"/>
          <w:szCs w:val="24"/>
          <w:highlight w:val="none"/>
        </w:rPr>
        <w:tab/>
      </w:r>
      <w:bookmarkEnd w:id="850"/>
      <w:r>
        <w:rPr>
          <w:rFonts w:hint="eastAsia" w:ascii="微软雅黑" w:hAnsi="微软雅黑" w:eastAsia="微软雅黑" w:cs="微软雅黑"/>
          <w:color w:val="auto"/>
          <w:sz w:val="24"/>
          <w:szCs w:val="24"/>
          <w:highlight w:val="none"/>
        </w:rPr>
        <w:t>政府采购信用担保试点范围内的项目，接受符合财政部门规定的政府采购投标担</w:t>
      </w:r>
      <w:r>
        <w:rPr>
          <w:rFonts w:hint="eastAsia" w:ascii="微软雅黑" w:hAnsi="微软雅黑" w:eastAsia="微软雅黑" w:cs="微软雅黑"/>
          <w:color w:val="auto"/>
          <w:sz w:val="24"/>
          <w:szCs w:val="24"/>
          <w:highlight w:val="none"/>
          <w:lang w:eastAsia="zh-CN"/>
        </w:rPr>
        <w:t>保函</w:t>
      </w:r>
      <w:r>
        <w:rPr>
          <w:rFonts w:hint="eastAsia" w:ascii="微软雅黑" w:hAnsi="微软雅黑" w:eastAsia="微软雅黑" w:cs="微软雅黑"/>
          <w:color w:val="auto"/>
          <w:sz w:val="24"/>
          <w:szCs w:val="24"/>
          <w:highlight w:val="none"/>
        </w:rPr>
        <w:t>。</w:t>
      </w:r>
    </w:p>
    <w:p w14:paraId="1E81641D">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未按本须知第12.1和12.3条规定提交投标保证金的，其投标将被认定为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6B5641BD">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12.4.1  采用电汇形式的，一般可以实时入账。</w:t>
      </w:r>
    </w:p>
    <w:p w14:paraId="0C2164F5">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12.4.2  采用支票形式的，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未及时提交支票或支票不符合银行委托收款要求（如污损、折叠、胶装等），导致投标保证金不能按时进入指定账户的，将按照招标文件的第22.2条相关规定处理。</w:t>
      </w:r>
    </w:p>
    <w:p w14:paraId="3CC8D1EA">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   联合体投标的，可以由联合体中的一方或者共同提交投标保证金。以一方名义提交投标保证金的，对联合体各方均具有约束力。</w:t>
      </w:r>
    </w:p>
    <w:p w14:paraId="22EAFE55">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投标保证金的退还</w:t>
      </w:r>
    </w:p>
    <w:p w14:paraId="2AF93000">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12.6.1  中标人应在与采购人签订合同之日起5个工作日内，及时联系保证金收受机构办理投标保证金无息退还手续。</w:t>
      </w:r>
    </w:p>
    <w:p w14:paraId="58F4EEED">
      <w:pPr>
        <w:pageBreakBefore w:val="0"/>
        <w:widowControl w:val="0"/>
        <w:kinsoku/>
        <w:wordWrap/>
        <w:overflowPunct/>
        <w:topLinePunct w:val="0"/>
        <w:bidi w:val="0"/>
        <w:spacing w:line="360" w:lineRule="exact"/>
        <w:ind w:left="960" w:leftChars="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12.6.2  未中标</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的投标保证金将在中标通知书发出之日暨中标结果公告公布之日起5个工作日内无息退还。</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应及时联系保证金收受机构办理退还投标保证金手续。</w:t>
      </w:r>
    </w:p>
    <w:p w14:paraId="34718D6D">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12.6.3  政府采购投标担</w:t>
      </w:r>
      <w:r>
        <w:rPr>
          <w:rFonts w:hint="eastAsia" w:ascii="微软雅黑" w:hAnsi="微软雅黑" w:eastAsia="微软雅黑" w:cs="微软雅黑"/>
          <w:color w:val="auto"/>
          <w:sz w:val="24"/>
          <w:szCs w:val="24"/>
          <w:highlight w:val="none"/>
          <w:lang w:eastAsia="zh-CN"/>
        </w:rPr>
        <w:t>保函</w:t>
      </w:r>
      <w:r>
        <w:rPr>
          <w:rFonts w:hint="eastAsia" w:ascii="微软雅黑" w:hAnsi="微软雅黑" w:eastAsia="微软雅黑" w:cs="微软雅黑"/>
          <w:color w:val="auto"/>
          <w:sz w:val="24"/>
          <w:szCs w:val="24"/>
          <w:highlight w:val="none"/>
        </w:rPr>
        <w:t>不予退回。</w:t>
      </w:r>
    </w:p>
    <w:p w14:paraId="0505F153">
      <w:pPr>
        <w:pageBreakBefore w:val="0"/>
        <w:widowControl w:val="0"/>
        <w:kinsoku/>
        <w:wordWrap/>
        <w:overflowPunct/>
        <w:topLinePunct w:val="0"/>
        <w:bidi w:val="0"/>
        <w:spacing w:line="360" w:lineRule="exact"/>
        <w:ind w:left="960" w:leftChars="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    因</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自身原因导致无法及时退还的，采购人或采购代理机构将不承担相应责任。</w:t>
      </w:r>
    </w:p>
    <w:p w14:paraId="47FC56A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851" w:name="_Toc24507"/>
      <w:bookmarkStart w:id="852" w:name="_Toc16150"/>
      <w:bookmarkStart w:id="853" w:name="_Toc19152"/>
      <w:bookmarkStart w:id="854" w:name="_Toc27999"/>
      <w:bookmarkStart w:id="855" w:name="_Toc3015"/>
      <w:bookmarkStart w:id="856" w:name="_Toc11120"/>
      <w:bookmarkStart w:id="857" w:name="_Toc25456"/>
      <w:bookmarkStart w:id="858" w:name="_Toc7882"/>
      <w:bookmarkStart w:id="859" w:name="_Toc17927"/>
      <w:bookmarkStart w:id="860" w:name="_Toc12471"/>
      <w:bookmarkStart w:id="861" w:name="_Toc10139"/>
      <w:bookmarkStart w:id="862" w:name="_Toc1719"/>
      <w:bookmarkStart w:id="863" w:name="_Toc23590"/>
      <w:bookmarkStart w:id="864" w:name="_Toc9333"/>
      <w:bookmarkStart w:id="865" w:name="_Toc13802"/>
      <w:bookmarkStart w:id="866" w:name="_Toc5678"/>
      <w:bookmarkStart w:id="867" w:name="_Toc32569"/>
      <w:bookmarkStart w:id="868" w:name="_Toc515647772"/>
      <w:bookmarkStart w:id="869" w:name="_Toc24189"/>
      <w:bookmarkStart w:id="870" w:name="_Toc520356157"/>
      <w:bookmarkStart w:id="871" w:name="_Toc19369"/>
      <w:bookmarkStart w:id="872" w:name="_Toc30519"/>
      <w:bookmarkStart w:id="873" w:name="_Toc3783"/>
      <w:bookmarkStart w:id="874" w:name="_Toc14683"/>
      <w:bookmarkStart w:id="875" w:name="_Toc11357"/>
      <w:bookmarkStart w:id="876" w:name="_Toc15432"/>
      <w:bookmarkStart w:id="877" w:name="_Toc16290"/>
      <w:bookmarkStart w:id="878" w:name="_Toc11132"/>
      <w:bookmarkStart w:id="879" w:name="_Toc7349"/>
      <w:bookmarkStart w:id="880" w:name="_Toc5368"/>
      <w:bookmarkStart w:id="881" w:name="_Toc13507"/>
      <w:bookmarkStart w:id="882" w:name="_Toc13835"/>
      <w:bookmarkStart w:id="883" w:name="_Toc23083"/>
      <w:bookmarkStart w:id="884" w:name="_Toc24598"/>
      <w:bookmarkStart w:id="885" w:name="_Toc31378"/>
      <w:bookmarkStart w:id="886" w:name="_Toc12947"/>
      <w:bookmarkStart w:id="887" w:name="_Toc2708"/>
      <w:bookmarkStart w:id="888" w:name="_Toc23657"/>
      <w:bookmarkStart w:id="889" w:name="_Toc26784"/>
      <w:bookmarkStart w:id="890" w:name="_Toc27343"/>
      <w:bookmarkStart w:id="891" w:name="_Toc32477"/>
      <w:bookmarkStart w:id="892" w:name="_Toc4526"/>
      <w:bookmarkStart w:id="893" w:name="_Toc12620"/>
      <w:bookmarkStart w:id="894" w:name="_Toc32262"/>
      <w:bookmarkStart w:id="895" w:name="_Toc21145"/>
      <w:bookmarkStart w:id="896" w:name="_Toc8932"/>
      <w:bookmarkStart w:id="897" w:name="_Toc22760"/>
      <w:bookmarkStart w:id="898" w:name="_Toc5058"/>
      <w:bookmarkStart w:id="899" w:name="_Toc6834"/>
      <w:bookmarkStart w:id="900" w:name="_Toc4047"/>
      <w:bookmarkStart w:id="901" w:name="_Toc25261"/>
      <w:bookmarkStart w:id="902" w:name="_Toc31306"/>
      <w:bookmarkStart w:id="903" w:name="_Toc26251"/>
      <w:bookmarkStart w:id="904" w:name="_Toc26032"/>
      <w:bookmarkStart w:id="905" w:name="_Toc18226"/>
      <w:bookmarkStart w:id="906" w:name="_Toc116"/>
      <w:bookmarkStart w:id="907" w:name="_Toc32237"/>
      <w:bookmarkStart w:id="908" w:name="_Toc2777"/>
      <w:bookmarkStart w:id="909" w:name="_Toc23321"/>
      <w:bookmarkStart w:id="910" w:name="_Toc6522"/>
      <w:bookmarkStart w:id="911" w:name="_Toc16509"/>
      <w:bookmarkStart w:id="912" w:name="_Toc1255"/>
      <w:bookmarkStart w:id="913" w:name="_Toc13563"/>
      <w:bookmarkStart w:id="914" w:name="_Toc19931"/>
      <w:bookmarkStart w:id="915" w:name="_Toc28650"/>
      <w:r>
        <w:rPr>
          <w:rFonts w:hint="eastAsia" w:ascii="微软雅黑" w:hAnsi="微软雅黑" w:eastAsia="微软雅黑" w:cs="微软雅黑"/>
          <w:b/>
          <w:bCs/>
          <w:color w:val="auto"/>
          <w:kern w:val="2"/>
          <w:sz w:val="24"/>
          <w:szCs w:val="24"/>
          <w:highlight w:val="none"/>
          <w:u w:val="none"/>
          <w:lang w:val="en-US" w:eastAsia="zh-CN" w:bidi="ar-SA"/>
        </w:rPr>
        <w:t>13.投标有效期</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10CAD79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投标应在</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中规定时间内保持有效。投标有效期不满足要求的投标，其投标将被认定为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45501C4C">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为保证有充分时间签订合同，采购人或采购代理机构可根据实际情况，在原投标有效期截止之前，要求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延长投标文件的有效期。接受该要求的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将不会被要求和允许修正其投标，且本须知中有关投标保证金的要求须在延长的有效期内继续有效。</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可以拒绝延长投标有效期的要求，其投标保证金将及时无息退还。上述要求和答复都应以书面形式提交。</w:t>
      </w:r>
    </w:p>
    <w:p w14:paraId="568238B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916" w:name="_Toc520356158"/>
      <w:bookmarkStart w:id="917" w:name="_Toc11669"/>
      <w:bookmarkStart w:id="918" w:name="_Toc6286"/>
      <w:bookmarkStart w:id="919" w:name="_Toc25344"/>
      <w:bookmarkStart w:id="920" w:name="_Toc12349"/>
      <w:bookmarkStart w:id="921" w:name="_Toc3325"/>
      <w:bookmarkStart w:id="922" w:name="_Toc6304"/>
      <w:bookmarkStart w:id="923" w:name="_Toc7149"/>
      <w:bookmarkStart w:id="924" w:name="_Toc31098"/>
      <w:bookmarkStart w:id="925" w:name="_Toc7126"/>
      <w:bookmarkStart w:id="926" w:name="_Toc515647773"/>
      <w:bookmarkStart w:id="927" w:name="_Toc21900"/>
      <w:bookmarkStart w:id="928" w:name="_Toc18546"/>
      <w:bookmarkStart w:id="929" w:name="_Toc29991"/>
      <w:bookmarkStart w:id="930" w:name="_Toc1012"/>
      <w:bookmarkStart w:id="931" w:name="_Toc12203"/>
      <w:bookmarkStart w:id="932" w:name="_Toc30766"/>
      <w:bookmarkStart w:id="933" w:name="_Toc2579"/>
      <w:bookmarkStart w:id="934" w:name="_Toc29036"/>
      <w:bookmarkStart w:id="935" w:name="_Toc10391"/>
      <w:bookmarkStart w:id="936" w:name="_Toc26222"/>
      <w:bookmarkStart w:id="937" w:name="_Toc12276"/>
      <w:bookmarkStart w:id="938" w:name="_Toc23575"/>
      <w:bookmarkStart w:id="939" w:name="_Toc14417"/>
      <w:bookmarkStart w:id="940" w:name="_Toc5874"/>
      <w:bookmarkStart w:id="941" w:name="_Toc25603"/>
      <w:bookmarkStart w:id="942" w:name="_Toc17121"/>
      <w:bookmarkStart w:id="943" w:name="_Toc27401"/>
      <w:bookmarkStart w:id="944" w:name="_Toc493"/>
      <w:bookmarkStart w:id="945" w:name="_Toc29088"/>
      <w:bookmarkStart w:id="946" w:name="_Toc17074"/>
      <w:bookmarkStart w:id="947" w:name="_Toc16503"/>
      <w:bookmarkStart w:id="948" w:name="_Toc19121"/>
      <w:bookmarkStart w:id="949" w:name="_Toc9573"/>
      <w:bookmarkStart w:id="950" w:name="_Toc24787"/>
      <w:bookmarkStart w:id="951" w:name="_Toc14325"/>
      <w:bookmarkStart w:id="952" w:name="_Toc30562"/>
      <w:bookmarkStart w:id="953" w:name="_Toc12810"/>
      <w:bookmarkStart w:id="954" w:name="_Toc21504"/>
      <w:bookmarkStart w:id="955" w:name="_Toc3637"/>
      <w:bookmarkStart w:id="956" w:name="_Toc29619"/>
      <w:bookmarkStart w:id="957" w:name="_Toc9129"/>
      <w:bookmarkStart w:id="958" w:name="_Toc1080"/>
      <w:bookmarkStart w:id="959" w:name="_Toc15845"/>
      <w:bookmarkStart w:id="960" w:name="_Toc21080"/>
      <w:bookmarkStart w:id="961" w:name="_Toc32096"/>
      <w:bookmarkStart w:id="962" w:name="_Toc23746"/>
      <w:bookmarkStart w:id="963" w:name="_Toc3558"/>
      <w:bookmarkStart w:id="964" w:name="_Toc22438"/>
      <w:bookmarkStart w:id="965" w:name="_Toc6372"/>
      <w:bookmarkStart w:id="966" w:name="_Toc20488"/>
      <w:bookmarkStart w:id="967" w:name="_Toc19606"/>
      <w:bookmarkStart w:id="968" w:name="_Toc9672"/>
      <w:bookmarkStart w:id="969" w:name="_Toc30085"/>
      <w:bookmarkStart w:id="970" w:name="_Toc4425"/>
      <w:bookmarkStart w:id="971" w:name="_Toc25546"/>
      <w:bookmarkStart w:id="972" w:name="_Toc29834"/>
      <w:bookmarkStart w:id="973" w:name="_Toc29743"/>
      <w:bookmarkStart w:id="974" w:name="_Toc14016"/>
      <w:bookmarkStart w:id="975" w:name="_Toc29588"/>
      <w:bookmarkStart w:id="976" w:name="_Toc30127"/>
      <w:r>
        <w:rPr>
          <w:rFonts w:hint="eastAsia" w:ascii="微软雅黑" w:hAnsi="微软雅黑" w:eastAsia="微软雅黑" w:cs="微软雅黑"/>
          <w:b/>
          <w:bCs/>
          <w:color w:val="auto"/>
          <w:kern w:val="2"/>
          <w:sz w:val="24"/>
          <w:szCs w:val="24"/>
          <w:highlight w:val="none"/>
          <w:u w:val="none"/>
          <w:lang w:val="en-US" w:eastAsia="zh-CN" w:bidi="ar-SA"/>
        </w:rPr>
        <w:t>14.投标文件的签署</w:t>
      </w:r>
      <w:bookmarkEnd w:id="916"/>
      <w:r>
        <w:rPr>
          <w:rFonts w:hint="eastAsia" w:ascii="微软雅黑" w:hAnsi="微软雅黑" w:eastAsia="微软雅黑" w:cs="微软雅黑"/>
          <w:b/>
          <w:bCs/>
          <w:color w:val="auto"/>
          <w:kern w:val="2"/>
          <w:sz w:val="24"/>
          <w:szCs w:val="24"/>
          <w:highlight w:val="none"/>
          <w:u w:val="none"/>
          <w:lang w:val="en-US" w:eastAsia="zh-CN" w:bidi="ar-SA"/>
        </w:rPr>
        <w:t>及规定</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794447AD">
      <w:pPr>
        <w:pageBreakBefore w:val="0"/>
        <w:shd w:val="clear"/>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供应商应按供应商须知资料表中的规定，准备和</w:t>
      </w:r>
      <w:r>
        <w:rPr>
          <w:rFonts w:hint="eastAsia" w:ascii="微软雅黑" w:hAnsi="微软雅黑" w:eastAsia="微软雅黑" w:cs="微软雅黑"/>
          <w:color w:val="auto"/>
          <w:sz w:val="24"/>
          <w:szCs w:val="24"/>
          <w:highlight w:val="none"/>
          <w:lang w:val="en-US" w:eastAsia="zh-CN"/>
        </w:rPr>
        <w:t>上传</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w:t>
      </w:r>
    </w:p>
    <w:p w14:paraId="53A514E3">
      <w:pPr>
        <w:pStyle w:val="22"/>
        <w:pageBreakBefore w:val="0"/>
        <w:kinsoku/>
        <w:wordWrap/>
        <w:overflowPunct/>
        <w:topLinePunct w:val="0"/>
        <w:bidi w:val="0"/>
        <w:spacing w:line="360" w:lineRule="exact"/>
        <w:rPr>
          <w:rFonts w:hint="eastAsia" w:ascii="微软雅黑" w:hAnsi="微软雅黑" w:eastAsia="微软雅黑" w:cs="微软雅黑"/>
          <w:color w:val="FF0000"/>
          <w:sz w:val="24"/>
          <w:szCs w:val="24"/>
          <w:highlight w:val="none"/>
        </w:rPr>
      </w:pPr>
      <w:bookmarkStart w:id="977" w:name="_Toc216582808"/>
      <w:bookmarkStart w:id="978" w:name="_Toc11179"/>
      <w:bookmarkStart w:id="979" w:name="_Toc520356159"/>
      <w:bookmarkStart w:id="980" w:name="_Toc16865"/>
      <w:bookmarkStart w:id="981" w:name="_Toc515647774"/>
    </w:p>
    <w:p w14:paraId="62B83406">
      <w:pPr>
        <w:pStyle w:val="2"/>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982" w:name="_Toc32694"/>
      <w:bookmarkStart w:id="983" w:name="_Toc26337"/>
      <w:bookmarkStart w:id="984" w:name="_Toc30935"/>
      <w:bookmarkStart w:id="985" w:name="_Toc25125"/>
      <w:bookmarkStart w:id="986" w:name="_Toc1143"/>
      <w:r>
        <w:rPr>
          <w:rFonts w:hint="eastAsia" w:ascii="微软雅黑" w:hAnsi="微软雅黑" w:eastAsia="微软雅黑" w:cs="微软雅黑"/>
          <w:color w:val="auto"/>
          <w:sz w:val="28"/>
          <w:szCs w:val="28"/>
          <w:highlight w:val="none"/>
          <w:lang w:val="en-US" w:eastAsia="zh-CN"/>
        </w:rPr>
        <w:t>四   投标文件的递交</w:t>
      </w:r>
      <w:bookmarkEnd w:id="977"/>
      <w:bookmarkEnd w:id="978"/>
      <w:bookmarkEnd w:id="979"/>
      <w:bookmarkEnd w:id="980"/>
      <w:bookmarkEnd w:id="981"/>
      <w:bookmarkEnd w:id="982"/>
      <w:bookmarkEnd w:id="983"/>
      <w:bookmarkEnd w:id="984"/>
      <w:bookmarkEnd w:id="985"/>
      <w:bookmarkEnd w:id="986"/>
    </w:p>
    <w:p w14:paraId="22A7A324">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987" w:name="_Toc32322"/>
      <w:bookmarkStart w:id="988" w:name="_Toc26870"/>
      <w:bookmarkStart w:id="989" w:name="_Toc4384"/>
      <w:bookmarkStart w:id="990" w:name="_Toc31758"/>
      <w:bookmarkStart w:id="991" w:name="_Toc16450"/>
      <w:bookmarkStart w:id="992" w:name="_Toc4126"/>
      <w:bookmarkStart w:id="993" w:name="_Toc16155"/>
      <w:bookmarkStart w:id="994" w:name="_Toc27797"/>
      <w:bookmarkStart w:id="995" w:name="_Toc23502"/>
      <w:bookmarkStart w:id="996" w:name="_Toc14218"/>
      <w:bookmarkStart w:id="997" w:name="_Toc22447"/>
      <w:bookmarkStart w:id="998" w:name="_Toc1681"/>
      <w:bookmarkStart w:id="999" w:name="_Toc26214"/>
      <w:bookmarkStart w:id="1000" w:name="_Toc801"/>
      <w:bookmarkStart w:id="1001" w:name="_Toc25334"/>
      <w:bookmarkStart w:id="1002" w:name="_Toc16399"/>
      <w:bookmarkStart w:id="1003" w:name="_Toc32677"/>
      <w:bookmarkStart w:id="1004" w:name="_Toc7873"/>
      <w:bookmarkStart w:id="1005" w:name="_Toc19259"/>
      <w:bookmarkStart w:id="1006" w:name="_Toc27261"/>
      <w:bookmarkStart w:id="1007" w:name="_Toc27680"/>
      <w:bookmarkStart w:id="1008" w:name="_Toc8383"/>
      <w:bookmarkStart w:id="1009" w:name="_Toc3529"/>
      <w:bookmarkStart w:id="1010" w:name="_Toc12654"/>
      <w:bookmarkStart w:id="1011" w:name="_Toc9461"/>
      <w:bookmarkStart w:id="1012" w:name="_Toc19843"/>
      <w:bookmarkStart w:id="1013" w:name="_Toc16612"/>
      <w:bookmarkStart w:id="1014" w:name="_Toc21328"/>
      <w:bookmarkStart w:id="1015" w:name="_Toc18595"/>
      <w:bookmarkStart w:id="1016" w:name="_Toc17213"/>
      <w:bookmarkStart w:id="1017" w:name="_Toc21031"/>
      <w:bookmarkStart w:id="1018" w:name="_Toc5883"/>
      <w:bookmarkStart w:id="1019" w:name="_Toc17407"/>
      <w:bookmarkStart w:id="1020" w:name="_Toc12700"/>
      <w:bookmarkStart w:id="1021" w:name="_Toc6948"/>
      <w:bookmarkStart w:id="1022" w:name="_Toc9246"/>
      <w:bookmarkStart w:id="1023" w:name="_Toc24487"/>
      <w:bookmarkStart w:id="1024" w:name="_Toc22223"/>
      <w:bookmarkStart w:id="1025" w:name="_Toc26461"/>
      <w:bookmarkStart w:id="1026" w:name="_Toc7981"/>
      <w:bookmarkStart w:id="1027" w:name="_Toc30038"/>
      <w:bookmarkStart w:id="1028" w:name="_Toc32678"/>
      <w:bookmarkStart w:id="1029" w:name="_Toc9732"/>
      <w:bookmarkStart w:id="1030" w:name="_Toc6164"/>
      <w:bookmarkStart w:id="1031" w:name="_Toc14788"/>
      <w:bookmarkStart w:id="1032" w:name="_Toc24289"/>
      <w:bookmarkStart w:id="1033" w:name="_Toc17913"/>
      <w:r>
        <w:rPr>
          <w:rFonts w:hint="eastAsia" w:ascii="微软雅黑" w:hAnsi="微软雅黑" w:eastAsia="微软雅黑" w:cs="微软雅黑"/>
          <w:b/>
          <w:bCs/>
          <w:color w:val="auto"/>
          <w:kern w:val="2"/>
          <w:sz w:val="24"/>
          <w:szCs w:val="24"/>
          <w:highlight w:val="none"/>
          <w:u w:val="none"/>
          <w:lang w:val="en-US" w:eastAsia="zh-CN" w:bidi="ar-SA"/>
        </w:rPr>
        <w:t>15.投标文件的密封和标记</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6657642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15.1   为方便评审及进行资格审查，供应商应完整地按招标文件提供的投标文件格式及要求编写投标文件，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5F6A2C2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15.2    供应商因自身原因导致电子投标文件无法导入电子评标系统的，该投标文件视为无效文件。</w:t>
      </w:r>
    </w:p>
    <w:p w14:paraId="779CB3F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15.3   电子投标文件具有法律效力,与其他形式的投标文件在内容和格式上等同，若投标文件与招标文件要求不一致，其内容影响中标结果时，责任由供应商自行承担。</w:t>
      </w:r>
    </w:p>
    <w:p w14:paraId="70CD64F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034" w:name="_Toc27014"/>
      <w:bookmarkStart w:id="1035" w:name="_Toc31392"/>
      <w:bookmarkStart w:id="1036" w:name="_Toc9256"/>
      <w:bookmarkStart w:id="1037" w:name="_Toc13931"/>
      <w:bookmarkStart w:id="1038" w:name="_Toc20909"/>
      <w:bookmarkStart w:id="1039" w:name="_Toc21924"/>
      <w:bookmarkStart w:id="1040" w:name="_Toc30137"/>
      <w:bookmarkStart w:id="1041" w:name="_Toc20806"/>
      <w:bookmarkStart w:id="1042" w:name="_Toc14772"/>
      <w:bookmarkStart w:id="1043" w:name="_Toc2900"/>
      <w:bookmarkStart w:id="1044" w:name="_Toc21468"/>
      <w:bookmarkStart w:id="1045" w:name="_Toc16904"/>
      <w:bookmarkStart w:id="1046" w:name="_Toc5284"/>
      <w:bookmarkStart w:id="1047" w:name="_Toc2446"/>
      <w:bookmarkStart w:id="1048" w:name="_Toc31785"/>
      <w:bookmarkStart w:id="1049" w:name="_Toc21511"/>
      <w:bookmarkStart w:id="1050" w:name="_Toc788"/>
      <w:bookmarkStart w:id="1051" w:name="_Toc3581"/>
      <w:bookmarkStart w:id="1052" w:name="_Toc28616"/>
      <w:bookmarkStart w:id="1053" w:name="_Toc18056"/>
      <w:bookmarkStart w:id="1054" w:name="_Toc7506"/>
      <w:bookmarkStart w:id="1055" w:name="_Toc2258"/>
      <w:bookmarkStart w:id="1056" w:name="_Toc5670"/>
      <w:bookmarkStart w:id="1057" w:name="_Toc1234"/>
      <w:bookmarkStart w:id="1058" w:name="_Toc11631"/>
      <w:bookmarkStart w:id="1059" w:name="_Toc20721"/>
      <w:bookmarkStart w:id="1060" w:name="_Toc15282"/>
      <w:bookmarkStart w:id="1061" w:name="_Toc15871"/>
      <w:bookmarkStart w:id="1062" w:name="_Toc4489"/>
      <w:bookmarkStart w:id="1063" w:name="_Toc5432"/>
      <w:bookmarkStart w:id="1064" w:name="_Toc19862"/>
      <w:bookmarkStart w:id="1065" w:name="_Toc27205"/>
      <w:bookmarkStart w:id="1066" w:name="_Toc19183"/>
      <w:bookmarkStart w:id="1067" w:name="_Toc28578"/>
      <w:bookmarkStart w:id="1068" w:name="_Toc22504"/>
      <w:bookmarkStart w:id="1069" w:name="_Toc3777"/>
      <w:bookmarkStart w:id="1070" w:name="_Toc27812"/>
      <w:bookmarkStart w:id="1071" w:name="_Toc27792"/>
      <w:bookmarkStart w:id="1072" w:name="_Toc18049"/>
      <w:bookmarkStart w:id="1073" w:name="_Toc21229"/>
      <w:bookmarkStart w:id="1074" w:name="_Toc29421"/>
      <w:bookmarkStart w:id="1075" w:name="_Toc16170"/>
      <w:bookmarkStart w:id="1076" w:name="_Toc22378"/>
      <w:bookmarkStart w:id="1077" w:name="_Toc9344"/>
      <w:bookmarkStart w:id="1078" w:name="_Toc6497"/>
      <w:bookmarkStart w:id="1079" w:name="_Toc1352"/>
      <w:bookmarkStart w:id="1080" w:name="_Toc27334"/>
      <w:r>
        <w:rPr>
          <w:rFonts w:hint="eastAsia" w:ascii="微软雅黑" w:hAnsi="微软雅黑" w:eastAsia="微软雅黑" w:cs="微软雅黑"/>
          <w:b/>
          <w:bCs/>
          <w:color w:val="auto"/>
          <w:kern w:val="2"/>
          <w:sz w:val="24"/>
          <w:szCs w:val="24"/>
          <w:highlight w:val="none"/>
          <w:u w:val="none"/>
          <w:lang w:val="en-US" w:eastAsia="zh-CN" w:bidi="ar-SA"/>
        </w:rPr>
        <w:t>16.投标截止</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4FD5D78B">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供应商应在供应商须知资料表中规定的</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截止时间前，将</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上传到</w:t>
      </w:r>
      <w:r>
        <w:rPr>
          <w:rFonts w:hint="eastAsia" w:ascii="微软雅黑" w:hAnsi="微软雅黑" w:eastAsia="微软雅黑" w:cs="微软雅黑"/>
          <w:color w:val="auto"/>
          <w:sz w:val="24"/>
          <w:szCs w:val="24"/>
          <w:highlight w:val="none"/>
          <w:lang w:val="en-US" w:eastAsia="zh-CN"/>
        </w:rPr>
        <w:t>公开招标</w:t>
      </w:r>
      <w:r>
        <w:rPr>
          <w:rFonts w:hint="eastAsia" w:ascii="微软雅黑" w:hAnsi="微软雅黑" w:eastAsia="微软雅黑" w:cs="微软雅黑"/>
          <w:color w:val="auto"/>
          <w:sz w:val="24"/>
          <w:szCs w:val="24"/>
          <w:highlight w:val="none"/>
        </w:rPr>
        <w:t>公告中规定的地点。</w:t>
      </w:r>
      <w:r>
        <w:rPr>
          <w:rFonts w:hint="eastAsia" w:ascii="微软雅黑" w:hAnsi="微软雅黑" w:eastAsia="微软雅黑" w:cs="微软雅黑"/>
          <w:b/>
          <w:bCs/>
          <w:color w:val="auto"/>
          <w:sz w:val="24"/>
          <w:szCs w:val="24"/>
          <w:highlight w:val="none"/>
          <w:lang w:eastAsia="zh-CN"/>
        </w:rPr>
        <w:t>解密时间</w:t>
      </w:r>
      <w:r>
        <w:rPr>
          <w:rFonts w:hint="eastAsia" w:ascii="微软雅黑" w:hAnsi="微软雅黑" w:eastAsia="微软雅黑" w:cs="微软雅黑"/>
          <w:b/>
          <w:bCs/>
          <w:color w:val="auto"/>
          <w:sz w:val="24"/>
          <w:szCs w:val="24"/>
          <w:highlight w:val="none"/>
          <w:lang w:val="en-US" w:eastAsia="zh-CN"/>
        </w:rPr>
        <w:t>30分钟，逾期未解密的视为投标无效。</w:t>
      </w:r>
    </w:p>
    <w:p w14:paraId="3F103D93">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采购人和采购代理机构有权按本须知的规定，延迟</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截止时间。在此情况下，采购人、采购代理机构和供应商受</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截止时间制约的所有权利和义务均应延长至新的截止时间。</w:t>
      </w:r>
    </w:p>
    <w:p w14:paraId="2D17E2A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16.3</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采购人和采购代理机构将拒绝接收在投标截止时间后上传的投标文件。</w:t>
      </w:r>
    </w:p>
    <w:p w14:paraId="36F6710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081" w:name="_Toc12792"/>
      <w:bookmarkStart w:id="1082" w:name="_Toc31990"/>
      <w:bookmarkStart w:id="1083" w:name="_Toc20356"/>
      <w:bookmarkStart w:id="1084" w:name="_Toc16109"/>
      <w:bookmarkStart w:id="1085" w:name="_Toc7087"/>
      <w:bookmarkStart w:id="1086" w:name="_Toc19814"/>
      <w:bookmarkStart w:id="1087" w:name="_Toc24067"/>
      <w:bookmarkStart w:id="1088" w:name="_Toc9466"/>
      <w:bookmarkStart w:id="1089" w:name="_Toc9352"/>
      <w:bookmarkStart w:id="1090" w:name="_Toc24752"/>
      <w:bookmarkStart w:id="1091" w:name="_Toc24325"/>
      <w:bookmarkStart w:id="1092" w:name="_Toc10568"/>
      <w:bookmarkStart w:id="1093" w:name="_Toc9635"/>
      <w:bookmarkStart w:id="1094" w:name="_Toc31543"/>
      <w:bookmarkStart w:id="1095" w:name="_Toc27699"/>
      <w:bookmarkStart w:id="1096" w:name="_Toc4342"/>
      <w:bookmarkStart w:id="1097" w:name="_Toc27841"/>
      <w:bookmarkStart w:id="1098" w:name="_Toc25919"/>
      <w:bookmarkStart w:id="1099" w:name="_Toc27457"/>
      <w:bookmarkStart w:id="1100" w:name="_Toc31579"/>
      <w:bookmarkStart w:id="1101" w:name="_Toc18121"/>
      <w:bookmarkStart w:id="1102" w:name="_Toc7574"/>
      <w:bookmarkStart w:id="1103" w:name="_Toc7900"/>
      <w:bookmarkStart w:id="1104" w:name="_Toc5300"/>
      <w:bookmarkStart w:id="1105" w:name="_Toc166"/>
      <w:bookmarkStart w:id="1106" w:name="_Toc17449"/>
      <w:bookmarkStart w:id="1107" w:name="_Toc16085"/>
      <w:bookmarkStart w:id="1108" w:name="_Toc1356"/>
      <w:bookmarkStart w:id="1109" w:name="_Toc1691"/>
      <w:bookmarkStart w:id="1110" w:name="_Toc19478"/>
      <w:bookmarkStart w:id="1111" w:name="_Toc18989"/>
      <w:bookmarkStart w:id="1112" w:name="_Toc18201"/>
      <w:bookmarkStart w:id="1113" w:name="_Toc1517"/>
      <w:bookmarkStart w:id="1114" w:name="_Toc29733"/>
      <w:bookmarkStart w:id="1115" w:name="_Toc22836"/>
      <w:bookmarkStart w:id="1116" w:name="_Toc3786"/>
      <w:bookmarkStart w:id="1117" w:name="_Toc844"/>
      <w:bookmarkStart w:id="1118" w:name="_Toc6484"/>
      <w:bookmarkStart w:id="1119" w:name="_Toc3194"/>
      <w:bookmarkStart w:id="1120" w:name="_Toc20724"/>
      <w:bookmarkStart w:id="1121" w:name="_Toc9957"/>
      <w:bookmarkStart w:id="1122" w:name="_Toc4960"/>
      <w:bookmarkStart w:id="1123" w:name="_Toc2554"/>
      <w:bookmarkStart w:id="1124" w:name="_Toc4003"/>
      <w:bookmarkStart w:id="1125" w:name="_Toc14081"/>
      <w:bookmarkStart w:id="1126" w:name="_Toc18682"/>
      <w:bookmarkStart w:id="1127" w:name="_Toc32019"/>
      <w:r>
        <w:rPr>
          <w:rFonts w:hint="eastAsia" w:ascii="微软雅黑" w:hAnsi="微软雅黑" w:eastAsia="微软雅黑" w:cs="微软雅黑"/>
          <w:b/>
          <w:bCs/>
          <w:color w:val="auto"/>
          <w:kern w:val="2"/>
          <w:sz w:val="24"/>
          <w:szCs w:val="24"/>
          <w:highlight w:val="none"/>
          <w:u w:val="none"/>
          <w:lang w:val="en-US" w:eastAsia="zh-CN" w:bidi="ar-SA"/>
        </w:rPr>
        <w:t>17.投标文件的接收、修改与撤回</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314D270E">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截止时间后上传的</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的，采购人和采购代理机构将拒绝接收。</w:t>
      </w:r>
    </w:p>
    <w:p w14:paraId="458CB4AE">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上传</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以后，如果供应商要进行修改或撤回</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，供应商对</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的修改或撤回通知应按本须知规定编制、标记。采购人和采购代理机构将予以接收，并视为</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的组成部分。</w:t>
      </w:r>
    </w:p>
    <w:p w14:paraId="54DEC6E9">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截止期之后，采购人和采购代理机构不接受供应商主动对其</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做任何修改。</w:t>
      </w:r>
    </w:p>
    <w:p w14:paraId="6662F80A">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采购人和采购代理机构对所接收</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概不退回。</w:t>
      </w:r>
    </w:p>
    <w:p w14:paraId="25A2D2C9">
      <w:pPr>
        <w:pageBreakBefore w:val="0"/>
        <w:widowControl w:val="0"/>
        <w:kinsoku/>
        <w:wordWrap/>
        <w:overflowPunct/>
        <w:topLinePunct w:val="0"/>
        <w:bidi w:val="0"/>
        <w:spacing w:before="0" w:line="360" w:lineRule="exact"/>
        <w:ind w:left="0" w:leftChars="0" w:hanging="540"/>
        <w:textAlignment w:val="auto"/>
        <w:outlineLvl w:val="9"/>
        <w:rPr>
          <w:rFonts w:hint="eastAsia" w:ascii="微软雅黑" w:hAnsi="微软雅黑" w:eastAsia="微软雅黑" w:cs="微软雅黑"/>
          <w:color w:val="auto"/>
          <w:sz w:val="24"/>
          <w:szCs w:val="24"/>
          <w:highlight w:val="none"/>
        </w:rPr>
      </w:pPr>
      <w:bookmarkStart w:id="1128" w:name="_Toc12436"/>
      <w:bookmarkStart w:id="1129" w:name="_Toc7470"/>
      <w:bookmarkStart w:id="1130" w:name="_Toc216582809"/>
      <w:bookmarkStart w:id="1131" w:name="_Toc515647778"/>
      <w:bookmarkStart w:id="1132" w:name="_Toc520356163"/>
      <w:bookmarkStart w:id="1133" w:name="_Toc28398"/>
    </w:p>
    <w:p w14:paraId="31CC682C">
      <w:pPr>
        <w:pStyle w:val="2"/>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1134" w:name="_Toc27662"/>
      <w:bookmarkStart w:id="1135" w:name="_Toc14202"/>
      <w:bookmarkStart w:id="1136" w:name="_Toc12049"/>
      <w:r>
        <w:rPr>
          <w:rFonts w:hint="eastAsia" w:ascii="微软雅黑" w:hAnsi="微软雅黑" w:eastAsia="微软雅黑" w:cs="微软雅黑"/>
          <w:color w:val="auto"/>
          <w:sz w:val="28"/>
          <w:szCs w:val="28"/>
          <w:highlight w:val="none"/>
          <w:lang w:val="en-US" w:eastAsia="zh-CN"/>
        </w:rPr>
        <w:t>五   开标及评标</w:t>
      </w:r>
      <w:bookmarkEnd w:id="1128"/>
      <w:bookmarkEnd w:id="1129"/>
      <w:bookmarkEnd w:id="1130"/>
      <w:bookmarkEnd w:id="1131"/>
      <w:bookmarkEnd w:id="1132"/>
      <w:bookmarkEnd w:id="1133"/>
      <w:bookmarkEnd w:id="1134"/>
      <w:bookmarkEnd w:id="1135"/>
      <w:bookmarkEnd w:id="1136"/>
    </w:p>
    <w:p w14:paraId="6B8EC448">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137" w:name="_Toc16222"/>
      <w:bookmarkStart w:id="1138" w:name="_Toc24438"/>
      <w:bookmarkStart w:id="1139" w:name="_Toc15891"/>
      <w:bookmarkStart w:id="1140" w:name="_Toc7013"/>
      <w:bookmarkStart w:id="1141" w:name="_Toc21418"/>
      <w:bookmarkStart w:id="1142" w:name="_Toc25658"/>
      <w:bookmarkStart w:id="1143" w:name="_Toc16367"/>
      <w:bookmarkStart w:id="1144" w:name="_Toc18631"/>
      <w:bookmarkStart w:id="1145" w:name="_Toc21961"/>
      <w:bookmarkStart w:id="1146" w:name="_Toc16954"/>
      <w:bookmarkStart w:id="1147" w:name="_Toc11144"/>
      <w:bookmarkStart w:id="1148" w:name="_Toc9432"/>
      <w:bookmarkStart w:id="1149" w:name="_Toc5754"/>
      <w:bookmarkStart w:id="1150" w:name="_Toc28787"/>
      <w:bookmarkStart w:id="1151" w:name="_Toc28852"/>
      <w:bookmarkStart w:id="1152" w:name="_Toc24922"/>
      <w:bookmarkStart w:id="1153" w:name="_Toc10415"/>
      <w:bookmarkStart w:id="1154" w:name="_Toc2386"/>
      <w:bookmarkStart w:id="1155" w:name="_Toc25932"/>
      <w:bookmarkStart w:id="1156" w:name="_Toc31492"/>
      <w:bookmarkStart w:id="1157" w:name="_Toc23987"/>
      <w:bookmarkStart w:id="1158" w:name="_Toc2521"/>
      <w:bookmarkStart w:id="1159" w:name="_Toc13088"/>
      <w:bookmarkStart w:id="1160" w:name="_Toc18958"/>
      <w:bookmarkStart w:id="1161" w:name="_Toc4378"/>
      <w:bookmarkStart w:id="1162" w:name="_Toc13864"/>
      <w:bookmarkStart w:id="1163" w:name="_Toc63"/>
      <w:bookmarkStart w:id="1164" w:name="_Toc7186"/>
      <w:bookmarkStart w:id="1165" w:name="_Toc1763"/>
      <w:bookmarkStart w:id="1166" w:name="_Toc20647"/>
      <w:bookmarkStart w:id="1167" w:name="_Toc32409"/>
      <w:bookmarkStart w:id="1168" w:name="_Toc8707"/>
      <w:bookmarkStart w:id="1169" w:name="_Toc31572"/>
      <w:bookmarkStart w:id="1170" w:name="_Toc20854"/>
      <w:bookmarkStart w:id="1171" w:name="_Toc31296"/>
      <w:bookmarkStart w:id="1172" w:name="_Toc25345"/>
      <w:bookmarkStart w:id="1173" w:name="_Toc22462"/>
      <w:bookmarkStart w:id="1174" w:name="_Toc23772"/>
      <w:bookmarkStart w:id="1175" w:name="_Toc20905"/>
      <w:bookmarkStart w:id="1176" w:name="_Toc1738"/>
      <w:bookmarkStart w:id="1177" w:name="_Toc520356164"/>
      <w:bookmarkStart w:id="1178" w:name="_Toc26366"/>
      <w:bookmarkStart w:id="1179" w:name="_Toc9474"/>
      <w:bookmarkStart w:id="1180" w:name="_Toc563"/>
      <w:bookmarkStart w:id="1181" w:name="_Toc17546"/>
      <w:bookmarkStart w:id="1182" w:name="_Toc2886"/>
      <w:bookmarkStart w:id="1183" w:name="_Toc11726"/>
      <w:bookmarkStart w:id="1184" w:name="_Toc1116"/>
      <w:bookmarkStart w:id="1185" w:name="_Toc27090"/>
      <w:bookmarkStart w:id="1186" w:name="_Toc515647779"/>
      <w:bookmarkStart w:id="1187" w:name="_Toc20248"/>
      <w:bookmarkStart w:id="1188" w:name="_Toc17685"/>
      <w:bookmarkStart w:id="1189" w:name="_Toc4423"/>
      <w:bookmarkStart w:id="1190" w:name="_Toc28057"/>
      <w:bookmarkStart w:id="1191" w:name="_Toc22002"/>
      <w:bookmarkStart w:id="1192" w:name="_Toc22733"/>
      <w:bookmarkStart w:id="1193" w:name="_Toc6337"/>
      <w:bookmarkStart w:id="1194" w:name="_Toc4771"/>
      <w:bookmarkStart w:id="1195" w:name="_Toc18301"/>
      <w:bookmarkStart w:id="1196" w:name="_Toc25562"/>
      <w:bookmarkStart w:id="1197" w:name="_Toc10643"/>
      <w:bookmarkStart w:id="1198" w:name="_Toc10405"/>
      <w:bookmarkStart w:id="1199" w:name="_Toc4385"/>
      <w:bookmarkStart w:id="1200" w:name="_Toc25370"/>
      <w:bookmarkStart w:id="1201" w:name="_Toc520356165"/>
      <w:bookmarkStart w:id="1202" w:name="_Toc3080"/>
      <w:bookmarkStart w:id="1203" w:name="_Toc21372"/>
      <w:bookmarkStart w:id="1204" w:name="_Toc4063"/>
      <w:bookmarkStart w:id="1205" w:name="_Toc22792"/>
      <w:bookmarkStart w:id="1206" w:name="_Toc515647780"/>
      <w:bookmarkStart w:id="1207" w:name="_Toc21667"/>
      <w:bookmarkStart w:id="1208" w:name="_Toc10550"/>
      <w:bookmarkStart w:id="1209" w:name="_Toc26266"/>
      <w:bookmarkStart w:id="1210" w:name="_Toc10746"/>
      <w:bookmarkStart w:id="1211" w:name="_Toc19296"/>
      <w:bookmarkStart w:id="1212" w:name="_Toc22770"/>
      <w:bookmarkStart w:id="1213" w:name="_Toc18233"/>
      <w:bookmarkStart w:id="1214" w:name="_Toc18228"/>
      <w:bookmarkStart w:id="1215" w:name="_Toc2316"/>
      <w:bookmarkStart w:id="1216" w:name="_Toc28586"/>
      <w:bookmarkStart w:id="1217" w:name="_Toc16864"/>
      <w:bookmarkStart w:id="1218" w:name="_Toc5052"/>
      <w:r>
        <w:rPr>
          <w:rFonts w:hint="eastAsia" w:ascii="微软雅黑" w:hAnsi="微软雅黑" w:eastAsia="微软雅黑" w:cs="微软雅黑"/>
          <w:b/>
          <w:bCs/>
          <w:color w:val="auto"/>
          <w:kern w:val="2"/>
          <w:sz w:val="24"/>
          <w:szCs w:val="24"/>
          <w:highlight w:val="none"/>
          <w:u w:val="none"/>
          <w:lang w:val="en-US" w:eastAsia="zh-CN" w:bidi="ar-SA"/>
        </w:rPr>
        <w:t>18.开标</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bookmarkEnd w:id="1201"/>
    <w:p w14:paraId="6A380195">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lang w:eastAsia="zh-CN"/>
        </w:rPr>
      </w:pPr>
      <w:bookmarkStart w:id="1219" w:name="_Toc1687"/>
      <w:bookmarkStart w:id="1220" w:name="_Toc8996"/>
      <w:bookmarkStart w:id="1221" w:name="_Toc24244"/>
      <w:bookmarkStart w:id="1222" w:name="_Toc13596"/>
      <w:bookmarkStart w:id="1223" w:name="_Toc24046"/>
      <w:bookmarkStart w:id="1224" w:name="_Toc23873"/>
      <w:bookmarkStart w:id="1225" w:name="_Toc11617"/>
      <w:r>
        <w:rPr>
          <w:rFonts w:hint="eastAsia" w:ascii="微软雅黑" w:hAnsi="微软雅黑" w:eastAsia="微软雅黑" w:cs="微软雅黑"/>
          <w:color w:val="auto"/>
          <w:sz w:val="24"/>
          <w:szCs w:val="24"/>
          <w:highlight w:val="none"/>
          <w:lang w:val="en-US" w:eastAsia="zh-CN"/>
        </w:rPr>
        <w:t>18.1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供应商按照须知资料表中规定的开标时间和地点，在规定时间内上传投标文件。</w:t>
      </w:r>
    </w:p>
    <w:p w14:paraId="481D750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18.2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b/>
          <w:bCs/>
          <w:color w:val="auto"/>
          <w:sz w:val="24"/>
          <w:szCs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微软雅黑" w:hAnsi="微软雅黑" w:eastAsia="微软雅黑" w:cs="微软雅黑"/>
          <w:b/>
          <w:bCs/>
          <w:color w:val="auto"/>
          <w:sz w:val="24"/>
          <w:szCs w:val="24"/>
          <w:highlight w:val="none"/>
          <w:lang w:val="en-US" w:eastAsia="zh-CN"/>
        </w:rPr>
        <w:t>投标</w:t>
      </w:r>
      <w:r>
        <w:rPr>
          <w:rFonts w:hint="eastAsia" w:ascii="微软雅黑" w:hAnsi="微软雅黑" w:eastAsia="微软雅黑" w:cs="微软雅黑"/>
          <w:b/>
          <w:bCs/>
          <w:color w:val="auto"/>
          <w:sz w:val="24"/>
          <w:szCs w:val="24"/>
          <w:highlight w:val="none"/>
          <w:lang w:eastAsia="zh-CN"/>
        </w:rPr>
        <w:t>，将被认定为无效投标。请供应商提前调试好CA锁，确定在操作时能正常使用。</w:t>
      </w:r>
      <w:r>
        <w:rPr>
          <w:rFonts w:hint="eastAsia" w:ascii="微软雅黑" w:hAnsi="微软雅黑" w:eastAsia="微软雅黑" w:cs="微软雅黑"/>
          <w:color w:val="auto"/>
          <w:sz w:val="24"/>
          <w:szCs w:val="24"/>
          <w:highlight w:val="none"/>
          <w:lang w:eastAsia="zh-CN"/>
        </w:rPr>
        <w:t xml:space="preserve">  </w:t>
      </w:r>
    </w:p>
    <w:p w14:paraId="1CAE3D03">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18.3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b/>
          <w:bCs/>
          <w:color w:val="auto"/>
          <w:sz w:val="24"/>
          <w:szCs w:val="24"/>
          <w:highlight w:val="none"/>
          <w:lang w:eastAsia="zh-CN"/>
        </w:rPr>
        <w:t>在开标记录时，代理机构开启签字时段，须供应商使用CA锁在政采云平台进行签字确认报价。</w:t>
      </w:r>
    </w:p>
    <w:p w14:paraId="0BA96C6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18.4</w:t>
      </w:r>
      <w:r>
        <w:rPr>
          <w:rFonts w:hint="eastAsia" w:ascii="微软雅黑" w:hAnsi="微软雅黑" w:eastAsia="微软雅黑" w:cs="微软雅黑"/>
          <w:color w:val="auto"/>
          <w:sz w:val="24"/>
          <w:szCs w:val="24"/>
          <w:highlight w:val="none"/>
          <w:lang w:eastAsia="zh-CN"/>
        </w:rPr>
        <w:t xml:space="preserve"> 采购人</w:t>
      </w:r>
      <w:r>
        <w:rPr>
          <w:rFonts w:hint="eastAsia" w:ascii="微软雅黑" w:hAnsi="微软雅黑" w:eastAsia="微软雅黑" w:cs="微软雅黑"/>
          <w:color w:val="auto"/>
          <w:sz w:val="24"/>
          <w:szCs w:val="24"/>
          <w:highlight w:val="none"/>
          <w:lang w:val="en-US" w:eastAsia="zh-CN"/>
        </w:rPr>
        <w:t>登录政采云平台对供应商的资格证明材料进行审查。</w:t>
      </w:r>
    </w:p>
    <w:p w14:paraId="5805EC40">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226" w:name="_Toc17379"/>
      <w:bookmarkStart w:id="1227" w:name="_Toc10582"/>
      <w:bookmarkStart w:id="1228" w:name="_Toc6355"/>
      <w:bookmarkStart w:id="1229" w:name="_Toc24084"/>
      <w:bookmarkStart w:id="1230" w:name="_Toc28842"/>
      <w:bookmarkStart w:id="1231" w:name="_Toc26822"/>
      <w:bookmarkStart w:id="1232" w:name="_Toc9876"/>
      <w:bookmarkStart w:id="1233" w:name="_Toc929"/>
      <w:bookmarkStart w:id="1234" w:name="_Toc11694"/>
      <w:bookmarkStart w:id="1235" w:name="_Toc28437"/>
      <w:bookmarkStart w:id="1236" w:name="_Toc7092"/>
      <w:bookmarkStart w:id="1237" w:name="_Toc29135"/>
      <w:bookmarkStart w:id="1238" w:name="_Toc30321"/>
      <w:bookmarkStart w:id="1239" w:name="_Toc4245"/>
      <w:bookmarkStart w:id="1240" w:name="_Toc30996"/>
      <w:bookmarkStart w:id="1241" w:name="_Toc2931"/>
      <w:bookmarkStart w:id="1242" w:name="_Toc10437"/>
      <w:bookmarkStart w:id="1243" w:name="_Toc26580"/>
      <w:bookmarkStart w:id="1244" w:name="_Toc27802"/>
      <w:bookmarkStart w:id="1245" w:name="_Toc15264"/>
      <w:bookmarkStart w:id="1246" w:name="_Toc10879"/>
      <w:bookmarkStart w:id="1247" w:name="_Toc26020"/>
      <w:bookmarkStart w:id="1248" w:name="_Toc27002"/>
      <w:bookmarkStart w:id="1249" w:name="_Toc5990"/>
      <w:bookmarkStart w:id="1250" w:name="_Toc16943"/>
      <w:bookmarkStart w:id="1251" w:name="_Toc4009"/>
      <w:bookmarkStart w:id="1252" w:name="_Toc20729"/>
      <w:bookmarkStart w:id="1253" w:name="_Toc19959"/>
      <w:bookmarkStart w:id="1254" w:name="_Toc20262"/>
      <w:bookmarkStart w:id="1255" w:name="_Toc17081"/>
      <w:bookmarkStart w:id="1256" w:name="_Toc3098"/>
      <w:bookmarkStart w:id="1257" w:name="_Toc16485"/>
      <w:bookmarkStart w:id="1258" w:name="_Toc13972"/>
      <w:bookmarkStart w:id="1259" w:name="_Toc1852"/>
      <w:bookmarkStart w:id="1260" w:name="_Toc11014"/>
      <w:bookmarkStart w:id="1261" w:name="_Toc2680"/>
      <w:bookmarkStart w:id="1262" w:name="_Toc27732"/>
      <w:bookmarkStart w:id="1263" w:name="_Toc23705"/>
      <w:bookmarkStart w:id="1264" w:name="_Toc11038"/>
      <w:bookmarkStart w:id="1265" w:name="_Toc10614"/>
      <w:r>
        <w:rPr>
          <w:rFonts w:hint="eastAsia" w:ascii="微软雅黑" w:hAnsi="微软雅黑" w:eastAsia="微软雅黑" w:cs="微软雅黑"/>
          <w:b/>
          <w:bCs/>
          <w:color w:val="auto"/>
          <w:kern w:val="2"/>
          <w:sz w:val="24"/>
          <w:szCs w:val="24"/>
          <w:highlight w:val="none"/>
          <w:u w:val="none"/>
          <w:lang w:val="en-US" w:eastAsia="zh-CN" w:bidi="ar-SA"/>
        </w:rPr>
        <w:t>19.资格审查及组建评标委员会</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405FC2E3">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19.1</w:t>
      </w:r>
      <w:r>
        <w:rPr>
          <w:rFonts w:hint="eastAsia" w:ascii="微软雅黑" w:hAnsi="微软雅黑" w:eastAsia="微软雅黑" w:cs="微软雅黑"/>
          <w:color w:val="auto"/>
          <w:sz w:val="24"/>
          <w:szCs w:val="24"/>
          <w:highlight w:val="none"/>
          <w:lang w:eastAsia="zh-CN"/>
        </w:rPr>
        <w:t xml:space="preserve"> </w:t>
      </w:r>
      <w:r>
        <w:rPr>
          <w:rFonts w:hint="eastAsia" w:ascii="微软雅黑" w:hAnsi="微软雅黑" w:eastAsia="微软雅黑" w:cs="微软雅黑"/>
          <w:color w:val="auto"/>
          <w:sz w:val="24"/>
          <w:szCs w:val="24"/>
          <w:highlight w:val="none"/>
        </w:rPr>
        <w:t>采购人依据法律法规和</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中规定的内容，对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资格进行审查</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
          <w:bCs/>
          <w:color w:val="auto"/>
          <w:sz w:val="24"/>
          <w:szCs w:val="24"/>
          <w:highlight w:val="none"/>
        </w:rPr>
        <w:t>本项目审查内容如下</w:t>
      </w:r>
      <w:r>
        <w:rPr>
          <w:rFonts w:hint="eastAsia" w:ascii="微软雅黑" w:hAnsi="微软雅黑" w:eastAsia="微软雅黑" w:cs="微软雅黑"/>
          <w:b/>
          <w:bCs/>
          <w:i w:val="0"/>
          <w:caps w:val="0"/>
          <w:color w:val="auto"/>
          <w:spacing w:val="0"/>
          <w:w w:val="100"/>
          <w:sz w:val="24"/>
          <w:szCs w:val="24"/>
          <w:highlight w:val="none"/>
          <w:lang w:eastAsia="zh-CN"/>
        </w:rPr>
        <w:t>（</w:t>
      </w:r>
      <w:r>
        <w:rPr>
          <w:rFonts w:hint="eastAsia" w:ascii="微软雅黑" w:hAnsi="微软雅黑" w:eastAsia="微软雅黑" w:cs="微软雅黑"/>
          <w:b/>
          <w:bCs/>
          <w:i w:val="0"/>
          <w:caps w:val="0"/>
          <w:color w:val="auto"/>
          <w:spacing w:val="0"/>
          <w:w w:val="100"/>
          <w:sz w:val="24"/>
          <w:szCs w:val="24"/>
          <w:highlight w:val="none"/>
        </w:rPr>
        <w:t>本项目</w:t>
      </w:r>
      <w:r>
        <w:rPr>
          <w:rFonts w:hint="eastAsia" w:ascii="微软雅黑" w:hAnsi="微软雅黑" w:eastAsia="微软雅黑" w:cs="微软雅黑"/>
          <w:b/>
          <w:bCs/>
          <w:i w:val="0"/>
          <w:caps w:val="0"/>
          <w:color w:val="auto"/>
          <w:spacing w:val="0"/>
          <w:w w:val="100"/>
          <w:sz w:val="24"/>
          <w:szCs w:val="24"/>
          <w:highlight w:val="none"/>
          <w:lang w:val="en-US" w:eastAsia="zh-CN"/>
        </w:rPr>
        <w:t>资格审查资料须附在投标文件中</w:t>
      </w:r>
      <w:r>
        <w:rPr>
          <w:rFonts w:hint="eastAsia" w:ascii="微软雅黑" w:hAnsi="微软雅黑" w:eastAsia="微软雅黑" w:cs="微软雅黑"/>
          <w:b/>
          <w:bCs/>
          <w:i w:val="0"/>
          <w:caps w:val="0"/>
          <w:color w:val="auto"/>
          <w:spacing w:val="0"/>
          <w:w w:val="100"/>
          <w:sz w:val="24"/>
          <w:szCs w:val="24"/>
          <w:highlight w:val="none"/>
          <w:lang w:eastAsia="zh-CN"/>
        </w:rPr>
        <w:t>）</w:t>
      </w:r>
      <w:r>
        <w:rPr>
          <w:rFonts w:hint="eastAsia" w:ascii="微软雅黑" w:hAnsi="微软雅黑" w:eastAsia="微软雅黑" w:cs="微软雅黑"/>
          <w:b/>
          <w:bCs/>
          <w:color w:val="auto"/>
          <w:sz w:val="24"/>
          <w:szCs w:val="24"/>
          <w:highlight w:val="none"/>
        </w:rPr>
        <w:t>：</w:t>
      </w:r>
    </w:p>
    <w:p w14:paraId="540BF24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（1）具</w:t>
      </w:r>
      <w:r>
        <w:rPr>
          <w:rFonts w:hint="eastAsia" w:ascii="微软雅黑" w:hAnsi="微软雅黑" w:eastAsia="微软雅黑" w:cs="微软雅黑"/>
          <w:b/>
          <w:bCs/>
          <w:color w:val="auto"/>
          <w:sz w:val="24"/>
          <w:szCs w:val="24"/>
          <w:highlight w:val="none"/>
          <w:lang w:val="en-US" w:eastAsia="zh-CN"/>
        </w:rPr>
        <w:t>有有效的营业执照；</w:t>
      </w:r>
    </w:p>
    <w:p w14:paraId="5EBFC606">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（2）法定代表人本人投标需提供法定代表人身份证及法定代表人资格证明书;授权委托人投标需提供法定代表人授权委托书、法定代表人身份证复印件及被授权委托人身份证；</w:t>
      </w:r>
    </w:p>
    <w:p w14:paraId="00641B9B">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（3）</w:t>
      </w:r>
      <w:r>
        <w:rPr>
          <w:rFonts w:hint="eastAsia" w:ascii="微软雅黑" w:hAnsi="微软雅黑" w:eastAsia="微软雅黑" w:cs="微软雅黑"/>
          <w:b/>
          <w:bCs/>
          <w:color w:val="auto"/>
          <w:sz w:val="24"/>
          <w:szCs w:val="24"/>
          <w:highlight w:val="none"/>
          <w:lang w:val="en-US" w:eastAsia="zh-CN"/>
        </w:rPr>
        <w:t>提供近两年内任意一年的财务审计报告（成立未满十二个月的新公司可提供近三个月内任意一个月的银行资信证明）；</w:t>
      </w:r>
    </w:p>
    <w:p w14:paraId="5E47DD5A">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（4）</w:t>
      </w:r>
      <w:r>
        <w:rPr>
          <w:rFonts w:hint="eastAsia" w:ascii="微软雅黑" w:hAnsi="微软雅黑" w:eastAsia="微软雅黑" w:cs="微软雅黑"/>
          <w:b/>
          <w:bCs/>
          <w:color w:val="auto"/>
          <w:sz w:val="24"/>
          <w:szCs w:val="24"/>
          <w:highlight w:val="none"/>
          <w:lang w:val="en-US" w:eastAsia="zh-CN"/>
        </w:rPr>
        <w:t>依法缴纳近六个月内任意一个月的社会保险证明</w:t>
      </w:r>
      <w:r>
        <w:rPr>
          <w:rFonts w:hint="eastAsia" w:ascii="微软雅黑" w:hAnsi="微软雅黑" w:eastAsia="微软雅黑" w:cs="微软雅黑"/>
          <w:b/>
          <w:bCs/>
          <w:i w:val="0"/>
          <w:caps w:val="0"/>
          <w:color w:val="auto"/>
          <w:spacing w:val="0"/>
          <w:w w:val="100"/>
          <w:sz w:val="24"/>
          <w:szCs w:val="24"/>
          <w:highlight w:val="none"/>
          <w:lang w:val="en-US" w:eastAsia="zh-CN"/>
        </w:rPr>
        <w:t>；</w:t>
      </w:r>
    </w:p>
    <w:p w14:paraId="1320CF3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（5）依法缴纳近六个月内任意一个月的税收证明；</w:t>
      </w:r>
    </w:p>
    <w:p w14:paraId="1E2331B0">
      <w:pPr>
        <w:keepNext w:val="0"/>
        <w:keepLines w:val="0"/>
        <w:pageBreakBefore w:val="0"/>
        <w:widowControl/>
        <w:kinsoku/>
        <w:wordWrap w:val="0"/>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16E03E0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（7）参加政府采购活动前三年内在经营活动中没有重大违法记录的书面声明；</w:t>
      </w:r>
    </w:p>
    <w:p w14:paraId="57EFB73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sz w:val="24"/>
          <w:szCs w:val="24"/>
          <w:highlight w:val="none"/>
          <w:lang w:val="en-US" w:eastAsia="zh-CN"/>
        </w:rPr>
        <w:t>（8）</w:t>
      </w:r>
      <w:r>
        <w:rPr>
          <w:rFonts w:hint="eastAsia" w:ascii="微软雅黑" w:hAnsi="微软雅黑" w:eastAsia="微软雅黑" w:cs="微软雅黑"/>
          <w:b/>
          <w:bCs/>
          <w:color w:val="auto"/>
          <w:kern w:val="2"/>
          <w:sz w:val="24"/>
          <w:szCs w:val="24"/>
          <w:highlight w:val="none"/>
          <w:lang w:val="en-US" w:eastAsia="zh-CN" w:bidi="ar-SA"/>
        </w:rPr>
        <w:t>供应商须具有《劳务派遣经营许可证》或《人力资源服务许可证》；</w:t>
      </w:r>
    </w:p>
    <w:p w14:paraId="6E06346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（9）缴纳投标保证金的有效凭证。</w:t>
      </w:r>
    </w:p>
    <w:p w14:paraId="2F869B4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rPr>
        <w:t>各供应商应注意以下事项：①本项目要求各投标供应商提供“</w:t>
      </w:r>
      <w:r>
        <w:rPr>
          <w:rFonts w:hint="eastAsia" w:ascii="微软雅黑" w:hAnsi="微软雅黑" w:eastAsia="微软雅黑" w:cs="微软雅黑"/>
          <w:b/>
          <w:bCs/>
          <w:i w:val="0"/>
          <w:caps w:val="0"/>
          <w:color w:val="auto"/>
          <w:spacing w:val="0"/>
          <w:w w:val="100"/>
          <w:sz w:val="24"/>
          <w:szCs w:val="24"/>
          <w:highlight w:val="none"/>
          <w:lang w:eastAsia="zh-CN"/>
        </w:rPr>
        <w:t>依法缴纳近六个月内任意一个月的税收证明</w:t>
      </w:r>
      <w:r>
        <w:rPr>
          <w:rFonts w:hint="eastAsia" w:ascii="微软雅黑" w:hAnsi="微软雅黑" w:eastAsia="微软雅黑" w:cs="微软雅黑"/>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微软雅黑" w:hAnsi="微软雅黑" w:eastAsia="微软雅黑" w:cs="微软雅黑"/>
          <w:b/>
          <w:bCs/>
          <w:i w:val="0"/>
          <w:caps w:val="0"/>
          <w:color w:val="auto"/>
          <w:spacing w:val="0"/>
          <w:w w:val="100"/>
          <w:sz w:val="24"/>
          <w:szCs w:val="24"/>
          <w:highlight w:val="none"/>
          <w:lang w:eastAsia="zh-CN"/>
        </w:rPr>
        <w:t>。</w:t>
      </w:r>
    </w:p>
    <w:p w14:paraId="40C2778A">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未通过资格审查的供应商不进入评标；通过资格审查的供应商少于三家的，不得评标。</w:t>
      </w:r>
    </w:p>
    <w:p w14:paraId="35D8842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19.2   </w:t>
      </w:r>
      <w:r>
        <w:rPr>
          <w:rFonts w:hint="eastAsia" w:ascii="微软雅黑" w:hAnsi="微软雅黑" w:eastAsia="微软雅黑" w:cs="微软雅黑"/>
          <w:color w:val="auto"/>
          <w:sz w:val="24"/>
          <w:szCs w:val="24"/>
          <w:highlight w:val="none"/>
          <w:lang w:eastAsia="zh-CN"/>
        </w:rPr>
        <w:t>采购人将在开标截止时间至投标截止后1小时的期间内查询供应商的信用记录。供应商存在不良信用记录的，其投标将被认定为</w:t>
      </w:r>
      <w:r>
        <w:rPr>
          <w:rFonts w:hint="eastAsia" w:ascii="微软雅黑" w:hAnsi="微软雅黑" w:eastAsia="微软雅黑" w:cs="微软雅黑"/>
          <w:b/>
          <w:bCs/>
          <w:color w:val="auto"/>
          <w:sz w:val="24"/>
          <w:szCs w:val="24"/>
          <w:highlight w:val="none"/>
          <w:lang w:eastAsia="zh-CN"/>
        </w:rPr>
        <w:t>投标无效</w:t>
      </w:r>
      <w:r>
        <w:rPr>
          <w:rFonts w:hint="eastAsia" w:ascii="微软雅黑" w:hAnsi="微软雅黑" w:eastAsia="微软雅黑" w:cs="微软雅黑"/>
          <w:b/>
          <w:bCs/>
          <w:color w:val="auto"/>
          <w:sz w:val="24"/>
          <w:szCs w:val="24"/>
          <w:highlight w:val="none"/>
        </w:rPr>
        <w:t>。</w:t>
      </w:r>
    </w:p>
    <w:p w14:paraId="4341CC4D">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19.2.1 不良信用记录指：供应商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w:t>
      </w:r>
    </w:p>
    <w:p w14:paraId="55FE07EB">
      <w:pPr>
        <w:pageBreakBefore w:val="0"/>
        <w:widowControl w:val="0"/>
        <w:kinsoku/>
        <w:wordWrap/>
        <w:overflowPunct/>
        <w:topLinePunct w:val="0"/>
        <w:bidi w:val="0"/>
        <w:spacing w:line="360" w:lineRule="exact"/>
        <w:ind w:left="958" w:leftChars="456" w:firstLine="60" w:firstLineChars="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4C419FB2">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19.2.2 查询及记录方式：采购人将查询网页打印、签字并存档备查。</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不良信用记录以采购人或采购代理机构查询结果为准。</w:t>
      </w:r>
    </w:p>
    <w:p w14:paraId="529F84DC">
      <w:pPr>
        <w:pStyle w:val="7"/>
        <w:pageBreakBefore w:val="0"/>
        <w:widowControl w:val="0"/>
        <w:kinsoku/>
        <w:wordWrap/>
        <w:overflowPunct/>
        <w:topLinePunct w:val="0"/>
        <w:bidi w:val="0"/>
        <w:spacing w:line="360" w:lineRule="exact"/>
        <w:ind w:left="0" w:leftChars="0" w:firstLine="0"/>
        <w:jc w:val="both"/>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在本招标文件规定的查询时间之后，网站信息发生的任何变更均不再作为评标依据。</w:t>
      </w:r>
    </w:p>
    <w:p w14:paraId="6FB3F264">
      <w:pPr>
        <w:pStyle w:val="7"/>
        <w:pageBreakBefore w:val="0"/>
        <w:widowControl w:val="0"/>
        <w:kinsoku/>
        <w:wordWrap/>
        <w:overflowPunct/>
        <w:topLinePunct w:val="0"/>
        <w:bidi w:val="0"/>
        <w:spacing w:line="360" w:lineRule="exact"/>
        <w:ind w:left="0" w:leftChars="0" w:firstLine="0"/>
        <w:jc w:val="both"/>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自行提供的与网站信息不一致的其他证明材料亦不作为资格审查依据。</w:t>
      </w:r>
    </w:p>
    <w:p w14:paraId="601A7AD0">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xml:space="preserve">19.3  </w:t>
      </w:r>
      <w:bookmarkStart w:id="1266" w:name="_Toc520356166"/>
      <w:r>
        <w:rPr>
          <w:rFonts w:hint="eastAsia" w:ascii="微软雅黑" w:hAnsi="微软雅黑" w:eastAsia="微软雅黑" w:cs="微软雅黑"/>
          <w:color w:val="auto"/>
          <w:sz w:val="24"/>
          <w:szCs w:val="24"/>
          <w:highlight w:val="none"/>
        </w:rPr>
        <w:t>按照《中华人民共和国政府采购法》、《中华人民共和国政府采购法实施条例》及本项目本级和上级财政部门的有关规定依法组建的评标委员会，负责评标工作</w:t>
      </w:r>
      <w:r>
        <w:rPr>
          <w:rFonts w:hint="eastAsia" w:ascii="微软雅黑" w:hAnsi="微软雅黑" w:eastAsia="微软雅黑" w:cs="微软雅黑"/>
          <w:b w:val="0"/>
          <w:bCs w:val="0"/>
          <w:color w:val="auto"/>
          <w:sz w:val="24"/>
          <w:szCs w:val="24"/>
          <w:highlight w:val="none"/>
        </w:rPr>
        <w:t>。</w:t>
      </w:r>
      <w:r>
        <w:rPr>
          <w:rFonts w:hint="eastAsia" w:ascii="微软雅黑" w:hAnsi="微软雅黑" w:eastAsia="微软雅黑" w:cs="微软雅黑"/>
          <w:b/>
          <w:bCs/>
          <w:color w:val="auto"/>
          <w:sz w:val="24"/>
          <w:szCs w:val="24"/>
          <w:highlight w:val="none"/>
        </w:rPr>
        <w:t>本项目评标委员会由</w:t>
      </w: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人组成</w:t>
      </w:r>
      <w:r>
        <w:rPr>
          <w:rFonts w:hint="eastAsia" w:ascii="微软雅黑" w:hAnsi="微软雅黑" w:eastAsia="微软雅黑" w:cs="微软雅黑"/>
          <w:b/>
          <w:bCs/>
          <w:color w:val="auto"/>
          <w:sz w:val="24"/>
          <w:szCs w:val="24"/>
          <w:highlight w:val="none"/>
          <w:lang w:eastAsia="zh-CN"/>
        </w:rPr>
        <w:t>。</w:t>
      </w:r>
    </w:p>
    <w:p w14:paraId="2AA913E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267" w:name="_Toc8432"/>
      <w:bookmarkStart w:id="1268" w:name="_Toc32378"/>
      <w:bookmarkStart w:id="1269" w:name="_Toc22201"/>
      <w:bookmarkStart w:id="1270" w:name="_Toc13448"/>
      <w:bookmarkStart w:id="1271" w:name="_Toc21640"/>
      <w:bookmarkStart w:id="1272" w:name="_Toc18436"/>
      <w:bookmarkStart w:id="1273" w:name="_Toc14018"/>
      <w:bookmarkStart w:id="1274" w:name="_Toc28320"/>
      <w:bookmarkStart w:id="1275" w:name="_Toc20572"/>
      <w:bookmarkStart w:id="1276" w:name="_Toc27593"/>
      <w:bookmarkStart w:id="1277" w:name="_Toc22021"/>
      <w:bookmarkStart w:id="1278" w:name="_Toc15504"/>
      <w:bookmarkStart w:id="1279" w:name="_Toc827"/>
      <w:bookmarkStart w:id="1280" w:name="_Toc14028"/>
      <w:bookmarkStart w:id="1281" w:name="_Toc11618"/>
      <w:bookmarkStart w:id="1282" w:name="_Toc22105"/>
      <w:bookmarkStart w:id="1283" w:name="_Toc6771"/>
      <w:bookmarkStart w:id="1284" w:name="_Toc28568"/>
      <w:bookmarkStart w:id="1285" w:name="_Toc18175"/>
      <w:bookmarkStart w:id="1286" w:name="_Toc19094"/>
      <w:bookmarkStart w:id="1287" w:name="_Toc14200"/>
      <w:bookmarkStart w:id="1288" w:name="_Toc22736"/>
      <w:bookmarkStart w:id="1289" w:name="_Toc3936"/>
      <w:bookmarkStart w:id="1290" w:name="_Toc30436"/>
      <w:bookmarkStart w:id="1291" w:name="_Toc22009"/>
      <w:bookmarkStart w:id="1292" w:name="_Toc200"/>
      <w:bookmarkStart w:id="1293" w:name="_Toc12543"/>
      <w:bookmarkStart w:id="1294" w:name="_Toc15612"/>
      <w:bookmarkStart w:id="1295" w:name="_Toc4663"/>
      <w:bookmarkStart w:id="1296" w:name="_Toc13892"/>
      <w:bookmarkStart w:id="1297" w:name="_Toc19650"/>
      <w:bookmarkStart w:id="1298" w:name="_Toc731"/>
      <w:bookmarkStart w:id="1299" w:name="_Toc515647781"/>
      <w:bookmarkStart w:id="1300" w:name="_Toc6280"/>
      <w:bookmarkStart w:id="1301" w:name="_Toc25564"/>
      <w:bookmarkStart w:id="1302" w:name="_Toc21876"/>
      <w:bookmarkStart w:id="1303" w:name="_Toc22431"/>
      <w:bookmarkStart w:id="1304" w:name="_Toc372"/>
      <w:bookmarkStart w:id="1305" w:name="_Toc8129"/>
      <w:bookmarkStart w:id="1306" w:name="_Toc20834"/>
      <w:bookmarkStart w:id="1307" w:name="_Toc19949"/>
      <w:bookmarkStart w:id="1308" w:name="_Toc3373"/>
      <w:bookmarkStart w:id="1309" w:name="_Toc23213"/>
      <w:bookmarkStart w:id="1310" w:name="_Toc21538"/>
      <w:bookmarkStart w:id="1311" w:name="_Toc21185"/>
      <w:bookmarkStart w:id="1312" w:name="_Toc29500"/>
      <w:bookmarkStart w:id="1313" w:name="_Toc10732"/>
      <w:bookmarkStart w:id="1314" w:name="_Toc13188"/>
      <w:bookmarkStart w:id="1315" w:name="_Toc7962"/>
      <w:bookmarkStart w:id="1316" w:name="_Toc19442"/>
      <w:bookmarkStart w:id="1317" w:name="_Toc31534"/>
      <w:bookmarkStart w:id="1318" w:name="_Toc16336"/>
      <w:bookmarkStart w:id="1319" w:name="_Toc4062"/>
      <w:bookmarkStart w:id="1320" w:name="_Toc19722"/>
      <w:bookmarkStart w:id="1321" w:name="_Toc11001"/>
      <w:bookmarkStart w:id="1322" w:name="_Toc15270"/>
      <w:bookmarkStart w:id="1323" w:name="_Toc1091"/>
      <w:bookmarkStart w:id="1324" w:name="_Toc18369"/>
      <w:bookmarkStart w:id="1325" w:name="_Toc23363"/>
      <w:bookmarkStart w:id="1326" w:name="_Toc27615"/>
      <w:bookmarkStart w:id="1327" w:name="_Toc14377"/>
      <w:bookmarkStart w:id="1328" w:name="_Toc26884"/>
      <w:bookmarkStart w:id="1329" w:name="_Toc28479"/>
      <w:bookmarkStart w:id="1330" w:name="_Toc331"/>
      <w:r>
        <w:rPr>
          <w:rFonts w:hint="eastAsia" w:ascii="微软雅黑" w:hAnsi="微软雅黑" w:eastAsia="微软雅黑" w:cs="微软雅黑"/>
          <w:b/>
          <w:bCs/>
          <w:color w:val="auto"/>
          <w:kern w:val="2"/>
          <w:sz w:val="24"/>
          <w:szCs w:val="24"/>
          <w:highlight w:val="none"/>
          <w:u w:val="none"/>
          <w:lang w:val="en-US" w:eastAsia="zh-CN" w:bidi="ar-SA"/>
        </w:rPr>
        <w:t>20.投标文件</w:t>
      </w:r>
      <w:bookmarkEnd w:id="1266"/>
      <w:r>
        <w:rPr>
          <w:rFonts w:hint="eastAsia" w:ascii="微软雅黑" w:hAnsi="微软雅黑" w:eastAsia="微软雅黑" w:cs="微软雅黑"/>
          <w:b/>
          <w:bCs/>
          <w:color w:val="auto"/>
          <w:kern w:val="2"/>
          <w:sz w:val="24"/>
          <w:szCs w:val="24"/>
          <w:highlight w:val="none"/>
          <w:u w:val="none"/>
          <w:lang w:val="en-US" w:eastAsia="zh-CN" w:bidi="ar-SA"/>
        </w:rPr>
        <w:t>符合性审查与澄清</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677FBBF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1331" w:name="_Hlt522424701"/>
      <w:bookmarkEnd w:id="1331"/>
      <w:bookmarkStart w:id="1332" w:name="_Toc520356167"/>
    </w:p>
    <w:p w14:paraId="22C357A9">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投标文件的澄清</w:t>
      </w:r>
    </w:p>
    <w:p w14:paraId="35A4696D">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20.2.1  在评标期间，评标委员会将以书面方式要求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对其投标文件中含义不明确、对同类问题表述不一致或者有明显文字和计算错误的内容，以及评标委员会认为</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的报价明显低于其他通过符合性检查</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的报价，有可能影响履约的情况作必要的澄清、说明或补正。</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的澄清、说明或补正应在评标委员会规定的时间内以书面方式进行，并不得超出投标文件范围或者改变投标文件的实质性内容。</w:t>
      </w:r>
    </w:p>
    <w:p w14:paraId="2B703C72">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20.2.2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的的澄清、说明或补正将作为投标文件的一部分。</w:t>
      </w:r>
    </w:p>
    <w:p w14:paraId="613D3CAF">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  投标文件报价出现前后不一致的，按照下列规定修正：</w:t>
      </w:r>
    </w:p>
    <w:p w14:paraId="3C9CEEF7">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（一）投标文件中开标一览表（报价表）内容与投标文件中相应内容不一致的，以开标一览表（报价表）为准；</w:t>
      </w:r>
    </w:p>
    <w:p w14:paraId="065ADB0C">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（二）大写金额和小写金额不一致的，以大写金额为准；</w:t>
      </w:r>
    </w:p>
    <w:p w14:paraId="26D0D690">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（三）单价金额小数点或者百分比有明显错位的，以开标一览表的总价为准，并修改单价；</w:t>
      </w:r>
    </w:p>
    <w:p w14:paraId="62F1EFEA">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（四）总价金额与按单价汇总金额不一致的，以单价金额计算结果为准。</w:t>
      </w:r>
    </w:p>
    <w:p w14:paraId="1EBFDE08">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同时出现两种以上不一致的，按照前款规定的顺序修正。修正后的报价按照第20.2条的规定经</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确认后产生约束力，</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不确认的，其投标将被认定为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。对不同文字文本投标文件的解释发生异议的，以中文文本为准。</w:t>
      </w:r>
    </w:p>
    <w:p w14:paraId="333A45B5">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   如一个分</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内只有一种产品，不同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所投产品为同一品牌的，按如下方式处理：</w:t>
      </w:r>
    </w:p>
    <w:p w14:paraId="50FE5E73">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20.4.1  如本项目使用最低评标价法，提供相同品牌产品的不同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；未规定的采取随机抽取方式确定，其他投标将被认定为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150F315D">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20.4.2  如本项目使用综合评分法，提供相同品牌产品且通过资格审查、符合性审查的不同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，按一家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计算，评审后得分最高的同品牌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获得中标人推荐资格；评审得分相同的，由采购人或者采购人委托评标委员会按照招标文件中评标办法规定的方式确定一个</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获得中标人推荐资格；未规定的采取随机抽取方式确定，其他同品牌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不作为中标候选人。</w:t>
      </w:r>
    </w:p>
    <w:p w14:paraId="74AD7DA7">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20.5   如一个分标项内包含多种产品的，采购人或采购代理机构将在供应商须知资料表中载明核心产品，多家供应商提供的核心产品品牌相同的，按第 20.4条规定处理。</w:t>
      </w:r>
    </w:p>
    <w:p w14:paraId="18CC15C6">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7745FC64">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如采购人所采购产品为政府强制采购的节能产品，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所投产品的品牌及型号必须为清单中有效期内产品并提供证明文件，否则其投标将被认定为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30F2E3E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333" w:name="_Toc2721"/>
      <w:bookmarkStart w:id="1334" w:name="_Toc21658"/>
      <w:bookmarkStart w:id="1335" w:name="_Toc26226"/>
      <w:bookmarkStart w:id="1336" w:name="_Toc22"/>
      <w:bookmarkStart w:id="1337" w:name="_Toc17410"/>
      <w:bookmarkStart w:id="1338" w:name="_Toc7698"/>
      <w:bookmarkStart w:id="1339" w:name="_Toc30334"/>
      <w:bookmarkStart w:id="1340" w:name="_Toc7847"/>
      <w:bookmarkStart w:id="1341" w:name="_Toc6364"/>
      <w:bookmarkStart w:id="1342" w:name="_Toc27455"/>
      <w:bookmarkStart w:id="1343" w:name="_Toc28138"/>
      <w:bookmarkStart w:id="1344" w:name="_Toc7304"/>
      <w:bookmarkStart w:id="1345" w:name="_Toc28830"/>
      <w:bookmarkStart w:id="1346" w:name="_Toc21796"/>
      <w:bookmarkStart w:id="1347" w:name="_Toc17945"/>
      <w:bookmarkStart w:id="1348" w:name="_Toc16070"/>
      <w:bookmarkStart w:id="1349" w:name="_Toc15001"/>
      <w:bookmarkStart w:id="1350" w:name="_Toc26698"/>
      <w:bookmarkStart w:id="1351" w:name="_Toc9572"/>
      <w:bookmarkStart w:id="1352" w:name="_Toc24374"/>
      <w:bookmarkStart w:id="1353" w:name="_Toc1633"/>
      <w:bookmarkStart w:id="1354" w:name="_Toc22713"/>
      <w:bookmarkStart w:id="1355" w:name="_Toc17115"/>
      <w:bookmarkStart w:id="1356" w:name="_Toc11608"/>
      <w:bookmarkStart w:id="1357" w:name="_Toc22660"/>
      <w:bookmarkStart w:id="1358" w:name="_Toc30789"/>
      <w:bookmarkStart w:id="1359" w:name="_Toc14014"/>
      <w:bookmarkStart w:id="1360" w:name="_Toc21482"/>
      <w:bookmarkStart w:id="1361" w:name="_Toc14269"/>
      <w:bookmarkStart w:id="1362" w:name="_Toc7973"/>
      <w:bookmarkStart w:id="1363" w:name="_Toc3593"/>
      <w:bookmarkStart w:id="1364" w:name="_Toc515647782"/>
      <w:bookmarkStart w:id="1365" w:name="_Toc29292"/>
      <w:bookmarkStart w:id="1366" w:name="_Toc9469"/>
      <w:bookmarkStart w:id="1367" w:name="_Toc21138"/>
      <w:bookmarkStart w:id="1368" w:name="_Toc28431"/>
      <w:bookmarkStart w:id="1369" w:name="_Toc16606"/>
      <w:bookmarkStart w:id="1370" w:name="_Toc18062"/>
      <w:bookmarkStart w:id="1371" w:name="_Toc29295"/>
      <w:bookmarkStart w:id="1372" w:name="_Toc19042"/>
      <w:bookmarkStart w:id="1373" w:name="_Toc21891"/>
      <w:bookmarkStart w:id="1374" w:name="_Toc18009"/>
      <w:bookmarkStart w:id="1375" w:name="_Toc22191"/>
      <w:bookmarkStart w:id="1376" w:name="_Toc17867"/>
      <w:bookmarkStart w:id="1377" w:name="_Toc11050"/>
      <w:bookmarkStart w:id="1378" w:name="_Toc12301"/>
      <w:bookmarkStart w:id="1379" w:name="_Toc19621"/>
      <w:bookmarkStart w:id="1380" w:name="_Toc12142"/>
      <w:bookmarkStart w:id="1381" w:name="_Toc12161"/>
      <w:bookmarkStart w:id="1382" w:name="_Toc27571"/>
      <w:bookmarkStart w:id="1383" w:name="_Toc8071"/>
      <w:bookmarkStart w:id="1384" w:name="_Toc22069"/>
      <w:bookmarkStart w:id="1385" w:name="_Toc6538"/>
      <w:bookmarkStart w:id="1386" w:name="_Toc28854"/>
      <w:bookmarkStart w:id="1387" w:name="_Toc9963"/>
      <w:bookmarkStart w:id="1388" w:name="_Toc30055"/>
      <w:bookmarkStart w:id="1389" w:name="_Toc630"/>
      <w:bookmarkStart w:id="1390" w:name="_Toc28949"/>
      <w:bookmarkStart w:id="1391" w:name="_Toc14344"/>
      <w:bookmarkStart w:id="1392" w:name="_Toc24344"/>
      <w:bookmarkStart w:id="1393" w:name="_Toc13206"/>
      <w:bookmarkStart w:id="1394" w:name="_Toc5106"/>
      <w:bookmarkStart w:id="1395" w:name="_Toc293"/>
      <w:bookmarkStart w:id="1396" w:name="_Toc10143"/>
      <w:r>
        <w:rPr>
          <w:rFonts w:hint="eastAsia" w:ascii="微软雅黑" w:hAnsi="微软雅黑" w:eastAsia="微软雅黑" w:cs="微软雅黑"/>
          <w:b/>
          <w:bCs/>
          <w:color w:val="auto"/>
          <w:kern w:val="2"/>
          <w:sz w:val="24"/>
          <w:szCs w:val="24"/>
          <w:highlight w:val="none"/>
          <w:u w:val="none"/>
          <w:lang w:val="en-US" w:eastAsia="zh-CN" w:bidi="ar-SA"/>
        </w:rPr>
        <w:t>21.投标偏离</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7AA79D7D">
      <w:pPr>
        <w:pageBreakBefore w:val="0"/>
        <w:widowControl w:val="0"/>
        <w:kinsoku/>
        <w:wordWrap/>
        <w:overflowPunct/>
        <w:topLinePunct w:val="0"/>
        <w:bidi w:val="0"/>
        <w:spacing w:line="360" w:lineRule="exact"/>
        <w:ind w:left="640" w:leftChars="0" w:hanging="640" w:hangingChars="267"/>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评标委员会可以接受投标文件中不构成实质性偏离的不正规或不一致。</w:t>
      </w:r>
      <w:bookmarkStart w:id="1397" w:name="_Toc515647783"/>
      <w:bookmarkStart w:id="1398" w:name="_Toc6092"/>
      <w:bookmarkStart w:id="1399" w:name="_Toc4950"/>
    </w:p>
    <w:p w14:paraId="02F82F03">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400" w:name="_Toc32257"/>
      <w:bookmarkStart w:id="1401" w:name="_Toc550"/>
      <w:bookmarkStart w:id="1402" w:name="_Toc14833"/>
      <w:bookmarkStart w:id="1403" w:name="_Toc27473"/>
      <w:bookmarkStart w:id="1404" w:name="_Toc9613"/>
      <w:bookmarkStart w:id="1405" w:name="_Toc28742"/>
      <w:bookmarkStart w:id="1406" w:name="_Toc17245"/>
      <w:bookmarkStart w:id="1407" w:name="_Toc6553"/>
      <w:bookmarkStart w:id="1408" w:name="_Toc26389"/>
      <w:bookmarkStart w:id="1409" w:name="_Toc23645"/>
      <w:bookmarkStart w:id="1410" w:name="_Toc18096"/>
      <w:bookmarkStart w:id="1411" w:name="_Toc19251"/>
      <w:bookmarkStart w:id="1412" w:name="_Toc18282"/>
      <w:bookmarkStart w:id="1413" w:name="_Toc13940"/>
      <w:bookmarkStart w:id="1414" w:name="_Toc28175"/>
      <w:bookmarkStart w:id="1415" w:name="_Toc241"/>
      <w:bookmarkStart w:id="1416" w:name="_Toc21207"/>
      <w:bookmarkStart w:id="1417" w:name="_Toc32135"/>
      <w:bookmarkStart w:id="1418" w:name="_Toc21370"/>
      <w:bookmarkStart w:id="1419" w:name="_Toc1257"/>
      <w:bookmarkStart w:id="1420" w:name="_Toc21448"/>
      <w:bookmarkStart w:id="1421" w:name="_Toc7199"/>
      <w:bookmarkStart w:id="1422" w:name="_Toc22004"/>
      <w:bookmarkStart w:id="1423" w:name="_Toc8436"/>
      <w:bookmarkStart w:id="1424" w:name="_Toc10779"/>
      <w:bookmarkStart w:id="1425" w:name="_Toc17602"/>
      <w:bookmarkStart w:id="1426" w:name="_Toc26299"/>
      <w:bookmarkStart w:id="1427" w:name="_Toc1222"/>
      <w:bookmarkStart w:id="1428" w:name="_Toc7356"/>
      <w:bookmarkStart w:id="1429" w:name="_Toc23010"/>
      <w:bookmarkStart w:id="1430" w:name="_Toc16195"/>
      <w:bookmarkStart w:id="1431" w:name="_Toc7071"/>
      <w:bookmarkStart w:id="1432" w:name="_Toc8325"/>
      <w:bookmarkStart w:id="1433" w:name="_Toc20555"/>
      <w:bookmarkStart w:id="1434" w:name="_Toc17247"/>
      <w:bookmarkStart w:id="1435" w:name="_Toc23335"/>
      <w:bookmarkStart w:id="1436" w:name="_Toc22768"/>
      <w:bookmarkStart w:id="1437" w:name="_Toc28362"/>
      <w:bookmarkStart w:id="1438" w:name="_Toc3291"/>
      <w:bookmarkStart w:id="1439" w:name="_Toc20972"/>
      <w:bookmarkStart w:id="1440" w:name="_Toc13696"/>
      <w:bookmarkStart w:id="1441" w:name="_Toc31472"/>
      <w:bookmarkStart w:id="1442" w:name="_Toc25453"/>
      <w:bookmarkStart w:id="1443" w:name="_Toc12426"/>
      <w:bookmarkStart w:id="1444" w:name="_Toc26297"/>
      <w:bookmarkStart w:id="1445" w:name="_Toc25728"/>
      <w:bookmarkStart w:id="1446" w:name="_Toc27144"/>
      <w:bookmarkStart w:id="1447" w:name="_Toc31842"/>
      <w:bookmarkStart w:id="1448" w:name="_Toc772"/>
      <w:bookmarkStart w:id="1449" w:name="_Toc19922"/>
      <w:bookmarkStart w:id="1450" w:name="_Toc9594"/>
      <w:bookmarkStart w:id="1451" w:name="_Toc1107"/>
      <w:bookmarkStart w:id="1452" w:name="_Toc665"/>
      <w:bookmarkStart w:id="1453" w:name="_Toc11798"/>
      <w:bookmarkStart w:id="1454" w:name="_Toc21724"/>
      <w:bookmarkStart w:id="1455" w:name="_Toc22176"/>
      <w:bookmarkStart w:id="1456" w:name="_Toc12294"/>
      <w:bookmarkStart w:id="1457" w:name="_Toc8254"/>
      <w:bookmarkStart w:id="1458" w:name="_Toc4727"/>
      <w:bookmarkStart w:id="1459" w:name="_Toc8973"/>
      <w:bookmarkStart w:id="1460" w:name="_Toc12134"/>
      <w:r>
        <w:rPr>
          <w:rFonts w:hint="eastAsia" w:ascii="微软雅黑" w:hAnsi="微软雅黑" w:eastAsia="微软雅黑" w:cs="微软雅黑"/>
          <w:b/>
          <w:bCs/>
          <w:color w:val="auto"/>
          <w:kern w:val="2"/>
          <w:sz w:val="24"/>
          <w:szCs w:val="24"/>
          <w:highlight w:val="none"/>
          <w:u w:val="none"/>
          <w:lang w:val="en-US" w:eastAsia="zh-CN" w:bidi="ar-SA"/>
        </w:rPr>
        <w:t>22.投标</w:t>
      </w:r>
      <w:bookmarkEnd w:id="1397"/>
      <w:r>
        <w:rPr>
          <w:rFonts w:hint="eastAsia" w:ascii="微软雅黑" w:hAnsi="微软雅黑" w:eastAsia="微软雅黑" w:cs="微软雅黑"/>
          <w:b/>
          <w:bCs/>
          <w:color w:val="auto"/>
          <w:kern w:val="2"/>
          <w:sz w:val="24"/>
          <w:szCs w:val="24"/>
          <w:highlight w:val="none"/>
          <w:u w:val="none"/>
          <w:lang w:val="en-US" w:eastAsia="zh-CN" w:bidi="ar-SA"/>
        </w:rPr>
        <w:t>无效</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7D7D223C">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不得通过修正或撤销不符合要求的偏离，从而使其投标成为实质上响应的投标。</w:t>
      </w:r>
    </w:p>
    <w:p w14:paraId="23E123DF">
      <w:pPr>
        <w:pageBreakBefore w:val="0"/>
        <w:widowControl w:val="0"/>
        <w:kinsoku/>
        <w:wordWrap/>
        <w:overflowPunct/>
        <w:topLinePunct w:val="0"/>
        <w:bidi w:val="0"/>
        <w:spacing w:line="360" w:lineRule="exact"/>
        <w:ind w:left="718" w:leftChars="342"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评标委员会决定投标的响应性只根据招标文件要求、投标文件内容及财政主管部门指定相关信息发布媒体。</w:t>
      </w:r>
    </w:p>
    <w:p w14:paraId="057A5A3C">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b/>
          <w:bCs/>
          <w:color w:val="auto"/>
          <w:sz w:val="24"/>
          <w:szCs w:val="24"/>
          <w:highlight w:val="none"/>
        </w:rPr>
        <w:t>如发现下列情况之一的，其投标将被认定为投标无效</w:t>
      </w:r>
      <w:r>
        <w:rPr>
          <w:rFonts w:hint="eastAsia" w:ascii="微软雅黑" w:hAnsi="微软雅黑" w:eastAsia="微软雅黑" w:cs="微软雅黑"/>
          <w:color w:val="auto"/>
          <w:sz w:val="24"/>
          <w:szCs w:val="24"/>
          <w:highlight w:val="none"/>
        </w:rPr>
        <w:t>：</w:t>
      </w:r>
    </w:p>
    <w:p w14:paraId="3D44DD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未按招标文件规定的形式和金额提交投标保证金的；</w:t>
      </w:r>
    </w:p>
    <w:p w14:paraId="56F1BA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2</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未按照招标文件规定要求签署、盖章的；</w:t>
      </w:r>
    </w:p>
    <w:p w14:paraId="70B0B6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未满足招标文件中技术条款的实质性要求；</w:t>
      </w:r>
    </w:p>
    <w:p w14:paraId="3EFE3D4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与其他</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串通投标，或者与</w:t>
      </w:r>
      <w:r>
        <w:rPr>
          <w:rFonts w:hint="eastAsia" w:ascii="微软雅黑" w:hAnsi="微软雅黑" w:eastAsia="微软雅黑" w:cs="微软雅黑"/>
          <w:b/>
          <w:bCs/>
          <w:color w:val="auto"/>
          <w:sz w:val="24"/>
          <w:szCs w:val="24"/>
          <w:highlight w:val="none"/>
          <w:lang w:eastAsia="zh-CN"/>
        </w:rPr>
        <w:t>采购人</w:t>
      </w:r>
      <w:r>
        <w:rPr>
          <w:rFonts w:hint="eastAsia" w:ascii="微软雅黑" w:hAnsi="微软雅黑" w:eastAsia="微软雅黑" w:cs="微软雅黑"/>
          <w:b/>
          <w:bCs/>
          <w:color w:val="auto"/>
          <w:sz w:val="24"/>
          <w:szCs w:val="24"/>
          <w:highlight w:val="none"/>
        </w:rPr>
        <w:t>串通投标；</w:t>
      </w:r>
      <w:r>
        <w:rPr>
          <w:rFonts w:hint="eastAsia" w:ascii="微软雅黑" w:hAnsi="微软雅黑" w:eastAsia="微软雅黑" w:cs="微软雅黑"/>
          <w:b/>
          <w:bCs/>
          <w:color w:val="auto"/>
          <w:sz w:val="24"/>
          <w:szCs w:val="24"/>
          <w:highlight w:val="none"/>
          <w:lang w:val="en-US" w:eastAsia="zh-CN"/>
        </w:rPr>
        <w:t xml:space="preserve">    </w:t>
      </w:r>
    </w:p>
    <w:p w14:paraId="0ADC64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属于招标文件规定的其他投标无效情形；</w:t>
      </w:r>
    </w:p>
    <w:p w14:paraId="676981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评标委员会认为</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的报价明显低于其他通过符合性检查</w:t>
      </w:r>
      <w:r>
        <w:rPr>
          <w:rFonts w:hint="eastAsia" w:ascii="微软雅黑" w:hAnsi="微软雅黑" w:eastAsia="微软雅黑" w:cs="微软雅黑"/>
          <w:b/>
          <w:bCs/>
          <w:color w:val="auto"/>
          <w:sz w:val="24"/>
          <w:szCs w:val="24"/>
          <w:highlight w:val="none"/>
          <w:lang w:eastAsia="zh-CN"/>
        </w:rPr>
        <w:t>供应</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lang w:eastAsia="zh-CN"/>
        </w:rPr>
        <w:t>商</w:t>
      </w:r>
      <w:r>
        <w:rPr>
          <w:rFonts w:hint="eastAsia" w:ascii="微软雅黑" w:hAnsi="微软雅黑" w:eastAsia="微软雅黑" w:cs="微软雅黑"/>
          <w:b/>
          <w:bCs/>
          <w:color w:val="auto"/>
          <w:sz w:val="24"/>
          <w:szCs w:val="24"/>
          <w:highlight w:val="none"/>
        </w:rPr>
        <w:t>的报价，有可能影响履约的，且</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未按照规定证明其报价合理性的；</w:t>
      </w:r>
    </w:p>
    <w:p w14:paraId="1B83AE4A">
      <w:pPr>
        <w:pageBreakBefore w:val="0"/>
        <w:widowControl w:val="0"/>
        <w:numPr>
          <w:ilvl w:val="0"/>
          <w:numId w:val="0"/>
        </w:numPr>
        <w:kinsoku/>
        <w:wordWrap/>
        <w:overflowPunct/>
        <w:topLinePunct w:val="0"/>
        <w:bidi w:val="0"/>
        <w:spacing w:line="360" w:lineRule="exact"/>
        <w:ind w:left="-180"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投标文件含有采购人不能接受的附加条件的；</w:t>
      </w:r>
    </w:p>
    <w:p w14:paraId="491B3CB3">
      <w:pPr>
        <w:pageBreakBefore w:val="0"/>
        <w:widowControl w:val="0"/>
        <w:numPr>
          <w:ilvl w:val="0"/>
          <w:numId w:val="0"/>
        </w:numPr>
        <w:tabs>
          <w:tab w:val="left" w:pos="0"/>
        </w:tabs>
        <w:kinsoku/>
        <w:wordWrap/>
        <w:overflowPunct/>
        <w:topLinePunct w:val="0"/>
        <w:bidi w:val="0"/>
        <w:spacing w:line="360" w:lineRule="exact"/>
        <w:ind w:left="-180"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不符合法规和招标文件中规定的其他实质性要求的。</w:t>
      </w:r>
    </w:p>
    <w:p w14:paraId="1C4DE54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14:paraId="4D1FDAE4">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（1）供应商直接或者间接从采购人或者采购代理机构处获得其他供应商的相关情况并修改其投标文件或者响应文件；</w:t>
      </w:r>
    </w:p>
    <w:p w14:paraId="095D6E51">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（2）供应商按照采购人或者采购代理机构的授意撤换、修改投标文件或者响应文件；</w:t>
      </w:r>
    </w:p>
    <w:p w14:paraId="08E27CC1">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（3）供应商之间协商报价、技术方案等投标文件或者响应文件的实质性内容；</w:t>
      </w:r>
    </w:p>
    <w:p w14:paraId="11F340AE">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（4）属于同一集团、协会、商会等组织成员的供应商按照该组织要求协同参加政府采购活动；</w:t>
      </w:r>
    </w:p>
    <w:p w14:paraId="4366F0CB">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（5）供应商之间事先约定由某一特定供应商中标、成交；</w:t>
      </w:r>
    </w:p>
    <w:p w14:paraId="31285C66">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（6）供应商之间商定部分供应商放弃参加政府采购活动或者放弃中标、成交；</w:t>
      </w:r>
    </w:p>
    <w:p w14:paraId="53894237">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1332"/>
    <w:p w14:paraId="17789CF8">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461" w:name="_Toc13652"/>
      <w:bookmarkStart w:id="1462" w:name="_Toc22501"/>
      <w:bookmarkStart w:id="1463" w:name="_Toc20498"/>
      <w:bookmarkStart w:id="1464" w:name="_Toc9523"/>
      <w:bookmarkStart w:id="1465" w:name="_Toc515647784"/>
      <w:bookmarkStart w:id="1466" w:name="_Toc25606"/>
      <w:bookmarkStart w:id="1467" w:name="_Toc13566"/>
      <w:bookmarkStart w:id="1468" w:name="_Toc24966"/>
      <w:bookmarkStart w:id="1469" w:name="_Toc13922"/>
      <w:bookmarkStart w:id="1470" w:name="_Toc16915"/>
      <w:bookmarkStart w:id="1471" w:name="_Toc13750"/>
      <w:bookmarkStart w:id="1472" w:name="_Toc25951"/>
      <w:bookmarkStart w:id="1473" w:name="_Toc9277"/>
      <w:bookmarkStart w:id="1474" w:name="_Toc3877"/>
      <w:bookmarkStart w:id="1475" w:name="_Toc8402"/>
      <w:bookmarkStart w:id="1476" w:name="_Toc6567"/>
      <w:bookmarkStart w:id="1477" w:name="_Toc7299"/>
      <w:bookmarkStart w:id="1478" w:name="_Toc32146"/>
      <w:bookmarkStart w:id="1479" w:name="_Toc1426"/>
      <w:bookmarkStart w:id="1480" w:name="_Toc16928"/>
      <w:bookmarkStart w:id="1481" w:name="_Toc21334"/>
      <w:bookmarkStart w:id="1482" w:name="_Toc25984"/>
      <w:bookmarkStart w:id="1483" w:name="_Toc6162"/>
      <w:bookmarkStart w:id="1484" w:name="_Toc24349"/>
      <w:bookmarkStart w:id="1485" w:name="_Toc18290"/>
      <w:bookmarkStart w:id="1486" w:name="_Toc15400"/>
      <w:bookmarkStart w:id="1487" w:name="_Toc15539"/>
      <w:bookmarkStart w:id="1488" w:name="_Toc20315"/>
      <w:bookmarkStart w:id="1489" w:name="_Toc16898"/>
      <w:bookmarkStart w:id="1490" w:name="_Toc28738"/>
      <w:bookmarkStart w:id="1491" w:name="_Toc30328"/>
      <w:bookmarkStart w:id="1492" w:name="_Toc22981"/>
      <w:bookmarkStart w:id="1493" w:name="_Toc22267"/>
      <w:bookmarkStart w:id="1494" w:name="_Toc25837"/>
      <w:bookmarkStart w:id="1495" w:name="_Toc24355"/>
      <w:bookmarkStart w:id="1496" w:name="_Toc26212"/>
      <w:bookmarkStart w:id="1497" w:name="_Toc8381"/>
      <w:bookmarkStart w:id="1498" w:name="_Toc28718"/>
      <w:bookmarkStart w:id="1499" w:name="_Toc17177"/>
      <w:bookmarkStart w:id="1500" w:name="_Toc6696"/>
      <w:bookmarkStart w:id="1501" w:name="_Toc6874"/>
      <w:bookmarkStart w:id="1502" w:name="_Toc7106"/>
      <w:bookmarkStart w:id="1503" w:name="_Toc22941"/>
      <w:bookmarkStart w:id="1504" w:name="_Toc2833"/>
      <w:bookmarkStart w:id="1505" w:name="_Toc7488"/>
      <w:bookmarkStart w:id="1506" w:name="_Toc10236"/>
      <w:bookmarkStart w:id="1507" w:name="_Toc9676"/>
      <w:bookmarkStart w:id="1508" w:name="_Toc20639"/>
      <w:bookmarkStart w:id="1509" w:name="_Toc4356"/>
      <w:bookmarkStart w:id="1510" w:name="_Toc7474"/>
      <w:bookmarkStart w:id="1511" w:name="_Toc19116"/>
      <w:bookmarkStart w:id="1512" w:name="_Toc25333"/>
      <w:bookmarkStart w:id="1513" w:name="_Toc28464"/>
      <w:bookmarkStart w:id="1514" w:name="_Toc27123"/>
      <w:bookmarkStart w:id="1515" w:name="_Toc27075"/>
      <w:bookmarkStart w:id="1516" w:name="_Toc9811"/>
      <w:bookmarkStart w:id="1517" w:name="_Toc4328"/>
      <w:bookmarkStart w:id="1518" w:name="_Toc18111"/>
      <w:bookmarkStart w:id="1519" w:name="_Toc7001"/>
      <w:bookmarkStart w:id="1520" w:name="_Toc29015"/>
      <w:bookmarkStart w:id="1521" w:name="_Toc31315"/>
      <w:r>
        <w:rPr>
          <w:rFonts w:hint="eastAsia" w:ascii="微软雅黑" w:hAnsi="微软雅黑" w:eastAsia="微软雅黑" w:cs="微软雅黑"/>
          <w:b/>
          <w:bCs/>
          <w:color w:val="auto"/>
          <w:kern w:val="2"/>
          <w:sz w:val="24"/>
          <w:szCs w:val="24"/>
          <w:highlight w:val="none"/>
          <w:u w:val="none"/>
          <w:lang w:val="en-US" w:eastAsia="zh-CN" w:bidi="ar-SA"/>
        </w:rPr>
        <w:t>23.比较与评价</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2DC49F1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经符合性审查合格的投标文件，评标委员会将根据招标文件确定的评标方法和标准，对其技术部分和商务部分作进一步的比较和评价。</w:t>
      </w:r>
    </w:p>
    <w:p w14:paraId="050A59AF">
      <w:pPr>
        <w:pStyle w:val="15"/>
        <w:pageBreakBefore w:val="0"/>
        <w:widowControl w:val="0"/>
        <w:kinsoku/>
        <w:wordWrap/>
        <w:overflowPunct/>
        <w:topLinePunct w:val="0"/>
        <w:bidi w:val="0"/>
        <w:spacing w:line="360" w:lineRule="exact"/>
        <w:ind w:left="239" w:leftChars="114" w:firstLine="31" w:firstLineChars="13"/>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（1）最低评标价法，是指投标文件满足招标文件全部实质性要求，且投标报价最低的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14:paraId="29817237">
      <w:pPr>
        <w:pStyle w:val="15"/>
        <w:pageBreakBefore w:val="0"/>
        <w:widowControl w:val="0"/>
        <w:kinsoku/>
        <w:wordWrap/>
        <w:overflowPunct/>
        <w:topLinePunct w:val="0"/>
        <w:bidi w:val="0"/>
        <w:spacing w:line="360" w:lineRule="exact"/>
        <w:ind w:left="239" w:leftChars="114" w:firstLine="33" w:firstLineChars="1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（2）综合评分法，是指投标文件满足招标文件全部实质性要求，且按照评审因素的量化指标评审得分最高的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14:paraId="71199EE0">
      <w:pPr>
        <w:keepNext w:val="0"/>
        <w:keepLines w:val="0"/>
        <w:pageBreakBefore w:val="0"/>
        <w:widowControl/>
        <w:kinsoku/>
        <w:wordWrap/>
        <w:overflowPunct/>
        <w:topLinePunct w:val="0"/>
        <w:autoSpaceDE/>
        <w:autoSpaceDN/>
        <w:bidi w:val="0"/>
        <w:adjustRightInd/>
        <w:spacing w:line="360" w:lineRule="exact"/>
        <w:jc w:val="left"/>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本项目采购方式:</w:t>
      </w:r>
      <w:r>
        <w:rPr>
          <w:rFonts w:hint="eastAsia" w:ascii="微软雅黑" w:hAnsi="微软雅黑" w:eastAsia="微软雅黑" w:cs="微软雅黑"/>
          <w:b/>
          <w:bCs/>
          <w:sz w:val="24"/>
          <w:szCs w:val="24"/>
          <w:highlight w:val="none"/>
          <w:lang w:val="en-US" w:eastAsia="zh-CN"/>
        </w:rPr>
        <w:t>公开招标</w:t>
      </w:r>
      <w:r>
        <w:rPr>
          <w:rFonts w:hint="eastAsia" w:ascii="微软雅黑" w:hAnsi="微软雅黑" w:eastAsia="微软雅黑" w:cs="微软雅黑"/>
          <w:b/>
          <w:bCs/>
          <w:sz w:val="24"/>
          <w:szCs w:val="24"/>
          <w:highlight w:val="none"/>
        </w:rPr>
        <w:t>。评标方法:本项目采用综合评分法。</w:t>
      </w:r>
    </w:p>
    <w:p w14:paraId="16A8578C">
      <w:pPr>
        <w:keepNext w:val="0"/>
        <w:keepLines w:val="0"/>
        <w:pageBreakBefore w:val="0"/>
        <w:widowControl/>
        <w:kinsoku/>
        <w:wordWrap/>
        <w:overflowPunct/>
        <w:topLinePunct w:val="0"/>
        <w:autoSpaceDE/>
        <w:autoSpaceDN/>
        <w:bidi w:val="0"/>
        <w:adjustRightInd/>
        <w:spacing w:line="360" w:lineRule="exact"/>
        <w:jc w:val="lef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u w:val="none"/>
          <w:lang w:val="en-US" w:eastAsia="zh-CN" w:bidi="ar-SA"/>
        </w:rPr>
        <w:t>23.3 本项目专门面向中小企业采购。根据财政部关于进一步加大政府采购支持中小企业力度的通知》财库〔2022〕19号、《政府采购促进中小企业发展管理办法》（财库[2020]46号）、《财政部司法部关于政府采购支持</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b/>
          <w:bCs/>
          <w:color w:val="auto"/>
          <w:kern w:val="2"/>
          <w:sz w:val="24"/>
          <w:szCs w:val="24"/>
          <w:highlight w:val="none"/>
          <w:u w:val="none"/>
          <w:lang w:val="en-US" w:eastAsia="zh-CN" w:bidi="ar-SA"/>
        </w:rPr>
        <w:t>企业发展有关问 题 的通知》（财库〔2014〕68号）、《三部门联合发布关于促进残疾人就业政府采购政策的通知》（财库〔2017〕141号）的规定，其中小型、微型及小微企业在投标文件中提交了《中小企业声明函》、《残疾人福利性单位声明函》或省级以上</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b/>
          <w:bCs/>
          <w:color w:val="auto"/>
          <w:kern w:val="2"/>
          <w:sz w:val="24"/>
          <w:szCs w:val="24"/>
          <w:highlight w:val="none"/>
          <w:u w:val="none"/>
          <w:lang w:val="en-US" w:eastAsia="zh-CN" w:bidi="ar-SA"/>
        </w:rPr>
        <w:t>管理局、戒毒管理局（含新疆生产建设兵团）出具的属于</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b/>
          <w:bCs/>
          <w:color w:val="auto"/>
          <w:kern w:val="2"/>
          <w:sz w:val="24"/>
          <w:szCs w:val="24"/>
          <w:highlight w:val="none"/>
          <w:u w:val="none"/>
          <w:lang w:val="en-US" w:eastAsia="zh-CN" w:bidi="ar-SA"/>
        </w:rPr>
        <w:t>企业的证明文件的供应商。对于同时属于小型、微型及小微企业、</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b/>
          <w:bCs/>
          <w:color w:val="auto"/>
          <w:kern w:val="2"/>
          <w:sz w:val="24"/>
          <w:szCs w:val="24"/>
          <w:highlight w:val="none"/>
          <w:u w:val="none"/>
          <w:lang w:val="en-US" w:eastAsia="zh-CN" w:bidi="ar-SA"/>
        </w:rPr>
        <w:t>企业或残疾人福利性单位的，不重复进行报价扣除。具体办法详见招标文件第6章。</w:t>
      </w:r>
    </w:p>
    <w:p w14:paraId="46A798F9">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522" w:name="_Toc6490"/>
      <w:bookmarkStart w:id="1523" w:name="_Toc7323"/>
      <w:bookmarkStart w:id="1524" w:name="_Toc20227"/>
      <w:bookmarkStart w:id="1525" w:name="_Toc2816"/>
      <w:bookmarkStart w:id="1526" w:name="_Toc21815"/>
      <w:bookmarkStart w:id="1527" w:name="_Toc16747"/>
      <w:bookmarkStart w:id="1528" w:name="_Toc1735"/>
      <w:bookmarkStart w:id="1529" w:name="_Toc6919"/>
      <w:bookmarkStart w:id="1530" w:name="_Toc6001"/>
      <w:bookmarkStart w:id="1531" w:name="_Toc1505"/>
      <w:bookmarkStart w:id="1532" w:name="_Toc9199"/>
      <w:bookmarkStart w:id="1533" w:name="_Toc9882"/>
      <w:bookmarkStart w:id="1534" w:name="_Toc515647785"/>
      <w:bookmarkStart w:id="1535" w:name="_Toc30004"/>
      <w:bookmarkStart w:id="1536" w:name="_Toc25811"/>
      <w:bookmarkStart w:id="1537" w:name="_Toc9423"/>
      <w:bookmarkStart w:id="1538" w:name="_Toc16770"/>
      <w:bookmarkStart w:id="1539" w:name="_Toc9378"/>
      <w:bookmarkStart w:id="1540" w:name="_Toc462"/>
      <w:bookmarkStart w:id="1541" w:name="_Toc19228"/>
      <w:bookmarkStart w:id="1542" w:name="_Toc31084"/>
      <w:bookmarkStart w:id="1543" w:name="_Toc20064"/>
      <w:bookmarkStart w:id="1544" w:name="_Toc32241"/>
      <w:bookmarkStart w:id="1545" w:name="_Toc22101"/>
      <w:bookmarkStart w:id="1546" w:name="_Toc21049"/>
      <w:bookmarkStart w:id="1547" w:name="_Toc7815"/>
      <w:bookmarkStart w:id="1548" w:name="_Toc25460"/>
      <w:bookmarkStart w:id="1549" w:name="_Toc19218"/>
      <w:bookmarkStart w:id="1550" w:name="_Toc26540"/>
      <w:bookmarkStart w:id="1551" w:name="_Toc30099"/>
      <w:bookmarkStart w:id="1552" w:name="_Toc21133"/>
      <w:bookmarkStart w:id="1553" w:name="_Toc7769"/>
      <w:bookmarkStart w:id="1554" w:name="_Toc21430"/>
      <w:bookmarkStart w:id="1555" w:name="_Toc25661"/>
      <w:bookmarkStart w:id="1556" w:name="_Toc18017"/>
      <w:bookmarkStart w:id="1557" w:name="_Toc29851"/>
      <w:bookmarkStart w:id="1558" w:name="_Toc6053"/>
      <w:bookmarkStart w:id="1559" w:name="_Toc26964"/>
      <w:bookmarkStart w:id="1560" w:name="_Toc16371"/>
      <w:bookmarkStart w:id="1561" w:name="_Toc7770"/>
      <w:bookmarkStart w:id="1562" w:name="_Toc13518"/>
      <w:bookmarkStart w:id="1563" w:name="_Toc15370"/>
      <w:bookmarkStart w:id="1564" w:name="_Toc3229"/>
      <w:bookmarkStart w:id="1565" w:name="_Toc8879"/>
      <w:bookmarkStart w:id="1566" w:name="_Toc13417"/>
      <w:bookmarkStart w:id="1567" w:name="_Toc23302"/>
      <w:bookmarkStart w:id="1568" w:name="_Toc8174"/>
      <w:bookmarkStart w:id="1569" w:name="_Toc27067"/>
      <w:bookmarkStart w:id="1570" w:name="_Toc19832"/>
      <w:bookmarkStart w:id="1571" w:name="_Toc30602"/>
      <w:bookmarkStart w:id="1572" w:name="_Toc30532"/>
      <w:bookmarkStart w:id="1573" w:name="_Toc14038"/>
      <w:bookmarkStart w:id="1574" w:name="_Toc19870"/>
      <w:bookmarkStart w:id="1575" w:name="_Toc3945"/>
      <w:bookmarkStart w:id="1576" w:name="_Toc24292"/>
      <w:bookmarkStart w:id="1577" w:name="_Toc7858"/>
      <w:bookmarkStart w:id="1578" w:name="_Toc14346"/>
      <w:bookmarkStart w:id="1579" w:name="_Toc31166"/>
      <w:bookmarkStart w:id="1580" w:name="_Toc29970"/>
      <w:bookmarkStart w:id="1581" w:name="_Toc20565"/>
      <w:bookmarkStart w:id="1582" w:name="_Toc16929"/>
      <w:bookmarkStart w:id="1583" w:name="_Toc28349"/>
      <w:bookmarkStart w:id="1584" w:name="_Toc20853"/>
      <w:bookmarkStart w:id="1585" w:name="_Toc12703"/>
      <w:r>
        <w:rPr>
          <w:rFonts w:hint="eastAsia" w:ascii="微软雅黑" w:hAnsi="微软雅黑" w:eastAsia="微软雅黑" w:cs="微软雅黑"/>
          <w:b/>
          <w:bCs/>
          <w:color w:val="auto"/>
          <w:kern w:val="2"/>
          <w:sz w:val="24"/>
          <w:szCs w:val="24"/>
          <w:highlight w:val="none"/>
          <w:u w:val="none"/>
          <w:lang w:val="en-US" w:eastAsia="zh-CN" w:bidi="ar-SA"/>
        </w:rPr>
        <w:t>24.废标</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2E48E63A">
      <w:pPr>
        <w:pageBreakBefore w:val="0"/>
        <w:widowControl w:val="0"/>
        <w:kinsoku/>
        <w:wordWrap/>
        <w:overflowPunct/>
        <w:topLinePunct w:val="0"/>
        <w:bidi w:val="0"/>
        <w:spacing w:line="360" w:lineRule="exact"/>
        <w:ind w:left="60" w:leftChars="0" w:hanging="60" w:hangingChars="2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24.1</w:t>
      </w:r>
      <w:r>
        <w:rPr>
          <w:rFonts w:hint="eastAsia" w:ascii="微软雅黑" w:hAnsi="微软雅黑" w:eastAsia="微软雅黑" w:cs="微软雅黑"/>
          <w:b/>
          <w:bCs/>
          <w:color w:val="auto"/>
          <w:sz w:val="24"/>
          <w:szCs w:val="24"/>
          <w:highlight w:val="none"/>
        </w:rPr>
        <w:t>出现下列情形之一，将导致项目废标：</w:t>
      </w:r>
      <w:r>
        <w:rPr>
          <w:rFonts w:hint="eastAsia" w:ascii="微软雅黑" w:hAnsi="微软雅黑" w:eastAsia="微软雅黑" w:cs="微软雅黑"/>
          <w:color w:val="auto"/>
          <w:sz w:val="24"/>
          <w:szCs w:val="24"/>
          <w:highlight w:val="none"/>
        </w:rPr>
        <w:t xml:space="preserve"> </w:t>
      </w:r>
    </w:p>
    <w:p w14:paraId="5D462797">
      <w:pPr>
        <w:pageBreakBefore w:val="0"/>
        <w:widowControl w:val="0"/>
        <w:kinsoku/>
        <w:wordWrap/>
        <w:overflowPunct/>
        <w:topLinePunct w:val="0"/>
        <w:bidi w:val="0"/>
        <w:spacing w:line="360" w:lineRule="exact"/>
        <w:ind w:left="899" w:leftChars="114" w:hanging="660" w:hangingChars="275"/>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（1）符合专业条件的供应商或者对招标文件做实质性响应的供应商不足三家；</w:t>
      </w:r>
    </w:p>
    <w:p w14:paraId="5024D16D">
      <w:pPr>
        <w:pageBreakBefore w:val="0"/>
        <w:widowControl w:val="0"/>
        <w:kinsoku/>
        <w:wordWrap/>
        <w:overflowPunct/>
        <w:topLinePunct w:val="0"/>
        <w:bidi w:val="0"/>
        <w:spacing w:line="360" w:lineRule="exact"/>
        <w:ind w:left="899" w:leftChars="114" w:hanging="660" w:hangingChars="275"/>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（2）出现影响采购公正的违法、违规行为的；</w:t>
      </w:r>
    </w:p>
    <w:p w14:paraId="47C2D920">
      <w:pPr>
        <w:pageBreakBefore w:val="0"/>
        <w:widowControl w:val="0"/>
        <w:kinsoku/>
        <w:wordWrap/>
        <w:overflowPunct/>
        <w:topLinePunct w:val="0"/>
        <w:bidi w:val="0"/>
        <w:spacing w:line="360" w:lineRule="exact"/>
        <w:ind w:firstLine="240" w:firstLineChars="1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（3）</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的报价均超过了采购预算，采购人不能支付的；</w:t>
      </w:r>
    </w:p>
    <w:p w14:paraId="61A720E4">
      <w:pPr>
        <w:pageBreakBefore w:val="0"/>
        <w:widowControl w:val="0"/>
        <w:kinsoku/>
        <w:wordWrap/>
        <w:overflowPunct/>
        <w:topLinePunct w:val="0"/>
        <w:bidi w:val="0"/>
        <w:spacing w:line="3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 xml:space="preserve">（4）因重大变故，采购任务取消的。  </w:t>
      </w:r>
      <w:r>
        <w:rPr>
          <w:rFonts w:hint="eastAsia" w:ascii="微软雅黑" w:hAnsi="微软雅黑" w:eastAsia="微软雅黑" w:cs="微软雅黑"/>
          <w:color w:val="auto"/>
          <w:sz w:val="24"/>
          <w:szCs w:val="24"/>
          <w:highlight w:val="none"/>
        </w:rPr>
        <w:t xml:space="preserve"> </w:t>
      </w:r>
    </w:p>
    <w:p w14:paraId="06FBD5A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586" w:name="_Toc1542"/>
      <w:bookmarkStart w:id="1587" w:name="_Toc515647786"/>
      <w:bookmarkStart w:id="1588" w:name="_Toc29163"/>
      <w:bookmarkStart w:id="1589" w:name="_Toc1587"/>
      <w:bookmarkStart w:id="1590" w:name="_Toc7431"/>
      <w:bookmarkStart w:id="1591" w:name="_Toc4013"/>
      <w:bookmarkStart w:id="1592" w:name="_Toc15239"/>
      <w:bookmarkStart w:id="1593" w:name="_Toc21778"/>
      <w:bookmarkStart w:id="1594" w:name="_Toc3793"/>
      <w:bookmarkStart w:id="1595" w:name="_Toc32591"/>
      <w:bookmarkStart w:id="1596" w:name="_Toc17702"/>
      <w:bookmarkStart w:id="1597" w:name="_Toc5674"/>
      <w:bookmarkStart w:id="1598" w:name="_Toc24010"/>
      <w:bookmarkStart w:id="1599" w:name="_Toc5899"/>
      <w:bookmarkStart w:id="1600" w:name="_Toc28287"/>
      <w:bookmarkStart w:id="1601" w:name="_Toc14381"/>
      <w:bookmarkStart w:id="1602" w:name="_Toc1456"/>
      <w:bookmarkStart w:id="1603" w:name="_Toc21380"/>
      <w:bookmarkStart w:id="1604" w:name="_Toc29570"/>
      <w:bookmarkStart w:id="1605" w:name="_Toc21697"/>
      <w:bookmarkStart w:id="1606" w:name="_Toc18987"/>
      <w:bookmarkStart w:id="1607" w:name="_Toc12958"/>
      <w:bookmarkStart w:id="1608" w:name="_Toc24168"/>
      <w:bookmarkStart w:id="1609" w:name="_Toc24972"/>
      <w:bookmarkStart w:id="1610" w:name="_Toc30776"/>
      <w:bookmarkStart w:id="1611" w:name="_Toc21072"/>
      <w:bookmarkStart w:id="1612" w:name="_Toc30848"/>
      <w:bookmarkStart w:id="1613" w:name="_Toc30240"/>
      <w:bookmarkStart w:id="1614" w:name="_Toc21472"/>
      <w:bookmarkStart w:id="1615" w:name="_Toc993"/>
      <w:bookmarkStart w:id="1616" w:name="_Toc31160"/>
      <w:bookmarkStart w:id="1617" w:name="_Toc9805"/>
      <w:bookmarkStart w:id="1618" w:name="_Toc7638"/>
      <w:bookmarkStart w:id="1619" w:name="_Toc13885"/>
      <w:bookmarkStart w:id="1620" w:name="_Toc10657"/>
      <w:bookmarkStart w:id="1621" w:name="_Toc14484"/>
      <w:bookmarkStart w:id="1622" w:name="_Toc25775"/>
      <w:bookmarkStart w:id="1623" w:name="_Toc9864"/>
      <w:bookmarkStart w:id="1624" w:name="_Toc3431"/>
      <w:bookmarkStart w:id="1625" w:name="_Toc11422"/>
      <w:bookmarkStart w:id="1626" w:name="_Toc3647"/>
      <w:bookmarkStart w:id="1627" w:name="_Toc9822"/>
      <w:bookmarkStart w:id="1628" w:name="_Toc15447"/>
      <w:bookmarkStart w:id="1629" w:name="_Toc11800"/>
      <w:bookmarkStart w:id="1630" w:name="_Toc23725"/>
      <w:bookmarkStart w:id="1631" w:name="_Toc5328"/>
      <w:bookmarkStart w:id="1632" w:name="_Toc27930"/>
      <w:bookmarkStart w:id="1633" w:name="_Toc29790"/>
      <w:bookmarkStart w:id="1634" w:name="_Toc29661"/>
      <w:bookmarkStart w:id="1635" w:name="_Toc22793"/>
      <w:bookmarkStart w:id="1636" w:name="_Toc29963"/>
      <w:bookmarkStart w:id="1637" w:name="_Toc29646"/>
      <w:bookmarkStart w:id="1638" w:name="_Toc5553"/>
      <w:bookmarkStart w:id="1639" w:name="_Toc10983"/>
      <w:bookmarkStart w:id="1640" w:name="_Toc11460"/>
      <w:bookmarkStart w:id="1641" w:name="_Toc25356"/>
      <w:bookmarkStart w:id="1642" w:name="_Toc30749"/>
      <w:bookmarkStart w:id="1643" w:name="_Toc7707"/>
      <w:bookmarkStart w:id="1644" w:name="_Toc6462"/>
      <w:bookmarkStart w:id="1645" w:name="_Toc13385"/>
      <w:bookmarkStart w:id="1646" w:name="_Toc27604"/>
      <w:bookmarkStart w:id="1647" w:name="_Toc31289"/>
      <w:bookmarkStart w:id="1648" w:name="_Toc25957"/>
      <w:bookmarkStart w:id="1649" w:name="_Toc29239"/>
      <w:bookmarkStart w:id="1650" w:name="_Toc520356169"/>
      <w:r>
        <w:rPr>
          <w:rFonts w:hint="eastAsia" w:ascii="微软雅黑" w:hAnsi="微软雅黑" w:eastAsia="微软雅黑" w:cs="微软雅黑"/>
          <w:b/>
          <w:bCs/>
          <w:color w:val="auto"/>
          <w:kern w:val="2"/>
          <w:sz w:val="24"/>
          <w:szCs w:val="24"/>
          <w:highlight w:val="none"/>
          <w:u w:val="none"/>
          <w:lang w:val="en-US" w:eastAsia="zh-CN" w:bidi="ar-SA"/>
        </w:rPr>
        <w:t>25.**原则</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57FFBED3">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评标将在严格</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的情况下进行。</w:t>
      </w:r>
    </w:p>
    <w:p w14:paraId="47B2F34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政府采购评审专家应当遵守评审工作纪律，不得泄露评审文件、评审情况和评审中获悉的商业</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w:t>
      </w:r>
    </w:p>
    <w:p w14:paraId="602847AC">
      <w:pPr>
        <w:pageBreakBefore w:val="0"/>
        <w:widowControl w:val="0"/>
        <w:kinsoku/>
        <w:wordWrap/>
        <w:overflowPunct/>
        <w:topLinePunct w:val="0"/>
        <w:bidi w:val="0"/>
        <w:spacing w:line="360" w:lineRule="exact"/>
        <w:ind w:left="0" w:leftChars="0" w:hanging="540"/>
        <w:textAlignment w:val="auto"/>
        <w:rPr>
          <w:rFonts w:hint="eastAsia" w:ascii="微软雅黑" w:hAnsi="微软雅黑" w:eastAsia="微软雅黑" w:cs="微软雅黑"/>
          <w:color w:val="auto"/>
          <w:sz w:val="24"/>
          <w:szCs w:val="24"/>
          <w:highlight w:val="none"/>
        </w:rPr>
      </w:pPr>
    </w:p>
    <w:p w14:paraId="1C84695C">
      <w:pPr>
        <w:pStyle w:val="2"/>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1651" w:name="_Toc216582810"/>
      <w:bookmarkStart w:id="1652" w:name="_Toc515647787"/>
      <w:bookmarkStart w:id="1653" w:name="_Toc10537"/>
      <w:bookmarkStart w:id="1654" w:name="_Toc18592"/>
      <w:bookmarkStart w:id="1655" w:name="_Toc23904"/>
      <w:bookmarkStart w:id="1656" w:name="_Toc21721"/>
      <w:bookmarkStart w:id="1657" w:name="_Toc12143"/>
      <w:bookmarkStart w:id="1658" w:name="_Toc31410"/>
      <w:r>
        <w:rPr>
          <w:rFonts w:hint="eastAsia" w:ascii="微软雅黑" w:hAnsi="微软雅黑" w:eastAsia="微软雅黑" w:cs="微软雅黑"/>
          <w:color w:val="auto"/>
          <w:sz w:val="28"/>
          <w:szCs w:val="28"/>
          <w:highlight w:val="none"/>
          <w:lang w:val="en-US" w:eastAsia="zh-CN"/>
        </w:rPr>
        <w:t xml:space="preserve">六   </w:t>
      </w:r>
      <w:bookmarkEnd w:id="1650"/>
      <w:r>
        <w:rPr>
          <w:rFonts w:hint="eastAsia" w:ascii="微软雅黑" w:hAnsi="微软雅黑" w:eastAsia="微软雅黑" w:cs="微软雅黑"/>
          <w:color w:val="auto"/>
          <w:sz w:val="28"/>
          <w:szCs w:val="28"/>
          <w:highlight w:val="none"/>
          <w:lang w:val="en-US" w:eastAsia="zh-CN"/>
        </w:rPr>
        <w:t>确定中标</w:t>
      </w:r>
      <w:bookmarkEnd w:id="1651"/>
      <w:bookmarkEnd w:id="1652"/>
      <w:bookmarkEnd w:id="1653"/>
      <w:bookmarkEnd w:id="1654"/>
      <w:bookmarkEnd w:id="1655"/>
      <w:bookmarkEnd w:id="1656"/>
      <w:bookmarkEnd w:id="1657"/>
      <w:bookmarkEnd w:id="1658"/>
    </w:p>
    <w:p w14:paraId="6D9EC93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659" w:name="_Toc8133"/>
      <w:bookmarkStart w:id="1660" w:name="_Toc12862"/>
      <w:bookmarkStart w:id="1661" w:name="_Toc15128"/>
      <w:bookmarkStart w:id="1662" w:name="_Toc14396"/>
      <w:bookmarkStart w:id="1663" w:name="_Toc20762"/>
      <w:bookmarkStart w:id="1664" w:name="_Toc30011"/>
      <w:bookmarkStart w:id="1665" w:name="_Toc7867"/>
      <w:bookmarkStart w:id="1666" w:name="_Toc32073"/>
      <w:bookmarkStart w:id="1667" w:name="_Toc30510"/>
      <w:bookmarkStart w:id="1668" w:name="_Toc28102"/>
      <w:bookmarkStart w:id="1669" w:name="_Toc5542"/>
      <w:bookmarkStart w:id="1670" w:name="_Toc22859"/>
      <w:bookmarkStart w:id="1671" w:name="_Toc27888"/>
      <w:bookmarkStart w:id="1672" w:name="_Toc30741"/>
      <w:bookmarkStart w:id="1673" w:name="_Toc515647788"/>
      <w:bookmarkStart w:id="1674" w:name="_Toc154"/>
      <w:bookmarkStart w:id="1675" w:name="_Toc27501"/>
      <w:bookmarkStart w:id="1676" w:name="_Toc26456"/>
      <w:bookmarkStart w:id="1677" w:name="_Toc10010"/>
      <w:bookmarkStart w:id="1678" w:name="_Toc20567"/>
      <w:bookmarkStart w:id="1679" w:name="_Toc4705"/>
      <w:bookmarkStart w:id="1680" w:name="_Toc11630"/>
      <w:bookmarkStart w:id="1681" w:name="_Toc30160"/>
      <w:bookmarkStart w:id="1682" w:name="_Toc6353"/>
      <w:bookmarkStart w:id="1683" w:name="_Toc13743"/>
      <w:bookmarkStart w:id="1684" w:name="_Toc4670"/>
      <w:bookmarkStart w:id="1685" w:name="_Toc18751"/>
      <w:bookmarkStart w:id="1686" w:name="_Toc22284"/>
      <w:bookmarkStart w:id="1687" w:name="_Toc17072"/>
      <w:bookmarkStart w:id="1688" w:name="_Toc22520"/>
      <w:bookmarkStart w:id="1689" w:name="_Toc7280"/>
      <w:bookmarkStart w:id="1690" w:name="_Toc7303"/>
      <w:bookmarkStart w:id="1691" w:name="_Toc14800"/>
      <w:bookmarkStart w:id="1692" w:name="_Toc28179"/>
      <w:bookmarkStart w:id="1693" w:name="_Toc23770"/>
      <w:bookmarkStart w:id="1694" w:name="_Toc18720"/>
      <w:bookmarkStart w:id="1695" w:name="_Toc3604"/>
      <w:bookmarkStart w:id="1696" w:name="_Toc6381"/>
      <w:bookmarkStart w:id="1697" w:name="_Toc29156"/>
      <w:bookmarkStart w:id="1698" w:name="_Ref467307010"/>
      <w:bookmarkStart w:id="1699" w:name="_Toc30739"/>
      <w:bookmarkStart w:id="1700" w:name="_Toc24745"/>
      <w:bookmarkStart w:id="1701" w:name="_Toc13936"/>
      <w:bookmarkStart w:id="1702" w:name="_Toc14359"/>
      <w:bookmarkStart w:id="1703" w:name="_Toc31710"/>
      <w:bookmarkStart w:id="1704" w:name="_Toc19494"/>
      <w:bookmarkStart w:id="1705" w:name="_Toc24563"/>
      <w:bookmarkStart w:id="1706" w:name="_Toc22747"/>
      <w:bookmarkStart w:id="1707" w:name="_Toc31578"/>
      <w:bookmarkStart w:id="1708" w:name="_Toc17694"/>
      <w:bookmarkStart w:id="1709" w:name="_Toc20061"/>
      <w:bookmarkStart w:id="1710" w:name="_Toc28180"/>
      <w:bookmarkStart w:id="1711" w:name="_Toc12168"/>
      <w:bookmarkStart w:id="1712" w:name="_Toc28816"/>
      <w:bookmarkStart w:id="1713" w:name="_Toc23762"/>
      <w:bookmarkStart w:id="1714" w:name="_Toc22054"/>
      <w:bookmarkStart w:id="1715" w:name="_Toc32446"/>
      <w:bookmarkStart w:id="1716" w:name="_Toc7648"/>
      <w:bookmarkStart w:id="1717" w:name="_Toc520356170"/>
      <w:bookmarkStart w:id="1718" w:name="_Toc10124"/>
      <w:bookmarkStart w:id="1719" w:name="_Toc24864"/>
      <w:bookmarkStart w:id="1720" w:name="_Toc23617"/>
      <w:bookmarkStart w:id="1721" w:name="_Toc15371"/>
      <w:bookmarkStart w:id="1722" w:name="_Toc24833"/>
      <w:bookmarkStart w:id="1723" w:name="_Toc23512"/>
      <w:r>
        <w:rPr>
          <w:rFonts w:hint="eastAsia" w:ascii="微软雅黑" w:hAnsi="微软雅黑" w:eastAsia="微软雅黑" w:cs="微软雅黑"/>
          <w:b/>
          <w:bCs/>
          <w:color w:val="auto"/>
          <w:kern w:val="2"/>
          <w:sz w:val="24"/>
          <w:szCs w:val="24"/>
          <w:highlight w:val="none"/>
          <w:u w:val="none"/>
          <w:lang w:val="en-US" w:eastAsia="zh-CN" w:bidi="ar-SA"/>
        </w:rPr>
        <w:t>26.中标候选人的确定原则及标准</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48BE4269">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对实质上响应招标文件的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按下列方法进行排序，确定投标候选人：</w:t>
      </w:r>
    </w:p>
    <w:p w14:paraId="4ED54E8D">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szCs w:val="24"/>
          <w:highlight w:val="none"/>
        </w:rPr>
      </w:pPr>
      <w:bookmarkStart w:id="1724" w:name="_Toc520356171"/>
      <w:bookmarkStart w:id="1725" w:name="_Toc515647789"/>
      <w:r>
        <w:rPr>
          <w:rFonts w:hint="eastAsia" w:ascii="微软雅黑" w:hAnsi="微软雅黑" w:eastAsia="微软雅黑" w:cs="微软雅黑"/>
          <w:color w:val="auto"/>
          <w:sz w:val="24"/>
          <w:szCs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的投标价格进行任何调整。评标结果按修正和扣除后的投标报价由低到高顺序排列。报价相同的处理方式详见招标文件第6章。</w:t>
      </w:r>
    </w:p>
    <w:p w14:paraId="2DAC5F25">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25307CFD">
      <w:pPr>
        <w:keepNext w:val="0"/>
        <w:keepLines w:val="0"/>
        <w:pageBreakBefore w:val="0"/>
        <w:widowControl/>
        <w:kinsoku/>
        <w:wordWrap/>
        <w:overflowPunct/>
        <w:topLinePunct w:val="0"/>
        <w:autoSpaceDE/>
        <w:autoSpaceDN/>
        <w:bidi w:val="0"/>
        <w:adjustRightInd/>
        <w:spacing w:line="360" w:lineRule="exact"/>
        <w:jc w:val="left"/>
        <w:rPr>
          <w:rFonts w:hint="eastAsia" w:ascii="微软雅黑" w:hAnsi="微软雅黑" w:eastAsia="微软雅黑" w:cs="微软雅黑"/>
          <w:b/>
          <w:bCs/>
          <w:sz w:val="24"/>
          <w:szCs w:val="24"/>
          <w:highlight w:val="none"/>
        </w:rPr>
      </w:pPr>
      <w:bookmarkStart w:id="1726" w:name="_Toc17933"/>
      <w:bookmarkStart w:id="1727" w:name="_Toc24948"/>
      <w:bookmarkStart w:id="1728" w:name="_Toc22217"/>
      <w:bookmarkStart w:id="1729" w:name="_Toc28791"/>
      <w:bookmarkStart w:id="1730" w:name="_Toc10822"/>
      <w:bookmarkStart w:id="1731" w:name="_Toc32524"/>
      <w:bookmarkStart w:id="1732" w:name="_Toc19004"/>
      <w:bookmarkStart w:id="1733" w:name="_Toc9949"/>
      <w:bookmarkStart w:id="1734" w:name="_Toc5097"/>
      <w:bookmarkStart w:id="1735" w:name="_Toc1189"/>
      <w:bookmarkStart w:id="1736" w:name="_Toc30756"/>
      <w:bookmarkStart w:id="1737" w:name="_Toc20982"/>
      <w:bookmarkStart w:id="1738" w:name="_Toc20247"/>
      <w:bookmarkStart w:id="1739" w:name="_Toc15604"/>
      <w:bookmarkStart w:id="1740" w:name="_Toc11969"/>
      <w:bookmarkStart w:id="1741" w:name="_Toc25274"/>
      <w:bookmarkStart w:id="1742" w:name="_Toc21768"/>
      <w:bookmarkStart w:id="1743" w:name="_Toc11235"/>
      <w:bookmarkStart w:id="1744" w:name="_Toc8664"/>
      <w:bookmarkStart w:id="1745" w:name="_Toc21502"/>
      <w:bookmarkStart w:id="1746" w:name="_Toc4183"/>
      <w:bookmarkStart w:id="1747" w:name="_Toc17164"/>
      <w:bookmarkStart w:id="1748" w:name="_Toc26224"/>
      <w:bookmarkStart w:id="1749" w:name="_Toc16846"/>
      <w:bookmarkStart w:id="1750" w:name="_Toc28294"/>
      <w:bookmarkStart w:id="1751" w:name="_Toc976"/>
      <w:bookmarkStart w:id="1752" w:name="_Toc4911"/>
      <w:bookmarkStart w:id="1753" w:name="_Toc2070"/>
      <w:bookmarkStart w:id="1754" w:name="_Toc29803"/>
      <w:bookmarkStart w:id="1755" w:name="_Toc6726"/>
      <w:bookmarkStart w:id="1756" w:name="_Toc3274"/>
      <w:bookmarkStart w:id="1757" w:name="_Toc26548"/>
      <w:bookmarkStart w:id="1758" w:name="_Toc21868"/>
      <w:bookmarkStart w:id="1759" w:name="_Toc721"/>
      <w:bookmarkStart w:id="1760" w:name="_Toc31903"/>
      <w:bookmarkStart w:id="1761" w:name="_Toc15710"/>
      <w:bookmarkStart w:id="1762" w:name="_Toc21306"/>
      <w:bookmarkStart w:id="1763" w:name="_Toc23871"/>
      <w:bookmarkStart w:id="1764" w:name="_Toc1644"/>
      <w:bookmarkStart w:id="1765" w:name="_Toc12678"/>
      <w:bookmarkStart w:id="1766" w:name="_Toc14558"/>
      <w:bookmarkStart w:id="1767" w:name="_Toc28629"/>
      <w:bookmarkStart w:id="1768" w:name="_Toc14795"/>
      <w:bookmarkStart w:id="1769" w:name="_Toc5249"/>
      <w:bookmarkStart w:id="1770" w:name="_Toc26724"/>
      <w:bookmarkStart w:id="1771" w:name="_Toc14264"/>
      <w:bookmarkStart w:id="1772" w:name="_Toc2933"/>
      <w:bookmarkStart w:id="1773" w:name="_Toc13041"/>
      <w:bookmarkStart w:id="1774" w:name="_Toc22960"/>
      <w:bookmarkStart w:id="1775" w:name="_Toc21913"/>
      <w:bookmarkStart w:id="1776" w:name="_Toc17200"/>
      <w:bookmarkStart w:id="1777" w:name="_Toc10204"/>
      <w:bookmarkStart w:id="1778" w:name="_Toc27172"/>
      <w:bookmarkStart w:id="1779" w:name="_Toc2803"/>
      <w:bookmarkStart w:id="1780" w:name="_Toc15364"/>
      <w:bookmarkStart w:id="1781" w:name="_Toc11247"/>
      <w:bookmarkStart w:id="1782" w:name="_Toc697"/>
      <w:bookmarkStart w:id="1783" w:name="_Toc22737"/>
      <w:bookmarkStart w:id="1784" w:name="_Toc14119"/>
      <w:bookmarkStart w:id="1785" w:name="_Toc2108"/>
      <w:bookmarkStart w:id="1786" w:name="_Toc3720"/>
      <w:bookmarkStart w:id="1787" w:name="_Toc27297"/>
      <w:r>
        <w:rPr>
          <w:rFonts w:hint="eastAsia" w:ascii="微软雅黑" w:hAnsi="微软雅黑" w:eastAsia="微软雅黑" w:cs="微软雅黑"/>
          <w:b/>
          <w:bCs/>
          <w:sz w:val="24"/>
          <w:szCs w:val="24"/>
          <w:highlight w:val="none"/>
        </w:rPr>
        <w:t>本项目采用综合评分法。</w:t>
      </w:r>
    </w:p>
    <w:p w14:paraId="64C8F302">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788" w:name="_Toc12738"/>
      <w:bookmarkStart w:id="1789" w:name="_Toc14193"/>
      <w:r>
        <w:rPr>
          <w:rFonts w:hint="eastAsia" w:ascii="微软雅黑" w:hAnsi="微软雅黑" w:eastAsia="微软雅黑" w:cs="微软雅黑"/>
          <w:b/>
          <w:bCs/>
          <w:color w:val="auto"/>
          <w:kern w:val="2"/>
          <w:sz w:val="24"/>
          <w:szCs w:val="24"/>
          <w:highlight w:val="none"/>
          <w:u w:val="none"/>
          <w:lang w:val="en-US" w:eastAsia="zh-CN" w:bidi="ar-SA"/>
        </w:rPr>
        <w:t>27.确定中标候选人和</w:t>
      </w:r>
      <w:bookmarkEnd w:id="1726"/>
      <w:r>
        <w:rPr>
          <w:rFonts w:hint="eastAsia" w:ascii="微软雅黑" w:hAnsi="微软雅黑" w:eastAsia="微软雅黑" w:cs="微软雅黑"/>
          <w:b/>
          <w:bCs/>
          <w:color w:val="auto"/>
          <w:kern w:val="2"/>
          <w:sz w:val="24"/>
          <w:szCs w:val="24"/>
          <w:highlight w:val="none"/>
          <w:u w:val="none"/>
          <w:lang w:val="en-US" w:eastAsia="zh-CN" w:bidi="ar-SA"/>
        </w:rPr>
        <w:t>中标人</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bookmarkEnd w:id="1724"/>
    <w:bookmarkEnd w:id="1725"/>
    <w:p w14:paraId="5EFF0077">
      <w:pPr>
        <w:pageBreakBefore w:val="0"/>
        <w:widowControl w:val="0"/>
        <w:kinsoku/>
        <w:wordWrap/>
        <w:overflowPunct/>
        <w:topLinePunct w:val="0"/>
        <w:bidi w:val="0"/>
        <w:spacing w:line="360" w:lineRule="exact"/>
        <w:ind w:left="479" w:leftChars="228" w:firstLine="60" w:firstLineChars="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评标委员会将根据评标标准，按</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须知资料表中</w:t>
      </w:r>
      <w:r>
        <w:rPr>
          <w:rFonts w:hint="eastAsia" w:ascii="微软雅黑" w:hAnsi="微软雅黑" w:eastAsia="微软雅黑" w:cs="微软雅黑"/>
          <w:color w:val="auto"/>
          <w:sz w:val="24"/>
          <w:szCs w:val="24"/>
          <w:highlight w:val="none"/>
        </w:rPr>
        <w:t>规定数量推荐中标候</w:t>
      </w:r>
    </w:p>
    <w:p w14:paraId="32D13670">
      <w:pPr>
        <w:pageBreakBefore w:val="0"/>
        <w:widowControl w:val="0"/>
        <w:kinsoku/>
        <w:wordWrap/>
        <w:overflowPunct/>
        <w:topLinePunct w:val="0"/>
        <w:bidi w:val="0"/>
        <w:spacing w:line="360" w:lineRule="exact"/>
        <w:ind w:left="479" w:leftChars="228" w:firstLine="60" w:firstLineChars="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选人；或根据采购人的委托，直接确定中标人。</w:t>
      </w:r>
    </w:p>
    <w:p w14:paraId="7710D71B">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790" w:name="_Toc2533"/>
      <w:bookmarkStart w:id="1791" w:name="_Toc7550"/>
      <w:bookmarkStart w:id="1792" w:name="_Toc26516"/>
      <w:bookmarkStart w:id="1793" w:name="_Toc19007"/>
      <w:bookmarkStart w:id="1794" w:name="_Toc31043"/>
      <w:bookmarkStart w:id="1795" w:name="_Toc3328"/>
      <w:bookmarkStart w:id="1796" w:name="_Toc31892"/>
      <w:bookmarkStart w:id="1797" w:name="_Toc30084"/>
      <w:bookmarkStart w:id="1798" w:name="_Toc15139"/>
      <w:bookmarkStart w:id="1799" w:name="_Toc14335"/>
      <w:bookmarkStart w:id="1800" w:name="_Toc21618"/>
      <w:bookmarkStart w:id="1801" w:name="_Toc9561"/>
      <w:bookmarkStart w:id="1802" w:name="_Toc18980"/>
      <w:bookmarkStart w:id="1803" w:name="_Toc32208"/>
      <w:bookmarkStart w:id="1804" w:name="_Toc1269"/>
      <w:bookmarkStart w:id="1805" w:name="_Toc9701"/>
      <w:bookmarkStart w:id="1806" w:name="_Toc28014"/>
      <w:bookmarkStart w:id="1807" w:name="_Toc7630"/>
      <w:bookmarkStart w:id="1808" w:name="_Toc16469"/>
      <w:bookmarkStart w:id="1809" w:name="_Toc6340"/>
      <w:bookmarkStart w:id="1810" w:name="_Toc25250"/>
      <w:bookmarkStart w:id="1811" w:name="_Toc24276"/>
      <w:bookmarkStart w:id="1812" w:name="_Toc1811"/>
      <w:bookmarkStart w:id="1813" w:name="_Toc32532"/>
      <w:bookmarkStart w:id="1814" w:name="_Toc20193"/>
      <w:bookmarkStart w:id="1815" w:name="_Toc12655"/>
      <w:bookmarkStart w:id="1816" w:name="_Toc21493"/>
      <w:bookmarkStart w:id="1817" w:name="_Toc24959"/>
      <w:bookmarkStart w:id="1818" w:name="_Toc17591"/>
      <w:bookmarkStart w:id="1819" w:name="_Toc23755"/>
      <w:bookmarkStart w:id="1820" w:name="_Toc32323"/>
      <w:bookmarkStart w:id="1821" w:name="_Toc28562"/>
      <w:bookmarkStart w:id="1822" w:name="_Toc32455"/>
      <w:bookmarkStart w:id="1823" w:name="_Toc11853"/>
      <w:bookmarkStart w:id="1824" w:name="_Toc756"/>
      <w:bookmarkStart w:id="1825" w:name="_Toc5507"/>
      <w:bookmarkStart w:id="1826" w:name="_Toc20705"/>
      <w:bookmarkStart w:id="1827" w:name="_Toc25073"/>
      <w:bookmarkStart w:id="1828" w:name="_Toc7209"/>
      <w:bookmarkStart w:id="1829" w:name="_Toc18506"/>
      <w:bookmarkStart w:id="1830" w:name="_Toc8389"/>
      <w:bookmarkStart w:id="1831" w:name="_Toc21889"/>
      <w:bookmarkStart w:id="1832" w:name="_Toc10338"/>
      <w:bookmarkStart w:id="1833" w:name="_Toc7156"/>
      <w:bookmarkStart w:id="1834" w:name="_Toc30775"/>
      <w:bookmarkStart w:id="1835" w:name="_Toc1353"/>
      <w:bookmarkStart w:id="1836" w:name="_Toc18821"/>
      <w:bookmarkStart w:id="1837" w:name="_Toc20001"/>
      <w:bookmarkStart w:id="1838" w:name="_Toc20424"/>
      <w:bookmarkStart w:id="1839" w:name="_Toc17623"/>
      <w:bookmarkStart w:id="1840" w:name="_Toc515647790"/>
      <w:bookmarkStart w:id="1841" w:name="_Toc11550"/>
      <w:bookmarkStart w:id="1842" w:name="_Toc21532"/>
      <w:bookmarkStart w:id="1843" w:name="_Toc15888"/>
      <w:bookmarkStart w:id="1844" w:name="_Toc26608"/>
      <w:bookmarkStart w:id="1845" w:name="_Toc4606"/>
      <w:bookmarkStart w:id="1846" w:name="_Toc27227"/>
      <w:bookmarkStart w:id="1847" w:name="_Toc10944"/>
      <w:bookmarkStart w:id="1848" w:name="_Toc4274"/>
      <w:bookmarkStart w:id="1849" w:name="_Toc45"/>
      <w:bookmarkStart w:id="1850" w:name="_Toc9640"/>
      <w:bookmarkStart w:id="1851" w:name="_Toc9051"/>
      <w:bookmarkStart w:id="1852" w:name="_Toc21208"/>
      <w:bookmarkStart w:id="1853" w:name="_Toc12082"/>
      <w:r>
        <w:rPr>
          <w:rFonts w:hint="eastAsia" w:ascii="微软雅黑" w:hAnsi="微软雅黑" w:eastAsia="微软雅黑" w:cs="微软雅黑"/>
          <w:b/>
          <w:bCs/>
          <w:color w:val="auto"/>
          <w:kern w:val="2"/>
          <w:sz w:val="24"/>
          <w:szCs w:val="24"/>
          <w:highlight w:val="none"/>
          <w:u w:val="none"/>
          <w:lang w:val="en-US" w:eastAsia="zh-CN" w:bidi="ar-SA"/>
        </w:rPr>
        <w:t>28.采购任务取消</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19E6118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因重大变故采购任务取消时，采购人有权拒绝任何</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中标，且对受影响的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不承担任何责任。</w:t>
      </w:r>
      <w:bookmarkStart w:id="1854" w:name="_Toc520356174"/>
    </w:p>
    <w:p w14:paraId="3E2E910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855" w:name="_Toc31066"/>
      <w:bookmarkStart w:id="1856" w:name="_Toc27996"/>
      <w:bookmarkStart w:id="1857" w:name="_Toc14221"/>
      <w:bookmarkStart w:id="1858" w:name="_Toc19356"/>
      <w:bookmarkStart w:id="1859" w:name="_Toc31099"/>
      <w:bookmarkStart w:id="1860" w:name="_Toc5820"/>
      <w:bookmarkStart w:id="1861" w:name="_Toc940"/>
      <w:bookmarkStart w:id="1862" w:name="_Toc137"/>
      <w:bookmarkStart w:id="1863" w:name="_Toc25981"/>
      <w:bookmarkStart w:id="1864" w:name="_Toc8574"/>
      <w:bookmarkStart w:id="1865" w:name="_Toc10358"/>
      <w:bookmarkStart w:id="1866" w:name="_Toc25281"/>
      <w:bookmarkStart w:id="1867" w:name="_Toc12837"/>
      <w:bookmarkStart w:id="1868" w:name="_Toc8140"/>
      <w:bookmarkStart w:id="1869" w:name="_Toc4866"/>
      <w:bookmarkStart w:id="1870" w:name="_Toc4099"/>
      <w:bookmarkStart w:id="1871" w:name="_Toc1578"/>
      <w:bookmarkStart w:id="1872" w:name="_Toc9879"/>
      <w:bookmarkStart w:id="1873" w:name="_Toc30149"/>
      <w:bookmarkStart w:id="1874" w:name="_Toc957"/>
      <w:bookmarkStart w:id="1875" w:name="_Toc17436"/>
      <w:bookmarkStart w:id="1876" w:name="_Toc18743"/>
      <w:bookmarkStart w:id="1877" w:name="_Toc23089"/>
      <w:bookmarkStart w:id="1878" w:name="_Toc28882"/>
      <w:bookmarkStart w:id="1879" w:name="_Toc1818"/>
      <w:bookmarkStart w:id="1880" w:name="_Toc17051"/>
      <w:bookmarkStart w:id="1881" w:name="_Toc515"/>
      <w:bookmarkStart w:id="1882" w:name="_Toc21583"/>
      <w:bookmarkStart w:id="1883" w:name="_Toc28268"/>
      <w:bookmarkStart w:id="1884" w:name="_Toc2355"/>
      <w:bookmarkStart w:id="1885" w:name="_Toc14261"/>
      <w:bookmarkStart w:id="1886" w:name="_Toc27813"/>
      <w:bookmarkStart w:id="1887" w:name="_Toc30170"/>
      <w:bookmarkStart w:id="1888" w:name="_Toc9513"/>
      <w:bookmarkStart w:id="1889" w:name="_Toc13576"/>
      <w:bookmarkStart w:id="1890" w:name="_Toc20363"/>
      <w:bookmarkStart w:id="1891" w:name="_Toc9886"/>
      <w:bookmarkStart w:id="1892" w:name="_Toc27891"/>
      <w:bookmarkStart w:id="1893" w:name="_Toc10717"/>
      <w:bookmarkStart w:id="1894" w:name="_Toc3378"/>
      <w:bookmarkStart w:id="1895" w:name="_Toc7789"/>
      <w:bookmarkStart w:id="1896" w:name="_Toc16182"/>
      <w:bookmarkStart w:id="1897" w:name="_Toc21164"/>
      <w:bookmarkStart w:id="1898" w:name="_Toc30600"/>
      <w:bookmarkStart w:id="1899" w:name="_Toc17202"/>
      <w:bookmarkStart w:id="1900" w:name="_Toc17151"/>
      <w:bookmarkStart w:id="1901" w:name="_Toc15667"/>
      <w:bookmarkStart w:id="1902" w:name="_Toc8620"/>
      <w:bookmarkStart w:id="1903" w:name="_Toc1676"/>
      <w:bookmarkStart w:id="1904" w:name="_Toc20655"/>
      <w:bookmarkStart w:id="1905" w:name="_Toc30179"/>
      <w:bookmarkStart w:id="1906" w:name="_Toc2362"/>
      <w:bookmarkStart w:id="1907" w:name="_Toc8834"/>
      <w:bookmarkStart w:id="1908" w:name="_Toc7490"/>
      <w:bookmarkStart w:id="1909" w:name="_Toc25137"/>
      <w:bookmarkStart w:id="1910" w:name="_Toc30931"/>
      <w:bookmarkStart w:id="1911" w:name="_Toc1178"/>
      <w:bookmarkStart w:id="1912" w:name="_Toc8414"/>
      <w:bookmarkStart w:id="1913" w:name="_Toc16437"/>
      <w:bookmarkStart w:id="1914" w:name="_Toc20195"/>
      <w:bookmarkStart w:id="1915" w:name="_Toc515647791"/>
      <w:bookmarkStart w:id="1916" w:name="_Toc22444"/>
      <w:bookmarkStart w:id="1917" w:name="_Toc27654"/>
      <w:bookmarkStart w:id="1918" w:name="_Toc12348"/>
      <w:r>
        <w:rPr>
          <w:rFonts w:hint="eastAsia" w:ascii="微软雅黑" w:hAnsi="微软雅黑" w:eastAsia="微软雅黑" w:cs="微软雅黑"/>
          <w:b/>
          <w:bCs/>
          <w:color w:val="auto"/>
          <w:kern w:val="2"/>
          <w:sz w:val="24"/>
          <w:szCs w:val="24"/>
          <w:highlight w:val="none"/>
          <w:u w:val="none"/>
          <w:lang w:val="en-US" w:eastAsia="zh-CN" w:bidi="ar-SA"/>
        </w:rPr>
        <w:t>29.中标通知书</w:t>
      </w:r>
      <w:bookmarkEnd w:id="1854"/>
      <w:r>
        <w:rPr>
          <w:rFonts w:hint="eastAsia" w:ascii="微软雅黑" w:hAnsi="微软雅黑" w:eastAsia="微软雅黑" w:cs="微软雅黑"/>
          <w:b/>
          <w:bCs/>
          <w:color w:val="auto"/>
          <w:kern w:val="2"/>
          <w:sz w:val="24"/>
          <w:szCs w:val="24"/>
          <w:highlight w:val="none"/>
          <w:u w:val="none"/>
          <w:lang w:val="en-US" w:eastAsia="zh-CN" w:bidi="ar-SA"/>
        </w:rPr>
        <w:t>和招标结果通知书</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14:paraId="779BEC2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在投标有效期内，中标人确定后，采购人或者采购代理机构发布中标公告，同时以书面形式向中标人发出中标通知书。</w:t>
      </w:r>
    </w:p>
    <w:p w14:paraId="1F023098">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中标通知书是合同的组成部分。</w:t>
      </w:r>
    </w:p>
    <w:p w14:paraId="1BC4DAC7">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29.3    招标结果通知书和中标通知书同时发出。招标结果通知书中将告知未通过资格审查的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未通过的原因；采用综合评分法评审的，还将告知未中标人本人的评审得分和排序。</w:t>
      </w:r>
    </w:p>
    <w:p w14:paraId="572609D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919" w:name="_Toc13210"/>
      <w:bookmarkStart w:id="1920" w:name="_Toc15610"/>
      <w:bookmarkStart w:id="1921" w:name="_Toc16468"/>
      <w:bookmarkStart w:id="1922" w:name="_Toc25569"/>
      <w:bookmarkStart w:id="1923" w:name="_Ref467306377"/>
      <w:bookmarkStart w:id="1924" w:name="_Toc4466"/>
      <w:bookmarkStart w:id="1925" w:name="_Toc29429"/>
      <w:bookmarkStart w:id="1926" w:name="_Toc27034"/>
      <w:bookmarkStart w:id="1927" w:name="_Toc21404"/>
      <w:bookmarkStart w:id="1928" w:name="_Toc14551"/>
      <w:bookmarkStart w:id="1929" w:name="_Toc19399"/>
      <w:bookmarkStart w:id="1930" w:name="_Toc3557"/>
      <w:bookmarkStart w:id="1931" w:name="_Toc2704"/>
      <w:bookmarkStart w:id="1932" w:name="_Toc16259"/>
      <w:bookmarkStart w:id="1933" w:name="_Toc887"/>
      <w:bookmarkStart w:id="1934" w:name="_Toc8670"/>
      <w:bookmarkStart w:id="1935" w:name="_Toc7584"/>
      <w:bookmarkStart w:id="1936" w:name="_Toc22424"/>
      <w:bookmarkStart w:id="1937" w:name="_Toc5705"/>
      <w:bookmarkStart w:id="1938" w:name="_Toc30068"/>
      <w:bookmarkStart w:id="1939" w:name="_Toc19276"/>
      <w:bookmarkStart w:id="1940" w:name="_Toc7779"/>
      <w:bookmarkStart w:id="1941" w:name="_Toc15018"/>
      <w:bookmarkStart w:id="1942" w:name="_Toc830"/>
      <w:bookmarkStart w:id="1943" w:name="_Toc19580"/>
      <w:bookmarkStart w:id="1944" w:name="_Toc14896"/>
      <w:bookmarkStart w:id="1945" w:name="_Toc12288"/>
      <w:bookmarkStart w:id="1946" w:name="_Toc6885"/>
      <w:bookmarkStart w:id="1947" w:name="_Toc10132"/>
      <w:bookmarkStart w:id="1948" w:name="_Toc9745"/>
      <w:bookmarkStart w:id="1949" w:name="_Toc25979"/>
      <w:bookmarkStart w:id="1950" w:name="_Toc10790"/>
      <w:bookmarkStart w:id="1951" w:name="_Ref467307204"/>
      <w:bookmarkStart w:id="1952" w:name="_Toc19626"/>
      <w:bookmarkStart w:id="1953" w:name="_Toc19952"/>
      <w:bookmarkStart w:id="1954" w:name="_Toc1101"/>
      <w:bookmarkStart w:id="1955" w:name="_Toc732"/>
      <w:bookmarkStart w:id="1956" w:name="_Toc3425"/>
      <w:bookmarkStart w:id="1957" w:name="_Toc4038"/>
      <w:bookmarkStart w:id="1958" w:name="_Toc16174"/>
      <w:bookmarkStart w:id="1959" w:name="_Toc29299"/>
      <w:bookmarkStart w:id="1960" w:name="_Toc520356175"/>
      <w:bookmarkStart w:id="1961" w:name="_Toc790"/>
      <w:bookmarkStart w:id="1962" w:name="_Toc22171"/>
      <w:bookmarkStart w:id="1963" w:name="_Ref467307062"/>
      <w:bookmarkStart w:id="1964" w:name="_Toc9133"/>
      <w:bookmarkStart w:id="1965" w:name="_Toc19234"/>
      <w:bookmarkStart w:id="1966" w:name="_Toc515647792"/>
      <w:bookmarkStart w:id="1967" w:name="_Toc25183"/>
      <w:bookmarkStart w:id="1968" w:name="_Toc13944"/>
      <w:bookmarkStart w:id="1969" w:name="_Toc3749"/>
      <w:bookmarkStart w:id="1970" w:name="_Toc14106"/>
      <w:bookmarkStart w:id="1971" w:name="_Toc11340"/>
      <w:bookmarkStart w:id="1972" w:name="_Toc13619"/>
      <w:bookmarkStart w:id="1973" w:name="_Toc13873"/>
      <w:bookmarkStart w:id="1974" w:name="_Toc13395"/>
      <w:bookmarkStart w:id="1975" w:name="_Toc4716"/>
      <w:bookmarkStart w:id="1976" w:name="_Toc20651"/>
      <w:bookmarkStart w:id="1977" w:name="_Toc9417"/>
      <w:bookmarkStart w:id="1978" w:name="_Toc24666"/>
      <w:bookmarkStart w:id="1979" w:name="_Toc9945"/>
      <w:bookmarkStart w:id="1980" w:name="_Toc26465"/>
      <w:bookmarkStart w:id="1981" w:name="_Toc1386"/>
      <w:bookmarkStart w:id="1982" w:name="_Toc18501"/>
      <w:bookmarkStart w:id="1983" w:name="_Toc6847"/>
      <w:bookmarkStart w:id="1984" w:name="_Ref467306978"/>
      <w:bookmarkStart w:id="1985" w:name="_Toc26598"/>
      <w:bookmarkStart w:id="1986" w:name="_Toc26201"/>
      <w:bookmarkStart w:id="1987" w:name="_Toc29255"/>
      <w:r>
        <w:rPr>
          <w:rFonts w:hint="eastAsia" w:ascii="微软雅黑" w:hAnsi="微软雅黑" w:eastAsia="微软雅黑" w:cs="微软雅黑"/>
          <w:b/>
          <w:bCs/>
          <w:color w:val="auto"/>
          <w:kern w:val="2"/>
          <w:sz w:val="24"/>
          <w:szCs w:val="24"/>
          <w:highlight w:val="none"/>
          <w:u w:val="none"/>
          <w:lang w:val="en-US" w:eastAsia="zh-CN" w:bidi="ar-SA"/>
        </w:rPr>
        <w:t>30.签订合同</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14:paraId="56CB4720">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中标人应当自发出中标通知书之日起</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日内，与采购人签订合同。</w:t>
      </w:r>
    </w:p>
    <w:p w14:paraId="1C9CBDDC">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30.2</w:t>
      </w:r>
      <w:r>
        <w:rPr>
          <w:rFonts w:hint="eastAsia" w:ascii="微软雅黑" w:hAnsi="微软雅黑" w:eastAsia="微软雅黑" w:cs="微软雅黑"/>
          <w:color w:val="auto"/>
          <w:sz w:val="24"/>
          <w:szCs w:val="24"/>
          <w:highlight w:val="none"/>
        </w:rPr>
        <w:tab/>
      </w:r>
      <w:bookmarkStart w:id="1988" w:name="_Toc520356176"/>
      <w:bookmarkStart w:id="1989" w:name="_Ref467307090"/>
      <w:bookmarkStart w:id="1990" w:name="_Ref467306425"/>
      <w:r>
        <w:rPr>
          <w:rFonts w:hint="eastAsia" w:ascii="微软雅黑" w:hAnsi="微软雅黑" w:eastAsia="微软雅黑" w:cs="微软雅黑"/>
          <w:color w:val="auto"/>
          <w:sz w:val="24"/>
          <w:szCs w:val="24"/>
          <w:highlight w:val="none"/>
        </w:rPr>
        <w:t>招标文件、中标人的投标文件及其澄清文件等，均为签订合同的依据。</w:t>
      </w:r>
    </w:p>
    <w:p w14:paraId="35995183">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0B5D4531">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30.4   当出现法规规定的</w:t>
      </w:r>
      <w:r>
        <w:rPr>
          <w:rFonts w:hint="eastAsia" w:ascii="微软雅黑" w:hAnsi="微软雅黑" w:eastAsia="微软雅黑" w:cs="微软雅黑"/>
          <w:b/>
          <w:color w:val="auto"/>
          <w:sz w:val="24"/>
          <w:szCs w:val="24"/>
          <w:highlight w:val="none"/>
        </w:rPr>
        <w:t>中标无效或中标结果无效</w:t>
      </w:r>
      <w:r>
        <w:rPr>
          <w:rFonts w:hint="eastAsia" w:ascii="微软雅黑" w:hAnsi="微软雅黑" w:eastAsia="微软雅黑" w:cs="微软雅黑"/>
          <w:color w:val="auto"/>
          <w:sz w:val="24"/>
          <w:szCs w:val="24"/>
          <w:highlight w:val="none"/>
        </w:rPr>
        <w:t>情形时，采购人可与排名下一位的中标候选人另行签订合同，或依法重新开展采购活动。</w:t>
      </w:r>
    </w:p>
    <w:p w14:paraId="69A9428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991" w:name="_Toc29317"/>
      <w:bookmarkStart w:id="1992" w:name="_Toc26902"/>
      <w:bookmarkStart w:id="1993" w:name="_Toc31991"/>
      <w:bookmarkStart w:id="1994" w:name="_Toc4216"/>
      <w:bookmarkStart w:id="1995" w:name="_Toc17273"/>
      <w:bookmarkStart w:id="1996" w:name="_Toc25827"/>
      <w:bookmarkStart w:id="1997" w:name="_Toc28788"/>
      <w:bookmarkStart w:id="1998" w:name="_Toc32131"/>
      <w:bookmarkStart w:id="1999" w:name="_Toc7172"/>
      <w:bookmarkStart w:id="2000" w:name="_Toc11471"/>
      <w:bookmarkStart w:id="2001" w:name="_Toc15856"/>
      <w:bookmarkStart w:id="2002" w:name="_Toc19052"/>
      <w:bookmarkStart w:id="2003" w:name="_Toc4673"/>
      <w:bookmarkStart w:id="2004" w:name="_Toc20991"/>
      <w:bookmarkStart w:id="2005" w:name="_Toc22861"/>
      <w:bookmarkStart w:id="2006" w:name="_Toc8579"/>
      <w:bookmarkStart w:id="2007" w:name="_Toc4460"/>
      <w:bookmarkStart w:id="2008" w:name="_Toc28518"/>
      <w:bookmarkStart w:id="2009" w:name="_Toc18526"/>
      <w:bookmarkStart w:id="2010" w:name="_Toc32530"/>
      <w:bookmarkStart w:id="2011" w:name="_Toc29712"/>
      <w:bookmarkStart w:id="2012" w:name="_Toc21321"/>
      <w:bookmarkStart w:id="2013" w:name="_Toc20233"/>
      <w:bookmarkStart w:id="2014" w:name="_Toc25007"/>
      <w:bookmarkStart w:id="2015" w:name="_Toc7809"/>
      <w:bookmarkStart w:id="2016" w:name="_Toc10991"/>
      <w:bookmarkStart w:id="2017" w:name="_Toc22555"/>
      <w:bookmarkStart w:id="2018" w:name="_Toc31190"/>
      <w:bookmarkStart w:id="2019" w:name="_Toc16092"/>
      <w:bookmarkStart w:id="2020" w:name="_Toc15216"/>
      <w:bookmarkStart w:id="2021" w:name="_Toc4849"/>
      <w:bookmarkStart w:id="2022" w:name="_Toc21692"/>
      <w:bookmarkStart w:id="2023" w:name="_Toc5041"/>
      <w:bookmarkStart w:id="2024" w:name="_Toc8801"/>
      <w:bookmarkStart w:id="2025" w:name="_Toc7735"/>
      <w:bookmarkStart w:id="2026" w:name="_Toc27000"/>
      <w:bookmarkStart w:id="2027" w:name="_Toc29887"/>
      <w:bookmarkStart w:id="2028" w:name="_Toc17960"/>
      <w:bookmarkStart w:id="2029" w:name="_Toc8189"/>
      <w:bookmarkStart w:id="2030" w:name="_Toc14697"/>
      <w:bookmarkStart w:id="2031" w:name="_Toc15498"/>
      <w:bookmarkStart w:id="2032" w:name="_Toc27652"/>
      <w:bookmarkStart w:id="2033" w:name="_Toc9588"/>
      <w:bookmarkStart w:id="2034" w:name="_Toc515647793"/>
      <w:bookmarkStart w:id="2035" w:name="_Toc2313"/>
      <w:bookmarkStart w:id="2036" w:name="_Toc22635"/>
      <w:bookmarkStart w:id="2037" w:name="_Toc30190"/>
      <w:bookmarkStart w:id="2038" w:name="_Toc1245"/>
      <w:bookmarkStart w:id="2039" w:name="_Toc13252"/>
      <w:bookmarkStart w:id="2040" w:name="_Toc23223"/>
      <w:bookmarkStart w:id="2041" w:name="_Toc2630"/>
      <w:bookmarkStart w:id="2042" w:name="_Toc15755"/>
      <w:bookmarkStart w:id="2043" w:name="_Toc11387"/>
      <w:bookmarkStart w:id="2044" w:name="_Toc31493"/>
      <w:bookmarkStart w:id="2045" w:name="_Toc27314"/>
      <w:bookmarkStart w:id="2046" w:name="_Toc15750"/>
      <w:bookmarkStart w:id="2047" w:name="_Toc14080"/>
      <w:bookmarkStart w:id="2048" w:name="_Toc23943"/>
      <w:bookmarkStart w:id="2049" w:name="_Toc24551"/>
      <w:bookmarkStart w:id="2050" w:name="_Toc9468"/>
      <w:bookmarkStart w:id="2051" w:name="_Toc26203"/>
      <w:bookmarkStart w:id="2052" w:name="_Toc19465"/>
      <w:bookmarkStart w:id="2053" w:name="_Toc5174"/>
      <w:bookmarkStart w:id="2054" w:name="_Toc11467"/>
      <w:r>
        <w:rPr>
          <w:rFonts w:hint="eastAsia" w:ascii="微软雅黑" w:hAnsi="微软雅黑" w:eastAsia="微软雅黑" w:cs="微软雅黑"/>
          <w:b/>
          <w:bCs/>
          <w:color w:val="auto"/>
          <w:kern w:val="2"/>
          <w:sz w:val="24"/>
          <w:szCs w:val="24"/>
          <w:highlight w:val="none"/>
          <w:u w:val="none"/>
          <w:lang w:val="en-US" w:eastAsia="zh-CN" w:bidi="ar-SA"/>
        </w:rPr>
        <w:t>31.履约保证金</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1C2AB77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中标人应按照</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规定向采购人缴纳履约保证金。</w:t>
      </w:r>
    </w:p>
    <w:p w14:paraId="21465898">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31.2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政府采购利用担保试点范围内的项目，除31.1规定的情形外，中标人也可以按照财政部门的规定，向采购人提供合格的履约担</w:t>
      </w:r>
      <w:r>
        <w:rPr>
          <w:rFonts w:hint="eastAsia" w:ascii="微软雅黑" w:hAnsi="微软雅黑" w:eastAsia="微软雅黑" w:cs="微软雅黑"/>
          <w:color w:val="auto"/>
          <w:sz w:val="24"/>
          <w:szCs w:val="24"/>
          <w:highlight w:val="none"/>
          <w:lang w:eastAsia="zh-CN"/>
        </w:rPr>
        <w:t>保函。</w:t>
      </w:r>
    </w:p>
    <w:p w14:paraId="0A87D999">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055" w:name="_Toc15461"/>
      <w:bookmarkStart w:id="2056" w:name="_Toc19694"/>
      <w:bookmarkStart w:id="2057" w:name="_Toc27154"/>
      <w:bookmarkStart w:id="2058" w:name="_Toc3090"/>
      <w:bookmarkStart w:id="2059" w:name="_Toc18723"/>
      <w:bookmarkStart w:id="2060" w:name="_Toc18914"/>
      <w:bookmarkStart w:id="2061" w:name="_Toc20538"/>
      <w:bookmarkStart w:id="2062" w:name="_Toc7949"/>
      <w:bookmarkStart w:id="2063" w:name="_Toc1212"/>
      <w:bookmarkStart w:id="2064" w:name="_Toc25637"/>
      <w:bookmarkStart w:id="2065" w:name="_Toc2126"/>
      <w:bookmarkStart w:id="2066" w:name="_Toc21835"/>
      <w:bookmarkStart w:id="2067" w:name="_Toc9993"/>
      <w:bookmarkStart w:id="2068" w:name="_Toc1144"/>
      <w:bookmarkStart w:id="2069" w:name="_Toc24782"/>
      <w:bookmarkStart w:id="2070" w:name="_Toc16406"/>
      <w:bookmarkStart w:id="2071" w:name="_Toc22260"/>
      <w:bookmarkStart w:id="2072" w:name="_Toc5520"/>
      <w:bookmarkStart w:id="2073" w:name="_Toc20540"/>
      <w:bookmarkStart w:id="2074" w:name="_Toc24979"/>
      <w:bookmarkStart w:id="2075" w:name="_Toc29081"/>
      <w:bookmarkStart w:id="2076" w:name="_Toc141"/>
      <w:bookmarkStart w:id="2077" w:name="_Toc18254"/>
      <w:bookmarkStart w:id="2078" w:name="_Toc31793"/>
      <w:bookmarkStart w:id="2079" w:name="_Toc23284"/>
      <w:bookmarkStart w:id="2080" w:name="_Toc31331"/>
      <w:bookmarkStart w:id="2081" w:name="_Toc17264"/>
      <w:bookmarkStart w:id="2082" w:name="_Toc13784"/>
      <w:bookmarkStart w:id="2083" w:name="_Toc17256"/>
      <w:bookmarkStart w:id="2084" w:name="_Toc25385"/>
      <w:bookmarkStart w:id="2085" w:name="_Toc21246"/>
      <w:bookmarkStart w:id="2086" w:name="_Toc3603"/>
      <w:bookmarkStart w:id="2087" w:name="_Toc17462"/>
      <w:bookmarkStart w:id="2088" w:name="_Toc31075"/>
      <w:bookmarkStart w:id="2089" w:name="_Toc77"/>
      <w:bookmarkStart w:id="2090" w:name="_Toc8365"/>
      <w:bookmarkStart w:id="2091" w:name="_Toc515647794"/>
      <w:bookmarkStart w:id="2092" w:name="_Toc8906"/>
      <w:bookmarkStart w:id="2093" w:name="_Toc15314"/>
      <w:bookmarkStart w:id="2094" w:name="_Toc13043"/>
      <w:bookmarkStart w:id="2095" w:name="_Toc1705"/>
      <w:bookmarkStart w:id="2096" w:name="_Toc9967"/>
      <w:bookmarkStart w:id="2097" w:name="_Toc1987"/>
      <w:bookmarkStart w:id="2098" w:name="_Toc30817"/>
      <w:bookmarkStart w:id="2099" w:name="_Toc17827"/>
      <w:bookmarkStart w:id="2100" w:name="_Toc5200"/>
      <w:bookmarkStart w:id="2101" w:name="_Toc2081"/>
      <w:bookmarkStart w:id="2102" w:name="_Toc20965"/>
      <w:bookmarkStart w:id="2103" w:name="_Toc414"/>
      <w:bookmarkStart w:id="2104" w:name="_Toc19141"/>
      <w:bookmarkStart w:id="2105" w:name="_Toc29408"/>
      <w:bookmarkStart w:id="2106" w:name="_Toc26497"/>
      <w:bookmarkStart w:id="2107" w:name="_Toc10414"/>
      <w:bookmarkStart w:id="2108" w:name="_Toc30327"/>
      <w:bookmarkStart w:id="2109" w:name="_Toc17667"/>
      <w:bookmarkStart w:id="2110" w:name="_Toc66"/>
      <w:bookmarkStart w:id="2111" w:name="_Toc13048"/>
      <w:bookmarkStart w:id="2112" w:name="_Toc19487"/>
      <w:bookmarkStart w:id="2113" w:name="_Toc5660"/>
      <w:bookmarkStart w:id="2114" w:name="_Toc14040"/>
      <w:bookmarkStart w:id="2115" w:name="_Toc14539"/>
      <w:bookmarkStart w:id="2116" w:name="_Toc16136"/>
      <w:bookmarkStart w:id="2117" w:name="_Toc1920"/>
      <w:bookmarkStart w:id="2118" w:name="_Toc25399"/>
      <w:r>
        <w:rPr>
          <w:rFonts w:hint="eastAsia" w:ascii="微软雅黑" w:hAnsi="微软雅黑" w:eastAsia="微软雅黑" w:cs="微软雅黑"/>
          <w:b/>
          <w:bCs/>
          <w:color w:val="auto"/>
          <w:kern w:val="2"/>
          <w:sz w:val="24"/>
          <w:szCs w:val="24"/>
          <w:highlight w:val="none"/>
          <w:u w:val="none"/>
          <w:lang w:val="en-US" w:eastAsia="zh-CN" w:bidi="ar-SA"/>
        </w:rPr>
        <w:t>32.中标服务费</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4F0D78F7">
      <w:pPr>
        <w:pageBreakBefore w:val="0"/>
        <w:widowControl w:val="0"/>
        <w:kinsoku/>
        <w:wordWrap/>
        <w:overflowPunct/>
        <w:topLinePunct w:val="0"/>
        <w:bidi w:val="0"/>
        <w:spacing w:line="360" w:lineRule="exact"/>
        <w:ind w:left="420" w:leftChars="0" w:hanging="420" w:hangingChars="1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中标人须按照</w:t>
      </w:r>
      <w:r>
        <w:rPr>
          <w:rFonts w:hint="eastAsia" w:ascii="微软雅黑" w:hAnsi="微软雅黑" w:eastAsia="微软雅黑" w:cs="微软雅黑"/>
          <w:color w:val="auto"/>
          <w:sz w:val="24"/>
          <w:szCs w:val="24"/>
          <w:highlight w:val="none"/>
          <w:u w:val="single"/>
        </w:rPr>
        <w:t>投标须知资料表</w:t>
      </w:r>
      <w:r>
        <w:rPr>
          <w:rFonts w:hint="eastAsia" w:ascii="微软雅黑" w:hAnsi="微软雅黑" w:eastAsia="微软雅黑" w:cs="微软雅黑"/>
          <w:color w:val="auto"/>
          <w:sz w:val="24"/>
          <w:szCs w:val="24"/>
          <w:highlight w:val="none"/>
        </w:rPr>
        <w:t>规定，向采购代理机构支付中标服务费。</w:t>
      </w:r>
    </w:p>
    <w:p w14:paraId="327D5724">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119" w:name="_Toc2245"/>
      <w:bookmarkStart w:id="2120" w:name="_Toc1592"/>
      <w:bookmarkStart w:id="2121" w:name="_Toc16722"/>
      <w:bookmarkStart w:id="2122" w:name="_Toc5133"/>
      <w:bookmarkStart w:id="2123" w:name="_Toc20219"/>
      <w:bookmarkStart w:id="2124" w:name="_Toc23330"/>
      <w:bookmarkStart w:id="2125" w:name="_Toc28372"/>
      <w:bookmarkStart w:id="2126" w:name="_Toc11984"/>
      <w:bookmarkStart w:id="2127" w:name="_Toc25982"/>
      <w:bookmarkStart w:id="2128" w:name="_Toc14969"/>
      <w:bookmarkStart w:id="2129" w:name="_Toc17470"/>
      <w:bookmarkStart w:id="2130" w:name="_Toc23477"/>
      <w:bookmarkStart w:id="2131" w:name="_Toc24031"/>
      <w:bookmarkStart w:id="2132" w:name="_Toc10050"/>
      <w:bookmarkStart w:id="2133" w:name="_Toc25076"/>
      <w:bookmarkStart w:id="2134" w:name="_Toc4947"/>
      <w:bookmarkStart w:id="2135" w:name="_Toc9625"/>
      <w:bookmarkStart w:id="2136" w:name="_Toc7265"/>
      <w:bookmarkStart w:id="2137" w:name="_Toc3263"/>
      <w:bookmarkStart w:id="2138" w:name="_Toc29687"/>
      <w:bookmarkStart w:id="2139" w:name="_Toc30107"/>
      <w:bookmarkStart w:id="2140" w:name="_Toc25011"/>
      <w:bookmarkStart w:id="2141" w:name="_Toc3584"/>
      <w:bookmarkStart w:id="2142" w:name="_Toc21755"/>
      <w:bookmarkStart w:id="2143" w:name="_Toc26840"/>
      <w:bookmarkStart w:id="2144" w:name="_Toc30214"/>
      <w:bookmarkStart w:id="2145" w:name="_Toc13990"/>
      <w:bookmarkStart w:id="2146" w:name="_Toc16900"/>
      <w:bookmarkStart w:id="2147" w:name="_Toc31201"/>
      <w:bookmarkStart w:id="2148" w:name="_Toc2419"/>
      <w:bookmarkStart w:id="2149" w:name="_Toc17941"/>
      <w:bookmarkStart w:id="2150" w:name="_Toc20843"/>
      <w:bookmarkStart w:id="2151" w:name="_Toc31423"/>
      <w:bookmarkStart w:id="2152" w:name="_Toc14442"/>
      <w:bookmarkStart w:id="2153" w:name="_Toc28049"/>
      <w:bookmarkStart w:id="2154" w:name="_Toc4845"/>
      <w:bookmarkStart w:id="2155" w:name="_Toc365"/>
      <w:bookmarkStart w:id="2156" w:name="_Toc3053"/>
      <w:bookmarkStart w:id="2157" w:name="_Toc26038"/>
      <w:bookmarkStart w:id="2158" w:name="_Toc10747"/>
      <w:bookmarkStart w:id="2159" w:name="_Toc8477"/>
      <w:bookmarkStart w:id="2160" w:name="_Toc25232"/>
      <w:bookmarkStart w:id="2161" w:name="_Toc10756"/>
      <w:bookmarkStart w:id="2162" w:name="_Toc7158"/>
      <w:bookmarkStart w:id="2163" w:name="_Toc29117"/>
      <w:bookmarkStart w:id="2164" w:name="_Toc9363"/>
      <w:bookmarkStart w:id="2165" w:name="_Toc31379"/>
      <w:bookmarkStart w:id="2166" w:name="_Toc7049"/>
      <w:bookmarkStart w:id="2167" w:name="_Toc15361"/>
      <w:bookmarkStart w:id="2168" w:name="_Toc11597"/>
      <w:bookmarkStart w:id="2169" w:name="_Toc30191"/>
      <w:bookmarkStart w:id="2170" w:name="_Toc23556"/>
      <w:bookmarkStart w:id="2171" w:name="_Toc17807"/>
      <w:bookmarkStart w:id="2172" w:name="_Toc24525"/>
      <w:bookmarkStart w:id="2173" w:name="_Toc29584"/>
      <w:bookmarkStart w:id="2174" w:name="_Toc634"/>
      <w:bookmarkStart w:id="2175" w:name="_Toc1224"/>
      <w:bookmarkStart w:id="2176" w:name="_Toc6923"/>
      <w:bookmarkStart w:id="2177" w:name="_Toc26896"/>
      <w:bookmarkStart w:id="2178" w:name="_Toc8503"/>
      <w:bookmarkStart w:id="2179" w:name="_Toc13012"/>
      <w:bookmarkStart w:id="2180" w:name="_Toc6626"/>
      <w:bookmarkStart w:id="2181" w:name="_Toc16905"/>
      <w:bookmarkStart w:id="2182" w:name="_Toc515647795"/>
      <w:r>
        <w:rPr>
          <w:rFonts w:hint="eastAsia" w:ascii="微软雅黑" w:hAnsi="微软雅黑" w:eastAsia="微软雅黑" w:cs="微软雅黑"/>
          <w:b/>
          <w:bCs/>
          <w:color w:val="auto"/>
          <w:kern w:val="2"/>
          <w:sz w:val="24"/>
          <w:szCs w:val="24"/>
          <w:highlight w:val="none"/>
          <w:u w:val="none"/>
          <w:lang w:val="en-US" w:eastAsia="zh-CN" w:bidi="ar-SA"/>
        </w:rPr>
        <w:t>33.政府采购信用担保</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p>
    <w:p w14:paraId="7F102740">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   本项目是否属于信用担保试点范围见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1D85C684">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   如属于政府采购信用担保试点范围内，中小型企业</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可以自由按照财政部门的规定，采用投标担保、履约担保和融资担保。</w:t>
      </w:r>
    </w:p>
    <w:p w14:paraId="26474C5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33.2.1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递交的投标担</w:t>
      </w:r>
      <w:r>
        <w:rPr>
          <w:rFonts w:hint="eastAsia" w:ascii="微软雅黑" w:hAnsi="微软雅黑" w:eastAsia="微软雅黑" w:cs="微软雅黑"/>
          <w:color w:val="auto"/>
          <w:sz w:val="24"/>
          <w:szCs w:val="24"/>
          <w:highlight w:val="none"/>
          <w:lang w:eastAsia="zh-CN"/>
        </w:rPr>
        <w:t>保函</w:t>
      </w:r>
      <w:r>
        <w:rPr>
          <w:rFonts w:hint="eastAsia" w:ascii="微软雅黑" w:hAnsi="微软雅黑" w:eastAsia="微软雅黑" w:cs="微软雅黑"/>
          <w:color w:val="auto"/>
          <w:sz w:val="24"/>
          <w:szCs w:val="24"/>
          <w:highlight w:val="none"/>
        </w:rPr>
        <w:t>和履约担</w:t>
      </w:r>
      <w:r>
        <w:rPr>
          <w:rFonts w:hint="eastAsia" w:ascii="微软雅黑" w:hAnsi="微软雅黑" w:eastAsia="微软雅黑" w:cs="微软雅黑"/>
          <w:color w:val="auto"/>
          <w:sz w:val="24"/>
          <w:szCs w:val="24"/>
          <w:highlight w:val="none"/>
          <w:lang w:eastAsia="zh-CN"/>
        </w:rPr>
        <w:t>保函</w:t>
      </w:r>
      <w:r>
        <w:rPr>
          <w:rFonts w:hint="eastAsia" w:ascii="微软雅黑" w:hAnsi="微软雅黑" w:eastAsia="微软雅黑" w:cs="微软雅黑"/>
          <w:color w:val="auto"/>
          <w:sz w:val="24"/>
          <w:szCs w:val="24"/>
          <w:highlight w:val="none"/>
        </w:rPr>
        <w:t>应符合本招标文件的规定。</w:t>
      </w:r>
    </w:p>
    <w:p w14:paraId="60881DEE">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33.2.2 中标人可以采取融资担保的形式为政府采购项目履约进行融资。</w:t>
      </w:r>
    </w:p>
    <w:p w14:paraId="600916ED">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33.2.3 合格的政府采购专业信用担保机构名单见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1484429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183" w:name="_Toc2133"/>
      <w:bookmarkStart w:id="2184" w:name="_Toc27009"/>
      <w:bookmarkStart w:id="2185" w:name="_Toc100"/>
      <w:bookmarkStart w:id="2186" w:name="_Toc3713"/>
      <w:bookmarkStart w:id="2187" w:name="_Toc15505"/>
      <w:bookmarkStart w:id="2188" w:name="_Toc7703"/>
      <w:bookmarkStart w:id="2189" w:name="_Toc32540"/>
      <w:bookmarkStart w:id="2190" w:name="_Toc5262"/>
      <w:bookmarkStart w:id="2191" w:name="_Toc18954"/>
      <w:bookmarkStart w:id="2192" w:name="_Toc25791"/>
      <w:bookmarkStart w:id="2193" w:name="_Toc30794"/>
      <w:bookmarkStart w:id="2194" w:name="_Toc24958"/>
      <w:bookmarkStart w:id="2195" w:name="_Toc3616"/>
      <w:bookmarkStart w:id="2196" w:name="_Toc5350"/>
      <w:bookmarkStart w:id="2197" w:name="_Toc12158"/>
      <w:bookmarkStart w:id="2198" w:name="_Toc515647796"/>
      <w:bookmarkStart w:id="2199" w:name="_Toc5750"/>
      <w:bookmarkStart w:id="2200" w:name="_Toc31843"/>
      <w:bookmarkStart w:id="2201" w:name="_Toc3656"/>
      <w:bookmarkStart w:id="2202" w:name="_Toc28053"/>
      <w:bookmarkStart w:id="2203" w:name="_Toc15776"/>
      <w:bookmarkStart w:id="2204" w:name="_Toc20849"/>
      <w:bookmarkStart w:id="2205" w:name="_Toc7635"/>
      <w:bookmarkStart w:id="2206" w:name="_Toc19633"/>
      <w:bookmarkStart w:id="2207" w:name="_Toc5438"/>
      <w:bookmarkStart w:id="2208" w:name="_Toc22315"/>
      <w:bookmarkStart w:id="2209" w:name="_Toc12617"/>
      <w:bookmarkStart w:id="2210" w:name="_Toc401"/>
      <w:bookmarkStart w:id="2211" w:name="_Toc24545"/>
      <w:bookmarkStart w:id="2212" w:name="_Toc31425"/>
      <w:bookmarkStart w:id="2213" w:name="_Toc19060"/>
      <w:bookmarkStart w:id="2214" w:name="_Toc14268"/>
      <w:bookmarkStart w:id="2215" w:name="_Toc623"/>
      <w:bookmarkStart w:id="2216" w:name="_Toc29108"/>
      <w:bookmarkStart w:id="2217" w:name="_Toc3202"/>
      <w:bookmarkStart w:id="2218" w:name="_Toc10844"/>
      <w:bookmarkStart w:id="2219" w:name="_Toc27493"/>
      <w:bookmarkStart w:id="2220" w:name="_Toc16389"/>
      <w:bookmarkStart w:id="2221" w:name="_Toc16669"/>
      <w:bookmarkStart w:id="2222" w:name="_Toc11552"/>
      <w:bookmarkStart w:id="2223" w:name="_Toc7880"/>
      <w:bookmarkStart w:id="2224" w:name="_Toc32669"/>
      <w:bookmarkStart w:id="2225" w:name="_Toc12129"/>
      <w:bookmarkStart w:id="2226" w:name="_Toc19434"/>
      <w:bookmarkStart w:id="2227" w:name="_Toc31178"/>
      <w:bookmarkStart w:id="2228" w:name="_Toc7459"/>
      <w:bookmarkStart w:id="2229" w:name="_Toc22463"/>
      <w:bookmarkStart w:id="2230" w:name="_Toc25147"/>
      <w:bookmarkStart w:id="2231" w:name="_Toc18611"/>
      <w:bookmarkStart w:id="2232" w:name="_Toc5770"/>
      <w:bookmarkStart w:id="2233" w:name="_Toc6060"/>
      <w:bookmarkStart w:id="2234" w:name="_Toc26894"/>
      <w:bookmarkStart w:id="2235" w:name="_Toc11707"/>
      <w:bookmarkStart w:id="2236" w:name="_Toc23789"/>
      <w:bookmarkStart w:id="2237" w:name="_Toc23161"/>
      <w:bookmarkStart w:id="2238" w:name="_Toc11013"/>
      <w:bookmarkStart w:id="2239" w:name="_Toc32379"/>
      <w:bookmarkStart w:id="2240" w:name="_Toc10305"/>
      <w:bookmarkStart w:id="2241" w:name="_Toc23999"/>
      <w:bookmarkStart w:id="2242" w:name="_Toc11949"/>
      <w:bookmarkStart w:id="2243" w:name="_Toc19888"/>
      <w:bookmarkStart w:id="2244" w:name="_Toc19585"/>
      <w:bookmarkStart w:id="2245" w:name="_Toc28193"/>
      <w:bookmarkStart w:id="2246" w:name="_Toc22695"/>
      <w:r>
        <w:rPr>
          <w:rFonts w:hint="eastAsia" w:ascii="微软雅黑" w:hAnsi="微软雅黑" w:eastAsia="微软雅黑" w:cs="微软雅黑"/>
          <w:b/>
          <w:bCs/>
          <w:color w:val="auto"/>
          <w:kern w:val="2"/>
          <w:sz w:val="24"/>
          <w:szCs w:val="24"/>
          <w:highlight w:val="none"/>
          <w:u w:val="none"/>
          <w:lang w:val="en-US" w:eastAsia="zh-CN" w:bidi="ar-SA"/>
        </w:rPr>
        <w:t>34.廉洁自律规定</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p>
    <w:p w14:paraId="063DBB4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34.1   采购代理机构工作人员不得以不正当手段获取政府采购代理业务，不得与采购人、供应商恶意串通操纵政府采购活动。</w:t>
      </w:r>
    </w:p>
    <w:p w14:paraId="56C8F59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1ED164D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247" w:name="_Toc31630"/>
      <w:bookmarkStart w:id="2248" w:name="_Toc22022"/>
      <w:bookmarkStart w:id="2249" w:name="_Toc4757"/>
      <w:bookmarkStart w:id="2250" w:name="_Toc13468"/>
      <w:bookmarkStart w:id="2251" w:name="_Toc9421"/>
      <w:bookmarkStart w:id="2252" w:name="_Toc4417"/>
      <w:bookmarkStart w:id="2253" w:name="_Toc17670"/>
      <w:bookmarkStart w:id="2254" w:name="_Toc29035"/>
      <w:bookmarkStart w:id="2255" w:name="_Toc19368"/>
      <w:bookmarkStart w:id="2256" w:name="_Toc515647797"/>
      <w:bookmarkStart w:id="2257" w:name="_Toc26119"/>
      <w:bookmarkStart w:id="2258" w:name="_Toc14907"/>
      <w:bookmarkStart w:id="2259" w:name="_Toc27045"/>
      <w:bookmarkStart w:id="2260" w:name="_Toc12071"/>
      <w:bookmarkStart w:id="2261" w:name="_Toc3319"/>
      <w:bookmarkStart w:id="2262" w:name="_Toc11586"/>
      <w:bookmarkStart w:id="2263" w:name="_Toc23126"/>
      <w:bookmarkStart w:id="2264" w:name="_Toc19338"/>
      <w:bookmarkStart w:id="2265" w:name="_Toc28123"/>
      <w:bookmarkStart w:id="2266" w:name="_Toc30009"/>
      <w:bookmarkStart w:id="2267" w:name="_Toc20284"/>
      <w:bookmarkStart w:id="2268" w:name="_Toc6587"/>
      <w:bookmarkStart w:id="2269" w:name="_Toc29553"/>
      <w:bookmarkStart w:id="2270" w:name="_Toc27265"/>
      <w:bookmarkStart w:id="2271" w:name="_Toc7741"/>
      <w:bookmarkStart w:id="2272" w:name="_Toc31959"/>
      <w:bookmarkStart w:id="2273" w:name="_Toc27260"/>
      <w:bookmarkStart w:id="2274" w:name="_Toc18931"/>
      <w:bookmarkStart w:id="2275" w:name="_Toc5069"/>
      <w:bookmarkStart w:id="2276" w:name="_Toc10738"/>
      <w:bookmarkStart w:id="2277" w:name="_Toc29037"/>
      <w:bookmarkStart w:id="2278" w:name="_Toc11695"/>
      <w:bookmarkStart w:id="2279" w:name="_Toc4826"/>
      <w:bookmarkStart w:id="2280" w:name="_Toc23695"/>
      <w:bookmarkStart w:id="2281" w:name="_Toc21456"/>
      <w:bookmarkStart w:id="2282" w:name="_Toc29594"/>
      <w:bookmarkStart w:id="2283" w:name="_Toc29018"/>
      <w:bookmarkStart w:id="2284" w:name="_Toc6929"/>
      <w:bookmarkStart w:id="2285" w:name="_Toc20945"/>
      <w:bookmarkStart w:id="2286" w:name="_Toc3585"/>
      <w:bookmarkStart w:id="2287" w:name="_Toc32400"/>
      <w:bookmarkStart w:id="2288" w:name="_Toc20451"/>
      <w:bookmarkStart w:id="2289" w:name="_Toc11250"/>
      <w:bookmarkStart w:id="2290" w:name="_Toc12422"/>
      <w:bookmarkStart w:id="2291" w:name="_Toc15644"/>
      <w:bookmarkStart w:id="2292" w:name="_Toc27794"/>
      <w:bookmarkStart w:id="2293" w:name="_Toc28378"/>
      <w:bookmarkStart w:id="2294" w:name="_Toc25480"/>
      <w:bookmarkStart w:id="2295" w:name="_Toc15949"/>
      <w:bookmarkStart w:id="2296" w:name="_Toc29873"/>
      <w:bookmarkStart w:id="2297" w:name="_Toc17079"/>
      <w:bookmarkStart w:id="2298" w:name="_Toc13914"/>
      <w:bookmarkStart w:id="2299" w:name="_Toc31981"/>
      <w:bookmarkStart w:id="2300" w:name="_Toc20413"/>
      <w:bookmarkStart w:id="2301" w:name="_Toc26971"/>
      <w:bookmarkStart w:id="2302" w:name="_Toc8370"/>
      <w:bookmarkStart w:id="2303" w:name="_Toc30045"/>
      <w:bookmarkStart w:id="2304" w:name="_Toc5448"/>
      <w:bookmarkStart w:id="2305" w:name="_Toc4102"/>
      <w:bookmarkStart w:id="2306" w:name="_Toc17682"/>
      <w:bookmarkStart w:id="2307" w:name="_Toc17375"/>
      <w:bookmarkStart w:id="2308" w:name="_Toc23875"/>
      <w:bookmarkStart w:id="2309" w:name="_Toc25732"/>
      <w:bookmarkStart w:id="2310" w:name="_Toc25662"/>
      <w:r>
        <w:rPr>
          <w:rFonts w:hint="eastAsia" w:ascii="微软雅黑" w:hAnsi="微软雅黑" w:eastAsia="微软雅黑" w:cs="微软雅黑"/>
          <w:b/>
          <w:bCs/>
          <w:color w:val="auto"/>
          <w:kern w:val="2"/>
          <w:sz w:val="24"/>
          <w:szCs w:val="24"/>
          <w:highlight w:val="none"/>
          <w:u w:val="none"/>
          <w:lang w:val="en-US" w:eastAsia="zh-CN" w:bidi="ar-SA"/>
        </w:rPr>
        <w:t>35.人员回避</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p>
    <w:p w14:paraId="1D5936F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认为采购人员及其相关人员有法律法规所列与其他供应商有利害关系的，可以向采购人或采购代理机构书面提出回避申请，并说明理由。</w:t>
      </w:r>
    </w:p>
    <w:p w14:paraId="01256692">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311" w:name="_Toc3991"/>
      <w:bookmarkStart w:id="2312" w:name="_Toc8082"/>
      <w:bookmarkStart w:id="2313" w:name="_Toc14473"/>
      <w:bookmarkStart w:id="2314" w:name="_Toc20864"/>
      <w:bookmarkStart w:id="2315" w:name="_Toc26015"/>
      <w:bookmarkStart w:id="2316" w:name="_Toc27328"/>
      <w:bookmarkStart w:id="2317" w:name="_Toc5309"/>
      <w:bookmarkStart w:id="2318" w:name="_Toc22542"/>
      <w:bookmarkStart w:id="2319" w:name="_Toc7238"/>
      <w:bookmarkStart w:id="2320" w:name="_Toc31967"/>
      <w:bookmarkStart w:id="2321" w:name="_Toc427"/>
      <w:bookmarkStart w:id="2322" w:name="_Toc15630"/>
      <w:bookmarkStart w:id="2323" w:name="_Toc17209"/>
      <w:bookmarkStart w:id="2324" w:name="_Toc2844"/>
      <w:bookmarkStart w:id="2325" w:name="_Toc26163"/>
      <w:bookmarkStart w:id="2326" w:name="_Toc5907"/>
      <w:bookmarkStart w:id="2327" w:name="_Toc6387"/>
      <w:bookmarkStart w:id="2328" w:name="_Toc21912"/>
      <w:bookmarkStart w:id="2329" w:name="_Toc23090"/>
      <w:bookmarkStart w:id="2330" w:name="_Toc6634"/>
      <w:bookmarkStart w:id="2331" w:name="_Toc15058"/>
      <w:bookmarkStart w:id="2332" w:name="_Toc26773"/>
      <w:bookmarkStart w:id="2333" w:name="_Toc14457"/>
      <w:bookmarkStart w:id="2334" w:name="_Toc12144"/>
      <w:bookmarkStart w:id="2335" w:name="_Toc10123"/>
      <w:bookmarkStart w:id="2336" w:name="_Toc1324"/>
      <w:bookmarkStart w:id="2337" w:name="_Toc1162"/>
      <w:bookmarkStart w:id="2338" w:name="_Toc22831"/>
      <w:bookmarkStart w:id="2339" w:name="_Toc1948"/>
      <w:bookmarkStart w:id="2340" w:name="_Toc25174"/>
      <w:bookmarkStart w:id="2341" w:name="_Toc11645"/>
      <w:bookmarkStart w:id="2342" w:name="_Toc12880"/>
      <w:bookmarkStart w:id="2343" w:name="_Toc13002"/>
      <w:bookmarkStart w:id="2344" w:name="_Toc8024"/>
      <w:bookmarkStart w:id="2345" w:name="_Toc2750"/>
      <w:bookmarkStart w:id="2346" w:name="_Toc13403"/>
      <w:bookmarkStart w:id="2347" w:name="_Toc16741"/>
      <w:bookmarkStart w:id="2348" w:name="_Toc29119"/>
      <w:bookmarkStart w:id="2349" w:name="_Toc20087"/>
      <w:bookmarkStart w:id="2350" w:name="_Toc24333"/>
      <w:bookmarkStart w:id="2351" w:name="_Toc8352"/>
      <w:bookmarkStart w:id="2352" w:name="_Toc27421"/>
      <w:bookmarkStart w:id="2353" w:name="_Toc9357"/>
      <w:bookmarkStart w:id="2354" w:name="_Toc10042"/>
      <w:bookmarkStart w:id="2355" w:name="_Toc3765"/>
      <w:bookmarkStart w:id="2356" w:name="_Toc25072"/>
      <w:bookmarkStart w:id="2357" w:name="_Toc12470"/>
      <w:bookmarkStart w:id="2358" w:name="_Toc7870"/>
      <w:bookmarkStart w:id="2359" w:name="_Toc27972"/>
      <w:bookmarkStart w:id="2360" w:name="_Toc5829"/>
      <w:bookmarkStart w:id="2361" w:name="_Toc5566"/>
      <w:bookmarkStart w:id="2362" w:name="_Toc12727"/>
      <w:bookmarkStart w:id="2363" w:name="_Toc8645"/>
      <w:bookmarkStart w:id="2364" w:name="_Toc21766"/>
      <w:bookmarkStart w:id="2365" w:name="_Toc30943"/>
      <w:bookmarkStart w:id="2366" w:name="_Toc8144"/>
      <w:bookmarkStart w:id="2367" w:name="_Toc7903"/>
      <w:bookmarkStart w:id="2368" w:name="_Toc23062"/>
      <w:bookmarkStart w:id="2369" w:name="_Toc23339"/>
      <w:bookmarkStart w:id="2370" w:name="_Toc21847"/>
      <w:r>
        <w:rPr>
          <w:rFonts w:hint="eastAsia" w:ascii="微软雅黑" w:hAnsi="微软雅黑" w:eastAsia="微软雅黑" w:cs="微软雅黑"/>
          <w:b/>
          <w:bCs/>
          <w:color w:val="auto"/>
          <w:kern w:val="2"/>
          <w:sz w:val="24"/>
          <w:szCs w:val="24"/>
          <w:highlight w:val="none"/>
          <w:u w:val="none"/>
          <w:lang w:val="en-US" w:eastAsia="zh-CN" w:bidi="ar-SA"/>
        </w:rPr>
        <w:t>36.质疑与接收</w:t>
      </w:r>
      <w:bookmarkEnd w:id="25"/>
      <w:bookmarkEnd w:id="26"/>
      <w:bookmarkEnd w:id="27"/>
      <w:bookmarkEnd w:id="28"/>
      <w:bookmarkEnd w:id="29"/>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p>
    <w:p w14:paraId="4A104F65">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769B9E2">
      <w:pPr>
        <w:pStyle w:val="37"/>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6AB6BEB9">
      <w:pPr>
        <w:pStyle w:val="37"/>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763BBEC3">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36703D0F">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36.5  采购代理机构质疑函接收部门、联系电话和通讯地址, 见</w:t>
      </w:r>
      <w:r>
        <w:rPr>
          <w:rFonts w:hint="eastAsia" w:ascii="微软雅黑" w:hAnsi="微软雅黑" w:eastAsia="微软雅黑" w:cs="微软雅黑"/>
          <w:color w:val="auto"/>
          <w:sz w:val="24"/>
          <w:szCs w:val="24"/>
          <w:highlight w:val="none"/>
          <w:u w:val="single"/>
        </w:rPr>
        <w:t>供应商须知资料表。</w:t>
      </w:r>
    </w:p>
    <w:p w14:paraId="4706B387">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5C85DFDF">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（一）对可以质疑的采购文件提出质疑的，为收到采购文件之日或者采购文件公告期限届满之日；</w:t>
      </w:r>
    </w:p>
    <w:p w14:paraId="6C824DE7">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（二）对采购过程提出质疑的，为各采购程序环节结束之日；</w:t>
      </w:r>
    </w:p>
    <w:p w14:paraId="32B16834">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（三）对中标结果提出质疑的，为中标结果公告期限届满之日。</w:t>
      </w:r>
    </w:p>
    <w:p w14:paraId="769D56BB">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rPr>
        <w:t xml:space="preserve">36.7   </w:t>
      </w:r>
      <w:r>
        <w:rPr>
          <w:rFonts w:hint="eastAsia" w:ascii="微软雅黑" w:hAnsi="微软雅黑" w:eastAsia="微软雅黑" w:cs="微软雅黑"/>
          <w:b w:val="0"/>
          <w:bCs w:val="0"/>
          <w:color w:val="auto"/>
          <w:sz w:val="24"/>
          <w:szCs w:val="24"/>
          <w:highlight w:val="none"/>
          <w:lang w:val="en-US" w:eastAsia="zh-CN"/>
        </w:rPr>
        <w:t>供应商在法定质疑期内只能一次性提出针对同一采购程序环节的质疑，否则不予受理。</w:t>
      </w:r>
    </w:p>
    <w:p w14:paraId="7FCA27AE">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 xml:space="preserve">36.8   </w:t>
      </w:r>
      <w:r>
        <w:rPr>
          <w:rFonts w:hint="eastAsia" w:ascii="微软雅黑" w:hAnsi="微软雅黑" w:eastAsia="微软雅黑" w:cs="微软雅黑"/>
          <w:b w:val="0"/>
          <w:bCs w:val="0"/>
          <w:color w:val="auto"/>
          <w:sz w:val="24"/>
          <w:szCs w:val="24"/>
          <w:highlight w:val="none"/>
        </w:rPr>
        <w:t>对可以质</w:t>
      </w:r>
      <w:r>
        <w:rPr>
          <w:rFonts w:hint="eastAsia" w:ascii="微软雅黑" w:hAnsi="微软雅黑" w:eastAsia="微软雅黑" w:cs="微软雅黑"/>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22AC7565">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开启、评审等各个采购程序环节。</w:t>
      </w:r>
    </w:p>
    <w:p w14:paraId="7FB5B826">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 xml:space="preserve">  提出质疑应当符合下列条件：</w:t>
      </w:r>
    </w:p>
    <w:p w14:paraId="07EB4229">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（一）质疑主体应当符合有关规定；</w:t>
      </w:r>
    </w:p>
    <w:p w14:paraId="5C904DEB">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（二）在质疑法定期限内提出；</w:t>
      </w:r>
    </w:p>
    <w:p w14:paraId="12DE53FD">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（三）属于可以提出质疑的政府采购事项受理范围和本项目采购人的管辖权范围；</w:t>
      </w:r>
    </w:p>
    <w:p w14:paraId="40B7E5CD">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（四）政府采购法律、法规、规章规定的其他条件。</w:t>
      </w:r>
    </w:p>
    <w:p w14:paraId="2FFCA179">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EEF915C">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 xml:space="preserve">  质疑人所提供的证明材料应当具有真实性、合法性以及与质疑事项的关联性和证明力，否则不能作为认定该质疑事项成立的依据。</w:t>
      </w:r>
    </w:p>
    <w:p w14:paraId="712D883B">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 xml:space="preserve"> 质疑人提出质疑时应当提交质疑函。质疑函包括下列内容：</w:t>
      </w:r>
    </w:p>
    <w:p w14:paraId="77541A8B">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（一）提出质疑的质疑人的名称、地址、邮编、联系人及联系电话等；</w:t>
      </w:r>
    </w:p>
    <w:p w14:paraId="0586D56E">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（二）质疑项目的名称、编号；</w:t>
      </w:r>
    </w:p>
    <w:p w14:paraId="5D70FB9F">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（三）质疑事项；</w:t>
      </w:r>
    </w:p>
    <w:p w14:paraId="00EF470D">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（四）事实依据和证明材料；</w:t>
      </w:r>
    </w:p>
    <w:p w14:paraId="6CACE678">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（五）法律依据；</w:t>
      </w:r>
    </w:p>
    <w:p w14:paraId="18EC9B2D">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（六）提出质疑的日期。</w:t>
      </w:r>
    </w:p>
    <w:p w14:paraId="1C59B5B5">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7458CB2">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rPr>
        <w:t xml:space="preserve">  质疑人可以委托代理人进行质疑。代理人应当提交授权委托书。授权委托书应当载明委托代理的具体权限、期限和相关事项。</w:t>
      </w:r>
    </w:p>
    <w:p w14:paraId="38A66D93">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质疑的审查和受理</w:t>
      </w:r>
    </w:p>
    <w:p w14:paraId="49497613">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采购方在收到质疑函后应当及时审查是否符合质疑受理条件，对符合质疑受理条件的，及时予以受理。</w:t>
      </w:r>
    </w:p>
    <w:p w14:paraId="3186D6D7">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  对不符合质疑受理条件的，分别按照下列不同情形予以处理：</w:t>
      </w:r>
    </w:p>
    <w:p w14:paraId="5C25C110">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4B48F854">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（二）质疑主体不符合有关规定的，告知质疑人不予受理；</w:t>
      </w:r>
    </w:p>
    <w:p w14:paraId="3A85F5E1">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（三）超过质疑法定期限提出质疑的，告知质疑人不予受理；</w:t>
      </w:r>
    </w:p>
    <w:p w14:paraId="24395093">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（四）对不属于可以提出质疑的政府采购事项提出质疑的，告知质疑人不予受理；</w:t>
      </w:r>
    </w:p>
    <w:p w14:paraId="1A9B8530">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（五）质疑不属于本项目采购方管辖的，告知质疑人向有管辖权的采购人提出质疑；</w:t>
      </w:r>
    </w:p>
    <w:p w14:paraId="2F17D59F">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（六）质疑不符合其他条件的，告知质疑人不予受理。</w:t>
      </w:r>
    </w:p>
    <w:p w14:paraId="306BD998">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 xml:space="preserve">  质疑的处理和答复</w:t>
      </w:r>
    </w:p>
    <w:p w14:paraId="2B46DE7F">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  采购方受理质疑后，将及时把质疑函发送给被质疑人，并要求其在一定限期内提交书面答复，同时提供有关证据、依据和相关材料。</w:t>
      </w:r>
    </w:p>
    <w:p w14:paraId="1276DE71">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6BE5AE46">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 xml:space="preserve">  对评审过程、中标结果提出质疑的，采购方可以组织原评审委员会协助答复质疑。</w:t>
      </w:r>
    </w:p>
    <w:p w14:paraId="452873A7">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 xml:space="preserve">  质疑处理过程中，质疑人书面申请撤回质疑的，将终止质疑处理程序。</w:t>
      </w:r>
    </w:p>
    <w:p w14:paraId="37C15216">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24B68EA0">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 xml:space="preserve">3 </w:t>
      </w:r>
      <w:r>
        <w:rPr>
          <w:rFonts w:hint="eastAsia" w:ascii="微软雅黑" w:hAnsi="微软雅黑" w:eastAsia="微软雅黑" w:cs="微软雅黑"/>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46CAAEBE">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xml:space="preserve">  采购方将在正式受理质疑后7个工作日内作出答复。</w:t>
      </w:r>
      <w:r>
        <w:rPr>
          <w:rFonts w:hint="eastAsia" w:ascii="微软雅黑" w:hAnsi="微软雅黑" w:eastAsia="微软雅黑" w:cs="微软雅黑"/>
          <w:color w:val="auto"/>
          <w:sz w:val="24"/>
          <w:szCs w:val="24"/>
          <w:highlight w:val="none"/>
          <w:lang w:val="en-US" w:eastAsia="zh-CN"/>
        </w:rPr>
        <w:t xml:space="preserve"> </w:t>
      </w:r>
    </w:p>
    <w:p w14:paraId="69BC66FB">
      <w:pPr>
        <w:pStyle w:val="37"/>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质疑答复应当包括下列内容：</w:t>
      </w:r>
    </w:p>
    <w:p w14:paraId="6E0D217C">
      <w:pPr>
        <w:pStyle w:val="37"/>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（一）质疑人的姓名或者名称；</w:t>
      </w:r>
    </w:p>
    <w:p w14:paraId="642A5701">
      <w:pPr>
        <w:pStyle w:val="37"/>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（二）收到质疑函的日期、质疑项目名称及编号；</w:t>
      </w:r>
    </w:p>
    <w:p w14:paraId="462590B1">
      <w:pPr>
        <w:pStyle w:val="37"/>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（三）质疑事项、质疑答复的具体内容、事实依据和法律依据；</w:t>
      </w:r>
    </w:p>
    <w:p w14:paraId="710D00C8">
      <w:pPr>
        <w:pStyle w:val="37"/>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（四）告知质疑供应商依法投诉的权利；</w:t>
      </w:r>
    </w:p>
    <w:p w14:paraId="0FC11CDA">
      <w:pPr>
        <w:pStyle w:val="37"/>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（五）质疑答复人名称；</w:t>
      </w:r>
    </w:p>
    <w:p w14:paraId="091B4023">
      <w:pPr>
        <w:pStyle w:val="37"/>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（六）答复质疑的日期。</w:t>
      </w:r>
    </w:p>
    <w:p w14:paraId="71E8D50B">
      <w:pPr>
        <w:pStyle w:val="4"/>
        <w:pageBreakBefore w:val="0"/>
        <w:widowControl w:val="0"/>
        <w:numPr>
          <w:ilvl w:val="0"/>
          <w:numId w:val="0"/>
        </w:numPr>
        <w:kinsoku/>
        <w:wordWrap/>
        <w:overflowPunct/>
        <w:topLinePunct w:val="0"/>
        <w:bidi w:val="0"/>
        <w:spacing w:before="0" w:after="0" w:line="360" w:lineRule="exact"/>
        <w:ind w:left="0" w:leftChars="0"/>
        <w:jc w:val="center"/>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371" w:name="_Toc30855"/>
      <w:bookmarkStart w:id="2372" w:name="_Toc2799"/>
      <w:bookmarkStart w:id="2373" w:name="_Toc24622"/>
      <w:bookmarkStart w:id="2374" w:name="_Toc24946"/>
      <w:bookmarkStart w:id="2375" w:name="_Toc11973"/>
      <w:bookmarkStart w:id="2376" w:name="_Toc8353"/>
      <w:bookmarkStart w:id="2377" w:name="_Toc1369"/>
      <w:bookmarkStart w:id="2378" w:name="_Toc27146"/>
      <w:bookmarkStart w:id="2379" w:name="_Toc1819"/>
      <w:bookmarkStart w:id="2380" w:name="_Toc5728"/>
      <w:bookmarkStart w:id="2381" w:name="_Toc12538"/>
      <w:bookmarkStart w:id="2382" w:name="_Toc30093"/>
      <w:bookmarkStart w:id="2383" w:name="_Toc23799"/>
      <w:bookmarkStart w:id="2384" w:name="_Toc30512"/>
      <w:bookmarkStart w:id="2385" w:name="_Toc2072"/>
      <w:bookmarkStart w:id="2386" w:name="_Toc30986"/>
      <w:bookmarkStart w:id="2387" w:name="_Toc16553"/>
      <w:bookmarkStart w:id="2388" w:name="_Toc3750"/>
      <w:bookmarkStart w:id="2389" w:name="_Toc2500"/>
      <w:bookmarkStart w:id="2390" w:name="_Toc24180"/>
      <w:bookmarkStart w:id="2391" w:name="_Toc11447"/>
      <w:bookmarkStart w:id="2392" w:name="_Toc5175"/>
      <w:bookmarkStart w:id="2393" w:name="_Toc22908"/>
      <w:bookmarkStart w:id="2394" w:name="_Toc27601"/>
      <w:bookmarkStart w:id="2395" w:name="_Toc5974"/>
      <w:bookmarkStart w:id="2396" w:name="_Toc29230"/>
      <w:bookmarkStart w:id="2397" w:name="_Toc30543"/>
      <w:bookmarkStart w:id="2398" w:name="_Toc6493"/>
      <w:bookmarkStart w:id="2399" w:name="_Toc25037"/>
      <w:bookmarkStart w:id="2400" w:name="_Toc13021"/>
      <w:bookmarkStart w:id="2401" w:name="_Toc27083"/>
      <w:bookmarkStart w:id="2402" w:name="_Toc21679"/>
      <w:bookmarkStart w:id="2403" w:name="_Toc7283"/>
      <w:bookmarkStart w:id="2404" w:name="_Toc9437"/>
      <w:bookmarkStart w:id="2405" w:name="_Toc20672"/>
      <w:bookmarkStart w:id="2406" w:name="_Toc596"/>
      <w:bookmarkStart w:id="2407" w:name="_Toc18518"/>
      <w:bookmarkStart w:id="2408" w:name="_Toc27096"/>
      <w:bookmarkStart w:id="2409" w:name="_Toc532"/>
      <w:bookmarkStart w:id="2410" w:name="_Toc24314"/>
      <w:bookmarkStart w:id="2411" w:name="_Toc23411"/>
      <w:bookmarkStart w:id="2412" w:name="_Toc25633"/>
      <w:bookmarkStart w:id="2413" w:name="_Toc12088"/>
      <w:bookmarkStart w:id="2414" w:name="_Toc29563"/>
      <w:bookmarkStart w:id="2415" w:name="_Toc6405"/>
      <w:bookmarkStart w:id="2416" w:name="_Toc2270"/>
      <w:bookmarkStart w:id="2417" w:name="_Toc4474"/>
      <w:bookmarkStart w:id="2418" w:name="_Toc3696"/>
      <w:bookmarkStart w:id="2419" w:name="_Toc20378"/>
      <w:bookmarkStart w:id="2420" w:name="_Toc25636"/>
      <w:bookmarkStart w:id="2421" w:name="_Toc29087"/>
      <w:bookmarkStart w:id="2422" w:name="_Toc9003"/>
      <w:bookmarkStart w:id="2423" w:name="_Toc11297"/>
      <w:bookmarkStart w:id="2424" w:name="_Toc20458"/>
      <w:bookmarkStart w:id="2425" w:name="_Toc15388"/>
      <w:r>
        <w:rPr>
          <w:rFonts w:hint="eastAsia" w:ascii="微软雅黑" w:hAnsi="微软雅黑" w:eastAsia="微软雅黑" w:cs="微软雅黑"/>
          <w:b/>
          <w:bCs/>
          <w:color w:val="auto"/>
          <w:kern w:val="2"/>
          <w:sz w:val="24"/>
          <w:szCs w:val="24"/>
          <w:highlight w:val="none"/>
          <w:u w:val="none"/>
          <w:lang w:val="en-US" w:eastAsia="zh-CN" w:bidi="ar-SA"/>
        </w:rPr>
        <w:t>质疑函范本</w:t>
      </w:r>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p>
    <w:p w14:paraId="42F70DE8">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一、质疑供应商基本信息</w:t>
      </w:r>
    </w:p>
    <w:p w14:paraId="0B739288">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质疑供应商：</w:t>
      </w:r>
      <w:r>
        <w:rPr>
          <w:rFonts w:hint="eastAsia" w:ascii="微软雅黑" w:hAnsi="微软雅黑" w:eastAsia="微软雅黑" w:cs="微软雅黑"/>
          <w:color w:val="auto"/>
          <w:sz w:val="24"/>
          <w:szCs w:val="24"/>
          <w:highlight w:val="none"/>
          <w:u w:val="single"/>
        </w:rPr>
        <w:t xml:space="preserve">                                        </w:t>
      </w:r>
    </w:p>
    <w:p w14:paraId="747E53E1">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dotted"/>
        </w:rPr>
        <w:t xml:space="preserve">                    </w:t>
      </w:r>
    </w:p>
    <w:p w14:paraId="665DAA94">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w:t>
      </w:r>
    </w:p>
    <w:p w14:paraId="02B1B236">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授权代表：</w:t>
      </w:r>
      <w:r>
        <w:rPr>
          <w:rFonts w:hint="eastAsia" w:ascii="微软雅黑" w:hAnsi="微软雅黑" w:eastAsia="微软雅黑" w:cs="微软雅黑"/>
          <w:color w:val="auto"/>
          <w:sz w:val="24"/>
          <w:szCs w:val="24"/>
          <w:highlight w:val="none"/>
          <w:u w:val="single"/>
        </w:rPr>
        <w:t xml:space="preserve">                                          </w:t>
      </w:r>
    </w:p>
    <w:p w14:paraId="0CD6AD3C">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w:t>
      </w:r>
    </w:p>
    <w:p w14:paraId="0BA299D5">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dotted"/>
        </w:rPr>
        <w:t xml:space="preserve">               </w:t>
      </w:r>
    </w:p>
    <w:p w14:paraId="0FB8D340">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二、质疑项目基本情况</w:t>
      </w:r>
    </w:p>
    <w:p w14:paraId="5E1AFA9D">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质疑项目的名称：</w:t>
      </w:r>
      <w:r>
        <w:rPr>
          <w:rFonts w:hint="eastAsia" w:ascii="微软雅黑" w:hAnsi="微软雅黑" w:eastAsia="微软雅黑" w:cs="微软雅黑"/>
          <w:color w:val="auto"/>
          <w:sz w:val="24"/>
          <w:szCs w:val="24"/>
          <w:highlight w:val="none"/>
          <w:u w:val="single"/>
        </w:rPr>
        <w:t xml:space="preserve">                                      </w:t>
      </w:r>
    </w:p>
    <w:p w14:paraId="22CF5B49">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质疑项目的编号：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14:paraId="46BC7B2D">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采购人名称：</w:t>
      </w:r>
      <w:r>
        <w:rPr>
          <w:rFonts w:hint="eastAsia" w:ascii="微软雅黑" w:hAnsi="微软雅黑" w:eastAsia="微软雅黑" w:cs="微软雅黑"/>
          <w:color w:val="auto"/>
          <w:sz w:val="24"/>
          <w:szCs w:val="24"/>
          <w:highlight w:val="none"/>
          <w:u w:val="single"/>
        </w:rPr>
        <w:t xml:space="preserve">                                         </w:t>
      </w:r>
    </w:p>
    <w:p w14:paraId="2F23B8C3">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采购文件获取日期：</w:t>
      </w:r>
      <w:r>
        <w:rPr>
          <w:rFonts w:hint="eastAsia" w:ascii="微软雅黑" w:hAnsi="微软雅黑" w:eastAsia="微软雅黑" w:cs="微软雅黑"/>
          <w:color w:val="auto"/>
          <w:sz w:val="24"/>
          <w:szCs w:val="24"/>
          <w:highlight w:val="none"/>
          <w:u w:val="single"/>
        </w:rPr>
        <w:t xml:space="preserve">                                           </w:t>
      </w:r>
    </w:p>
    <w:p w14:paraId="1A24FF21">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三、质疑事项具体内容</w:t>
      </w:r>
    </w:p>
    <w:p w14:paraId="7E3B992E">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质疑事项1：</w:t>
      </w:r>
      <w:r>
        <w:rPr>
          <w:rFonts w:hint="eastAsia" w:ascii="微软雅黑" w:hAnsi="微软雅黑" w:eastAsia="微软雅黑" w:cs="微软雅黑"/>
          <w:color w:val="auto"/>
          <w:sz w:val="24"/>
          <w:szCs w:val="24"/>
          <w:highlight w:val="none"/>
          <w:u w:val="single"/>
        </w:rPr>
        <w:t xml:space="preserve">                                         </w:t>
      </w:r>
    </w:p>
    <w:p w14:paraId="57CE2469">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事实依据：</w:t>
      </w:r>
      <w:r>
        <w:rPr>
          <w:rFonts w:hint="eastAsia" w:ascii="微软雅黑" w:hAnsi="微软雅黑" w:eastAsia="微软雅黑" w:cs="微软雅黑"/>
          <w:color w:val="auto"/>
          <w:sz w:val="24"/>
          <w:szCs w:val="24"/>
          <w:highlight w:val="none"/>
          <w:u w:val="single"/>
        </w:rPr>
        <w:t xml:space="preserve">                                          </w:t>
      </w:r>
    </w:p>
    <w:p w14:paraId="09FF6AE7">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p>
    <w:p w14:paraId="65328240">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法律依据：</w:t>
      </w:r>
      <w:r>
        <w:rPr>
          <w:rFonts w:hint="eastAsia" w:ascii="微软雅黑" w:hAnsi="微软雅黑" w:eastAsia="微软雅黑" w:cs="微软雅黑"/>
          <w:color w:val="auto"/>
          <w:sz w:val="24"/>
          <w:szCs w:val="24"/>
          <w:highlight w:val="none"/>
          <w:u w:val="single"/>
        </w:rPr>
        <w:t xml:space="preserve">                                          </w:t>
      </w:r>
    </w:p>
    <w:p w14:paraId="5A653857">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u w:val="single"/>
        </w:rPr>
        <w:t xml:space="preserve">                                                     </w:t>
      </w:r>
    </w:p>
    <w:p w14:paraId="39C9A9D2">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质疑事项2</w:t>
      </w:r>
    </w:p>
    <w:p w14:paraId="6B85FD79">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476381B7">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四、与质疑事项相关的质疑请求</w:t>
      </w:r>
    </w:p>
    <w:p w14:paraId="2A8D7FB0">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请求：</w:t>
      </w:r>
      <w:r>
        <w:rPr>
          <w:rFonts w:hint="eastAsia" w:ascii="微软雅黑" w:hAnsi="微软雅黑" w:eastAsia="微软雅黑" w:cs="微软雅黑"/>
          <w:color w:val="auto"/>
          <w:sz w:val="24"/>
          <w:szCs w:val="24"/>
          <w:highlight w:val="none"/>
          <w:u w:val="single"/>
        </w:rPr>
        <w:t xml:space="preserve">                                               </w:t>
      </w:r>
    </w:p>
    <w:p w14:paraId="564E7BA2">
      <w:pPr>
        <w:pageBreakBefore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签字(签章)：                   公章：                      </w:t>
      </w:r>
    </w:p>
    <w:p w14:paraId="36194186">
      <w:pPr>
        <w:pageBreakBefore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p>
    <w:p w14:paraId="1DFF4A1B">
      <w:pPr>
        <w:pageBreakBefore w:val="0"/>
        <w:kinsoku/>
        <w:wordWrap/>
        <w:overflowPunct/>
        <w:topLinePunct w:val="0"/>
        <w:bidi w:val="0"/>
        <w:spacing w:line="360" w:lineRule="exact"/>
        <w:ind w:left="0" w:leftChars="0"/>
        <w:textAlignment w:val="auto"/>
        <w:outlineLvl w:val="9"/>
        <w:rPr>
          <w:rFonts w:hint="eastAsia" w:ascii="微软雅黑" w:hAnsi="微软雅黑" w:eastAsia="微软雅黑" w:cs="微软雅黑"/>
          <w:b/>
          <w:color w:val="auto"/>
          <w:sz w:val="24"/>
          <w:szCs w:val="24"/>
          <w:highlight w:val="none"/>
        </w:rPr>
      </w:pPr>
    </w:p>
    <w:p w14:paraId="60BEB68B">
      <w:pPr>
        <w:pageBreakBefore w:val="0"/>
        <w:kinsoku/>
        <w:wordWrap/>
        <w:overflowPunct/>
        <w:topLinePunct w:val="0"/>
        <w:bidi w:val="0"/>
        <w:spacing w:line="360" w:lineRule="exact"/>
        <w:ind w:left="0" w:leftChars="0"/>
        <w:textAlignment w:val="auto"/>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质疑函制作说明：</w:t>
      </w:r>
    </w:p>
    <w:p w14:paraId="6DB85941">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1.供应商提出质疑时，应提交质疑函和必要的证明材料。</w:t>
      </w:r>
    </w:p>
    <w:p w14:paraId="5AA48CEB">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szCs w:val="24"/>
          <w:highlight w:val="none"/>
        </w:rPr>
        <w:t>供应商签署的授权委托书。授权委托书应载明代理人的姓名或者名称、代理事项、具体权限、期限和相关事项。</w:t>
      </w:r>
    </w:p>
    <w:p w14:paraId="4E6D4EDA">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3.质疑供应商若对项目的某一分</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进行质疑，质疑函中应列明具体分</w:t>
      </w:r>
      <w:r>
        <w:rPr>
          <w:rFonts w:hint="eastAsia" w:ascii="微软雅黑" w:hAnsi="微软雅黑" w:eastAsia="微软雅黑" w:cs="微软雅黑"/>
          <w:color w:val="auto"/>
          <w:sz w:val="24"/>
          <w:szCs w:val="24"/>
          <w:highlight w:val="none"/>
          <w:lang w:eastAsia="zh-CN"/>
        </w:rPr>
        <w:t>标项</w:t>
      </w:r>
      <w:r>
        <w:rPr>
          <w:rFonts w:hint="eastAsia" w:ascii="微软雅黑" w:hAnsi="微软雅黑" w:eastAsia="微软雅黑" w:cs="微软雅黑"/>
          <w:color w:val="auto"/>
          <w:sz w:val="24"/>
          <w:szCs w:val="24"/>
          <w:highlight w:val="none"/>
        </w:rPr>
        <w:t>号。</w:t>
      </w:r>
    </w:p>
    <w:p w14:paraId="3296B6FE">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4.质疑函的质疑事项应具体、明确，并有必要的事实依据和法律依据。</w:t>
      </w:r>
    </w:p>
    <w:p w14:paraId="1CF30623">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5.质疑函的质疑请求应与质疑事项相关。</w:t>
      </w:r>
    </w:p>
    <w:p w14:paraId="0EB6987F">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3B518087">
      <w:pPr>
        <w:pStyle w:val="7"/>
        <w:spacing w:line="400" w:lineRule="exact"/>
        <w:ind w:firstLine="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b/>
          <w:color w:val="auto"/>
          <w:szCs w:val="24"/>
          <w:highlight w:val="none"/>
        </w:rPr>
        <w:br w:type="page"/>
      </w:r>
    </w:p>
    <w:p w14:paraId="5D45609C">
      <w:pPr>
        <w:pStyle w:val="7"/>
        <w:ind w:firstLine="0"/>
        <w:jc w:val="center"/>
        <w:outlineLvl w:val="0"/>
        <w:rPr>
          <w:rFonts w:hint="eastAsia" w:ascii="微软雅黑" w:hAnsi="微软雅黑" w:eastAsia="微软雅黑" w:cs="微软雅黑"/>
          <w:b/>
          <w:bCs/>
          <w:color w:val="auto"/>
          <w:sz w:val="32"/>
          <w:szCs w:val="32"/>
          <w:highlight w:val="none"/>
        </w:rPr>
      </w:pPr>
      <w:bookmarkStart w:id="2426" w:name="_Toc216582812"/>
      <w:bookmarkStart w:id="2427" w:name="_Toc702"/>
      <w:bookmarkStart w:id="2428" w:name="_Toc29770"/>
      <w:bookmarkStart w:id="2429" w:name="_Toc728"/>
      <w:bookmarkStart w:id="2430" w:name="_Toc361"/>
      <w:bookmarkStart w:id="2431" w:name="_Toc3574"/>
      <w:bookmarkStart w:id="2432" w:name="_Toc31373"/>
      <w:bookmarkStart w:id="2433" w:name="_Toc515647802"/>
      <w:bookmarkStart w:id="2434" w:name="_Toc9181"/>
      <w:r>
        <w:rPr>
          <w:rFonts w:hint="eastAsia" w:ascii="微软雅黑" w:hAnsi="微软雅黑" w:eastAsia="微软雅黑" w:cs="微软雅黑"/>
          <w:b/>
          <w:bCs/>
          <w:color w:val="auto"/>
          <w:sz w:val="32"/>
          <w:szCs w:val="32"/>
          <w:highlight w:val="none"/>
          <w:lang w:val="en-US" w:eastAsia="zh-CN"/>
        </w:rPr>
        <w:t>第2章  投标文件格式</w:t>
      </w:r>
      <w:bookmarkEnd w:id="2426"/>
      <w:bookmarkEnd w:id="2427"/>
      <w:bookmarkEnd w:id="2428"/>
      <w:bookmarkEnd w:id="2429"/>
      <w:bookmarkEnd w:id="2430"/>
      <w:bookmarkEnd w:id="2431"/>
      <w:bookmarkEnd w:id="2432"/>
      <w:bookmarkEnd w:id="2433"/>
      <w:bookmarkEnd w:id="2434"/>
    </w:p>
    <w:p w14:paraId="2E334390">
      <w:pPr>
        <w:pStyle w:val="2"/>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2435" w:name="_Toc17114"/>
      <w:bookmarkStart w:id="2436" w:name="_Toc32566"/>
      <w:bookmarkStart w:id="2437" w:name="_Toc22572"/>
      <w:bookmarkStart w:id="2438" w:name="_Toc18974"/>
      <w:bookmarkStart w:id="2439" w:name="_Toc18694"/>
      <w:bookmarkStart w:id="2440" w:name="_Toc32123"/>
      <w:bookmarkStart w:id="2441" w:name="_Toc515647803"/>
      <w:bookmarkStart w:id="2442" w:name="_Toc32079"/>
      <w:bookmarkStart w:id="2443" w:name="_Toc8999"/>
      <w:bookmarkStart w:id="2444" w:name="_Toc13595"/>
      <w:bookmarkStart w:id="2445" w:name="_Toc16750"/>
      <w:bookmarkStart w:id="2446" w:name="_Toc515647804"/>
      <w:bookmarkStart w:id="2447" w:name="_Toc29091"/>
      <w:bookmarkStart w:id="2448" w:name="_Toc30630"/>
      <w:bookmarkStart w:id="2449" w:name="_Toc21614"/>
      <w:bookmarkStart w:id="2450" w:name="_Toc3620"/>
      <w:bookmarkStart w:id="2451" w:name="_Toc30524"/>
      <w:bookmarkStart w:id="2452" w:name="_Toc14118"/>
      <w:bookmarkStart w:id="2453" w:name="_Toc11138"/>
      <w:bookmarkStart w:id="2454" w:name="_Toc16568"/>
      <w:bookmarkStart w:id="2455" w:name="_Toc522"/>
      <w:bookmarkStart w:id="2456" w:name="_Ref467988698"/>
      <w:bookmarkStart w:id="2457" w:name="_Toc520356217"/>
      <w:bookmarkStart w:id="2458" w:name="_Toc216582813"/>
      <w:bookmarkStart w:id="2459" w:name="_Toc480942349"/>
      <w:r>
        <w:rPr>
          <w:rFonts w:hint="eastAsia" w:ascii="微软雅黑" w:hAnsi="微软雅黑" w:eastAsia="微软雅黑" w:cs="微软雅黑"/>
          <w:color w:val="auto"/>
          <w:sz w:val="28"/>
          <w:szCs w:val="28"/>
          <w:highlight w:val="none"/>
          <w:lang w:val="en-US" w:eastAsia="zh-CN"/>
        </w:rPr>
        <w:t>第一部分 开标一览表及资格证明文件</w:t>
      </w:r>
      <w:bookmarkEnd w:id="2435"/>
      <w:bookmarkEnd w:id="2436"/>
      <w:bookmarkEnd w:id="2437"/>
      <w:bookmarkEnd w:id="2438"/>
      <w:bookmarkEnd w:id="2439"/>
      <w:bookmarkEnd w:id="2440"/>
      <w:bookmarkEnd w:id="2441"/>
      <w:bookmarkEnd w:id="2442"/>
      <w:bookmarkEnd w:id="2443"/>
    </w:p>
    <w:p w14:paraId="04CF0785">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rPr>
        <w:t>开标一览表</w:t>
      </w:r>
      <w:r>
        <w:rPr>
          <w:rFonts w:hint="eastAsia" w:ascii="微软雅黑" w:hAnsi="微软雅黑" w:eastAsia="微软雅黑" w:cs="微软雅黑"/>
          <w:color w:val="auto"/>
          <w:sz w:val="24"/>
          <w:szCs w:val="24"/>
          <w:highlight w:val="none"/>
          <w:lang w:eastAsia="zh-CN"/>
        </w:rPr>
        <w:t>；</w:t>
      </w:r>
    </w:p>
    <w:p w14:paraId="3BCF812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2.具有有效的营业执照；</w:t>
      </w:r>
    </w:p>
    <w:p w14:paraId="0D86E4E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3.法定代表人本人投标需提供法定代表人身份证及法定代表人资格证明书;授权委托人投标需提供法定代表人授权委托书、法定代表人身份证复印件及被授权委托人身份证；</w:t>
      </w:r>
    </w:p>
    <w:p w14:paraId="61F60FC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4.提供近两年内任意一年的财务审计报告（成立未满十二个月的新公司可提供近三个月内任意一个月的银行资信证明）</w:t>
      </w:r>
      <w:r>
        <w:rPr>
          <w:rFonts w:hint="eastAsia" w:ascii="微软雅黑" w:hAnsi="微软雅黑" w:eastAsia="微软雅黑" w:cs="微软雅黑"/>
          <w:color w:val="auto"/>
          <w:sz w:val="24"/>
          <w:szCs w:val="24"/>
          <w:highlight w:val="none"/>
          <w:lang w:eastAsia="zh-CN"/>
        </w:rPr>
        <w:t>；</w:t>
      </w:r>
    </w:p>
    <w:p w14:paraId="525FB88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依法缴纳近六个月内任意一个月的社会保险证明；</w:t>
      </w:r>
    </w:p>
    <w:p w14:paraId="3D49FD7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依法缴纳近六个月内任意一个月的税收证明；</w:t>
      </w:r>
    </w:p>
    <w:p w14:paraId="518D741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lang w:eastAsia="zh-CN"/>
        </w:rPr>
        <w:t>根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267C9A1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参加政府采购活动前三年内在经营活动中没有重大违法记录的书面声明；</w:t>
      </w:r>
    </w:p>
    <w:p w14:paraId="274240D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缴纳投标保证金的有效凭证；</w:t>
      </w:r>
    </w:p>
    <w:p w14:paraId="4A9230D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10.供应商须具有《劳务派遣经营许可证》或《人力资源服务许可证》；</w:t>
      </w:r>
    </w:p>
    <w:p w14:paraId="44BEA4D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银行开户许可证复印件或银行基本账户信息(包含：银行账号及开户行名称）；</w:t>
      </w:r>
    </w:p>
    <w:p w14:paraId="431C115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12.供应商可提供有利于投标的其他资格证明材料。</w:t>
      </w:r>
    </w:p>
    <w:p w14:paraId="5F97EBEA">
      <w:pPr>
        <w:pStyle w:val="10"/>
        <w:rPr>
          <w:rFonts w:hint="eastAsia"/>
          <w:highlight w:val="none"/>
        </w:rPr>
      </w:pPr>
    </w:p>
    <w:p w14:paraId="263D1C0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20" w:firstLineChars="200"/>
        <w:jc w:val="left"/>
        <w:textAlignment w:val="baseline"/>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各供应商应注意以下事项：①本项目要求各投标供应商提供“</w:t>
      </w:r>
      <w:r>
        <w:rPr>
          <w:rFonts w:hint="eastAsia" w:ascii="微软雅黑" w:hAnsi="微软雅黑" w:eastAsia="微软雅黑" w:cs="微软雅黑"/>
          <w:b/>
          <w:bCs/>
          <w:color w:val="auto"/>
          <w:sz w:val="21"/>
          <w:szCs w:val="21"/>
          <w:highlight w:val="none"/>
          <w:lang w:eastAsia="zh-CN"/>
        </w:rPr>
        <w:t>依法缴纳近六个月内任意一个月的税收证明</w:t>
      </w:r>
      <w:r>
        <w:rPr>
          <w:rFonts w:hint="eastAsia" w:ascii="微软雅黑" w:hAnsi="微软雅黑" w:eastAsia="微软雅黑" w:cs="微软雅黑"/>
          <w:b/>
          <w:bCs/>
          <w:color w:val="auto"/>
          <w:sz w:val="21"/>
          <w:szCs w:val="21"/>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7087209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bookmarkEnd w:id="2444"/>
    <w:bookmarkEnd w:id="2445"/>
    <w:bookmarkEnd w:id="2446"/>
    <w:bookmarkEnd w:id="2447"/>
    <w:bookmarkEnd w:id="2448"/>
    <w:bookmarkEnd w:id="2449"/>
    <w:bookmarkEnd w:id="2450"/>
    <w:bookmarkEnd w:id="2451"/>
    <w:bookmarkEnd w:id="2452"/>
    <w:bookmarkEnd w:id="2453"/>
    <w:bookmarkEnd w:id="2454"/>
    <w:bookmarkEnd w:id="2455"/>
    <w:p w14:paraId="319CF936">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8"/>
          <w:szCs w:val="28"/>
          <w:highlight w:val="none"/>
          <w:u w:val="none"/>
        </w:rPr>
      </w:pPr>
      <w:bookmarkStart w:id="2460" w:name="_Toc22726"/>
      <w:bookmarkStart w:id="2461" w:name="_Toc12356"/>
      <w:bookmarkStart w:id="2462" w:name="_Toc3509"/>
      <w:bookmarkStart w:id="2463" w:name="_Toc15280"/>
      <w:r>
        <w:rPr>
          <w:rFonts w:hint="eastAsia" w:ascii="微软雅黑" w:hAnsi="微软雅黑" w:eastAsia="微软雅黑" w:cs="微软雅黑"/>
          <w:b/>
          <w:bCs/>
          <w:color w:val="auto"/>
          <w:sz w:val="28"/>
          <w:szCs w:val="28"/>
          <w:highlight w:val="none"/>
          <w:u w:val="none"/>
        </w:rPr>
        <w:t>1.开标一览表；</w:t>
      </w:r>
      <w:bookmarkEnd w:id="2460"/>
      <w:bookmarkEnd w:id="2461"/>
      <w:bookmarkEnd w:id="2462"/>
      <w:bookmarkEnd w:id="2463"/>
    </w:p>
    <w:p w14:paraId="270552C3">
      <w:pPr>
        <w:pStyle w:val="7"/>
        <w:tabs>
          <w:tab w:val="left" w:pos="5580"/>
        </w:tabs>
        <w:spacing w:line="400" w:lineRule="exact"/>
        <w:ind w:left="1080" w:leftChars="257" w:hanging="540"/>
        <w:jc w:val="center"/>
        <w:rPr>
          <w:rFonts w:hint="eastAsia" w:ascii="微软雅黑" w:hAnsi="微软雅黑" w:eastAsia="微软雅黑" w:cs="微软雅黑"/>
          <w:color w:val="auto"/>
          <w:highlight w:val="none"/>
        </w:rPr>
      </w:pPr>
      <w:bookmarkStart w:id="2464" w:name="_Hlt520356241"/>
      <w:bookmarkEnd w:id="2464"/>
      <w:bookmarkStart w:id="2465" w:name="_Toc494296984"/>
      <w:r>
        <w:rPr>
          <w:rFonts w:hint="eastAsia" w:ascii="微软雅黑" w:hAnsi="微软雅黑" w:eastAsia="微软雅黑" w:cs="微软雅黑"/>
          <w:b/>
          <w:color w:val="auto"/>
          <w:highlight w:val="none"/>
        </w:rPr>
        <w:t>开标一览表</w:t>
      </w:r>
      <w:bookmarkEnd w:id="2465"/>
    </w:p>
    <w:p w14:paraId="5D8B6B6A">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项目编号：                          </w:t>
      </w:r>
    </w:p>
    <w:p w14:paraId="55E9B7C9">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报价单位：人民币</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b/>
          <w:color w:val="auto"/>
          <w:sz w:val="24"/>
          <w:highlight w:val="none"/>
        </w:rPr>
        <w:t>元</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color w:val="auto"/>
          <w:sz w:val="24"/>
          <w:highlight w:val="none"/>
          <w:lang w:val="en-US" w:eastAsia="zh-CN"/>
        </w:rPr>
        <w:t xml:space="preserve">标项：   </w:t>
      </w:r>
      <w:r>
        <w:rPr>
          <w:rFonts w:hint="eastAsia" w:ascii="微软雅黑" w:hAnsi="微软雅黑" w:eastAsia="微软雅黑" w:cs="微软雅黑"/>
          <w:b/>
          <w:color w:val="auto"/>
          <w:sz w:val="24"/>
          <w:highlight w:val="none"/>
          <w:lang w:val="en-US" w:eastAsia="zh-CN"/>
        </w:rPr>
        <w:t xml:space="preserve">     </w:t>
      </w:r>
    </w:p>
    <w:tbl>
      <w:tblPr>
        <w:tblStyle w:val="29"/>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6"/>
        <w:gridCol w:w="1676"/>
        <w:gridCol w:w="2091"/>
        <w:gridCol w:w="1676"/>
        <w:gridCol w:w="1676"/>
        <w:gridCol w:w="848"/>
      </w:tblGrid>
      <w:tr w14:paraId="390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1676" w:type="dxa"/>
            <w:vAlign w:val="center"/>
          </w:tcPr>
          <w:p w14:paraId="097F0BDD">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szCs w:val="24"/>
                <w:highlight w:val="none"/>
                <w:lang w:val="en-US" w:eastAsia="zh-CN"/>
              </w:rPr>
              <w:t>标项名称</w:t>
            </w:r>
          </w:p>
        </w:tc>
        <w:tc>
          <w:tcPr>
            <w:tcW w:w="1676" w:type="dxa"/>
            <w:vAlign w:val="center"/>
          </w:tcPr>
          <w:p w14:paraId="5868613E">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投标总价</w:t>
            </w:r>
          </w:p>
        </w:tc>
        <w:tc>
          <w:tcPr>
            <w:tcW w:w="2091" w:type="dxa"/>
            <w:vAlign w:val="center"/>
          </w:tcPr>
          <w:p w14:paraId="2ED22BA1">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投标保证金</w:t>
            </w:r>
          </w:p>
        </w:tc>
        <w:tc>
          <w:tcPr>
            <w:tcW w:w="1676" w:type="dxa"/>
            <w:vAlign w:val="center"/>
          </w:tcPr>
          <w:p w14:paraId="7D761F8F">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服务时间</w:t>
            </w:r>
          </w:p>
        </w:tc>
        <w:tc>
          <w:tcPr>
            <w:tcW w:w="1676" w:type="dxa"/>
            <w:vAlign w:val="center"/>
          </w:tcPr>
          <w:p w14:paraId="4CAA93AE">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000000"/>
                <w:sz w:val="24"/>
                <w:szCs w:val="24"/>
                <w:highlight w:val="none"/>
                <w:lang w:val="en-US" w:eastAsia="zh-CN"/>
              </w:rPr>
              <w:t>服务地点</w:t>
            </w:r>
          </w:p>
        </w:tc>
        <w:tc>
          <w:tcPr>
            <w:tcW w:w="848" w:type="dxa"/>
            <w:vAlign w:val="center"/>
          </w:tcPr>
          <w:p w14:paraId="5713E45D">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备注</w:t>
            </w:r>
          </w:p>
        </w:tc>
      </w:tr>
      <w:tr w14:paraId="4637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4" w:hRule="atLeast"/>
          <w:jc w:val="center"/>
        </w:trPr>
        <w:tc>
          <w:tcPr>
            <w:tcW w:w="1676" w:type="dxa"/>
            <w:vAlign w:val="center"/>
          </w:tcPr>
          <w:p w14:paraId="7836056B">
            <w:pPr>
              <w:tabs>
                <w:tab w:val="left" w:pos="5580"/>
              </w:tabs>
              <w:spacing w:line="400" w:lineRule="exact"/>
              <w:jc w:val="center"/>
              <w:rPr>
                <w:rFonts w:hint="eastAsia" w:ascii="微软雅黑" w:hAnsi="微软雅黑" w:eastAsia="微软雅黑" w:cs="微软雅黑"/>
                <w:color w:val="auto"/>
                <w:sz w:val="24"/>
                <w:highlight w:val="none"/>
                <w:lang w:val="en-US" w:eastAsia="zh-CN"/>
              </w:rPr>
            </w:pPr>
          </w:p>
        </w:tc>
        <w:tc>
          <w:tcPr>
            <w:tcW w:w="1676" w:type="dxa"/>
            <w:vAlign w:val="center"/>
          </w:tcPr>
          <w:p w14:paraId="383AA8E8">
            <w:pPr>
              <w:tabs>
                <w:tab w:val="left" w:pos="5580"/>
              </w:tabs>
              <w:spacing w:line="400" w:lineRule="exact"/>
              <w:jc w:val="both"/>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大写：</w:t>
            </w:r>
          </w:p>
          <w:p w14:paraId="2CCBE232">
            <w:pPr>
              <w:tabs>
                <w:tab w:val="left" w:pos="5580"/>
              </w:tabs>
              <w:spacing w:line="400" w:lineRule="exact"/>
              <w:jc w:val="both"/>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小写：</w:t>
            </w:r>
          </w:p>
        </w:tc>
        <w:tc>
          <w:tcPr>
            <w:tcW w:w="2091" w:type="dxa"/>
            <w:vAlign w:val="center"/>
          </w:tcPr>
          <w:p w14:paraId="66565636">
            <w:pPr>
              <w:tabs>
                <w:tab w:val="left" w:pos="5580"/>
              </w:tabs>
              <w:spacing w:line="400" w:lineRule="exact"/>
              <w:jc w:val="center"/>
              <w:rPr>
                <w:rFonts w:hint="eastAsia" w:ascii="微软雅黑" w:hAnsi="微软雅黑" w:eastAsia="微软雅黑" w:cs="微软雅黑"/>
                <w:color w:val="auto"/>
                <w:sz w:val="24"/>
                <w:highlight w:val="none"/>
                <w:lang w:val="en-US" w:eastAsia="zh-CN"/>
              </w:rPr>
            </w:pPr>
          </w:p>
        </w:tc>
        <w:tc>
          <w:tcPr>
            <w:tcW w:w="1676" w:type="dxa"/>
            <w:vAlign w:val="center"/>
          </w:tcPr>
          <w:p w14:paraId="0C5BC7F7">
            <w:pPr>
              <w:tabs>
                <w:tab w:val="left" w:pos="5580"/>
              </w:tabs>
              <w:spacing w:line="400" w:lineRule="exact"/>
              <w:jc w:val="center"/>
              <w:rPr>
                <w:rFonts w:hint="eastAsia" w:ascii="微软雅黑" w:hAnsi="微软雅黑" w:eastAsia="微软雅黑" w:cs="微软雅黑"/>
                <w:color w:val="auto"/>
                <w:sz w:val="24"/>
                <w:highlight w:val="none"/>
                <w:lang w:val="en-US" w:eastAsia="zh-CN"/>
              </w:rPr>
            </w:pPr>
          </w:p>
        </w:tc>
        <w:tc>
          <w:tcPr>
            <w:tcW w:w="1676" w:type="dxa"/>
            <w:vAlign w:val="center"/>
          </w:tcPr>
          <w:p w14:paraId="5D770079">
            <w:pPr>
              <w:tabs>
                <w:tab w:val="left" w:pos="5580"/>
              </w:tabs>
              <w:spacing w:line="400" w:lineRule="exact"/>
              <w:jc w:val="center"/>
              <w:rPr>
                <w:rFonts w:hint="eastAsia" w:ascii="微软雅黑" w:hAnsi="微软雅黑" w:eastAsia="微软雅黑" w:cs="微软雅黑"/>
                <w:color w:val="auto"/>
                <w:sz w:val="24"/>
                <w:highlight w:val="none"/>
                <w:lang w:val="en-US" w:eastAsia="zh-CN"/>
              </w:rPr>
            </w:pPr>
          </w:p>
        </w:tc>
        <w:tc>
          <w:tcPr>
            <w:tcW w:w="848" w:type="dxa"/>
            <w:vAlign w:val="center"/>
          </w:tcPr>
          <w:p w14:paraId="7DC61E19">
            <w:pPr>
              <w:tabs>
                <w:tab w:val="left" w:pos="5580"/>
              </w:tabs>
              <w:spacing w:line="400" w:lineRule="exact"/>
              <w:jc w:val="center"/>
              <w:rPr>
                <w:rFonts w:hint="eastAsia" w:ascii="微软雅黑" w:hAnsi="微软雅黑" w:eastAsia="微软雅黑" w:cs="微软雅黑"/>
                <w:color w:val="auto"/>
                <w:sz w:val="24"/>
                <w:highlight w:val="none"/>
                <w:lang w:val="en-US" w:eastAsia="zh-CN"/>
              </w:rPr>
            </w:pPr>
          </w:p>
        </w:tc>
      </w:tr>
    </w:tbl>
    <w:p w14:paraId="27949B93">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2F85CEC9">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u w:val="single"/>
        </w:rPr>
      </w:pPr>
    </w:p>
    <w:p w14:paraId="1AF3892F">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供应商名称（公章）：</w:t>
      </w:r>
      <w:r>
        <w:rPr>
          <w:rFonts w:hint="eastAsia" w:ascii="微软雅黑" w:hAnsi="微软雅黑" w:eastAsia="微软雅黑" w:cs="微软雅黑"/>
          <w:color w:val="auto"/>
          <w:sz w:val="24"/>
          <w:highlight w:val="none"/>
          <w:u w:val="single"/>
        </w:rPr>
        <w:t xml:space="preserve">                       </w:t>
      </w:r>
    </w:p>
    <w:p w14:paraId="18A6EBAA">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u w:val="single"/>
          <w:lang w:val="en-US" w:eastAsia="zh-CN"/>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lang w:val="en-US" w:eastAsia="zh-CN"/>
        </w:rPr>
        <w:t>或委托代理人</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签字或盖章</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2BC7D7CA">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u w:val="single"/>
          <w:lang w:val="en-US" w:eastAsia="zh-CN"/>
        </w:rPr>
      </w:pPr>
      <w:r>
        <w:rPr>
          <w:rFonts w:hint="eastAsia" w:ascii="微软雅黑" w:hAnsi="微软雅黑" w:eastAsia="微软雅黑" w:cs="微软雅黑"/>
          <w:color w:val="auto"/>
          <w:sz w:val="24"/>
          <w:highlight w:val="none"/>
          <w:u w:val="none"/>
          <w:lang w:val="en-US" w:eastAsia="zh-CN"/>
        </w:rPr>
        <w:t>日期：</w:t>
      </w:r>
      <w:r>
        <w:rPr>
          <w:rFonts w:hint="eastAsia" w:ascii="微软雅黑" w:hAnsi="微软雅黑" w:eastAsia="微软雅黑" w:cs="微软雅黑"/>
          <w:color w:val="auto"/>
          <w:sz w:val="24"/>
          <w:highlight w:val="none"/>
          <w:u w:val="single"/>
          <w:lang w:val="en-US" w:eastAsia="zh-CN"/>
        </w:rPr>
        <w:t xml:space="preserve">                       </w:t>
      </w:r>
    </w:p>
    <w:p w14:paraId="10408735">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3FABF0B5">
      <w:pPr>
        <w:pStyle w:val="15"/>
        <w:tabs>
          <w:tab w:val="left" w:pos="5580"/>
        </w:tabs>
        <w:spacing w:line="400" w:lineRule="exact"/>
        <w:ind w:left="741" w:leftChars="353"/>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6F3AF1E5">
      <w:pPr>
        <w:pStyle w:val="15"/>
        <w:numPr>
          <w:ilvl w:val="0"/>
          <w:numId w:val="0"/>
        </w:numPr>
        <w:tabs>
          <w:tab w:val="left" w:pos="5580"/>
        </w:tabs>
        <w:spacing w:line="400" w:lineRule="exact"/>
        <w:ind w:left="741" w:leftChars="35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2"/>
          <w:sz w:val="24"/>
          <w:szCs w:val="20"/>
          <w:highlight w:val="none"/>
          <w:lang w:val="en-US" w:eastAsia="zh-CN" w:bidi="ar-SA"/>
        </w:rPr>
        <w:t>1、</w:t>
      </w:r>
      <w:r>
        <w:rPr>
          <w:rFonts w:hint="eastAsia" w:ascii="微软雅黑" w:hAnsi="微软雅黑" w:eastAsia="微软雅黑" w:cs="微软雅黑"/>
          <w:color w:val="auto"/>
          <w:sz w:val="24"/>
          <w:highlight w:val="none"/>
          <w:lang w:val="en-US" w:eastAsia="zh-CN"/>
        </w:rPr>
        <w:t>此表应按供应商须知的规定上传。</w:t>
      </w:r>
    </w:p>
    <w:p w14:paraId="64EDAC92">
      <w:pPr>
        <w:pStyle w:val="15"/>
        <w:numPr>
          <w:ilvl w:val="0"/>
          <w:numId w:val="0"/>
        </w:numPr>
        <w:tabs>
          <w:tab w:val="left" w:pos="5580"/>
        </w:tabs>
        <w:spacing w:line="400" w:lineRule="exact"/>
        <w:ind w:left="741" w:leftChars="35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2、此表中，投标总价应和投标分项报价表的总价相一致。</w:t>
      </w:r>
    </w:p>
    <w:p w14:paraId="36D02CBC">
      <w:pPr>
        <w:pStyle w:val="15"/>
        <w:numPr>
          <w:ilvl w:val="0"/>
          <w:numId w:val="0"/>
        </w:numPr>
        <w:tabs>
          <w:tab w:val="left" w:pos="5580"/>
        </w:tabs>
        <w:spacing w:line="400" w:lineRule="exact"/>
        <w:ind w:left="741" w:leftChars="35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3、投标商报价时包含税费等一切与本次项目相关的费用。</w:t>
      </w:r>
    </w:p>
    <w:p w14:paraId="231CB9B6">
      <w:pPr>
        <w:pStyle w:val="15"/>
        <w:numPr>
          <w:ilvl w:val="0"/>
          <w:numId w:val="0"/>
        </w:numPr>
        <w:tabs>
          <w:tab w:val="left" w:pos="5580"/>
        </w:tabs>
        <w:spacing w:line="400" w:lineRule="exact"/>
        <w:ind w:left="741" w:leftChars="353"/>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4、供应商应按招标文件规定的服务要求、责任范围和合同条件，以人民币进行报价。</w:t>
      </w:r>
    </w:p>
    <w:p w14:paraId="0D12AB9E">
      <w:pPr>
        <w:pStyle w:val="15"/>
        <w:tabs>
          <w:tab w:val="left" w:pos="5580"/>
        </w:tabs>
        <w:spacing w:line="240" w:lineRule="atLeast"/>
        <w:rPr>
          <w:rFonts w:hint="eastAsia" w:ascii="微软雅黑" w:hAnsi="微软雅黑" w:eastAsia="微软雅黑" w:cs="微软雅黑"/>
          <w:b/>
          <w:color w:val="auto"/>
          <w:sz w:val="24"/>
          <w:highlight w:val="none"/>
        </w:rPr>
      </w:pPr>
    </w:p>
    <w:p w14:paraId="25D2B7FC">
      <w:pPr>
        <w:pStyle w:val="15"/>
        <w:tabs>
          <w:tab w:val="left" w:pos="5580"/>
        </w:tabs>
        <w:spacing w:line="240" w:lineRule="atLeast"/>
        <w:rPr>
          <w:rFonts w:hint="eastAsia" w:ascii="微软雅黑" w:hAnsi="微软雅黑" w:eastAsia="微软雅黑" w:cs="微软雅黑"/>
          <w:b/>
          <w:color w:val="auto"/>
          <w:sz w:val="24"/>
          <w:highlight w:val="none"/>
        </w:rPr>
      </w:pPr>
    </w:p>
    <w:p w14:paraId="2E08043F">
      <w:pPr>
        <w:pStyle w:val="15"/>
        <w:tabs>
          <w:tab w:val="left" w:pos="5580"/>
        </w:tabs>
        <w:spacing w:line="240" w:lineRule="atLeast"/>
        <w:rPr>
          <w:rFonts w:hint="eastAsia" w:ascii="微软雅黑" w:hAnsi="微软雅黑" w:eastAsia="微软雅黑" w:cs="微软雅黑"/>
          <w:b/>
          <w:color w:val="auto"/>
          <w:sz w:val="24"/>
          <w:highlight w:val="none"/>
        </w:rPr>
      </w:pPr>
    </w:p>
    <w:p w14:paraId="59FEDF6F">
      <w:pPr>
        <w:pStyle w:val="15"/>
        <w:tabs>
          <w:tab w:val="left" w:pos="5580"/>
        </w:tabs>
        <w:spacing w:line="240" w:lineRule="atLeast"/>
        <w:rPr>
          <w:rFonts w:hint="eastAsia" w:ascii="微软雅黑" w:hAnsi="微软雅黑" w:eastAsia="微软雅黑" w:cs="微软雅黑"/>
          <w:b/>
          <w:color w:val="auto"/>
          <w:sz w:val="24"/>
          <w:highlight w:val="none"/>
        </w:rPr>
      </w:pPr>
    </w:p>
    <w:p w14:paraId="71F285CC">
      <w:pPr>
        <w:pStyle w:val="15"/>
        <w:tabs>
          <w:tab w:val="left" w:pos="5580"/>
        </w:tabs>
        <w:spacing w:line="240" w:lineRule="atLeast"/>
        <w:rPr>
          <w:rFonts w:hint="eastAsia" w:ascii="微软雅黑" w:hAnsi="微软雅黑" w:eastAsia="微软雅黑" w:cs="微软雅黑"/>
          <w:b/>
          <w:color w:val="auto"/>
          <w:sz w:val="24"/>
          <w:highlight w:val="none"/>
        </w:rPr>
      </w:pPr>
    </w:p>
    <w:p w14:paraId="5BACE899">
      <w:pPr>
        <w:pStyle w:val="15"/>
        <w:tabs>
          <w:tab w:val="left" w:pos="5580"/>
        </w:tabs>
        <w:spacing w:line="240" w:lineRule="atLeast"/>
        <w:outlineLvl w:val="2"/>
        <w:rPr>
          <w:rFonts w:hint="eastAsia" w:ascii="微软雅黑" w:hAnsi="微软雅黑" w:eastAsia="微软雅黑" w:cs="微软雅黑"/>
          <w:b/>
          <w:color w:val="auto"/>
          <w:sz w:val="24"/>
          <w:highlight w:val="none"/>
        </w:rPr>
      </w:pPr>
      <w:bookmarkStart w:id="2466" w:name="_Toc3446"/>
      <w:bookmarkStart w:id="2467" w:name="_Toc5222"/>
      <w:bookmarkStart w:id="2468" w:name="_Toc16216"/>
      <w:bookmarkStart w:id="2469" w:name="_Toc20390"/>
      <w:r>
        <w:rPr>
          <w:rFonts w:hint="eastAsia" w:ascii="微软雅黑" w:hAnsi="微软雅黑" w:eastAsia="微软雅黑" w:cs="微软雅黑"/>
          <w:b/>
          <w:bCs/>
          <w:color w:val="auto"/>
          <w:sz w:val="28"/>
          <w:szCs w:val="28"/>
          <w:highlight w:val="none"/>
          <w:u w:val="none"/>
        </w:rPr>
        <w:t>2.</w:t>
      </w:r>
      <w:bookmarkEnd w:id="2466"/>
      <w:bookmarkEnd w:id="2467"/>
      <w:r>
        <w:rPr>
          <w:rFonts w:hint="eastAsia" w:ascii="微软雅黑" w:hAnsi="微软雅黑" w:eastAsia="微软雅黑" w:cs="微软雅黑"/>
          <w:b/>
          <w:bCs/>
          <w:color w:val="auto"/>
          <w:sz w:val="28"/>
          <w:szCs w:val="28"/>
          <w:highlight w:val="none"/>
          <w:u w:val="none"/>
          <w:lang w:val="en-US" w:eastAsia="zh-CN"/>
        </w:rPr>
        <w:t>具有有效的营业执照；</w:t>
      </w:r>
      <w:bookmarkEnd w:id="2468"/>
      <w:bookmarkEnd w:id="2469"/>
    </w:p>
    <w:p w14:paraId="7DC210B7">
      <w:pPr>
        <w:pStyle w:val="15"/>
        <w:tabs>
          <w:tab w:val="left" w:pos="5580"/>
        </w:tabs>
        <w:spacing w:line="240" w:lineRule="atLeast"/>
        <w:rPr>
          <w:rFonts w:hint="eastAsia" w:ascii="微软雅黑" w:hAnsi="微软雅黑" w:eastAsia="微软雅黑" w:cs="微软雅黑"/>
          <w:b/>
          <w:color w:val="auto"/>
          <w:sz w:val="24"/>
          <w:highlight w:val="none"/>
        </w:rPr>
      </w:pPr>
    </w:p>
    <w:p w14:paraId="52BBC126">
      <w:pPr>
        <w:outlineLvl w:val="9"/>
        <w:rPr>
          <w:rFonts w:hint="eastAsia" w:ascii="微软雅黑" w:hAnsi="微软雅黑" w:eastAsia="微软雅黑" w:cs="微软雅黑"/>
          <w:color w:val="auto"/>
          <w:sz w:val="28"/>
          <w:szCs w:val="28"/>
          <w:highlight w:val="none"/>
          <w:lang w:val="en-US" w:eastAsia="zh-CN"/>
        </w:rPr>
      </w:pPr>
      <w:bookmarkStart w:id="2470" w:name="_Toc16610"/>
    </w:p>
    <w:p w14:paraId="291901AF">
      <w:pPr>
        <w:pStyle w:val="7"/>
        <w:rPr>
          <w:rFonts w:hint="eastAsia" w:ascii="微软雅黑" w:hAnsi="微软雅黑" w:eastAsia="微软雅黑" w:cs="微软雅黑"/>
          <w:color w:val="auto"/>
          <w:sz w:val="28"/>
          <w:szCs w:val="28"/>
          <w:highlight w:val="none"/>
          <w:lang w:val="en-US" w:eastAsia="zh-CN"/>
        </w:rPr>
      </w:pPr>
    </w:p>
    <w:p w14:paraId="0F6018C1">
      <w:pPr>
        <w:pStyle w:val="8"/>
        <w:rPr>
          <w:rFonts w:hint="eastAsia" w:ascii="微软雅黑" w:hAnsi="微软雅黑" w:eastAsia="微软雅黑" w:cs="微软雅黑"/>
          <w:highlight w:val="none"/>
          <w:lang w:val="en-US" w:eastAsia="zh-CN"/>
        </w:rPr>
      </w:pPr>
    </w:p>
    <w:p w14:paraId="0413445D">
      <w:pPr>
        <w:rPr>
          <w:rFonts w:hint="eastAsia" w:ascii="微软雅黑" w:hAnsi="微软雅黑" w:eastAsia="微软雅黑" w:cs="微软雅黑"/>
          <w:highlight w:val="none"/>
        </w:rPr>
      </w:pPr>
      <w:r>
        <w:rPr>
          <w:rFonts w:hint="eastAsia" w:ascii="微软雅黑" w:hAnsi="微软雅黑" w:eastAsia="微软雅黑" w:cs="微软雅黑"/>
          <w:color w:val="auto"/>
          <w:sz w:val="28"/>
          <w:szCs w:val="28"/>
          <w:highlight w:val="none"/>
          <w:lang w:val="en-US" w:eastAsia="zh-CN"/>
        </w:rPr>
        <w:br w:type="page"/>
      </w:r>
    </w:p>
    <w:p w14:paraId="23F4BAFB">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471" w:name="_Toc2026"/>
      <w:bookmarkStart w:id="2472" w:name="_Toc9955"/>
      <w:bookmarkStart w:id="2473" w:name="_Toc18889"/>
      <w:r>
        <w:rPr>
          <w:rFonts w:hint="eastAsia" w:ascii="微软雅黑" w:hAnsi="微软雅黑" w:eastAsia="微软雅黑" w:cs="微软雅黑"/>
          <w:b/>
          <w:bCs/>
          <w:color w:val="auto"/>
          <w:sz w:val="28"/>
          <w:szCs w:val="28"/>
          <w:highlight w:val="none"/>
          <w:u w:val="none"/>
          <w:lang w:val="en-US" w:eastAsia="zh-CN"/>
        </w:rPr>
        <w:t>3.</w:t>
      </w:r>
      <w:bookmarkEnd w:id="2470"/>
      <w:bookmarkEnd w:id="2471"/>
      <w:bookmarkEnd w:id="2472"/>
      <w:r>
        <w:rPr>
          <w:rFonts w:hint="eastAsia" w:ascii="微软雅黑" w:hAnsi="微软雅黑" w:eastAsia="微软雅黑" w:cs="微软雅黑"/>
          <w:b/>
          <w:bCs/>
          <w:color w:val="auto"/>
          <w:sz w:val="28"/>
          <w:szCs w:val="28"/>
          <w:highlight w:val="none"/>
          <w:u w:val="none"/>
          <w:lang w:val="en-US" w:eastAsia="zh-CN"/>
        </w:rPr>
        <w:t>法定代表人本人投标需提供法定代表人身份证及法定代表人资格证明书;授权委托人投标需提供法定代表人授权委托书、法定代表人身份证复印件及被授权委托人身份证；</w:t>
      </w:r>
      <w:bookmarkEnd w:id="2473"/>
    </w:p>
    <w:p w14:paraId="2E6CF767">
      <w:pPr>
        <w:spacing w:line="360" w:lineRule="auto"/>
        <w:jc w:val="center"/>
        <w:rPr>
          <w:rFonts w:hint="eastAsia" w:ascii="微软雅黑" w:hAnsi="微软雅黑" w:eastAsia="微软雅黑" w:cs="微软雅黑"/>
          <w:b/>
          <w:bCs/>
          <w:color w:val="auto"/>
          <w:kern w:val="2"/>
          <w:sz w:val="28"/>
          <w:szCs w:val="28"/>
          <w:highlight w:val="none"/>
          <w:u w:val="none"/>
          <w:lang w:val="en-US" w:eastAsia="zh-CN" w:bidi="ar-SA"/>
        </w:rPr>
      </w:pPr>
      <w:r>
        <w:rPr>
          <w:rFonts w:hint="eastAsia" w:ascii="微软雅黑" w:hAnsi="微软雅黑" w:eastAsia="微软雅黑" w:cs="微软雅黑"/>
          <w:b/>
          <w:bCs/>
          <w:color w:val="auto"/>
          <w:kern w:val="2"/>
          <w:sz w:val="28"/>
          <w:szCs w:val="28"/>
          <w:highlight w:val="none"/>
          <w:u w:val="none"/>
          <w:lang w:val="en-US" w:eastAsia="zh-CN" w:bidi="ar-SA"/>
        </w:rPr>
        <w:t>法定代表人身份证明</w:t>
      </w:r>
    </w:p>
    <w:p w14:paraId="3F499601">
      <w:pPr>
        <w:keepNext w:val="0"/>
        <w:keepLines w:val="0"/>
        <w:pageBreakBefore w:val="0"/>
        <w:widowControl w:val="0"/>
        <w:kinsoku/>
        <w:wordWrap/>
        <w:overflowPunct/>
        <w:topLinePunct w:val="0"/>
        <w:bidi w:val="0"/>
        <w:spacing w:line="288"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同志，现任我单位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职务，为法定代表人，特此证明。     </w:t>
      </w:r>
    </w:p>
    <w:p w14:paraId="4486BE0C">
      <w:pPr>
        <w:keepNext w:val="0"/>
        <w:keepLines w:val="0"/>
        <w:pageBreakBefore w:val="0"/>
        <w:widowControl w:val="0"/>
        <w:kinsoku/>
        <w:wordWrap/>
        <w:overflowPunct/>
        <w:topLinePunct w:val="0"/>
        <w:bidi w:val="0"/>
        <w:spacing w:line="288" w:lineRule="auto"/>
        <w:ind w:left="240" w:hanging="240" w:hanging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362F5E5A">
      <w:pPr>
        <w:keepNext w:val="0"/>
        <w:keepLines w:val="0"/>
        <w:pageBreakBefore w:val="0"/>
        <w:widowControl w:val="0"/>
        <w:kinsoku/>
        <w:wordWrap/>
        <w:overflowPunct/>
        <w:topLinePunct w:val="0"/>
        <w:bidi w:val="0"/>
        <w:spacing w:line="288"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年龄：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身份证号码：</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2B9140E5">
      <w:pPr>
        <w:keepNext w:val="0"/>
        <w:keepLines w:val="0"/>
        <w:pageBreakBefore w:val="0"/>
        <w:widowControl w:val="0"/>
        <w:kinsoku/>
        <w:wordWrap/>
        <w:overflowPunct/>
        <w:topLinePunct w:val="0"/>
        <w:bidi w:val="0"/>
        <w:spacing w:line="288" w:lineRule="auto"/>
        <w:ind w:firstLine="240" w:firstLineChars="1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统一社会信用代码</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5CF2D80E">
      <w:pPr>
        <w:keepNext w:val="0"/>
        <w:keepLines w:val="0"/>
        <w:pageBreakBefore w:val="0"/>
        <w:widowControl w:val="0"/>
        <w:kinsoku/>
        <w:wordWrap/>
        <w:overflowPunct/>
        <w:topLinePunct w:val="0"/>
        <w:bidi w:val="0"/>
        <w:spacing w:line="288"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经济性质：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34BBE081">
      <w:pPr>
        <w:keepNext w:val="0"/>
        <w:keepLines w:val="0"/>
        <w:pageBreakBefore w:val="0"/>
        <w:widowControl w:val="0"/>
        <w:kinsoku/>
        <w:wordWrap/>
        <w:overflowPunct/>
        <w:topLinePunct w:val="0"/>
        <w:bidi w:val="0"/>
        <w:spacing w:line="288"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6770FB60">
      <w:pPr>
        <w:keepNext w:val="0"/>
        <w:keepLines w:val="0"/>
        <w:pageBreakBefore w:val="0"/>
        <w:widowControl w:val="0"/>
        <w:kinsoku/>
        <w:wordWrap/>
        <w:overflowPunct/>
        <w:topLinePunct w:val="0"/>
        <w:bidi w:val="0"/>
        <w:spacing w:line="288"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1、法定代表人为企业事业单位、国家机关、社会团体的主要行政负责人。</w:t>
      </w:r>
    </w:p>
    <w:p w14:paraId="1704135A">
      <w:pPr>
        <w:keepNext w:val="0"/>
        <w:keepLines w:val="0"/>
        <w:pageBreakBefore w:val="0"/>
        <w:widowControl w:val="0"/>
        <w:kinsoku/>
        <w:wordWrap/>
        <w:overflowPunct/>
        <w:topLinePunct w:val="0"/>
        <w:bidi w:val="0"/>
        <w:spacing w:line="288"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bCs/>
          <w:color w:val="auto"/>
          <w:sz w:val="24"/>
          <w:szCs w:val="24"/>
          <w:highlight w:val="none"/>
        </w:rPr>
        <w:t>2、</w:t>
      </w:r>
      <w:r>
        <w:rPr>
          <w:rFonts w:hint="eastAsia" w:ascii="微软雅黑" w:hAnsi="微软雅黑" w:eastAsia="微软雅黑" w:cs="微软雅黑"/>
          <w:b/>
          <w:bCs/>
          <w:color w:val="auto"/>
          <w:sz w:val="24"/>
          <w:szCs w:val="24"/>
          <w:highlight w:val="none"/>
          <w:lang w:val="en-US" w:eastAsia="zh-CN"/>
        </w:rPr>
        <w:t>提供身份证正反面。</w:t>
      </w:r>
    </w:p>
    <w:p w14:paraId="2AEC5698">
      <w:pPr>
        <w:keepNext w:val="0"/>
        <w:keepLines w:val="0"/>
        <w:pageBreakBefore w:val="0"/>
        <w:widowControl w:val="0"/>
        <w:kinsoku/>
        <w:wordWrap/>
        <w:overflowPunct/>
        <w:topLinePunct w:val="0"/>
        <w:bidi w:val="0"/>
        <w:spacing w:line="288" w:lineRule="auto"/>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内容必须填写真实、清楚、涂改无效，不得转让。</w:t>
      </w:r>
    </w:p>
    <w:p w14:paraId="516183FD">
      <w:pPr>
        <w:keepNext w:val="0"/>
        <w:keepLines w:val="0"/>
        <w:pageBreakBefore w:val="0"/>
        <w:widowControl w:val="0"/>
        <w:kinsoku/>
        <w:wordWrap/>
        <w:overflowPunct/>
        <w:topLinePunct w:val="0"/>
        <w:bidi w:val="0"/>
        <w:spacing w:line="288"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BC909B">
                            <w:pPr>
                              <w:jc w:val="center"/>
                              <w:rPr>
                                <w:rFonts w:hAnsi="宋体"/>
                                <w:szCs w:val="21"/>
                              </w:rPr>
                            </w:pPr>
                          </w:p>
                          <w:p w14:paraId="74596E88">
                            <w:pPr>
                              <w:jc w:val="center"/>
                              <w:rPr>
                                <w:rFonts w:hAnsi="宋体"/>
                                <w:szCs w:val="21"/>
                              </w:rPr>
                            </w:pPr>
                          </w:p>
                          <w:p w14:paraId="2E250A53">
                            <w:pPr>
                              <w:jc w:val="center"/>
                              <w:rPr>
                                <w:rFonts w:hAnsi="宋体"/>
                                <w:szCs w:val="21"/>
                              </w:rPr>
                            </w:pPr>
                          </w:p>
                          <w:p w14:paraId="60E2A720">
                            <w:pPr>
                              <w:jc w:val="center"/>
                              <w:rPr>
                                <w:rFonts w:hint="eastAsia" w:hAnsi="宋体"/>
                                <w:szCs w:val="21"/>
                              </w:rPr>
                            </w:pPr>
                            <w:r>
                              <w:rPr>
                                <w:rFonts w:hint="eastAsia" w:hAnsi="宋体"/>
                                <w:szCs w:val="21"/>
                              </w:rPr>
                              <w:t>法定代表人身份证复印件</w:t>
                            </w:r>
                          </w:p>
                          <w:p w14:paraId="3F18E80D">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国徽面</w:t>
                            </w:r>
                            <w:r>
                              <w:rPr>
                                <w:rFonts w:hint="eastAsia" w:hAnsi="宋体"/>
                                <w:szCs w:val="21"/>
                                <w:lang w:eastAsia="zh-CN"/>
                              </w:rPr>
                              <w:t>）</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14:paraId="60BC909B">
                      <w:pPr>
                        <w:jc w:val="center"/>
                        <w:rPr>
                          <w:rFonts w:hAnsi="宋体"/>
                          <w:szCs w:val="21"/>
                        </w:rPr>
                      </w:pPr>
                    </w:p>
                    <w:p w14:paraId="74596E88">
                      <w:pPr>
                        <w:jc w:val="center"/>
                        <w:rPr>
                          <w:rFonts w:hAnsi="宋体"/>
                          <w:szCs w:val="21"/>
                        </w:rPr>
                      </w:pPr>
                    </w:p>
                    <w:p w14:paraId="2E250A53">
                      <w:pPr>
                        <w:jc w:val="center"/>
                        <w:rPr>
                          <w:rFonts w:hAnsi="宋体"/>
                          <w:szCs w:val="21"/>
                        </w:rPr>
                      </w:pPr>
                    </w:p>
                    <w:p w14:paraId="60E2A720">
                      <w:pPr>
                        <w:jc w:val="center"/>
                        <w:rPr>
                          <w:rFonts w:hint="eastAsia" w:hAnsi="宋体"/>
                          <w:szCs w:val="21"/>
                        </w:rPr>
                      </w:pPr>
                      <w:r>
                        <w:rPr>
                          <w:rFonts w:hint="eastAsia" w:hAnsi="宋体"/>
                          <w:szCs w:val="21"/>
                        </w:rPr>
                        <w:t>法定代表人身份证复印件</w:t>
                      </w:r>
                    </w:p>
                    <w:p w14:paraId="3F18E80D">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国徽面</w:t>
                      </w:r>
                      <w:r>
                        <w:rPr>
                          <w:rFonts w:hint="eastAsia" w:hAnsi="宋体"/>
                          <w:szCs w:val="21"/>
                          <w:lang w:eastAsia="zh-CN"/>
                        </w:rPr>
                        <w:t>）</w:t>
                      </w:r>
                    </w:p>
                  </w:txbxContent>
                </v:textbox>
              </v:shape>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14:paraId="56F35880">
                            <w:pPr>
                              <w:jc w:val="center"/>
                              <w:rPr>
                                <w:rFonts w:hAnsi="宋体"/>
                                <w:szCs w:val="21"/>
                              </w:rPr>
                            </w:pPr>
                            <w:r>
                              <w:rPr>
                                <w:rFonts w:hint="eastAsia" w:hAnsi="宋体"/>
                                <w:szCs w:val="21"/>
                              </w:rPr>
                              <w:t xml:space="preserve">  </w:t>
                            </w:r>
                          </w:p>
                          <w:p w14:paraId="68D817B4">
                            <w:pPr>
                              <w:jc w:val="center"/>
                              <w:rPr>
                                <w:rFonts w:hAnsi="宋体"/>
                                <w:szCs w:val="21"/>
                              </w:rPr>
                            </w:pPr>
                          </w:p>
                          <w:p w14:paraId="0F8A26BD">
                            <w:pPr>
                              <w:jc w:val="center"/>
                              <w:rPr>
                                <w:rFonts w:hAnsi="宋体"/>
                                <w:szCs w:val="21"/>
                              </w:rPr>
                            </w:pPr>
                          </w:p>
                          <w:p w14:paraId="59E047DB">
                            <w:pPr>
                              <w:jc w:val="center"/>
                              <w:rPr>
                                <w:rFonts w:hint="eastAsia" w:hAnsi="宋体"/>
                                <w:szCs w:val="21"/>
                              </w:rPr>
                            </w:pPr>
                            <w:r>
                              <w:rPr>
                                <w:rFonts w:hint="eastAsia" w:hAnsi="宋体"/>
                                <w:szCs w:val="21"/>
                              </w:rPr>
                              <w:t>法定代表人身份证复印件</w:t>
                            </w:r>
                          </w:p>
                          <w:p w14:paraId="3ECCD6DA">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人像面</w:t>
                            </w:r>
                            <w:r>
                              <w:rPr>
                                <w:rFonts w:hint="eastAsia" w:hAnsi="宋体"/>
                                <w:szCs w:val="21"/>
                                <w:lang w:eastAsia="zh-CN"/>
                              </w:rPr>
                              <w:t>）</w:t>
                            </w:r>
                          </w:p>
                          <w:p w14:paraId="2F1DDB7F"/>
                          <w:p w14:paraId="72666CBB">
                            <w:pPr>
                              <w:pStyle w:val="7"/>
                            </w:pPr>
                          </w:p>
                          <w:p w14:paraId="135FFAAC">
                            <w:pPr>
                              <w:pStyle w:val="7"/>
                            </w:pPr>
                          </w:p>
                          <w:p w14:paraId="34B18D61">
                            <w:pPr>
                              <w:pStyle w:val="7"/>
                            </w:pPr>
                          </w:p>
                          <w:p w14:paraId="2E904B34">
                            <w:pPr>
                              <w:pStyle w:val="7"/>
                            </w:pPr>
                          </w:p>
                        </w:txbxContent>
                      </wps:txbx>
                      <wps:bodyPr wrap="square" upright="1"/>
                    </wps:wsp>
                  </a:graphicData>
                </a:graphic>
              </wp:anchor>
            </w:drawing>
          </mc:Choice>
          <mc:Fallback>
            <w:pict>
              <v:roundrect id="圆角矩形 15" o:spid="_x0000_s1026" o:spt="2" style="position:absolute;left:0pt;margin-left:229.8pt;margin-top:2.25pt;height:122.6pt;width:188.35pt;z-index:251659264;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14:paraId="56F35880">
                      <w:pPr>
                        <w:jc w:val="center"/>
                        <w:rPr>
                          <w:rFonts w:hAnsi="宋体"/>
                          <w:szCs w:val="21"/>
                        </w:rPr>
                      </w:pPr>
                      <w:r>
                        <w:rPr>
                          <w:rFonts w:hint="eastAsia" w:hAnsi="宋体"/>
                          <w:szCs w:val="21"/>
                        </w:rPr>
                        <w:t xml:space="preserve">  </w:t>
                      </w:r>
                    </w:p>
                    <w:p w14:paraId="68D817B4">
                      <w:pPr>
                        <w:jc w:val="center"/>
                        <w:rPr>
                          <w:rFonts w:hAnsi="宋体"/>
                          <w:szCs w:val="21"/>
                        </w:rPr>
                      </w:pPr>
                    </w:p>
                    <w:p w14:paraId="0F8A26BD">
                      <w:pPr>
                        <w:jc w:val="center"/>
                        <w:rPr>
                          <w:rFonts w:hAnsi="宋体"/>
                          <w:szCs w:val="21"/>
                        </w:rPr>
                      </w:pPr>
                    </w:p>
                    <w:p w14:paraId="59E047DB">
                      <w:pPr>
                        <w:jc w:val="center"/>
                        <w:rPr>
                          <w:rFonts w:hint="eastAsia" w:hAnsi="宋体"/>
                          <w:szCs w:val="21"/>
                        </w:rPr>
                      </w:pPr>
                      <w:r>
                        <w:rPr>
                          <w:rFonts w:hint="eastAsia" w:hAnsi="宋体"/>
                          <w:szCs w:val="21"/>
                        </w:rPr>
                        <w:t>法定代表人身份证复印件</w:t>
                      </w:r>
                    </w:p>
                    <w:p w14:paraId="3ECCD6DA">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人像面</w:t>
                      </w:r>
                      <w:r>
                        <w:rPr>
                          <w:rFonts w:hint="eastAsia" w:hAnsi="宋体"/>
                          <w:szCs w:val="21"/>
                          <w:lang w:eastAsia="zh-CN"/>
                        </w:rPr>
                        <w:t>）</w:t>
                      </w:r>
                    </w:p>
                    <w:p w14:paraId="2F1DDB7F"/>
                    <w:p w14:paraId="72666CBB">
                      <w:pPr>
                        <w:pStyle w:val="7"/>
                      </w:pPr>
                    </w:p>
                    <w:p w14:paraId="135FFAAC">
                      <w:pPr>
                        <w:pStyle w:val="7"/>
                      </w:pPr>
                    </w:p>
                    <w:p w14:paraId="34B18D61">
                      <w:pPr>
                        <w:pStyle w:val="7"/>
                      </w:pPr>
                    </w:p>
                    <w:p w14:paraId="2E904B34">
                      <w:pPr>
                        <w:pStyle w:val="7"/>
                      </w:pPr>
                    </w:p>
                  </w:txbxContent>
                </v:textbox>
              </v:roundrect>
            </w:pict>
          </mc:Fallback>
        </mc:AlternateContent>
      </w:r>
    </w:p>
    <w:p w14:paraId="430B3F55">
      <w:pPr>
        <w:keepNext w:val="0"/>
        <w:keepLines w:val="0"/>
        <w:pageBreakBefore w:val="0"/>
        <w:widowControl w:val="0"/>
        <w:kinsoku/>
        <w:wordWrap/>
        <w:overflowPunct/>
        <w:topLinePunct w:val="0"/>
        <w:bidi w:val="0"/>
        <w:spacing w:line="288" w:lineRule="auto"/>
        <w:textAlignment w:val="auto"/>
        <w:rPr>
          <w:rFonts w:hint="eastAsia" w:ascii="微软雅黑" w:hAnsi="微软雅黑" w:eastAsia="微软雅黑" w:cs="微软雅黑"/>
          <w:color w:val="auto"/>
          <w:sz w:val="24"/>
          <w:szCs w:val="24"/>
          <w:highlight w:val="none"/>
        </w:rPr>
      </w:pPr>
    </w:p>
    <w:p w14:paraId="1993B421">
      <w:pPr>
        <w:keepNext w:val="0"/>
        <w:keepLines w:val="0"/>
        <w:pageBreakBefore w:val="0"/>
        <w:widowControl w:val="0"/>
        <w:kinsoku/>
        <w:wordWrap/>
        <w:overflowPunct/>
        <w:topLinePunct w:val="0"/>
        <w:bidi w:val="0"/>
        <w:spacing w:line="288" w:lineRule="auto"/>
        <w:textAlignment w:val="auto"/>
        <w:rPr>
          <w:rFonts w:hint="eastAsia" w:ascii="微软雅黑" w:hAnsi="微软雅黑" w:eastAsia="微软雅黑" w:cs="微软雅黑"/>
          <w:color w:val="auto"/>
          <w:sz w:val="24"/>
          <w:szCs w:val="24"/>
          <w:highlight w:val="none"/>
        </w:rPr>
      </w:pPr>
    </w:p>
    <w:p w14:paraId="077299B5">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line="288" w:lineRule="auto"/>
        <w:textAlignment w:val="auto"/>
        <w:rPr>
          <w:rFonts w:hint="eastAsia" w:ascii="微软雅黑" w:hAnsi="微软雅黑" w:eastAsia="微软雅黑" w:cs="微软雅黑"/>
          <w:color w:val="auto"/>
          <w:sz w:val="24"/>
          <w:szCs w:val="24"/>
          <w:highlight w:val="none"/>
        </w:rPr>
      </w:pPr>
    </w:p>
    <w:p w14:paraId="510109D0">
      <w:pPr>
        <w:keepNext w:val="0"/>
        <w:keepLines w:val="0"/>
        <w:pageBreakBefore w:val="0"/>
        <w:widowControl w:val="0"/>
        <w:kinsoku/>
        <w:wordWrap/>
        <w:overflowPunct/>
        <w:topLinePunct w:val="0"/>
        <w:autoSpaceDE w:val="0"/>
        <w:autoSpaceDN w:val="0"/>
        <w:bidi w:val="0"/>
        <w:adjustRightInd w:val="0"/>
        <w:spacing w:line="288" w:lineRule="auto"/>
        <w:ind w:right="246"/>
        <w:textAlignment w:val="auto"/>
        <w:rPr>
          <w:rFonts w:hint="eastAsia" w:ascii="微软雅黑" w:hAnsi="微软雅黑" w:eastAsia="微软雅黑" w:cs="微软雅黑"/>
          <w:color w:val="auto"/>
          <w:kern w:val="0"/>
          <w:sz w:val="24"/>
          <w:szCs w:val="24"/>
          <w:highlight w:val="none"/>
        </w:rPr>
      </w:pPr>
    </w:p>
    <w:p w14:paraId="316C3621">
      <w:pPr>
        <w:keepNext w:val="0"/>
        <w:keepLines w:val="0"/>
        <w:pageBreakBefore w:val="0"/>
        <w:widowControl w:val="0"/>
        <w:kinsoku/>
        <w:wordWrap/>
        <w:overflowPunct/>
        <w:topLinePunct w:val="0"/>
        <w:autoSpaceDE w:val="0"/>
        <w:autoSpaceDN w:val="0"/>
        <w:bidi w:val="0"/>
        <w:adjustRightInd w:val="0"/>
        <w:spacing w:line="288" w:lineRule="auto"/>
        <w:ind w:right="246" w:firstLine="784" w:firstLineChars="32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公</w:t>
      </w:r>
      <w:r>
        <w:rPr>
          <w:rFonts w:hint="eastAsia" w:ascii="微软雅黑" w:hAnsi="微软雅黑" w:eastAsia="微软雅黑" w:cs="微软雅黑"/>
          <w:color w:val="auto"/>
          <w:kern w:val="0"/>
          <w:sz w:val="24"/>
          <w:szCs w:val="24"/>
          <w:highlight w:val="none"/>
        </w:rPr>
        <w:t>章）：</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 xml:space="preserve"> </w:t>
      </w:r>
    </w:p>
    <w:p w14:paraId="1F013697">
      <w:pPr>
        <w:keepNext w:val="0"/>
        <w:keepLines w:val="0"/>
        <w:pageBreakBefore w:val="0"/>
        <w:widowControl w:val="0"/>
        <w:kinsoku/>
        <w:wordWrap/>
        <w:overflowPunct/>
        <w:topLinePunct w:val="0"/>
        <w:bidi w:val="0"/>
        <w:adjustRightInd w:val="0"/>
        <w:snapToGrid w:val="0"/>
        <w:spacing w:line="288" w:lineRule="auto"/>
        <w:ind w:firstLine="784" w:firstLineChars="32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法定代表人</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签/章</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5C762B0D">
      <w:pPr>
        <w:keepNext w:val="0"/>
        <w:keepLines w:val="0"/>
        <w:pageBreakBefore w:val="0"/>
        <w:widowControl w:val="0"/>
        <w:kinsoku/>
        <w:wordWrap/>
        <w:overflowPunct/>
        <w:topLinePunct w:val="0"/>
        <w:autoSpaceDE w:val="0"/>
        <w:autoSpaceDN w:val="0"/>
        <w:bidi w:val="0"/>
        <w:adjustRightInd w:val="0"/>
        <w:spacing w:line="288" w:lineRule="auto"/>
        <w:ind w:right="246" w:firstLine="784" w:firstLineChars="327"/>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日期：</w:t>
      </w:r>
      <w:r>
        <w:rPr>
          <w:rFonts w:hint="eastAsia" w:ascii="微软雅黑" w:hAnsi="微软雅黑" w:eastAsia="微软雅黑" w:cs="微软雅黑"/>
          <w:color w:val="auto"/>
          <w:kern w:val="0"/>
          <w:sz w:val="24"/>
          <w:szCs w:val="24"/>
          <w:highlight w:val="none"/>
          <w:u w:val="single"/>
          <w:lang w:eastAsia="zh-CN"/>
        </w:rPr>
        <w:t xml:space="preserve">                           </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lang w:eastAsia="zh-CN"/>
        </w:rPr>
        <w:t xml:space="preserve">        </w:t>
      </w:r>
      <w:r>
        <w:rPr>
          <w:rFonts w:hint="eastAsia" w:ascii="微软雅黑" w:hAnsi="微软雅黑" w:eastAsia="微软雅黑" w:cs="微软雅黑"/>
          <w:color w:val="auto"/>
          <w:kern w:val="0"/>
          <w:sz w:val="24"/>
          <w:szCs w:val="24"/>
          <w:highlight w:val="none"/>
          <w:lang w:eastAsia="zh-CN"/>
        </w:rPr>
        <w:t xml:space="preserve">         </w:t>
      </w:r>
    </w:p>
    <w:p w14:paraId="663AD66E">
      <w:pPr>
        <w:pStyle w:val="15"/>
        <w:keepNext w:val="0"/>
        <w:keepLines w:val="0"/>
        <w:pageBreakBefore w:val="0"/>
        <w:widowControl w:val="0"/>
        <w:tabs>
          <w:tab w:val="left" w:pos="5580"/>
        </w:tabs>
        <w:kinsoku/>
        <w:wordWrap/>
        <w:overflowPunct/>
        <w:topLinePunct w:val="0"/>
        <w:bidi w:val="0"/>
        <w:spacing w:line="288" w:lineRule="auto"/>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说明：1.供应商为自然人的，应提供身份证明的复印件。</w:t>
      </w:r>
    </w:p>
    <w:p w14:paraId="694EFA38">
      <w:pPr>
        <w:pStyle w:val="15"/>
        <w:keepNext w:val="0"/>
        <w:keepLines w:val="0"/>
        <w:pageBreakBefore w:val="0"/>
        <w:widowControl w:val="0"/>
        <w:tabs>
          <w:tab w:val="left" w:pos="5580"/>
        </w:tabs>
        <w:kinsoku/>
        <w:wordWrap/>
        <w:overflowPunct/>
        <w:topLinePunct w:val="0"/>
        <w:bidi w:val="0"/>
        <w:spacing w:line="288" w:lineRule="auto"/>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联合体投标应提供联合体各方满足以上要求的证明文件。</w:t>
      </w:r>
      <w:bookmarkStart w:id="2474" w:name="_Toc21867"/>
      <w:bookmarkStart w:id="2475" w:name="_Toc6829"/>
      <w:bookmarkStart w:id="2476" w:name="_Toc5436"/>
      <w:bookmarkStart w:id="2477" w:name="_Toc1083"/>
      <w:bookmarkStart w:id="2478" w:name="_Toc515647807"/>
      <w:bookmarkStart w:id="2479" w:name="_Toc22472"/>
      <w:bookmarkStart w:id="2480" w:name="_Toc16640"/>
      <w:bookmarkStart w:id="2481" w:name="_Toc13107"/>
    </w:p>
    <w:p w14:paraId="1FE7F264">
      <w:pPr>
        <w:pStyle w:val="16"/>
        <w:widowControl w:val="0"/>
        <w:numPr>
          <w:ilvl w:val="0"/>
          <w:numId w:val="0"/>
        </w:numPr>
        <w:autoSpaceDE/>
        <w:autoSpaceDN/>
        <w:adjustRightInd/>
        <w:jc w:val="both"/>
        <w:rPr>
          <w:rFonts w:hint="eastAsia"/>
          <w:highlight w:val="none"/>
        </w:rPr>
      </w:pPr>
    </w:p>
    <w:p w14:paraId="1A93A97E">
      <w:pPr>
        <w:pStyle w:val="16"/>
        <w:rPr>
          <w:rFonts w:hint="eastAsia" w:ascii="微软雅黑" w:hAnsi="微软雅黑" w:eastAsia="微软雅黑" w:cs="微软雅黑"/>
          <w:b w:val="0"/>
          <w:bCs w:val="0"/>
          <w:color w:val="auto"/>
          <w:sz w:val="28"/>
          <w:szCs w:val="28"/>
          <w:highlight w:val="none"/>
          <w:u w:val="none"/>
          <w:lang w:val="en-US" w:eastAsia="zh-CN"/>
        </w:rPr>
      </w:pPr>
    </w:p>
    <w:p w14:paraId="31BA0996">
      <w:pPr>
        <w:rPr>
          <w:rFonts w:hint="eastAsia" w:ascii="微软雅黑" w:hAnsi="微软雅黑" w:eastAsia="微软雅黑" w:cs="微软雅黑"/>
          <w:b w:val="0"/>
          <w:bCs w:val="0"/>
          <w:color w:val="auto"/>
          <w:sz w:val="28"/>
          <w:szCs w:val="28"/>
          <w:highlight w:val="none"/>
          <w:u w:val="none"/>
          <w:lang w:val="en-US" w:eastAsia="zh-CN"/>
        </w:rPr>
      </w:pPr>
      <w:r>
        <w:rPr>
          <w:rFonts w:hint="eastAsia" w:ascii="微软雅黑" w:hAnsi="微软雅黑" w:eastAsia="微软雅黑" w:cs="微软雅黑"/>
          <w:b w:val="0"/>
          <w:bCs w:val="0"/>
          <w:color w:val="auto"/>
          <w:sz w:val="28"/>
          <w:szCs w:val="28"/>
          <w:highlight w:val="none"/>
          <w:u w:val="none"/>
          <w:lang w:val="en-US" w:eastAsia="zh-CN"/>
        </w:rPr>
        <w:br w:type="page"/>
      </w:r>
    </w:p>
    <w:p w14:paraId="34CD5026">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ascii="微软雅黑" w:hAnsi="微软雅黑" w:eastAsia="微软雅黑" w:cs="微软雅黑"/>
          <w:b/>
          <w:bCs/>
          <w:color w:val="auto"/>
          <w:kern w:val="2"/>
          <w:sz w:val="32"/>
          <w:szCs w:val="32"/>
          <w:highlight w:val="none"/>
          <w:lang w:val="en-US" w:eastAsia="zh-CN" w:bidi="ar-SA"/>
        </w:rPr>
      </w:pPr>
      <w:bookmarkStart w:id="2482" w:name="_Toc6179"/>
      <w:bookmarkStart w:id="2483" w:name="_Toc32380"/>
      <w:bookmarkStart w:id="2484" w:name="_Toc24769"/>
      <w:r>
        <w:rPr>
          <w:rFonts w:hint="eastAsia" w:ascii="微软雅黑" w:hAnsi="微软雅黑" w:eastAsia="微软雅黑" w:cs="微软雅黑"/>
          <w:b/>
          <w:bCs/>
          <w:color w:val="auto"/>
          <w:kern w:val="2"/>
          <w:sz w:val="32"/>
          <w:szCs w:val="32"/>
          <w:highlight w:val="none"/>
          <w:lang w:val="en-US" w:eastAsia="zh-CN" w:bidi="ar-SA"/>
        </w:rPr>
        <w:t>授权委托书</w:t>
      </w:r>
    </w:p>
    <w:p w14:paraId="298F3047">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none"/>
        </w:rPr>
        <w:t>（姓名）</w:t>
      </w:r>
      <w:r>
        <w:rPr>
          <w:rFonts w:hint="eastAsia" w:ascii="微软雅黑" w:hAnsi="微软雅黑" w:eastAsia="微软雅黑" w:cs="微软雅黑"/>
          <w:color w:val="auto"/>
          <w:sz w:val="24"/>
          <w:szCs w:val="24"/>
          <w:highlight w:val="none"/>
        </w:rPr>
        <w:t>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none"/>
        </w:rPr>
        <w:t>（</w:t>
      </w:r>
      <w:r>
        <w:rPr>
          <w:rFonts w:hint="eastAsia" w:ascii="微软雅黑" w:hAnsi="微软雅黑" w:eastAsia="微软雅黑" w:cs="微软雅黑"/>
          <w:color w:val="auto"/>
          <w:sz w:val="24"/>
          <w:szCs w:val="24"/>
          <w:highlight w:val="none"/>
          <w:u w:val="none"/>
          <w:lang w:val="en-US" w:eastAsia="zh-CN"/>
        </w:rPr>
        <w:t>供应商</w:t>
      </w:r>
      <w:r>
        <w:rPr>
          <w:rFonts w:hint="eastAsia" w:ascii="微软雅黑" w:hAnsi="微软雅黑" w:eastAsia="微软雅黑" w:cs="微软雅黑"/>
          <w:color w:val="auto"/>
          <w:sz w:val="24"/>
          <w:szCs w:val="24"/>
          <w:highlight w:val="none"/>
          <w:u w:val="none"/>
        </w:rPr>
        <w:t>名称）</w:t>
      </w:r>
      <w:r>
        <w:rPr>
          <w:rFonts w:hint="eastAsia" w:ascii="微软雅黑" w:hAnsi="微软雅黑" w:eastAsia="微软雅黑" w:cs="微软雅黑"/>
          <w:color w:val="auto"/>
          <w:sz w:val="24"/>
          <w:szCs w:val="24"/>
          <w:highlight w:val="none"/>
        </w:rPr>
        <w:t>的法定代表人（</w:t>
      </w:r>
      <w:r>
        <w:rPr>
          <w:rFonts w:hint="eastAsia" w:ascii="微软雅黑" w:hAnsi="微软雅黑" w:eastAsia="微软雅黑" w:cs="微软雅黑"/>
          <w:color w:val="auto"/>
          <w:sz w:val="24"/>
          <w:szCs w:val="24"/>
          <w:highlight w:val="none"/>
          <w:lang w:val="en-US" w:eastAsia="zh-CN"/>
        </w:rPr>
        <w:t>单位</w:t>
      </w:r>
      <w:r>
        <w:rPr>
          <w:rFonts w:hint="eastAsia" w:ascii="微软雅黑" w:hAnsi="微软雅黑" w:eastAsia="微软雅黑" w:cs="微软雅黑"/>
          <w:color w:val="auto"/>
          <w:sz w:val="24"/>
          <w:szCs w:val="24"/>
          <w:highlight w:val="none"/>
        </w:rPr>
        <w:t>负责人），现委托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（姓名）为我方代理人。代理人根据授权，以我方名义签署、澄清</w:t>
      </w:r>
      <w:r>
        <w:rPr>
          <w:rFonts w:hint="eastAsia" w:ascii="微软雅黑" w:hAnsi="微软雅黑" w:eastAsia="微软雅黑" w:cs="微软雅黑"/>
          <w:color w:val="auto"/>
          <w:sz w:val="24"/>
          <w:szCs w:val="24"/>
          <w:highlight w:val="none"/>
          <w:lang w:val="en-US" w:eastAsia="zh-CN"/>
        </w:rPr>
        <w:t>确认</w:t>
      </w:r>
      <w:r>
        <w:rPr>
          <w:rFonts w:hint="eastAsia" w:ascii="微软雅黑" w:hAnsi="微软雅黑" w:eastAsia="微软雅黑" w:cs="微软雅黑"/>
          <w:color w:val="auto"/>
          <w:sz w:val="24"/>
          <w:szCs w:val="24"/>
          <w:highlight w:val="none"/>
        </w:rPr>
        <w:t>、说明、补正、递交、撤回、修改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（项目名称）投标文件、签订合同和处理有关事宜，其法律后果由我方承担。</w:t>
      </w:r>
    </w:p>
    <w:p w14:paraId="516BD52E">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委托期限：</w:t>
      </w:r>
      <w:r>
        <w:rPr>
          <w:rFonts w:hint="eastAsia" w:ascii="微软雅黑" w:hAnsi="微软雅黑" w:eastAsia="微软雅黑" w:cs="微软雅黑"/>
          <w:color w:val="auto"/>
          <w:sz w:val="24"/>
          <w:szCs w:val="24"/>
          <w:highlight w:val="none"/>
          <w:lang w:val="en-US" w:eastAsia="zh-CN"/>
        </w:rPr>
        <w:t>自本授权委托书签署之日起至投标有效期届满之日止。</w:t>
      </w:r>
    </w:p>
    <w:p w14:paraId="3E253304">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代理人无转委托权。</w:t>
      </w:r>
    </w:p>
    <w:p w14:paraId="2D1BD9FB">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微软雅黑" w:hAnsi="微软雅黑" w:eastAsia="微软雅黑" w:cs="微软雅黑"/>
          <w:color w:val="auto"/>
          <w:sz w:val="24"/>
          <w:szCs w:val="24"/>
          <w:highlight w:val="none"/>
        </w:rPr>
      </w:pPr>
    </w:p>
    <w:p w14:paraId="4B16ADC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供应商名称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公</w:t>
      </w:r>
      <w:r>
        <w:rPr>
          <w:rFonts w:hint="eastAsia" w:ascii="微软雅黑" w:hAnsi="微软雅黑" w:eastAsia="微软雅黑" w:cs="微软雅黑"/>
          <w:color w:val="auto"/>
          <w:kern w:val="0"/>
          <w:sz w:val="24"/>
          <w:szCs w:val="24"/>
          <w:highlight w:val="none"/>
          <w:lang w:eastAsia="zh-CN"/>
        </w:rPr>
        <w:t>章</w:t>
      </w:r>
      <w:r>
        <w:rPr>
          <w:rFonts w:hint="eastAsia" w:ascii="微软雅黑" w:hAnsi="微软雅黑" w:eastAsia="微软雅黑" w:cs="微软雅黑"/>
          <w:color w:val="auto"/>
          <w:kern w:val="0"/>
          <w:sz w:val="24"/>
          <w:szCs w:val="24"/>
          <w:highlight w:val="none"/>
          <w:lang w:val="zh-CN"/>
        </w:rPr>
        <w:t>)</w:t>
      </w:r>
      <w:r>
        <w:rPr>
          <w:rFonts w:hint="eastAsia" w:ascii="微软雅黑" w:hAnsi="微软雅黑" w:eastAsia="微软雅黑" w:cs="微软雅黑"/>
          <w:color w:val="auto"/>
          <w:kern w:val="0"/>
          <w:sz w:val="24"/>
          <w:szCs w:val="24"/>
          <w:highlight w:val="none"/>
          <w:lang w:val="en-US" w:eastAsia="zh-CN" w:bidi="ar"/>
        </w:rPr>
        <w:t xml:space="preserve">：________________ </w:t>
      </w:r>
    </w:p>
    <w:p w14:paraId="34942C5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法定代表人（单位负责人）（签字或</w:t>
      </w:r>
      <w:r>
        <w:rPr>
          <w:rFonts w:hint="eastAsia" w:ascii="微软雅黑" w:hAnsi="微软雅黑" w:eastAsia="微软雅黑" w:cs="微软雅黑"/>
          <w:color w:val="auto"/>
          <w:kern w:val="0"/>
          <w:sz w:val="24"/>
          <w:szCs w:val="24"/>
          <w:highlight w:val="none"/>
          <w:lang w:eastAsia="zh-CN"/>
        </w:rPr>
        <w:t>盖章</w:t>
      </w:r>
      <w:r>
        <w:rPr>
          <w:rFonts w:hint="eastAsia" w:ascii="微软雅黑" w:hAnsi="微软雅黑" w:eastAsia="微软雅黑" w:cs="微软雅黑"/>
          <w:color w:val="auto"/>
          <w:kern w:val="0"/>
          <w:sz w:val="24"/>
          <w:szCs w:val="24"/>
          <w:highlight w:val="none"/>
          <w:lang w:val="zh-CN"/>
        </w:rPr>
        <w:t>)</w:t>
      </w:r>
      <w:r>
        <w:rPr>
          <w:rFonts w:hint="eastAsia" w:ascii="微软雅黑" w:hAnsi="微软雅黑" w:eastAsia="微软雅黑" w:cs="微软雅黑"/>
          <w:color w:val="auto"/>
          <w:kern w:val="0"/>
          <w:sz w:val="24"/>
          <w:szCs w:val="24"/>
          <w:highlight w:val="none"/>
          <w:lang w:val="en-US" w:eastAsia="zh-CN" w:bidi="ar"/>
        </w:rPr>
        <w:t xml:space="preserve">：________________ </w:t>
      </w:r>
    </w:p>
    <w:p w14:paraId="13D933B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0"/>
          <w:sz w:val="24"/>
          <w:szCs w:val="24"/>
          <w:highlight w:val="none"/>
          <w:lang w:val="en-US" w:eastAsia="zh-CN" w:bidi="ar"/>
        </w:rPr>
        <w:t>委托代理人（签字或</w:t>
      </w:r>
      <w:r>
        <w:rPr>
          <w:rFonts w:hint="eastAsia" w:ascii="微软雅黑" w:hAnsi="微软雅黑" w:eastAsia="微软雅黑" w:cs="微软雅黑"/>
          <w:color w:val="auto"/>
          <w:kern w:val="0"/>
          <w:sz w:val="24"/>
          <w:szCs w:val="24"/>
          <w:highlight w:val="none"/>
          <w:lang w:eastAsia="zh-CN"/>
        </w:rPr>
        <w:t>盖章</w:t>
      </w:r>
      <w:r>
        <w:rPr>
          <w:rFonts w:hint="eastAsia" w:ascii="微软雅黑" w:hAnsi="微软雅黑" w:eastAsia="微软雅黑" w:cs="微软雅黑"/>
          <w:color w:val="auto"/>
          <w:kern w:val="0"/>
          <w:sz w:val="24"/>
          <w:szCs w:val="24"/>
          <w:highlight w:val="none"/>
          <w:lang w:val="zh-CN"/>
        </w:rPr>
        <w:t>)</w:t>
      </w:r>
      <w:r>
        <w:rPr>
          <w:rFonts w:hint="eastAsia" w:ascii="微软雅黑" w:hAnsi="微软雅黑" w:eastAsia="微软雅黑" w:cs="微软雅黑"/>
          <w:color w:val="auto"/>
          <w:kern w:val="0"/>
          <w:sz w:val="24"/>
          <w:szCs w:val="24"/>
          <w:highlight w:val="none"/>
          <w:lang w:val="en-US" w:eastAsia="zh-CN" w:bidi="ar"/>
        </w:rPr>
        <w:t>：________________    联系电话：________</w:t>
      </w:r>
    </w:p>
    <w:p w14:paraId="105FECE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日期：_____年______月______日 </w:t>
      </w:r>
    </w:p>
    <w:p w14:paraId="2EA1C02A">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p>
    <w:p w14:paraId="2F33F87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附：法定代表人及委托代理人身份证明文件：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662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CD9F21A">
            <w:pPr>
              <w:rPr>
                <w:rFonts w:hint="eastAsia" w:ascii="微软雅黑" w:hAnsi="微软雅黑" w:eastAsia="微软雅黑" w:cs="微软雅黑"/>
                <w:color w:val="auto"/>
                <w:sz w:val="24"/>
                <w:szCs w:val="24"/>
                <w:highlight w:val="none"/>
              </w:rPr>
            </w:pPr>
          </w:p>
        </w:tc>
      </w:tr>
    </w:tbl>
    <w:p w14:paraId="47B96AE4">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说明： </w:t>
      </w:r>
    </w:p>
    <w:p w14:paraId="5AA29528">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1.若供应商为事业单位或其他组织或分支机构，则法定代表人处的签署人可为单位负责人。 </w:t>
      </w:r>
    </w:p>
    <w:p w14:paraId="5A17A965">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2.若投标文件中签字之处均为法定代表人本人签署，则可不提供本《授权委托书》，但须提供《法定代表人资格证明书》。 </w:t>
      </w:r>
    </w:p>
    <w:p w14:paraId="01F04253">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3.供应商为自然人的情形，可不提供本《授权委托书》。 </w:t>
      </w:r>
    </w:p>
    <w:p w14:paraId="6814F4FF">
      <w:pPr>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4.供应商应随本《授权委托书》同时提供法定代表人及委托代理人的有效的身份证、护照等身份证明文件。</w:t>
      </w:r>
    </w:p>
    <w:p w14:paraId="3497AFA9">
      <w:pPr>
        <w:rPr>
          <w:rFonts w:hint="eastAsia" w:ascii="微软雅黑" w:hAnsi="微软雅黑" w:eastAsia="微软雅黑" w:cs="微软雅黑"/>
          <w:b/>
          <w:bCs/>
          <w:color w:val="auto"/>
          <w:sz w:val="24"/>
          <w:highlight w:val="none"/>
        </w:rPr>
      </w:pPr>
    </w:p>
    <w:bookmarkEnd w:id="2474"/>
    <w:bookmarkEnd w:id="2475"/>
    <w:bookmarkEnd w:id="2476"/>
    <w:bookmarkEnd w:id="2477"/>
    <w:bookmarkEnd w:id="2478"/>
    <w:bookmarkEnd w:id="2479"/>
    <w:bookmarkEnd w:id="2480"/>
    <w:bookmarkEnd w:id="2481"/>
    <w:bookmarkEnd w:id="2482"/>
    <w:bookmarkEnd w:id="2483"/>
    <w:bookmarkEnd w:id="2484"/>
    <w:p w14:paraId="69FE6E57">
      <w:pPr>
        <w:rPr>
          <w:rFonts w:hint="eastAsia" w:ascii="微软雅黑" w:hAnsi="微软雅黑" w:eastAsia="微软雅黑" w:cs="微软雅黑"/>
          <w:b/>
          <w:bCs/>
          <w:color w:val="auto"/>
          <w:sz w:val="24"/>
          <w:szCs w:val="24"/>
          <w:highlight w:val="none"/>
          <w:u w:val="none"/>
          <w:lang w:val="en-US" w:eastAsia="zh-CN"/>
        </w:rPr>
      </w:pPr>
      <w:bookmarkStart w:id="2485" w:name="_Toc3693"/>
      <w:bookmarkStart w:id="2486" w:name="_Toc23487"/>
      <w:bookmarkStart w:id="2487" w:name="_Toc11236"/>
      <w:r>
        <w:rPr>
          <w:rFonts w:hint="eastAsia" w:ascii="微软雅黑" w:hAnsi="微软雅黑" w:eastAsia="微软雅黑" w:cs="微软雅黑"/>
          <w:b/>
          <w:bCs/>
          <w:color w:val="auto"/>
          <w:sz w:val="24"/>
          <w:szCs w:val="24"/>
          <w:highlight w:val="none"/>
          <w:u w:val="none"/>
          <w:lang w:val="en-US" w:eastAsia="zh-CN"/>
        </w:rPr>
        <w:br w:type="page"/>
      </w:r>
    </w:p>
    <w:p w14:paraId="6DD255D2">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rPr>
      </w:pPr>
      <w:bookmarkStart w:id="2488" w:name="_Toc23538"/>
      <w:r>
        <w:rPr>
          <w:rFonts w:hint="eastAsia" w:ascii="微软雅黑" w:hAnsi="微软雅黑" w:eastAsia="微软雅黑" w:cs="微软雅黑"/>
          <w:b/>
          <w:bCs/>
          <w:color w:val="auto"/>
          <w:sz w:val="24"/>
          <w:szCs w:val="24"/>
          <w:highlight w:val="none"/>
          <w:u w:val="none"/>
          <w:lang w:val="en-US" w:eastAsia="zh-CN"/>
        </w:rPr>
        <w:t>4.提供近两年内任意一年的财务审计报告（成立未满十二个月的新公司可提供近三个月内任意一个月的银行资信证明）；</w:t>
      </w:r>
      <w:bookmarkEnd w:id="2485"/>
      <w:bookmarkEnd w:id="2486"/>
      <w:bookmarkEnd w:id="2487"/>
      <w:bookmarkEnd w:id="2488"/>
    </w:p>
    <w:p w14:paraId="15020577">
      <w:pPr>
        <w:pStyle w:val="12"/>
        <w:spacing w:line="400" w:lineRule="exact"/>
        <w:ind w:firstLine="0" w:firstLineChars="0"/>
        <w:rPr>
          <w:rFonts w:hint="eastAsia" w:ascii="微软雅黑" w:hAnsi="微软雅黑" w:eastAsia="微软雅黑" w:cs="微软雅黑"/>
          <w:b/>
          <w:color w:val="auto"/>
          <w:kern w:val="0"/>
          <w:sz w:val="24"/>
          <w:szCs w:val="24"/>
          <w:highlight w:val="none"/>
        </w:rPr>
      </w:pPr>
    </w:p>
    <w:p w14:paraId="25526CDA">
      <w:pPr>
        <w:pStyle w:val="8"/>
        <w:rPr>
          <w:rFonts w:hint="eastAsia" w:ascii="微软雅黑" w:hAnsi="微软雅黑" w:eastAsia="微软雅黑" w:cs="微软雅黑"/>
          <w:sz w:val="24"/>
          <w:szCs w:val="24"/>
          <w:highlight w:val="none"/>
        </w:rPr>
      </w:pPr>
    </w:p>
    <w:p w14:paraId="5EA72144">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rPr>
      </w:pPr>
      <w:bookmarkStart w:id="2489" w:name="_Toc5836"/>
      <w:bookmarkStart w:id="2490" w:name="_Toc3143"/>
      <w:bookmarkStart w:id="2491" w:name="_Toc15774"/>
      <w:bookmarkStart w:id="2492" w:name="_Toc23616"/>
      <w:r>
        <w:rPr>
          <w:rFonts w:hint="eastAsia" w:ascii="微软雅黑" w:hAnsi="微软雅黑" w:eastAsia="微软雅黑" w:cs="微软雅黑"/>
          <w:b/>
          <w:bCs/>
          <w:color w:val="auto"/>
          <w:sz w:val="24"/>
          <w:szCs w:val="24"/>
          <w:highlight w:val="none"/>
          <w:u w:val="none"/>
          <w:lang w:val="en-US" w:eastAsia="zh-CN"/>
        </w:rPr>
        <w:t>5.依法缴纳近六个月内任意一个月的社会保险证明；</w:t>
      </w:r>
      <w:bookmarkEnd w:id="2489"/>
      <w:bookmarkEnd w:id="2490"/>
      <w:bookmarkEnd w:id="2491"/>
      <w:bookmarkEnd w:id="2492"/>
    </w:p>
    <w:p w14:paraId="2E7B6490">
      <w:pPr>
        <w:pStyle w:val="7"/>
        <w:ind w:left="0" w:leftChars="0" w:firstLine="0" w:firstLineChars="0"/>
        <w:rPr>
          <w:rFonts w:hint="eastAsia" w:ascii="微软雅黑" w:hAnsi="微软雅黑" w:eastAsia="微软雅黑" w:cs="微软雅黑"/>
          <w:sz w:val="24"/>
          <w:szCs w:val="24"/>
          <w:highlight w:val="none"/>
        </w:rPr>
      </w:pPr>
    </w:p>
    <w:p w14:paraId="353D04F4">
      <w:pPr>
        <w:pStyle w:val="10"/>
        <w:rPr>
          <w:rFonts w:hint="eastAsia" w:ascii="微软雅黑" w:hAnsi="微软雅黑" w:eastAsia="微软雅黑" w:cs="微软雅黑"/>
          <w:sz w:val="24"/>
          <w:szCs w:val="24"/>
          <w:highlight w:val="none"/>
        </w:rPr>
      </w:pPr>
    </w:p>
    <w:p w14:paraId="5D245A3B">
      <w:pPr>
        <w:pStyle w:val="7"/>
        <w:rPr>
          <w:rFonts w:hint="eastAsia" w:ascii="微软雅黑" w:hAnsi="微软雅黑" w:eastAsia="微软雅黑" w:cs="微软雅黑"/>
          <w:sz w:val="24"/>
          <w:szCs w:val="24"/>
          <w:highlight w:val="none"/>
        </w:rPr>
      </w:pPr>
    </w:p>
    <w:p w14:paraId="689CAA07">
      <w:pPr>
        <w:pStyle w:val="4"/>
        <w:keepNext/>
        <w:keepLines/>
        <w:pageBreakBefore w:val="0"/>
        <w:widowControl w:val="0"/>
        <w:numPr>
          <w:ilvl w:val="0"/>
          <w:numId w:val="4"/>
        </w:numPr>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lang w:val="en-US" w:eastAsia="zh-CN"/>
        </w:rPr>
      </w:pPr>
      <w:bookmarkStart w:id="2493" w:name="_Toc2217"/>
      <w:bookmarkStart w:id="2494" w:name="_Toc16666"/>
      <w:bookmarkStart w:id="2495" w:name="_Toc14027"/>
      <w:bookmarkStart w:id="2496" w:name="_Toc7788"/>
      <w:r>
        <w:rPr>
          <w:rFonts w:hint="eastAsia" w:ascii="微软雅黑" w:hAnsi="微软雅黑" w:eastAsia="微软雅黑" w:cs="微软雅黑"/>
          <w:b/>
          <w:bCs/>
          <w:color w:val="auto"/>
          <w:sz w:val="24"/>
          <w:szCs w:val="24"/>
          <w:highlight w:val="none"/>
          <w:u w:val="none"/>
          <w:lang w:val="en-US" w:eastAsia="zh-CN"/>
        </w:rPr>
        <w:t>依法缴纳近六个月内任意一个月的税收证明；</w:t>
      </w:r>
      <w:bookmarkEnd w:id="2493"/>
      <w:bookmarkEnd w:id="2494"/>
      <w:bookmarkEnd w:id="2495"/>
      <w:bookmarkEnd w:id="2496"/>
    </w:p>
    <w:p w14:paraId="4374076E">
      <w:pPr>
        <w:numPr>
          <w:ilvl w:val="0"/>
          <w:numId w:val="0"/>
        </w:numPr>
        <w:rPr>
          <w:rFonts w:hint="eastAsia"/>
          <w:highlight w:val="none"/>
          <w:lang w:val="en-US" w:eastAsia="zh-CN"/>
        </w:rPr>
      </w:pPr>
    </w:p>
    <w:p w14:paraId="0D2934B6">
      <w:pPr>
        <w:pStyle w:val="4"/>
        <w:keepNext/>
        <w:keepLines/>
        <w:pageBreakBefore w:val="0"/>
        <w:widowControl w:val="0"/>
        <w:kinsoku/>
        <w:wordWrap w:val="0"/>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lang w:val="en-US" w:eastAsia="zh-CN"/>
        </w:rPr>
      </w:pPr>
      <w:bookmarkStart w:id="2497" w:name="_Toc3162"/>
      <w:bookmarkStart w:id="2498" w:name="_Toc12258"/>
      <w:bookmarkStart w:id="2499" w:name="_Toc31340"/>
      <w:r>
        <w:rPr>
          <w:rFonts w:hint="eastAsia" w:ascii="微软雅黑" w:hAnsi="微软雅黑" w:eastAsia="微软雅黑" w:cs="微软雅黑"/>
          <w:b/>
          <w:bCs/>
          <w:color w:val="auto"/>
          <w:sz w:val="24"/>
          <w:szCs w:val="24"/>
          <w:highlight w:val="none"/>
          <w:u w:val="none"/>
          <w:lang w:val="en-US" w:eastAsia="zh-CN"/>
        </w:rPr>
        <w:t>7.</w:t>
      </w:r>
      <w:bookmarkEnd w:id="2497"/>
      <w:bookmarkEnd w:id="2498"/>
      <w:bookmarkEnd w:id="2499"/>
      <w:r>
        <w:rPr>
          <w:rFonts w:hint="eastAsia" w:ascii="微软雅黑" w:hAnsi="微软雅黑" w:eastAsia="微软雅黑" w:cs="微软雅黑"/>
          <w:b/>
          <w:bCs/>
          <w:color w:val="auto"/>
          <w:sz w:val="24"/>
          <w:szCs w:val="24"/>
          <w:highlight w:val="none"/>
          <w:u w:val="none"/>
          <w:lang w:val="en-US"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0578F8D8">
      <w:pPr>
        <w:rPr>
          <w:rFonts w:hint="eastAsia"/>
          <w:sz w:val="24"/>
          <w:szCs w:val="24"/>
          <w:highlight w:val="none"/>
        </w:rPr>
      </w:pPr>
      <w:r>
        <w:rPr>
          <w:rFonts w:hint="eastAsia" w:ascii="微软雅黑" w:hAnsi="微软雅黑" w:eastAsia="微软雅黑" w:cs="微软雅黑"/>
          <w:b/>
          <w:bCs/>
          <w:color w:val="auto"/>
          <w:sz w:val="24"/>
          <w:szCs w:val="24"/>
          <w:highlight w:val="none"/>
          <w:u w:val="none"/>
          <w:lang w:val="en-US" w:eastAsia="zh-CN"/>
        </w:rPr>
        <w:br w:type="page"/>
      </w:r>
    </w:p>
    <w:p w14:paraId="2E6A6982">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lang w:val="en-US" w:eastAsia="zh-CN"/>
        </w:rPr>
      </w:pPr>
      <w:bookmarkStart w:id="2500" w:name="_Toc6195"/>
      <w:bookmarkStart w:id="2501" w:name="_Toc20020"/>
      <w:bookmarkStart w:id="2502" w:name="_Toc31614"/>
      <w:bookmarkStart w:id="2503" w:name="_Toc12315"/>
      <w:r>
        <w:rPr>
          <w:rFonts w:hint="eastAsia" w:ascii="微软雅黑" w:hAnsi="微软雅黑" w:eastAsia="微软雅黑" w:cs="微软雅黑"/>
          <w:b/>
          <w:bCs/>
          <w:color w:val="auto"/>
          <w:sz w:val="24"/>
          <w:szCs w:val="24"/>
          <w:highlight w:val="none"/>
          <w:u w:val="none"/>
          <w:lang w:val="en-US" w:eastAsia="zh-CN"/>
        </w:rPr>
        <w:t>8.参加政府采购活动前三年内在经营活动中没有重大违法记录的书面声明；</w:t>
      </w:r>
      <w:bookmarkEnd w:id="2500"/>
      <w:bookmarkEnd w:id="2501"/>
      <w:bookmarkEnd w:id="2502"/>
      <w:bookmarkEnd w:id="2503"/>
    </w:p>
    <w:p w14:paraId="4B0EFDCF">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287D0464">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lang w:val="en-US" w:eastAsia="zh-CN"/>
        </w:rPr>
      </w:pPr>
      <w:bookmarkStart w:id="2504" w:name="_Toc18024"/>
      <w:bookmarkStart w:id="2505" w:name="_Toc8586"/>
      <w:bookmarkStart w:id="2506" w:name="_Toc26607"/>
      <w:bookmarkStart w:id="2507" w:name="_Toc15341"/>
      <w:r>
        <w:rPr>
          <w:rFonts w:hint="eastAsia" w:ascii="微软雅黑" w:hAnsi="微软雅黑" w:eastAsia="微软雅黑" w:cs="微软雅黑"/>
          <w:b/>
          <w:bCs/>
          <w:color w:val="auto"/>
          <w:sz w:val="24"/>
          <w:szCs w:val="24"/>
          <w:highlight w:val="none"/>
          <w:u w:val="none"/>
          <w:lang w:val="en-US" w:eastAsia="zh-CN"/>
        </w:rPr>
        <w:t>9.缴纳投标保证金的有效凭证；</w:t>
      </w:r>
      <w:bookmarkEnd w:id="2504"/>
    </w:p>
    <w:p w14:paraId="7DB980DE">
      <w:pPr>
        <w:shd w:val="clear" w:color="auto" w:fill="auto"/>
        <w:snapToGrid w:val="0"/>
        <w:spacing w:before="0" w:beforeAutospacing="0" w:after="0" w:afterAutospacing="0" w:line="360" w:lineRule="exact"/>
        <w:jc w:val="both"/>
        <w:textAlignment w:val="baseline"/>
        <w:outlineLvl w:val="9"/>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（注：</w:t>
      </w:r>
      <w:r>
        <w:rPr>
          <w:rFonts w:hint="eastAsia" w:ascii="微软雅黑" w:hAnsi="微软雅黑" w:eastAsia="微软雅黑" w:cs="微软雅黑"/>
          <w:b/>
          <w:bCs/>
          <w:i w:val="0"/>
          <w:caps w:val="0"/>
          <w:color w:val="auto"/>
          <w:spacing w:val="0"/>
          <w:w w:val="100"/>
          <w:sz w:val="24"/>
          <w:highlight w:val="none"/>
          <w:lang w:val="en-US" w:eastAsia="zh-CN"/>
        </w:rPr>
        <w:t>本项目以缴纳投标保证金的有效凭证复印件加盖公章为准</w:t>
      </w:r>
      <w:r>
        <w:rPr>
          <w:rFonts w:hint="eastAsia" w:ascii="微软雅黑" w:hAnsi="微软雅黑" w:eastAsia="微软雅黑" w:cs="微软雅黑"/>
          <w:b/>
          <w:bCs/>
          <w:i w:val="0"/>
          <w:caps w:val="0"/>
          <w:color w:val="auto"/>
          <w:spacing w:val="0"/>
          <w:w w:val="100"/>
          <w:sz w:val="24"/>
          <w:highlight w:val="none"/>
        </w:rPr>
        <w:t>。）</w:t>
      </w:r>
    </w:p>
    <w:tbl>
      <w:tblPr>
        <w:tblStyle w:val="29"/>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14:paraId="5EF5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14:paraId="580876A8">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highlight w:val="none"/>
              </w:rPr>
            </w:pPr>
          </w:p>
          <w:p w14:paraId="7F7C2F09">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highlight w:val="none"/>
              </w:rPr>
            </w:pPr>
          </w:p>
          <w:p w14:paraId="7CFA16BA">
            <w:pPr>
              <w:shd w:val="clear" w:color="auto" w:fill="auto"/>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highlight w:val="none"/>
                <w:lang w:eastAsia="zh-CN"/>
              </w:rPr>
            </w:pPr>
            <w:r>
              <w:rPr>
                <w:rFonts w:hint="eastAsia" w:ascii="微软雅黑" w:hAnsi="微软雅黑" w:eastAsia="微软雅黑" w:cs="微软雅黑"/>
                <w:b w:val="0"/>
                <w:i w:val="0"/>
                <w:caps w:val="0"/>
                <w:color w:val="auto"/>
                <w:spacing w:val="0"/>
                <w:w w:val="100"/>
                <w:sz w:val="24"/>
                <w:highlight w:val="none"/>
                <w:lang w:eastAsia="zh-CN"/>
              </w:rPr>
              <w:t>缴纳投标保证金的有效凭证</w:t>
            </w:r>
            <w:r>
              <w:rPr>
                <w:rFonts w:hint="eastAsia" w:ascii="微软雅黑" w:hAnsi="微软雅黑" w:eastAsia="微软雅黑" w:cs="微软雅黑"/>
                <w:b w:val="0"/>
                <w:i w:val="0"/>
                <w:caps w:val="0"/>
                <w:color w:val="auto"/>
                <w:spacing w:val="0"/>
                <w:w w:val="100"/>
                <w:sz w:val="24"/>
                <w:highlight w:val="none"/>
              </w:rPr>
              <w:t>复印件</w:t>
            </w:r>
            <w:r>
              <w:rPr>
                <w:rFonts w:hint="eastAsia" w:ascii="微软雅黑" w:hAnsi="微软雅黑" w:eastAsia="微软雅黑" w:cs="微软雅黑"/>
                <w:b w:val="0"/>
                <w:i w:val="0"/>
                <w:caps w:val="0"/>
                <w:color w:val="auto"/>
                <w:spacing w:val="0"/>
                <w:w w:val="100"/>
                <w:sz w:val="24"/>
                <w:highlight w:val="none"/>
                <w:lang w:eastAsia="zh-CN"/>
              </w:rPr>
              <w:t>（银行转账回执单/保函/支票</w:t>
            </w:r>
            <w:r>
              <w:rPr>
                <w:rFonts w:hint="eastAsia" w:ascii="微软雅黑" w:hAnsi="微软雅黑" w:eastAsia="微软雅黑" w:cs="微软雅黑"/>
                <w:b w:val="0"/>
                <w:i w:val="0"/>
                <w:caps w:val="0"/>
                <w:color w:val="auto"/>
                <w:spacing w:val="0"/>
                <w:w w:val="100"/>
                <w:sz w:val="24"/>
                <w:highlight w:val="none"/>
                <w:lang w:val="en-US" w:eastAsia="zh-CN"/>
              </w:rPr>
              <w:t>等</w:t>
            </w:r>
            <w:r>
              <w:rPr>
                <w:rFonts w:hint="eastAsia" w:ascii="微软雅黑" w:hAnsi="微软雅黑" w:eastAsia="微软雅黑" w:cs="微软雅黑"/>
                <w:b w:val="0"/>
                <w:i w:val="0"/>
                <w:caps w:val="0"/>
                <w:color w:val="auto"/>
                <w:spacing w:val="0"/>
                <w:w w:val="100"/>
                <w:sz w:val="24"/>
                <w:highlight w:val="none"/>
                <w:lang w:eastAsia="zh-CN"/>
              </w:rPr>
              <w:t>）</w:t>
            </w:r>
          </w:p>
        </w:tc>
      </w:tr>
    </w:tbl>
    <w:p w14:paraId="61024B86">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lang w:val="en-US" w:eastAsia="zh-CN"/>
        </w:rPr>
      </w:pPr>
    </w:p>
    <w:p w14:paraId="0A169F38">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lang w:val="en-US" w:eastAsia="zh-CN"/>
        </w:rPr>
      </w:pPr>
      <w:bookmarkStart w:id="2508" w:name="_Toc5575"/>
      <w:r>
        <w:rPr>
          <w:rFonts w:hint="eastAsia" w:ascii="微软雅黑" w:hAnsi="微软雅黑" w:eastAsia="微软雅黑" w:cs="微软雅黑"/>
          <w:b/>
          <w:bCs/>
          <w:color w:val="auto"/>
          <w:sz w:val="24"/>
          <w:szCs w:val="24"/>
          <w:highlight w:val="none"/>
          <w:u w:val="none"/>
          <w:lang w:val="en-US" w:eastAsia="zh-CN"/>
        </w:rPr>
        <w:t>10.供应商须具有《劳务派遣经营许可证》或《人力资源服务许可证》；</w:t>
      </w:r>
      <w:bookmarkEnd w:id="2508"/>
    </w:p>
    <w:bookmarkEnd w:id="2505"/>
    <w:bookmarkEnd w:id="2506"/>
    <w:bookmarkEnd w:id="2507"/>
    <w:p w14:paraId="163BC0D7">
      <w:pPr>
        <w:pStyle w:val="15"/>
        <w:tabs>
          <w:tab w:val="left" w:pos="5580"/>
        </w:tabs>
        <w:spacing w:line="400" w:lineRule="exact"/>
        <w:outlineLvl w:val="9"/>
        <w:rPr>
          <w:rFonts w:hint="eastAsia" w:ascii="微软雅黑" w:hAnsi="微软雅黑" w:eastAsia="微软雅黑" w:cs="微软雅黑"/>
          <w:b/>
          <w:color w:val="auto"/>
          <w:kern w:val="0"/>
          <w:sz w:val="24"/>
          <w:highlight w:val="none"/>
          <w:lang w:eastAsia="zh-CN"/>
        </w:rPr>
      </w:pPr>
    </w:p>
    <w:p w14:paraId="661E5E1C">
      <w:pPr>
        <w:pStyle w:val="15"/>
        <w:tabs>
          <w:tab w:val="left" w:pos="5580"/>
        </w:tabs>
        <w:spacing w:line="400" w:lineRule="exact"/>
        <w:ind w:left="540" w:leftChars="257"/>
        <w:outlineLvl w:val="9"/>
        <w:rPr>
          <w:rFonts w:hint="eastAsia" w:ascii="微软雅黑" w:hAnsi="微软雅黑" w:eastAsia="微软雅黑" w:cs="微软雅黑"/>
          <w:b/>
          <w:color w:val="auto"/>
          <w:kern w:val="0"/>
          <w:sz w:val="24"/>
          <w:highlight w:val="none"/>
        </w:rPr>
      </w:pPr>
    </w:p>
    <w:p w14:paraId="23F729DB">
      <w:pPr>
        <w:pStyle w:val="15"/>
        <w:tabs>
          <w:tab w:val="left" w:pos="5580"/>
        </w:tabs>
        <w:spacing w:line="400" w:lineRule="exact"/>
        <w:ind w:left="540" w:leftChars="257"/>
        <w:outlineLvl w:val="9"/>
        <w:rPr>
          <w:rFonts w:hint="eastAsia" w:ascii="微软雅黑" w:hAnsi="微软雅黑" w:eastAsia="微软雅黑" w:cs="微软雅黑"/>
          <w:b/>
          <w:color w:val="auto"/>
          <w:kern w:val="0"/>
          <w:sz w:val="24"/>
          <w:highlight w:val="none"/>
        </w:rPr>
      </w:pPr>
    </w:p>
    <w:p w14:paraId="58F1AF87">
      <w:pPr>
        <w:pStyle w:val="15"/>
        <w:tabs>
          <w:tab w:val="left" w:pos="5580"/>
        </w:tabs>
        <w:spacing w:line="400" w:lineRule="exact"/>
        <w:outlineLvl w:val="9"/>
        <w:rPr>
          <w:rFonts w:hint="eastAsia" w:ascii="微软雅黑" w:hAnsi="微软雅黑" w:eastAsia="微软雅黑" w:cs="微软雅黑"/>
          <w:b/>
          <w:color w:val="auto"/>
          <w:kern w:val="0"/>
          <w:sz w:val="24"/>
          <w:highlight w:val="none"/>
        </w:rPr>
      </w:pPr>
    </w:p>
    <w:p w14:paraId="534DA0CB">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rPr>
      </w:pPr>
      <w:bookmarkStart w:id="2509" w:name="_Toc8786"/>
      <w:bookmarkStart w:id="2510" w:name="_Toc1950"/>
      <w:bookmarkStart w:id="2511" w:name="_Toc16032"/>
      <w:bookmarkStart w:id="2512" w:name="_Toc14384"/>
      <w:bookmarkStart w:id="2513" w:name="_Toc18263"/>
      <w:bookmarkStart w:id="2514" w:name="_Toc15346"/>
      <w:bookmarkStart w:id="2515" w:name="_Toc515647816"/>
      <w:bookmarkStart w:id="2516" w:name="_Toc30653"/>
      <w:bookmarkStart w:id="2517" w:name="_Toc11180"/>
      <w:bookmarkStart w:id="2518" w:name="_Toc22967"/>
      <w:r>
        <w:rPr>
          <w:rFonts w:hint="eastAsia" w:ascii="微软雅黑" w:hAnsi="微软雅黑" w:eastAsia="微软雅黑" w:cs="微软雅黑"/>
          <w:b/>
          <w:bCs/>
          <w:color w:val="auto"/>
          <w:sz w:val="24"/>
          <w:szCs w:val="24"/>
          <w:highlight w:val="none"/>
          <w:u w:val="none"/>
          <w:lang w:val="en-US" w:eastAsia="zh-CN"/>
        </w:rPr>
        <w:t>11.银行开户许可证复印件或银行基本账户信息(包含：银行账号及开户行名称）；</w:t>
      </w:r>
      <w:bookmarkEnd w:id="2509"/>
      <w:bookmarkEnd w:id="2510"/>
      <w:bookmarkEnd w:id="2511"/>
      <w:bookmarkEnd w:id="2512"/>
    </w:p>
    <w:p w14:paraId="3E5E91B0">
      <w:pPr>
        <w:pStyle w:val="22"/>
        <w:rPr>
          <w:rFonts w:hint="eastAsia" w:ascii="微软雅黑" w:hAnsi="微软雅黑" w:eastAsia="微软雅黑" w:cs="微软雅黑"/>
          <w:color w:val="auto"/>
          <w:sz w:val="24"/>
          <w:szCs w:val="24"/>
          <w:highlight w:val="none"/>
        </w:rPr>
      </w:pPr>
    </w:p>
    <w:p w14:paraId="6AD9A405">
      <w:pPr>
        <w:pStyle w:val="22"/>
        <w:rPr>
          <w:rFonts w:hint="eastAsia" w:ascii="微软雅黑" w:hAnsi="微软雅黑" w:eastAsia="微软雅黑" w:cs="微软雅黑"/>
          <w:color w:val="auto"/>
          <w:sz w:val="24"/>
          <w:szCs w:val="24"/>
          <w:highlight w:val="none"/>
        </w:rPr>
      </w:pPr>
    </w:p>
    <w:p w14:paraId="316A6243">
      <w:pPr>
        <w:pStyle w:val="22"/>
        <w:rPr>
          <w:rFonts w:hint="eastAsia" w:ascii="微软雅黑" w:hAnsi="微软雅黑" w:eastAsia="微软雅黑" w:cs="微软雅黑"/>
          <w:color w:val="auto"/>
          <w:sz w:val="24"/>
          <w:szCs w:val="24"/>
          <w:highlight w:val="none"/>
        </w:rPr>
      </w:pPr>
    </w:p>
    <w:p w14:paraId="07949828">
      <w:pPr>
        <w:pStyle w:val="22"/>
        <w:rPr>
          <w:rFonts w:hint="eastAsia" w:ascii="微软雅黑" w:hAnsi="微软雅黑" w:eastAsia="微软雅黑" w:cs="微软雅黑"/>
          <w:color w:val="auto"/>
          <w:sz w:val="24"/>
          <w:szCs w:val="24"/>
          <w:highlight w:val="none"/>
        </w:rPr>
      </w:pPr>
    </w:p>
    <w:p w14:paraId="5D08909C">
      <w:pPr>
        <w:pStyle w:val="22"/>
        <w:rPr>
          <w:rFonts w:hint="eastAsia" w:ascii="微软雅黑" w:hAnsi="微软雅黑" w:eastAsia="微软雅黑" w:cs="微软雅黑"/>
          <w:color w:val="auto"/>
          <w:sz w:val="24"/>
          <w:szCs w:val="24"/>
          <w:highlight w:val="none"/>
        </w:rPr>
      </w:pPr>
    </w:p>
    <w:p w14:paraId="10E7AEAA">
      <w:pPr>
        <w:pStyle w:val="22"/>
        <w:rPr>
          <w:rFonts w:hint="eastAsia" w:ascii="微软雅黑" w:hAnsi="微软雅黑" w:eastAsia="微软雅黑" w:cs="微软雅黑"/>
          <w:color w:val="auto"/>
          <w:sz w:val="24"/>
          <w:szCs w:val="24"/>
          <w:highlight w:val="none"/>
        </w:rPr>
      </w:pPr>
    </w:p>
    <w:p w14:paraId="67B6AF41">
      <w:pPr>
        <w:pStyle w:val="22"/>
        <w:rPr>
          <w:rFonts w:hint="eastAsia" w:ascii="微软雅黑" w:hAnsi="微软雅黑" w:eastAsia="微软雅黑" w:cs="微软雅黑"/>
          <w:color w:val="auto"/>
          <w:sz w:val="24"/>
          <w:szCs w:val="24"/>
          <w:highlight w:val="none"/>
        </w:rPr>
      </w:pPr>
    </w:p>
    <w:p w14:paraId="5DDD5A3D">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4"/>
          <w:szCs w:val="24"/>
          <w:highlight w:val="none"/>
          <w:u w:val="none"/>
          <w:lang w:val="en-US" w:eastAsia="zh-CN"/>
        </w:rPr>
      </w:pPr>
      <w:bookmarkStart w:id="2519" w:name="_Toc7705"/>
      <w:bookmarkStart w:id="2520" w:name="_Toc8478"/>
      <w:bookmarkStart w:id="2521" w:name="_Toc1079"/>
      <w:bookmarkStart w:id="2522" w:name="_Toc13729"/>
      <w:r>
        <w:rPr>
          <w:rFonts w:hint="eastAsia" w:ascii="微软雅黑" w:hAnsi="微软雅黑" w:eastAsia="微软雅黑" w:cs="微软雅黑"/>
          <w:b/>
          <w:bCs/>
          <w:color w:val="auto"/>
          <w:sz w:val="24"/>
          <w:szCs w:val="24"/>
          <w:highlight w:val="none"/>
          <w:u w:val="none"/>
          <w:lang w:val="en-US" w:eastAsia="zh-CN"/>
        </w:rPr>
        <w:t>12.供应商可提供有利于投标的其他资格证明材料。</w:t>
      </w:r>
      <w:bookmarkEnd w:id="2519"/>
      <w:bookmarkEnd w:id="2520"/>
      <w:bookmarkEnd w:id="2521"/>
      <w:bookmarkEnd w:id="2522"/>
    </w:p>
    <w:p w14:paraId="3146683C">
      <w:pPr>
        <w:rPr>
          <w:rFonts w:hint="eastAsia" w:ascii="微软雅黑" w:hAnsi="微软雅黑" w:eastAsia="微软雅黑" w:cs="微软雅黑"/>
          <w:b/>
          <w:color w:val="auto"/>
          <w:kern w:val="0"/>
          <w:sz w:val="24"/>
          <w:szCs w:val="20"/>
          <w:highlight w:val="none"/>
        </w:rPr>
      </w:pPr>
    </w:p>
    <w:p w14:paraId="03CD85C7">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14:paraId="7CF24A1E">
      <w:pPr>
        <w:pStyle w:val="2"/>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2523" w:name="_Toc19728"/>
      <w:bookmarkStart w:id="2524" w:name="_Toc125"/>
      <w:bookmarkStart w:id="2525" w:name="_Toc3922"/>
      <w:r>
        <w:rPr>
          <w:rFonts w:hint="eastAsia" w:ascii="微软雅黑" w:hAnsi="微软雅黑" w:eastAsia="微软雅黑" w:cs="微软雅黑"/>
          <w:color w:val="auto"/>
          <w:sz w:val="28"/>
          <w:szCs w:val="28"/>
          <w:highlight w:val="none"/>
          <w:lang w:val="en-US" w:eastAsia="zh-CN"/>
        </w:rPr>
        <w:t>第二部分  商务及技术文件</w:t>
      </w:r>
      <w:bookmarkEnd w:id="2523"/>
      <w:bookmarkEnd w:id="2524"/>
      <w:bookmarkEnd w:id="2525"/>
    </w:p>
    <w:p w14:paraId="633E016C">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p>
    <w:p w14:paraId="38A5FCF1">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bookmarkStart w:id="2526" w:name="_Toc515647817"/>
      <w:bookmarkStart w:id="2527" w:name="_Toc14915"/>
      <w:bookmarkStart w:id="2528" w:name="_Toc2041"/>
      <w:r>
        <w:rPr>
          <w:rFonts w:hint="eastAsia" w:ascii="微软雅黑" w:hAnsi="微软雅黑" w:eastAsia="微软雅黑" w:cs="微软雅黑"/>
          <w:color w:val="auto"/>
          <w:kern w:val="0"/>
          <w:sz w:val="24"/>
          <w:szCs w:val="24"/>
          <w:highlight w:val="none"/>
          <w:lang w:val="en-US" w:eastAsia="zh-CN"/>
        </w:rPr>
        <w:t>1.投标书</w:t>
      </w:r>
    </w:p>
    <w:p w14:paraId="162DD44D">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2.投标分项报价表</w:t>
      </w:r>
    </w:p>
    <w:p w14:paraId="7BF37141">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3.服务说明一览表</w:t>
      </w:r>
    </w:p>
    <w:p w14:paraId="29FB1C72">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4.服务要求偏离表</w:t>
      </w:r>
    </w:p>
    <w:p w14:paraId="41069A5E">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5.商务条款偏离表</w:t>
      </w:r>
    </w:p>
    <w:p w14:paraId="1DD692A4">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6-1 中小企业声明函</w:t>
      </w:r>
    </w:p>
    <w:p w14:paraId="4EBEC046">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6-2 残疾人福利性单位声明函</w:t>
      </w:r>
    </w:p>
    <w:p w14:paraId="077F5CD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7.供应商关联单位的说明</w:t>
      </w:r>
    </w:p>
    <w:p w14:paraId="2B9D9A59">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8.供应商可提供有利于投标的其他证明材料</w:t>
      </w:r>
    </w:p>
    <w:p w14:paraId="3BB954E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9.投标文件格式范本</w:t>
      </w:r>
    </w:p>
    <w:p w14:paraId="687B26FE">
      <w:pPr>
        <w:spacing w:line="360" w:lineRule="auto"/>
        <w:rPr>
          <w:rFonts w:hint="eastAsia" w:ascii="微软雅黑" w:hAnsi="微软雅黑" w:eastAsia="微软雅黑" w:cs="微软雅黑"/>
          <w:b/>
          <w:bCs/>
          <w:color w:val="auto"/>
          <w:highlight w:val="none"/>
        </w:rPr>
      </w:pPr>
    </w:p>
    <w:p w14:paraId="027D6CDC">
      <w:pPr>
        <w:pStyle w:val="7"/>
        <w:rPr>
          <w:rFonts w:hint="eastAsia" w:ascii="微软雅黑" w:hAnsi="微软雅黑" w:eastAsia="微软雅黑" w:cs="微软雅黑"/>
          <w:b/>
          <w:bCs/>
          <w:color w:val="auto"/>
          <w:highlight w:val="none"/>
        </w:rPr>
      </w:pPr>
    </w:p>
    <w:p w14:paraId="473CD17D">
      <w:pPr>
        <w:pStyle w:val="7"/>
        <w:rPr>
          <w:rFonts w:hint="eastAsia" w:ascii="微软雅黑" w:hAnsi="微软雅黑" w:eastAsia="微软雅黑" w:cs="微软雅黑"/>
          <w:b/>
          <w:bCs/>
          <w:color w:val="auto"/>
          <w:highlight w:val="none"/>
        </w:rPr>
      </w:pPr>
    </w:p>
    <w:p w14:paraId="7604C0DE">
      <w:pPr>
        <w:pStyle w:val="7"/>
        <w:rPr>
          <w:rFonts w:hint="eastAsia" w:ascii="微软雅黑" w:hAnsi="微软雅黑" w:eastAsia="微软雅黑" w:cs="微软雅黑"/>
          <w:b/>
          <w:bCs/>
          <w:color w:val="auto"/>
          <w:highlight w:val="none"/>
        </w:rPr>
      </w:pPr>
    </w:p>
    <w:p w14:paraId="1721F843">
      <w:pPr>
        <w:pStyle w:val="7"/>
        <w:rPr>
          <w:rFonts w:hint="eastAsia" w:ascii="微软雅黑" w:hAnsi="微软雅黑" w:eastAsia="微软雅黑" w:cs="微软雅黑"/>
          <w:b/>
          <w:bCs/>
          <w:color w:val="auto"/>
          <w:highlight w:val="none"/>
        </w:rPr>
      </w:pPr>
    </w:p>
    <w:p w14:paraId="0EE8DA75">
      <w:pPr>
        <w:pStyle w:val="7"/>
        <w:rPr>
          <w:rFonts w:hint="eastAsia" w:ascii="微软雅黑" w:hAnsi="微软雅黑" w:eastAsia="微软雅黑" w:cs="微软雅黑"/>
          <w:b/>
          <w:bCs/>
          <w:color w:val="auto"/>
          <w:highlight w:val="none"/>
        </w:rPr>
      </w:pPr>
    </w:p>
    <w:p w14:paraId="03D5C66D">
      <w:pPr>
        <w:pStyle w:val="7"/>
        <w:rPr>
          <w:rFonts w:hint="eastAsia" w:ascii="微软雅黑" w:hAnsi="微软雅黑" w:eastAsia="微软雅黑" w:cs="微软雅黑"/>
          <w:b/>
          <w:bCs/>
          <w:color w:val="auto"/>
          <w:highlight w:val="none"/>
        </w:rPr>
      </w:pPr>
    </w:p>
    <w:p w14:paraId="755F885A">
      <w:pPr>
        <w:spacing w:line="360" w:lineRule="auto"/>
        <w:rPr>
          <w:rFonts w:hint="eastAsia" w:ascii="微软雅黑" w:hAnsi="微软雅黑" w:eastAsia="微软雅黑" w:cs="微软雅黑"/>
          <w:color w:val="auto"/>
          <w:sz w:val="24"/>
          <w:highlight w:val="none"/>
        </w:rPr>
      </w:pPr>
    </w:p>
    <w:p w14:paraId="622131BC">
      <w:pPr>
        <w:pStyle w:val="15"/>
        <w:tabs>
          <w:tab w:val="left" w:pos="5580"/>
        </w:tabs>
        <w:spacing w:line="240" w:lineRule="atLeast"/>
        <w:rPr>
          <w:rFonts w:hint="eastAsia" w:ascii="微软雅黑" w:hAnsi="微软雅黑" w:eastAsia="微软雅黑" w:cs="微软雅黑"/>
          <w:color w:val="auto"/>
          <w:szCs w:val="21"/>
          <w:highlight w:val="none"/>
        </w:rPr>
      </w:pPr>
    </w:p>
    <w:p w14:paraId="7BA3298A">
      <w:pPr>
        <w:pStyle w:val="15"/>
        <w:tabs>
          <w:tab w:val="left" w:pos="5580"/>
        </w:tabs>
        <w:spacing w:line="240" w:lineRule="atLeast"/>
        <w:rPr>
          <w:rFonts w:hint="eastAsia" w:ascii="微软雅黑" w:hAnsi="微软雅黑" w:eastAsia="微软雅黑" w:cs="微软雅黑"/>
          <w:color w:val="auto"/>
          <w:szCs w:val="21"/>
          <w:highlight w:val="none"/>
        </w:rPr>
      </w:pPr>
    </w:p>
    <w:p w14:paraId="193C5224">
      <w:pPr>
        <w:pStyle w:val="15"/>
        <w:tabs>
          <w:tab w:val="left" w:pos="5580"/>
        </w:tabs>
        <w:spacing w:line="240" w:lineRule="atLeast"/>
        <w:rPr>
          <w:rFonts w:hint="eastAsia" w:ascii="微软雅黑" w:hAnsi="微软雅黑" w:eastAsia="微软雅黑" w:cs="微软雅黑"/>
          <w:color w:val="auto"/>
          <w:szCs w:val="21"/>
          <w:highlight w:val="none"/>
        </w:rPr>
      </w:pPr>
    </w:p>
    <w:p w14:paraId="41AA12BA">
      <w:pPr>
        <w:pStyle w:val="15"/>
        <w:tabs>
          <w:tab w:val="left" w:pos="5580"/>
        </w:tabs>
        <w:spacing w:line="240" w:lineRule="atLeast"/>
        <w:rPr>
          <w:rFonts w:hint="eastAsia" w:ascii="微软雅黑" w:hAnsi="微软雅黑" w:eastAsia="微软雅黑" w:cs="微软雅黑"/>
          <w:color w:val="auto"/>
          <w:szCs w:val="21"/>
          <w:highlight w:val="none"/>
        </w:rPr>
      </w:pPr>
    </w:p>
    <w:p w14:paraId="0C6FAE31">
      <w:pPr>
        <w:pStyle w:val="15"/>
        <w:tabs>
          <w:tab w:val="left" w:pos="5580"/>
        </w:tabs>
        <w:spacing w:line="240" w:lineRule="atLeast"/>
        <w:rPr>
          <w:rFonts w:hint="eastAsia" w:ascii="微软雅黑" w:hAnsi="微软雅黑" w:eastAsia="微软雅黑" w:cs="微软雅黑"/>
          <w:color w:val="auto"/>
          <w:szCs w:val="21"/>
          <w:highlight w:val="none"/>
        </w:rPr>
      </w:pPr>
    </w:p>
    <w:p w14:paraId="715CA51F">
      <w:pPr>
        <w:pStyle w:val="15"/>
        <w:tabs>
          <w:tab w:val="left" w:pos="5580"/>
        </w:tabs>
        <w:spacing w:line="240" w:lineRule="atLeast"/>
        <w:rPr>
          <w:rFonts w:hint="eastAsia" w:ascii="微软雅黑" w:hAnsi="微软雅黑" w:eastAsia="微软雅黑" w:cs="微软雅黑"/>
          <w:color w:val="auto"/>
          <w:szCs w:val="21"/>
          <w:highlight w:val="none"/>
        </w:rPr>
      </w:pPr>
    </w:p>
    <w:p w14:paraId="05CA37AA">
      <w:pPr>
        <w:pStyle w:val="15"/>
        <w:tabs>
          <w:tab w:val="left" w:pos="5580"/>
        </w:tabs>
        <w:spacing w:line="240" w:lineRule="atLeast"/>
        <w:rPr>
          <w:rFonts w:hint="eastAsia" w:ascii="微软雅黑" w:hAnsi="微软雅黑" w:eastAsia="微软雅黑" w:cs="微软雅黑"/>
          <w:color w:val="auto"/>
          <w:szCs w:val="21"/>
          <w:highlight w:val="none"/>
        </w:rPr>
      </w:pPr>
    </w:p>
    <w:p w14:paraId="07942E72">
      <w:pPr>
        <w:pStyle w:val="15"/>
        <w:tabs>
          <w:tab w:val="left" w:pos="5580"/>
        </w:tabs>
        <w:spacing w:line="240" w:lineRule="atLeast"/>
        <w:rPr>
          <w:rFonts w:hint="eastAsia" w:ascii="微软雅黑" w:hAnsi="微软雅黑" w:eastAsia="微软雅黑" w:cs="微软雅黑"/>
          <w:color w:val="auto"/>
          <w:szCs w:val="21"/>
          <w:highlight w:val="none"/>
        </w:rPr>
      </w:pPr>
    </w:p>
    <w:p w14:paraId="6F0EA2E7">
      <w:pPr>
        <w:pStyle w:val="15"/>
        <w:tabs>
          <w:tab w:val="left" w:pos="5580"/>
        </w:tabs>
        <w:spacing w:line="240" w:lineRule="atLeast"/>
        <w:rPr>
          <w:rFonts w:hint="eastAsia" w:ascii="微软雅黑" w:hAnsi="微软雅黑" w:eastAsia="微软雅黑" w:cs="微软雅黑"/>
          <w:color w:val="auto"/>
          <w:szCs w:val="21"/>
          <w:highlight w:val="none"/>
        </w:rPr>
      </w:pPr>
    </w:p>
    <w:p w14:paraId="6C2E3407">
      <w:pPr>
        <w:pStyle w:val="15"/>
        <w:tabs>
          <w:tab w:val="left" w:pos="5580"/>
        </w:tabs>
        <w:spacing w:line="240" w:lineRule="atLeast"/>
        <w:rPr>
          <w:rFonts w:hint="eastAsia" w:ascii="微软雅黑" w:hAnsi="微软雅黑" w:eastAsia="微软雅黑" w:cs="微软雅黑"/>
          <w:color w:val="auto"/>
          <w:szCs w:val="21"/>
          <w:highlight w:val="none"/>
        </w:rPr>
      </w:pPr>
    </w:p>
    <w:p w14:paraId="36A74D17">
      <w:pPr>
        <w:rPr>
          <w:rFonts w:hint="eastAsia" w:ascii="微软雅黑" w:hAnsi="微软雅黑" w:eastAsia="微软雅黑" w:cs="微软雅黑"/>
          <w:b/>
          <w:bCs/>
          <w:color w:val="auto"/>
          <w:sz w:val="24"/>
          <w:szCs w:val="24"/>
          <w:highlight w:val="none"/>
        </w:rPr>
      </w:pPr>
      <w:bookmarkStart w:id="2529" w:name="_Toc30408"/>
      <w:bookmarkStart w:id="2530" w:name="_Toc25918"/>
      <w:bookmarkStart w:id="2531" w:name="_Toc29625"/>
      <w:bookmarkStart w:id="2532" w:name="_Toc21772"/>
      <w:r>
        <w:rPr>
          <w:rFonts w:hint="eastAsia" w:ascii="微软雅黑" w:hAnsi="微软雅黑" w:eastAsia="微软雅黑" w:cs="微软雅黑"/>
          <w:b/>
          <w:bCs/>
          <w:color w:val="auto"/>
          <w:sz w:val="24"/>
          <w:szCs w:val="24"/>
          <w:highlight w:val="none"/>
        </w:rPr>
        <w:br w:type="page"/>
      </w:r>
    </w:p>
    <w:bookmarkEnd w:id="2526"/>
    <w:bookmarkEnd w:id="2527"/>
    <w:bookmarkEnd w:id="2528"/>
    <w:bookmarkEnd w:id="2529"/>
    <w:bookmarkEnd w:id="2530"/>
    <w:bookmarkEnd w:id="2531"/>
    <w:bookmarkEnd w:id="2532"/>
    <w:p w14:paraId="7DA7D056">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533" w:name="_Toc17248"/>
      <w:bookmarkStart w:id="2534" w:name="_Toc31848"/>
      <w:bookmarkStart w:id="2535" w:name="_Toc7083"/>
      <w:bookmarkStart w:id="2536" w:name="_Toc20855"/>
      <w:r>
        <w:rPr>
          <w:rFonts w:hint="eastAsia" w:ascii="微软雅黑" w:hAnsi="微软雅黑" w:eastAsia="微软雅黑" w:cs="微软雅黑"/>
          <w:b/>
          <w:bCs/>
          <w:color w:val="auto"/>
          <w:sz w:val="28"/>
          <w:szCs w:val="28"/>
          <w:highlight w:val="none"/>
          <w:u w:val="none"/>
          <w:lang w:val="en-US" w:eastAsia="zh-CN"/>
        </w:rPr>
        <w:t>1.投标书</w:t>
      </w:r>
      <w:bookmarkEnd w:id="2533"/>
      <w:bookmarkEnd w:id="2534"/>
      <w:bookmarkEnd w:id="2535"/>
      <w:bookmarkEnd w:id="2536"/>
    </w:p>
    <w:p w14:paraId="66C4C185">
      <w:pPr>
        <w:tabs>
          <w:tab w:val="left" w:pos="5580"/>
        </w:tabs>
        <w:spacing w:line="400" w:lineRule="exact"/>
        <w:ind w:left="1080" w:hanging="108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采购人/代理机构</w:t>
      </w:r>
      <w:r>
        <w:rPr>
          <w:rFonts w:hint="eastAsia" w:ascii="微软雅黑" w:hAnsi="微软雅黑" w:eastAsia="微软雅黑" w:cs="微软雅黑"/>
          <w:color w:val="auto"/>
          <w:sz w:val="24"/>
          <w:highlight w:val="none"/>
          <w:lang w:eastAsia="zh-CN"/>
        </w:rPr>
        <w:t>）</w:t>
      </w:r>
    </w:p>
    <w:p w14:paraId="7C7E992A">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14:paraId="74386B62">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根据贵方(</w:t>
      </w:r>
      <w:r>
        <w:rPr>
          <w:rFonts w:hint="eastAsia" w:ascii="微软雅黑" w:hAnsi="微软雅黑" w:eastAsia="微软雅黑" w:cs="微软雅黑"/>
          <w:i/>
          <w:color w:val="auto"/>
          <w:kern w:val="2"/>
          <w:sz w:val="24"/>
          <w:szCs w:val="24"/>
          <w:highlight w:val="none"/>
          <w:u w:val="single"/>
          <w:lang w:val="en-US" w:eastAsia="zh-CN" w:bidi="ar-SA"/>
        </w:rPr>
        <w:t>项目名称</w:t>
      </w:r>
      <w:r>
        <w:rPr>
          <w:rFonts w:hint="eastAsia" w:ascii="微软雅黑" w:hAnsi="微软雅黑" w:eastAsia="微软雅黑" w:cs="微软雅黑"/>
          <w:color w:val="auto"/>
          <w:kern w:val="2"/>
          <w:sz w:val="24"/>
          <w:szCs w:val="24"/>
          <w:highlight w:val="none"/>
          <w:lang w:val="en-US" w:eastAsia="zh-CN" w:bidi="ar-SA"/>
        </w:rPr>
        <w:t>)项目的投标邀请(</w:t>
      </w:r>
      <w:r>
        <w:rPr>
          <w:rFonts w:hint="eastAsia" w:ascii="微软雅黑" w:hAnsi="微软雅黑" w:eastAsia="微软雅黑" w:cs="微软雅黑"/>
          <w:i/>
          <w:color w:val="auto"/>
          <w:kern w:val="2"/>
          <w:sz w:val="24"/>
          <w:szCs w:val="24"/>
          <w:highlight w:val="none"/>
          <w:u w:val="single"/>
          <w:lang w:val="en-US" w:eastAsia="zh-CN" w:bidi="ar-SA"/>
        </w:rPr>
        <w:t>项目编号，</w:t>
      </w:r>
      <w:r>
        <w:rPr>
          <w:rFonts w:hint="eastAsia" w:ascii="微软雅黑" w:hAnsi="微软雅黑" w:eastAsia="微软雅黑" w:cs="微软雅黑"/>
          <w:b w:val="0"/>
          <w:bCs/>
          <w:color w:val="auto"/>
          <w:kern w:val="2"/>
          <w:sz w:val="24"/>
          <w:szCs w:val="20"/>
          <w:highlight w:val="none"/>
          <w:u w:val="single"/>
          <w:lang w:val="en-US" w:eastAsia="zh-CN" w:bidi="ar-SA"/>
        </w:rPr>
        <w:t>标项号</w:t>
      </w:r>
      <w:r>
        <w:rPr>
          <w:rFonts w:hint="eastAsia" w:ascii="微软雅黑" w:hAnsi="微软雅黑" w:eastAsia="微软雅黑" w:cs="微软雅黑"/>
          <w:color w:val="auto"/>
          <w:kern w:val="2"/>
          <w:sz w:val="24"/>
          <w:szCs w:val="24"/>
          <w:highlight w:val="none"/>
          <w:lang w:val="en-US" w:eastAsia="zh-CN" w:bidi="ar-SA"/>
        </w:rPr>
        <w:t>),签字代表(</w:t>
      </w:r>
      <w:r>
        <w:rPr>
          <w:rFonts w:hint="eastAsia" w:ascii="微软雅黑" w:hAnsi="微软雅黑" w:eastAsia="微软雅黑" w:cs="微软雅黑"/>
          <w:i/>
          <w:color w:val="auto"/>
          <w:kern w:val="2"/>
          <w:sz w:val="24"/>
          <w:szCs w:val="24"/>
          <w:highlight w:val="none"/>
          <w:u w:val="single"/>
          <w:lang w:val="en-US" w:eastAsia="zh-CN" w:bidi="ar-SA"/>
        </w:rPr>
        <w:t>姓名、职务</w:t>
      </w:r>
      <w:r>
        <w:rPr>
          <w:rFonts w:hint="eastAsia" w:ascii="微软雅黑" w:hAnsi="微软雅黑" w:eastAsia="微软雅黑" w:cs="微软雅黑"/>
          <w:color w:val="auto"/>
          <w:kern w:val="2"/>
          <w:sz w:val="24"/>
          <w:szCs w:val="24"/>
          <w:highlight w:val="none"/>
          <w:lang w:val="en-US" w:eastAsia="zh-CN" w:bidi="ar-SA"/>
        </w:rPr>
        <w:t>)经正式授权并代表供应商（</w:t>
      </w:r>
      <w:r>
        <w:rPr>
          <w:rFonts w:hint="eastAsia" w:ascii="微软雅黑" w:hAnsi="微软雅黑" w:eastAsia="微软雅黑" w:cs="微软雅黑"/>
          <w:i/>
          <w:color w:val="auto"/>
          <w:kern w:val="2"/>
          <w:sz w:val="24"/>
          <w:szCs w:val="24"/>
          <w:highlight w:val="none"/>
          <w:u w:val="single"/>
          <w:lang w:val="en-US" w:eastAsia="zh-CN" w:bidi="ar-SA"/>
        </w:rPr>
        <w:t>名称、地址</w:t>
      </w:r>
      <w:r>
        <w:rPr>
          <w:rFonts w:hint="eastAsia" w:ascii="微软雅黑" w:hAnsi="微软雅黑" w:eastAsia="微软雅黑" w:cs="微软雅黑"/>
          <w:color w:val="auto"/>
          <w:kern w:val="2"/>
          <w:sz w:val="24"/>
          <w:szCs w:val="24"/>
          <w:highlight w:val="none"/>
          <w:lang w:val="en-US" w:eastAsia="zh-CN" w:bidi="ar-SA"/>
        </w:rPr>
        <w:t>）上传投标文件，并以</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形式出具的金额为人民币</w:t>
      </w:r>
      <w:r>
        <w:rPr>
          <w:rFonts w:hint="eastAsia" w:ascii="微软雅黑" w:hAnsi="微软雅黑" w:eastAsia="微软雅黑" w:cs="微软雅黑"/>
          <w:color w:val="auto"/>
          <w:kern w:val="2"/>
          <w:sz w:val="24"/>
          <w:szCs w:val="24"/>
          <w:highlight w:val="none"/>
          <w:u w:val="single"/>
          <w:lang w:val="en-US" w:eastAsia="zh-CN" w:bidi="ar-SA"/>
        </w:rPr>
        <w:t>　　　　</w:t>
      </w:r>
      <w:r>
        <w:rPr>
          <w:rFonts w:hint="eastAsia" w:ascii="微软雅黑" w:hAnsi="微软雅黑" w:eastAsia="微软雅黑" w:cs="微软雅黑"/>
          <w:color w:val="auto"/>
          <w:kern w:val="2"/>
          <w:sz w:val="24"/>
          <w:szCs w:val="24"/>
          <w:highlight w:val="none"/>
          <w:lang w:val="en-US" w:eastAsia="zh-CN" w:bidi="ar-SA"/>
        </w:rPr>
        <w:t>元的投标保证金。</w:t>
      </w:r>
    </w:p>
    <w:p w14:paraId="6EC16A9F">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据此，签字代表宣布同意如下：</w:t>
      </w:r>
    </w:p>
    <w:p w14:paraId="7F14381A">
      <w:pPr>
        <w:pageBreakBefore w:val="0"/>
        <w:widowControl w:val="0"/>
        <w:tabs>
          <w:tab w:val="left" w:pos="720"/>
          <w:tab w:val="left" w:pos="90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（1）附投标价格表中规定的应提供服务的投标总价详见开标一览表，</w:t>
      </w:r>
      <w:r>
        <w:rPr>
          <w:rFonts w:hint="eastAsia" w:ascii="微软雅黑" w:hAnsi="微软雅黑" w:eastAsia="微软雅黑" w:cs="微软雅黑"/>
          <w:color w:val="auto"/>
          <w:kern w:val="2"/>
          <w:sz w:val="24"/>
          <w:szCs w:val="24"/>
          <w:highlight w:val="none"/>
          <w:u w:val="none"/>
          <w:lang w:val="en-US" w:eastAsia="zh-CN" w:bidi="ar-SA"/>
        </w:rPr>
        <w:t>其中由</w:t>
      </w:r>
      <w:r>
        <w:rPr>
          <w:rFonts w:hint="eastAsia" w:ascii="微软雅黑" w:hAnsi="微软雅黑" w:eastAsia="微软雅黑" w:cs="微软雅黑"/>
          <w:color w:val="auto"/>
          <w:kern w:val="2"/>
          <w:sz w:val="24"/>
          <w:szCs w:val="24"/>
          <w:highlight w:val="none"/>
          <w:u w:val="single"/>
          <w:lang w:val="en-US" w:eastAsia="zh-CN" w:bidi="ar-SA"/>
        </w:rPr>
        <w:t>小型和微型企业</w:t>
      </w:r>
      <w:r>
        <w:rPr>
          <w:rFonts w:hint="eastAsia" w:ascii="微软雅黑" w:hAnsi="微软雅黑" w:eastAsia="微软雅黑" w:cs="微软雅黑"/>
          <w:color w:val="auto"/>
          <w:kern w:val="2"/>
          <w:sz w:val="24"/>
          <w:szCs w:val="24"/>
          <w:highlight w:val="none"/>
          <w:lang w:val="en-US" w:eastAsia="zh-CN" w:bidi="ar-SA"/>
        </w:rPr>
        <w:t>承接服务的价格为</w:t>
      </w:r>
      <w:r>
        <w:rPr>
          <w:rFonts w:hint="eastAsia" w:ascii="微软雅黑" w:hAnsi="微软雅黑" w:eastAsia="微软雅黑" w:cs="微软雅黑"/>
          <w:color w:val="auto"/>
          <w:kern w:val="2"/>
          <w:sz w:val="24"/>
          <w:szCs w:val="24"/>
          <w:highlight w:val="none"/>
          <w:u w:val="single"/>
          <w:lang w:val="en-US" w:eastAsia="zh-CN" w:bidi="ar-SA"/>
        </w:rPr>
        <w:t>　　  （用文字和数字表示），占投标总价   %</w:t>
      </w:r>
      <w:r>
        <w:rPr>
          <w:rFonts w:hint="eastAsia" w:ascii="微软雅黑" w:hAnsi="微软雅黑" w:eastAsia="微软雅黑" w:cs="微软雅黑"/>
          <w:color w:val="auto"/>
          <w:kern w:val="2"/>
          <w:sz w:val="24"/>
          <w:szCs w:val="24"/>
          <w:highlight w:val="none"/>
          <w:lang w:val="en-US" w:eastAsia="zh-CN" w:bidi="ar-SA"/>
        </w:rPr>
        <w:t>。</w:t>
      </w:r>
    </w:p>
    <w:p w14:paraId="6D43111E">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（2）本投标有效期为自投标截止之日起</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个日历日。</w:t>
      </w:r>
    </w:p>
    <w:p w14:paraId="679ED362">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（3）联合体中的大中型企业和其他自然人、法人或者非法人组织，与联合体中的小型、微型企业之间</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存在、不存在）投资关系（如果是联合体的话）。</w:t>
      </w:r>
    </w:p>
    <w:p w14:paraId="79DB8768">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（4）已详细审查全部招标文件，包括所有补充通知（如果有的话），完全理解并同意放弃对这方面有不明、误解和质疑的权力。</w:t>
      </w:r>
    </w:p>
    <w:p w14:paraId="59B2FC37">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（5）在规定的开标时间后，遵守招标文件中有关保证金的规定。</w:t>
      </w:r>
    </w:p>
    <w:p w14:paraId="0BBE4D3B">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（6）我方不是为本项目提供整体设计、规范编制或者项目管理、监理、检测等服务的供应商，我方不是采购代理机构的附属机构。</w:t>
      </w:r>
    </w:p>
    <w:p w14:paraId="7CC7B209">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（7）按照贵方可能要求，提供与其投标有关的一切数据或资料，完全理解贵方不一定接受最低价的投标或收到的任何投标。</w:t>
      </w:r>
    </w:p>
    <w:p w14:paraId="4844E2F4">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（8）按照招标文件的规定履行合同责任和义务。</w:t>
      </w:r>
    </w:p>
    <w:p w14:paraId="59EF6BF7">
      <w:pPr>
        <w:pStyle w:val="15"/>
        <w:tabs>
          <w:tab w:val="left" w:pos="5580"/>
        </w:tabs>
        <w:spacing w:line="400" w:lineRule="exac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14:paraId="39239D1D">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36C5C873">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14:paraId="108ADB7A">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lang w:val="en-US" w:eastAsia="zh-CN"/>
        </w:rPr>
        <w:t>或委托代理人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szCs w:val="24"/>
          <w:highlight w:val="none"/>
          <w:u w:val="single"/>
        </w:rPr>
        <w:t xml:space="preserve">       </w:t>
      </w:r>
    </w:p>
    <w:p w14:paraId="7F6EEEFB">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 xml:space="preserve">               </w:t>
      </w:r>
    </w:p>
    <w:p w14:paraId="3C82D206">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14:paraId="2915EEEE">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14:paraId="49564AF5">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期</w:t>
      </w:r>
      <w:r>
        <w:rPr>
          <w:rFonts w:hint="eastAsia" w:ascii="微软雅黑" w:hAnsi="微软雅黑" w:eastAsia="微软雅黑" w:cs="微软雅黑"/>
          <w:color w:val="auto"/>
          <w:sz w:val="24"/>
          <w:szCs w:val="24"/>
          <w:highlight w:val="none"/>
          <w:u w:val="single"/>
        </w:rPr>
        <w:t xml:space="preserve">                </w:t>
      </w:r>
      <w:bookmarkStart w:id="2537" w:name="_Toc1266"/>
      <w:bookmarkStart w:id="2538" w:name="_Toc19819"/>
      <w:bookmarkStart w:id="2539" w:name="_Toc6738"/>
      <w:bookmarkStart w:id="2540" w:name="_Toc23473"/>
      <w:bookmarkStart w:id="2541" w:name="_Toc30947"/>
      <w:bookmarkStart w:id="2542" w:name="_Toc14219"/>
    </w:p>
    <w:p w14:paraId="6299F09C">
      <w:pPr>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br w:type="page"/>
      </w:r>
    </w:p>
    <w:bookmarkEnd w:id="2537"/>
    <w:bookmarkEnd w:id="2538"/>
    <w:bookmarkEnd w:id="2539"/>
    <w:bookmarkEnd w:id="2540"/>
    <w:bookmarkEnd w:id="2541"/>
    <w:bookmarkEnd w:id="2542"/>
    <w:p w14:paraId="4790756C">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543" w:name="_Toc18970"/>
      <w:bookmarkStart w:id="2544" w:name="_Toc11299"/>
      <w:bookmarkStart w:id="2545" w:name="_Toc25752"/>
      <w:bookmarkStart w:id="2546" w:name="_Toc19261"/>
      <w:bookmarkStart w:id="2547" w:name="_Toc22563"/>
      <w:bookmarkStart w:id="2548" w:name="_Toc515647820"/>
      <w:bookmarkStart w:id="2549" w:name="_Toc28959"/>
      <w:bookmarkStart w:id="2550" w:name="_Toc216582817"/>
      <w:r>
        <w:rPr>
          <w:rFonts w:hint="eastAsia" w:ascii="微软雅黑" w:hAnsi="微软雅黑" w:eastAsia="微软雅黑" w:cs="微软雅黑"/>
          <w:b/>
          <w:bCs/>
          <w:color w:val="auto"/>
          <w:sz w:val="28"/>
          <w:szCs w:val="28"/>
          <w:highlight w:val="none"/>
          <w:u w:val="none"/>
          <w:lang w:val="en-US" w:eastAsia="zh-CN"/>
        </w:rPr>
        <w:t>2.投标分项报价表</w:t>
      </w:r>
      <w:bookmarkEnd w:id="2543"/>
      <w:bookmarkEnd w:id="2544"/>
      <w:bookmarkEnd w:id="2545"/>
      <w:bookmarkEnd w:id="2546"/>
    </w:p>
    <w:p w14:paraId="63A9CD53">
      <w:pPr>
        <w:pStyle w:val="15"/>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项目名称:                      项目编号:                       　 　          报价单位：人民币</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
          <w:bCs/>
          <w:color w:val="auto"/>
          <w:sz w:val="24"/>
          <w:szCs w:val="24"/>
          <w:highlight w:val="none"/>
        </w:rPr>
        <w:t>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 xml:space="preserve">         标项：</w:t>
      </w:r>
    </w:p>
    <w:tbl>
      <w:tblPr>
        <w:tblStyle w:val="29"/>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214"/>
        <w:gridCol w:w="1214"/>
        <w:gridCol w:w="1214"/>
        <w:gridCol w:w="1214"/>
        <w:gridCol w:w="1214"/>
        <w:gridCol w:w="755"/>
        <w:gridCol w:w="759"/>
        <w:gridCol w:w="758"/>
      </w:tblGrid>
      <w:tr w14:paraId="5F11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55" w:type="dxa"/>
            <w:noWrap w:val="0"/>
            <w:vAlign w:val="center"/>
          </w:tcPr>
          <w:p w14:paraId="24CB79D9">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val="en-US" w:eastAsia="zh-CN"/>
              </w:rPr>
              <w:t>序号</w:t>
            </w:r>
          </w:p>
        </w:tc>
        <w:tc>
          <w:tcPr>
            <w:tcW w:w="1214" w:type="dxa"/>
            <w:noWrap w:val="0"/>
            <w:vAlign w:val="center"/>
          </w:tcPr>
          <w:p w14:paraId="3C08618F">
            <w:pPr>
              <w:spacing w:line="360" w:lineRule="auto"/>
              <w:jc w:val="center"/>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标的名称</w:t>
            </w:r>
          </w:p>
        </w:tc>
        <w:tc>
          <w:tcPr>
            <w:tcW w:w="1214" w:type="dxa"/>
            <w:noWrap w:val="0"/>
            <w:vAlign w:val="center"/>
          </w:tcPr>
          <w:p w14:paraId="1A3C2F89">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服务范围</w:t>
            </w:r>
          </w:p>
        </w:tc>
        <w:tc>
          <w:tcPr>
            <w:tcW w:w="1214" w:type="dxa"/>
            <w:noWrap w:val="0"/>
            <w:vAlign w:val="center"/>
          </w:tcPr>
          <w:p w14:paraId="28F49D60">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服务要求</w:t>
            </w:r>
          </w:p>
        </w:tc>
        <w:tc>
          <w:tcPr>
            <w:tcW w:w="1214" w:type="dxa"/>
            <w:noWrap w:val="0"/>
            <w:vAlign w:val="center"/>
          </w:tcPr>
          <w:p w14:paraId="595BD2F1">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lang w:val="en-US" w:eastAsia="zh-CN"/>
              </w:rPr>
              <w:t>服务</w:t>
            </w:r>
            <w:r>
              <w:rPr>
                <w:rFonts w:hint="eastAsia" w:ascii="微软雅黑" w:hAnsi="微软雅黑" w:eastAsia="微软雅黑" w:cs="微软雅黑"/>
                <w:color w:val="000000"/>
                <w:sz w:val="24"/>
                <w:highlight w:val="none"/>
              </w:rPr>
              <w:t>时间</w:t>
            </w:r>
          </w:p>
        </w:tc>
        <w:tc>
          <w:tcPr>
            <w:tcW w:w="1214" w:type="dxa"/>
            <w:noWrap w:val="0"/>
            <w:vAlign w:val="center"/>
          </w:tcPr>
          <w:p w14:paraId="17A712B0">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lang w:val="en-US" w:eastAsia="zh-CN"/>
              </w:rPr>
              <w:t>数量</w:t>
            </w:r>
          </w:p>
        </w:tc>
        <w:tc>
          <w:tcPr>
            <w:tcW w:w="755" w:type="dxa"/>
            <w:noWrap w:val="0"/>
            <w:vAlign w:val="center"/>
          </w:tcPr>
          <w:p w14:paraId="707F010A">
            <w:pPr>
              <w:spacing w:line="360" w:lineRule="auto"/>
              <w:jc w:val="center"/>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rPr>
              <w:t>单价</w:t>
            </w:r>
          </w:p>
        </w:tc>
        <w:tc>
          <w:tcPr>
            <w:tcW w:w="759" w:type="dxa"/>
            <w:shd w:val="clear" w:color="auto" w:fill="auto"/>
            <w:noWrap w:val="0"/>
            <w:vAlign w:val="center"/>
          </w:tcPr>
          <w:p w14:paraId="7BE612B9">
            <w:pPr>
              <w:spacing w:line="360" w:lineRule="auto"/>
              <w:jc w:val="center"/>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sz w:val="24"/>
                <w:highlight w:val="none"/>
                <w:lang w:val="en-US" w:eastAsia="zh-CN"/>
              </w:rPr>
              <w:t>总</w:t>
            </w:r>
            <w:r>
              <w:rPr>
                <w:rFonts w:hint="eastAsia" w:ascii="微软雅黑" w:hAnsi="微软雅黑" w:eastAsia="微软雅黑" w:cs="微软雅黑"/>
                <w:color w:val="000000"/>
                <w:sz w:val="24"/>
                <w:highlight w:val="none"/>
              </w:rPr>
              <w:t>价</w:t>
            </w:r>
          </w:p>
        </w:tc>
        <w:tc>
          <w:tcPr>
            <w:tcW w:w="758" w:type="dxa"/>
            <w:shd w:val="clear" w:color="auto" w:fill="auto"/>
            <w:noWrap w:val="0"/>
            <w:vAlign w:val="center"/>
          </w:tcPr>
          <w:p w14:paraId="20F5FEAA">
            <w:pPr>
              <w:spacing w:line="360" w:lineRule="auto"/>
              <w:jc w:val="center"/>
              <w:rPr>
                <w:rFonts w:hint="eastAsia" w:ascii="微软雅黑" w:hAnsi="微软雅黑" w:eastAsia="微软雅黑" w:cs="微软雅黑"/>
                <w:color w:val="000000"/>
                <w:kern w:val="2"/>
                <w:sz w:val="24"/>
                <w:szCs w:val="24"/>
                <w:highlight w:val="none"/>
                <w:lang w:val="en-US" w:eastAsia="zh-CN" w:bidi="ar-SA"/>
              </w:rPr>
            </w:pPr>
            <w:r>
              <w:rPr>
                <w:rFonts w:hint="eastAsia" w:ascii="微软雅黑" w:hAnsi="微软雅黑" w:eastAsia="微软雅黑" w:cs="微软雅黑"/>
                <w:color w:val="000000"/>
                <w:sz w:val="24"/>
                <w:highlight w:val="none"/>
              </w:rPr>
              <w:t>备注</w:t>
            </w:r>
          </w:p>
        </w:tc>
      </w:tr>
      <w:tr w14:paraId="4ACF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5" w:type="dxa"/>
            <w:noWrap w:val="0"/>
            <w:vAlign w:val="center"/>
          </w:tcPr>
          <w:p w14:paraId="321265C7">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val="en-US" w:eastAsia="zh-CN"/>
              </w:rPr>
              <w:t>1</w:t>
            </w:r>
          </w:p>
        </w:tc>
        <w:tc>
          <w:tcPr>
            <w:tcW w:w="1214" w:type="dxa"/>
            <w:noWrap w:val="0"/>
            <w:vAlign w:val="center"/>
          </w:tcPr>
          <w:p w14:paraId="4373E7BD">
            <w:pPr>
              <w:spacing w:line="360" w:lineRule="auto"/>
              <w:jc w:val="center"/>
              <w:rPr>
                <w:rFonts w:hint="eastAsia" w:ascii="微软雅黑" w:hAnsi="微软雅黑" w:eastAsia="微软雅黑" w:cs="微软雅黑"/>
                <w:color w:val="000000"/>
                <w:sz w:val="24"/>
                <w:highlight w:val="none"/>
                <w:lang w:val="en-US" w:eastAsia="zh-CN"/>
              </w:rPr>
            </w:pPr>
          </w:p>
        </w:tc>
        <w:tc>
          <w:tcPr>
            <w:tcW w:w="1214" w:type="dxa"/>
            <w:noWrap w:val="0"/>
            <w:vAlign w:val="center"/>
          </w:tcPr>
          <w:p w14:paraId="6B1EDCBF">
            <w:pPr>
              <w:spacing w:line="360" w:lineRule="auto"/>
              <w:jc w:val="center"/>
              <w:rPr>
                <w:rFonts w:hint="eastAsia" w:ascii="微软雅黑" w:hAnsi="微软雅黑" w:eastAsia="微软雅黑" w:cs="微软雅黑"/>
                <w:color w:val="000000"/>
                <w:sz w:val="24"/>
                <w:highlight w:val="none"/>
                <w:lang w:val="en-US" w:eastAsia="zh-CN"/>
              </w:rPr>
            </w:pPr>
          </w:p>
        </w:tc>
        <w:tc>
          <w:tcPr>
            <w:tcW w:w="1214" w:type="dxa"/>
            <w:noWrap w:val="0"/>
            <w:vAlign w:val="center"/>
          </w:tcPr>
          <w:p w14:paraId="6B06A367">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2B9331CC">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6B0F5DAC">
            <w:pPr>
              <w:spacing w:line="360" w:lineRule="auto"/>
              <w:jc w:val="center"/>
              <w:rPr>
                <w:rFonts w:hint="eastAsia" w:ascii="微软雅黑" w:hAnsi="微软雅黑" w:eastAsia="微软雅黑" w:cs="微软雅黑"/>
                <w:color w:val="000000"/>
                <w:sz w:val="24"/>
                <w:highlight w:val="none"/>
              </w:rPr>
            </w:pPr>
          </w:p>
        </w:tc>
        <w:tc>
          <w:tcPr>
            <w:tcW w:w="755" w:type="dxa"/>
            <w:noWrap w:val="0"/>
            <w:vAlign w:val="center"/>
          </w:tcPr>
          <w:p w14:paraId="434FBE70">
            <w:pPr>
              <w:spacing w:line="360" w:lineRule="auto"/>
              <w:jc w:val="center"/>
              <w:rPr>
                <w:rFonts w:hint="eastAsia" w:ascii="微软雅黑" w:hAnsi="微软雅黑" w:eastAsia="微软雅黑" w:cs="微软雅黑"/>
                <w:color w:val="000000"/>
                <w:sz w:val="24"/>
                <w:highlight w:val="none"/>
              </w:rPr>
            </w:pPr>
          </w:p>
        </w:tc>
        <w:tc>
          <w:tcPr>
            <w:tcW w:w="759" w:type="dxa"/>
            <w:noWrap w:val="0"/>
            <w:vAlign w:val="center"/>
          </w:tcPr>
          <w:p w14:paraId="0BF35B8C">
            <w:pPr>
              <w:spacing w:line="360" w:lineRule="auto"/>
              <w:jc w:val="center"/>
              <w:rPr>
                <w:rFonts w:hint="eastAsia" w:ascii="微软雅黑" w:hAnsi="微软雅黑" w:eastAsia="微软雅黑" w:cs="微软雅黑"/>
                <w:color w:val="000000"/>
                <w:sz w:val="24"/>
                <w:highlight w:val="none"/>
              </w:rPr>
            </w:pPr>
          </w:p>
        </w:tc>
        <w:tc>
          <w:tcPr>
            <w:tcW w:w="758" w:type="dxa"/>
            <w:noWrap w:val="0"/>
            <w:vAlign w:val="center"/>
          </w:tcPr>
          <w:p w14:paraId="38B02872">
            <w:pPr>
              <w:spacing w:line="360" w:lineRule="auto"/>
              <w:jc w:val="center"/>
              <w:rPr>
                <w:rFonts w:hint="eastAsia" w:ascii="微软雅黑" w:hAnsi="微软雅黑" w:eastAsia="微软雅黑" w:cs="微软雅黑"/>
                <w:color w:val="000000"/>
                <w:sz w:val="24"/>
                <w:highlight w:val="none"/>
                <w:lang w:val="en-US"/>
              </w:rPr>
            </w:pPr>
          </w:p>
        </w:tc>
      </w:tr>
      <w:tr w14:paraId="4952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5" w:type="dxa"/>
            <w:noWrap w:val="0"/>
            <w:vAlign w:val="center"/>
          </w:tcPr>
          <w:p w14:paraId="6D1D17ED">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val="en-US" w:eastAsia="zh-CN"/>
              </w:rPr>
              <w:t>2</w:t>
            </w:r>
          </w:p>
        </w:tc>
        <w:tc>
          <w:tcPr>
            <w:tcW w:w="1214" w:type="dxa"/>
            <w:noWrap w:val="0"/>
            <w:vAlign w:val="center"/>
          </w:tcPr>
          <w:p w14:paraId="193D20E5">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298F1DA7">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540EC204">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3EF0C4AC">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68CA27BF">
            <w:pPr>
              <w:spacing w:line="360" w:lineRule="auto"/>
              <w:jc w:val="center"/>
              <w:rPr>
                <w:rFonts w:hint="eastAsia" w:ascii="微软雅黑" w:hAnsi="微软雅黑" w:eastAsia="微软雅黑" w:cs="微软雅黑"/>
                <w:color w:val="000000"/>
                <w:sz w:val="24"/>
                <w:highlight w:val="none"/>
              </w:rPr>
            </w:pPr>
          </w:p>
        </w:tc>
        <w:tc>
          <w:tcPr>
            <w:tcW w:w="755" w:type="dxa"/>
            <w:noWrap w:val="0"/>
            <w:vAlign w:val="center"/>
          </w:tcPr>
          <w:p w14:paraId="3726FE01">
            <w:pPr>
              <w:spacing w:line="360" w:lineRule="auto"/>
              <w:jc w:val="center"/>
              <w:rPr>
                <w:rFonts w:hint="eastAsia" w:ascii="微软雅黑" w:hAnsi="微软雅黑" w:eastAsia="微软雅黑" w:cs="微软雅黑"/>
                <w:color w:val="000000"/>
                <w:sz w:val="24"/>
                <w:highlight w:val="none"/>
              </w:rPr>
            </w:pPr>
          </w:p>
        </w:tc>
        <w:tc>
          <w:tcPr>
            <w:tcW w:w="759" w:type="dxa"/>
            <w:noWrap w:val="0"/>
            <w:vAlign w:val="center"/>
          </w:tcPr>
          <w:p w14:paraId="50494E8C">
            <w:pPr>
              <w:spacing w:line="360" w:lineRule="auto"/>
              <w:jc w:val="center"/>
              <w:rPr>
                <w:rFonts w:hint="eastAsia" w:ascii="微软雅黑" w:hAnsi="微软雅黑" w:eastAsia="微软雅黑" w:cs="微软雅黑"/>
                <w:color w:val="000000"/>
                <w:sz w:val="24"/>
                <w:highlight w:val="none"/>
              </w:rPr>
            </w:pPr>
          </w:p>
        </w:tc>
        <w:tc>
          <w:tcPr>
            <w:tcW w:w="758" w:type="dxa"/>
            <w:noWrap w:val="0"/>
            <w:vAlign w:val="center"/>
          </w:tcPr>
          <w:p w14:paraId="00A33349">
            <w:pPr>
              <w:spacing w:line="360" w:lineRule="auto"/>
              <w:jc w:val="center"/>
              <w:rPr>
                <w:rFonts w:hint="eastAsia" w:ascii="微软雅黑" w:hAnsi="微软雅黑" w:eastAsia="微软雅黑" w:cs="微软雅黑"/>
                <w:color w:val="000000"/>
                <w:sz w:val="24"/>
                <w:highlight w:val="none"/>
              </w:rPr>
            </w:pPr>
          </w:p>
        </w:tc>
      </w:tr>
      <w:tr w14:paraId="1B6C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5" w:type="dxa"/>
            <w:noWrap w:val="0"/>
            <w:vAlign w:val="center"/>
          </w:tcPr>
          <w:p w14:paraId="608DB236">
            <w:pPr>
              <w:spacing w:line="360" w:lineRule="auto"/>
              <w:jc w:val="center"/>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3</w:t>
            </w:r>
          </w:p>
        </w:tc>
        <w:tc>
          <w:tcPr>
            <w:tcW w:w="1214" w:type="dxa"/>
            <w:noWrap w:val="0"/>
            <w:vAlign w:val="center"/>
          </w:tcPr>
          <w:p w14:paraId="4620764E">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3A7A4065">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2E486BE7">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0E46E85F">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31A9935B">
            <w:pPr>
              <w:spacing w:line="360" w:lineRule="auto"/>
              <w:jc w:val="center"/>
              <w:rPr>
                <w:rFonts w:hint="eastAsia" w:ascii="微软雅黑" w:hAnsi="微软雅黑" w:eastAsia="微软雅黑" w:cs="微软雅黑"/>
                <w:color w:val="000000"/>
                <w:sz w:val="24"/>
                <w:highlight w:val="none"/>
              </w:rPr>
            </w:pPr>
          </w:p>
        </w:tc>
        <w:tc>
          <w:tcPr>
            <w:tcW w:w="755" w:type="dxa"/>
            <w:noWrap w:val="0"/>
            <w:vAlign w:val="center"/>
          </w:tcPr>
          <w:p w14:paraId="1D96B661">
            <w:pPr>
              <w:spacing w:line="360" w:lineRule="auto"/>
              <w:jc w:val="center"/>
              <w:rPr>
                <w:rFonts w:hint="eastAsia" w:ascii="微软雅黑" w:hAnsi="微软雅黑" w:eastAsia="微软雅黑" w:cs="微软雅黑"/>
                <w:color w:val="000000"/>
                <w:sz w:val="24"/>
                <w:highlight w:val="none"/>
              </w:rPr>
            </w:pPr>
          </w:p>
        </w:tc>
        <w:tc>
          <w:tcPr>
            <w:tcW w:w="759" w:type="dxa"/>
            <w:noWrap w:val="0"/>
            <w:vAlign w:val="center"/>
          </w:tcPr>
          <w:p w14:paraId="3ACD714F">
            <w:pPr>
              <w:spacing w:line="360" w:lineRule="auto"/>
              <w:jc w:val="center"/>
              <w:rPr>
                <w:rFonts w:hint="eastAsia" w:ascii="微软雅黑" w:hAnsi="微软雅黑" w:eastAsia="微软雅黑" w:cs="微软雅黑"/>
                <w:color w:val="000000"/>
                <w:sz w:val="24"/>
                <w:highlight w:val="none"/>
              </w:rPr>
            </w:pPr>
          </w:p>
        </w:tc>
        <w:tc>
          <w:tcPr>
            <w:tcW w:w="758" w:type="dxa"/>
            <w:noWrap w:val="0"/>
            <w:vAlign w:val="center"/>
          </w:tcPr>
          <w:p w14:paraId="30DC8BC1">
            <w:pPr>
              <w:spacing w:line="360" w:lineRule="auto"/>
              <w:jc w:val="center"/>
              <w:rPr>
                <w:rFonts w:hint="eastAsia" w:ascii="微软雅黑" w:hAnsi="微软雅黑" w:eastAsia="微软雅黑" w:cs="微软雅黑"/>
                <w:color w:val="000000"/>
                <w:sz w:val="24"/>
                <w:highlight w:val="none"/>
              </w:rPr>
            </w:pPr>
          </w:p>
        </w:tc>
      </w:tr>
      <w:tr w14:paraId="6B7E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55" w:type="dxa"/>
            <w:noWrap w:val="0"/>
            <w:vAlign w:val="center"/>
          </w:tcPr>
          <w:p w14:paraId="3C6FFB3D">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val="en-US" w:eastAsia="zh-CN"/>
              </w:rPr>
              <w:t>4</w:t>
            </w:r>
          </w:p>
        </w:tc>
        <w:tc>
          <w:tcPr>
            <w:tcW w:w="1214" w:type="dxa"/>
            <w:noWrap w:val="0"/>
            <w:vAlign w:val="center"/>
          </w:tcPr>
          <w:p w14:paraId="79C66C9A">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4A353C65">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4A168613">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116D4A54">
            <w:pPr>
              <w:spacing w:line="360" w:lineRule="auto"/>
              <w:jc w:val="center"/>
              <w:rPr>
                <w:rFonts w:hint="eastAsia" w:ascii="微软雅黑" w:hAnsi="微软雅黑" w:eastAsia="微软雅黑" w:cs="微软雅黑"/>
                <w:color w:val="000000"/>
                <w:sz w:val="24"/>
                <w:highlight w:val="none"/>
              </w:rPr>
            </w:pPr>
          </w:p>
        </w:tc>
        <w:tc>
          <w:tcPr>
            <w:tcW w:w="1214" w:type="dxa"/>
            <w:noWrap w:val="0"/>
            <w:vAlign w:val="center"/>
          </w:tcPr>
          <w:p w14:paraId="2193ED20">
            <w:pPr>
              <w:spacing w:line="360" w:lineRule="auto"/>
              <w:jc w:val="center"/>
              <w:rPr>
                <w:rFonts w:hint="eastAsia" w:ascii="微软雅黑" w:hAnsi="微软雅黑" w:eastAsia="微软雅黑" w:cs="微软雅黑"/>
                <w:color w:val="000000"/>
                <w:sz w:val="24"/>
                <w:highlight w:val="none"/>
              </w:rPr>
            </w:pPr>
          </w:p>
        </w:tc>
        <w:tc>
          <w:tcPr>
            <w:tcW w:w="755" w:type="dxa"/>
            <w:noWrap w:val="0"/>
            <w:vAlign w:val="center"/>
          </w:tcPr>
          <w:p w14:paraId="0AA1F8D8">
            <w:pPr>
              <w:spacing w:line="360" w:lineRule="auto"/>
              <w:jc w:val="center"/>
              <w:rPr>
                <w:rFonts w:hint="eastAsia" w:ascii="微软雅黑" w:hAnsi="微软雅黑" w:eastAsia="微软雅黑" w:cs="微软雅黑"/>
                <w:color w:val="000000"/>
                <w:sz w:val="24"/>
                <w:highlight w:val="none"/>
              </w:rPr>
            </w:pPr>
          </w:p>
        </w:tc>
        <w:tc>
          <w:tcPr>
            <w:tcW w:w="759" w:type="dxa"/>
            <w:noWrap w:val="0"/>
            <w:vAlign w:val="center"/>
          </w:tcPr>
          <w:p w14:paraId="59BFEC14">
            <w:pPr>
              <w:spacing w:line="360" w:lineRule="auto"/>
              <w:jc w:val="center"/>
              <w:rPr>
                <w:rFonts w:hint="eastAsia" w:ascii="微软雅黑" w:hAnsi="微软雅黑" w:eastAsia="微软雅黑" w:cs="微软雅黑"/>
                <w:color w:val="000000"/>
                <w:sz w:val="24"/>
                <w:highlight w:val="none"/>
              </w:rPr>
            </w:pPr>
          </w:p>
        </w:tc>
        <w:tc>
          <w:tcPr>
            <w:tcW w:w="758" w:type="dxa"/>
            <w:noWrap w:val="0"/>
            <w:vAlign w:val="center"/>
          </w:tcPr>
          <w:p w14:paraId="02CAE88E">
            <w:pPr>
              <w:spacing w:line="360" w:lineRule="auto"/>
              <w:jc w:val="center"/>
              <w:rPr>
                <w:rFonts w:hint="eastAsia" w:ascii="微软雅黑" w:hAnsi="微软雅黑" w:eastAsia="微软雅黑" w:cs="微软雅黑"/>
                <w:color w:val="000000"/>
                <w:sz w:val="24"/>
                <w:highlight w:val="none"/>
              </w:rPr>
            </w:pPr>
          </w:p>
        </w:tc>
      </w:tr>
      <w:tr w14:paraId="610B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339" w:type="dxa"/>
            <w:gridSpan w:val="8"/>
            <w:noWrap w:val="0"/>
            <w:vAlign w:val="center"/>
          </w:tcPr>
          <w:p w14:paraId="6C7804C8">
            <w:pPr>
              <w:spacing w:line="360" w:lineRule="auto"/>
              <w:jc w:val="center"/>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总价（元）</w:t>
            </w:r>
          </w:p>
        </w:tc>
        <w:tc>
          <w:tcPr>
            <w:tcW w:w="758" w:type="dxa"/>
            <w:noWrap w:val="0"/>
            <w:vAlign w:val="center"/>
          </w:tcPr>
          <w:p w14:paraId="2FAB8123">
            <w:pPr>
              <w:spacing w:line="360" w:lineRule="auto"/>
              <w:jc w:val="center"/>
              <w:rPr>
                <w:rFonts w:hint="eastAsia" w:ascii="微软雅黑" w:hAnsi="微软雅黑" w:eastAsia="微软雅黑" w:cs="微软雅黑"/>
                <w:color w:val="000000"/>
                <w:sz w:val="24"/>
                <w:highlight w:val="none"/>
                <w:lang w:val="en-US" w:eastAsia="zh-CN"/>
              </w:rPr>
            </w:pPr>
          </w:p>
        </w:tc>
      </w:tr>
      <w:tr w14:paraId="0C0F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339" w:type="dxa"/>
            <w:gridSpan w:val="8"/>
            <w:noWrap w:val="0"/>
            <w:vAlign w:val="center"/>
          </w:tcPr>
          <w:p w14:paraId="237A3735">
            <w:pPr>
              <w:spacing w:line="360" w:lineRule="auto"/>
              <w:jc w:val="center"/>
              <w:rPr>
                <w:rFonts w:hint="eastAsia" w:ascii="微软雅黑" w:hAnsi="微软雅黑" w:eastAsia="微软雅黑" w:cs="微软雅黑"/>
                <w:color w:val="000000"/>
                <w:sz w:val="24"/>
                <w:highlight w:val="none"/>
                <w:lang w:val="en-US" w:eastAsia="zh-CN"/>
              </w:rPr>
            </w:pPr>
          </w:p>
        </w:tc>
        <w:tc>
          <w:tcPr>
            <w:tcW w:w="758" w:type="dxa"/>
            <w:noWrap w:val="0"/>
            <w:vAlign w:val="center"/>
          </w:tcPr>
          <w:p w14:paraId="2C4636B2">
            <w:pPr>
              <w:spacing w:line="360" w:lineRule="auto"/>
              <w:jc w:val="center"/>
              <w:rPr>
                <w:rFonts w:hint="eastAsia" w:ascii="微软雅黑" w:hAnsi="微软雅黑" w:eastAsia="微软雅黑" w:cs="微软雅黑"/>
                <w:color w:val="000000"/>
                <w:sz w:val="24"/>
                <w:highlight w:val="none"/>
                <w:lang w:val="en-US" w:eastAsia="zh-CN"/>
              </w:rPr>
            </w:pPr>
          </w:p>
        </w:tc>
      </w:tr>
    </w:tbl>
    <w:p w14:paraId="5750BD5F">
      <w:pPr>
        <w:rPr>
          <w:highlight w:val="none"/>
        </w:rPr>
      </w:pPr>
    </w:p>
    <w:p w14:paraId="27CD4BEA">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096C6CA6">
      <w:pPr>
        <w:pStyle w:val="7"/>
        <w:spacing w:line="360" w:lineRule="exact"/>
        <w:ind w:firstLine="0"/>
        <w:rPr>
          <w:rFonts w:hint="eastAsia" w:ascii="微软雅黑" w:hAnsi="微软雅黑" w:eastAsia="微软雅黑" w:cs="微软雅黑"/>
          <w:color w:val="auto"/>
          <w:kern w:val="2"/>
          <w:sz w:val="24"/>
          <w:szCs w:val="24"/>
          <w:highlight w:val="none"/>
          <w:u w:val="single"/>
        </w:rPr>
      </w:pPr>
      <w:r>
        <w:rPr>
          <w:rFonts w:hint="eastAsia" w:ascii="微软雅黑" w:hAnsi="微软雅黑" w:eastAsia="微软雅黑" w:cs="微软雅黑"/>
          <w:color w:val="auto"/>
          <w:kern w:val="2"/>
          <w:sz w:val="24"/>
          <w:szCs w:val="24"/>
          <w:highlight w:val="none"/>
          <w:lang w:eastAsia="zh-CN"/>
        </w:rPr>
        <w:t>供应商</w:t>
      </w:r>
      <w:r>
        <w:rPr>
          <w:rFonts w:hint="eastAsia" w:ascii="微软雅黑" w:hAnsi="微软雅黑" w:eastAsia="微软雅黑" w:cs="微软雅黑"/>
          <w:color w:val="auto"/>
          <w:kern w:val="2"/>
          <w:sz w:val="24"/>
          <w:szCs w:val="24"/>
          <w:highlight w:val="none"/>
        </w:rPr>
        <w:t>名称（</w:t>
      </w:r>
      <w:r>
        <w:rPr>
          <w:rFonts w:hint="eastAsia" w:ascii="微软雅黑" w:hAnsi="微软雅黑" w:eastAsia="微软雅黑" w:cs="微软雅黑"/>
          <w:color w:val="auto"/>
          <w:kern w:val="2"/>
          <w:sz w:val="24"/>
          <w:szCs w:val="24"/>
          <w:highlight w:val="none"/>
          <w:lang w:eastAsia="zh-CN"/>
        </w:rPr>
        <w:t>公章</w:t>
      </w:r>
      <w:r>
        <w:rPr>
          <w:rFonts w:hint="eastAsia" w:ascii="微软雅黑" w:hAnsi="微软雅黑" w:eastAsia="微软雅黑" w:cs="微软雅黑"/>
          <w:color w:val="auto"/>
          <w:kern w:val="2"/>
          <w:sz w:val="24"/>
          <w:szCs w:val="24"/>
          <w:highlight w:val="none"/>
        </w:rPr>
        <w:t>）：</w:t>
      </w:r>
      <w:r>
        <w:rPr>
          <w:rFonts w:hint="eastAsia" w:ascii="微软雅黑" w:hAnsi="微软雅黑" w:eastAsia="微软雅黑" w:cs="微软雅黑"/>
          <w:color w:val="auto"/>
          <w:kern w:val="2"/>
          <w:sz w:val="24"/>
          <w:szCs w:val="24"/>
          <w:highlight w:val="none"/>
          <w:u w:val="single"/>
        </w:rPr>
        <w:t xml:space="preserve">                       </w:t>
      </w:r>
    </w:p>
    <w:p w14:paraId="3CD553A0">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lang w:val="en-US" w:eastAsia="zh-CN"/>
        </w:rPr>
        <w:t>或委托代理人</w:t>
      </w:r>
      <w:r>
        <w:rPr>
          <w:rFonts w:hint="eastAsia" w:ascii="微软雅黑" w:hAnsi="微软雅黑" w:eastAsia="微软雅黑" w:cs="微软雅黑"/>
          <w:color w:val="auto"/>
          <w:kern w:val="2"/>
          <w:sz w:val="24"/>
          <w:szCs w:val="24"/>
          <w:highlight w:val="none"/>
        </w:rPr>
        <w:t>(签/章):</w:t>
      </w:r>
      <w:r>
        <w:rPr>
          <w:rFonts w:hint="eastAsia" w:ascii="微软雅黑" w:hAnsi="微软雅黑" w:eastAsia="微软雅黑" w:cs="微软雅黑"/>
          <w:color w:val="auto"/>
          <w:kern w:val="2"/>
          <w:sz w:val="24"/>
          <w:szCs w:val="24"/>
          <w:highlight w:val="none"/>
          <w:u w:val="single"/>
        </w:rPr>
        <w:tab/>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u w:val="single"/>
        </w:rPr>
        <w:t xml:space="preserve">   </w:t>
      </w:r>
      <w:r>
        <w:rPr>
          <w:rFonts w:hint="eastAsia" w:ascii="微软雅黑" w:hAnsi="微软雅黑" w:eastAsia="微软雅黑" w:cs="微软雅黑"/>
          <w:color w:val="auto"/>
          <w:kern w:val="2"/>
          <w:sz w:val="24"/>
          <w:szCs w:val="24"/>
          <w:highlight w:val="none"/>
        </w:rPr>
        <w:t xml:space="preserve">                 </w:t>
      </w:r>
    </w:p>
    <w:p w14:paraId="540605B8">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日期 ：</w:t>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rPr>
        <w:t xml:space="preserve">   </w:t>
      </w:r>
    </w:p>
    <w:p w14:paraId="06B1DC17">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19C21323">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注:</w:t>
      </w:r>
    </w:p>
    <w:p w14:paraId="6F4453BA">
      <w:pPr>
        <w:pageBreakBefore w:val="0"/>
        <w:widowControl w:val="0"/>
        <w:tabs>
          <w:tab w:val="left" w:pos="5580"/>
        </w:tabs>
        <w:kinsoku/>
        <w:overflowPunct/>
        <w:topLinePunct w:val="0"/>
        <w:bidi w:val="0"/>
        <w:spacing w:line="240" w:lineRule="auto"/>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1.本项目为服务项目，表格中的“</w:t>
      </w:r>
      <w:r>
        <w:rPr>
          <w:rFonts w:hint="eastAsia" w:ascii="微软雅黑" w:hAnsi="微软雅黑" w:eastAsia="微软雅黑" w:cs="微软雅黑"/>
          <w:color w:val="000000"/>
          <w:sz w:val="24"/>
          <w:highlight w:val="none"/>
          <w:lang w:val="en-US" w:eastAsia="zh-CN"/>
        </w:rPr>
        <w:t>标的</w:t>
      </w:r>
      <w:r>
        <w:rPr>
          <w:rFonts w:hint="eastAsia" w:ascii="微软雅黑" w:hAnsi="微软雅黑" w:eastAsia="微软雅黑" w:cs="微软雅黑"/>
          <w:color w:val="auto"/>
          <w:kern w:val="2"/>
          <w:sz w:val="24"/>
          <w:szCs w:val="24"/>
          <w:highlight w:val="none"/>
          <w:lang w:val="en-US" w:eastAsia="zh-CN" w:bidi="ar-SA"/>
        </w:rPr>
        <w:t>名称、服务范围、服务要求、数量等”类似情形，各供应商可结合本项目服务内容，根据自身情况填写价格构成，但必须满足项目基本要求。</w:t>
      </w:r>
    </w:p>
    <w:p w14:paraId="619196BB">
      <w:pPr>
        <w:pageBreakBefore w:val="0"/>
        <w:widowControl w:val="0"/>
        <w:tabs>
          <w:tab w:val="left" w:pos="5580"/>
        </w:tabs>
        <w:kinsoku/>
        <w:overflowPunct/>
        <w:topLinePunct w:val="0"/>
        <w:bidi w:val="0"/>
        <w:spacing w:line="240" w:lineRule="auto"/>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2.如果供应商认为需要，每种服务填写一份该表。</w:t>
      </w:r>
    </w:p>
    <w:p w14:paraId="5D7DF31A">
      <w:pPr>
        <w:pageBreakBefore w:val="0"/>
        <w:widowControl w:val="0"/>
        <w:tabs>
          <w:tab w:val="left" w:pos="5580"/>
        </w:tabs>
        <w:kinsoku/>
        <w:overflowPunct/>
        <w:topLinePunct w:val="0"/>
        <w:bidi w:val="0"/>
        <w:spacing w:line="240" w:lineRule="auto"/>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3.如果开标一览表（报价表）内容与投标文件中明细表内容不一致的，以开标一览表（报价表）内容为准。</w:t>
      </w:r>
    </w:p>
    <w:p w14:paraId="36EFAFBE">
      <w:pPr>
        <w:pageBreakBefore w:val="0"/>
        <w:widowControl w:val="0"/>
        <w:tabs>
          <w:tab w:val="left" w:pos="5580"/>
        </w:tabs>
        <w:kinsoku/>
        <w:overflowPunct/>
        <w:topLinePunct w:val="0"/>
        <w:bidi w:val="0"/>
        <w:spacing w:line="240" w:lineRule="auto"/>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4.供应商应按招标文件规定的服务要求、责任范围和合同条件，以人民币进行报价。</w:t>
      </w:r>
    </w:p>
    <w:p w14:paraId="361940A2">
      <w:pPr>
        <w:rPr>
          <w:rFonts w:hint="eastAsia" w:ascii="微软雅黑" w:hAnsi="微软雅黑" w:eastAsia="微软雅黑" w:cs="微软雅黑"/>
          <w:color w:val="auto"/>
          <w:sz w:val="28"/>
          <w:szCs w:val="28"/>
          <w:highlight w:val="none"/>
          <w:lang w:val="en-US" w:eastAsia="zh-CN"/>
        </w:rPr>
      </w:pPr>
      <w:bookmarkStart w:id="2551" w:name="_Toc3096"/>
      <w:bookmarkStart w:id="2552" w:name="_Toc28199"/>
      <w:bookmarkStart w:id="2553" w:name="_Toc10486"/>
      <w:bookmarkStart w:id="2554" w:name="_Toc29174"/>
      <w:bookmarkStart w:id="2555" w:name="_Toc27975"/>
      <w:bookmarkStart w:id="2556" w:name="_Toc13950"/>
      <w:bookmarkStart w:id="2557" w:name="_Toc16798"/>
      <w:bookmarkStart w:id="2558" w:name="_Toc30209"/>
      <w:bookmarkStart w:id="2559" w:name="_Toc32439"/>
      <w:bookmarkStart w:id="2560" w:name="_Toc6480"/>
      <w:bookmarkStart w:id="2561" w:name="_Toc27721"/>
      <w:bookmarkStart w:id="2562" w:name="_Toc26185"/>
      <w:r>
        <w:rPr>
          <w:rFonts w:hint="eastAsia" w:ascii="微软雅黑" w:hAnsi="微软雅黑" w:eastAsia="微软雅黑" w:cs="微软雅黑"/>
          <w:color w:val="auto"/>
          <w:sz w:val="28"/>
          <w:szCs w:val="28"/>
          <w:highlight w:val="none"/>
          <w:lang w:val="en-US" w:eastAsia="zh-CN"/>
        </w:rPr>
        <w:br w:type="page"/>
      </w:r>
    </w:p>
    <w:bookmarkEnd w:id="2551"/>
    <w:bookmarkEnd w:id="2552"/>
    <w:bookmarkEnd w:id="2553"/>
    <w:bookmarkEnd w:id="2554"/>
    <w:bookmarkEnd w:id="2555"/>
    <w:bookmarkEnd w:id="2556"/>
    <w:bookmarkEnd w:id="2557"/>
    <w:bookmarkEnd w:id="2558"/>
    <w:bookmarkEnd w:id="2559"/>
    <w:bookmarkEnd w:id="2560"/>
    <w:bookmarkEnd w:id="2561"/>
    <w:bookmarkEnd w:id="2562"/>
    <w:p w14:paraId="0D6976B3">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563" w:name="_Toc8259"/>
      <w:bookmarkStart w:id="2564" w:name="_Toc17348"/>
      <w:bookmarkStart w:id="2565" w:name="_Toc9902"/>
      <w:bookmarkStart w:id="2566" w:name="_Toc10593"/>
      <w:r>
        <w:rPr>
          <w:rFonts w:hint="eastAsia" w:ascii="微软雅黑" w:hAnsi="微软雅黑" w:eastAsia="微软雅黑" w:cs="微软雅黑"/>
          <w:b/>
          <w:bCs/>
          <w:color w:val="auto"/>
          <w:sz w:val="28"/>
          <w:szCs w:val="28"/>
          <w:highlight w:val="none"/>
          <w:u w:val="none"/>
          <w:lang w:val="en-US" w:eastAsia="zh-CN"/>
        </w:rPr>
        <w:t>3.</w:t>
      </w:r>
      <w:bookmarkEnd w:id="2563"/>
      <w:bookmarkEnd w:id="2564"/>
      <w:r>
        <w:rPr>
          <w:rFonts w:hint="eastAsia" w:ascii="微软雅黑" w:hAnsi="微软雅黑" w:eastAsia="微软雅黑" w:cs="微软雅黑"/>
          <w:b/>
          <w:bCs/>
          <w:color w:val="auto"/>
          <w:sz w:val="28"/>
          <w:szCs w:val="28"/>
          <w:highlight w:val="none"/>
          <w:u w:val="none"/>
          <w:lang w:val="en-US" w:eastAsia="zh-CN"/>
        </w:rPr>
        <w:t>服务说明一览表</w:t>
      </w:r>
      <w:bookmarkEnd w:id="2565"/>
      <w:bookmarkEnd w:id="2566"/>
    </w:p>
    <w:p w14:paraId="0FD9B001">
      <w:pPr>
        <w:pStyle w:val="15"/>
        <w:spacing w:line="360" w:lineRule="exact"/>
        <w:ind w:left="1080" w:leftChars="257" w:hanging="54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项目编号</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szCs w:val="24"/>
          <w:highlight w:val="none"/>
          <w:lang w:val="en-US" w:eastAsia="zh-CN"/>
        </w:rPr>
        <w:t>标项：</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w:t>
      </w:r>
    </w:p>
    <w:tbl>
      <w:tblPr>
        <w:tblStyle w:val="29"/>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5"/>
        <w:gridCol w:w="1705"/>
        <w:gridCol w:w="1009"/>
        <w:gridCol w:w="1705"/>
        <w:gridCol w:w="1706"/>
        <w:gridCol w:w="1010"/>
      </w:tblGrid>
      <w:tr w14:paraId="056C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09" w:type="dxa"/>
            <w:vAlign w:val="center"/>
          </w:tcPr>
          <w:p w14:paraId="55EA4C68">
            <w:pPr>
              <w:pStyle w:val="15"/>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705" w:type="dxa"/>
            <w:vAlign w:val="center"/>
          </w:tcPr>
          <w:p w14:paraId="0CB7024C">
            <w:pPr>
              <w:pStyle w:val="15"/>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名称</w:t>
            </w:r>
          </w:p>
        </w:tc>
        <w:tc>
          <w:tcPr>
            <w:tcW w:w="1705" w:type="dxa"/>
            <w:vAlign w:val="center"/>
          </w:tcPr>
          <w:p w14:paraId="516B59D3">
            <w:pPr>
              <w:pStyle w:val="15"/>
              <w:spacing w:line="360" w:lineRule="exact"/>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服务内容</w:t>
            </w:r>
          </w:p>
        </w:tc>
        <w:tc>
          <w:tcPr>
            <w:tcW w:w="1009" w:type="dxa"/>
            <w:vAlign w:val="center"/>
          </w:tcPr>
          <w:p w14:paraId="05383F86">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数量</w:t>
            </w:r>
          </w:p>
        </w:tc>
        <w:tc>
          <w:tcPr>
            <w:tcW w:w="1705" w:type="dxa"/>
            <w:vAlign w:val="center"/>
          </w:tcPr>
          <w:p w14:paraId="65831207">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服务时间</w:t>
            </w:r>
          </w:p>
        </w:tc>
        <w:tc>
          <w:tcPr>
            <w:tcW w:w="1706" w:type="dxa"/>
            <w:vAlign w:val="center"/>
          </w:tcPr>
          <w:p w14:paraId="6CED80F2">
            <w:pPr>
              <w:pStyle w:val="15"/>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服务地点</w:t>
            </w:r>
          </w:p>
        </w:tc>
        <w:tc>
          <w:tcPr>
            <w:tcW w:w="1010" w:type="dxa"/>
            <w:vAlign w:val="center"/>
          </w:tcPr>
          <w:p w14:paraId="6DF3157F">
            <w:pPr>
              <w:pStyle w:val="15"/>
              <w:spacing w:line="360" w:lineRule="exact"/>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备注</w:t>
            </w:r>
          </w:p>
        </w:tc>
      </w:tr>
      <w:tr w14:paraId="2117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9" w:type="dxa"/>
            <w:vAlign w:val="center"/>
          </w:tcPr>
          <w:p w14:paraId="68763507">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w:t>
            </w:r>
          </w:p>
        </w:tc>
        <w:tc>
          <w:tcPr>
            <w:tcW w:w="1705" w:type="dxa"/>
          </w:tcPr>
          <w:p w14:paraId="4AC15F86">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79609D96">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09" w:type="dxa"/>
          </w:tcPr>
          <w:p w14:paraId="361ACAC2">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640F26BE">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6" w:type="dxa"/>
          </w:tcPr>
          <w:p w14:paraId="45881301">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10" w:type="dxa"/>
          </w:tcPr>
          <w:p w14:paraId="7641F787">
            <w:pPr>
              <w:pStyle w:val="15"/>
              <w:spacing w:line="360" w:lineRule="exact"/>
              <w:ind w:left="1080" w:leftChars="257" w:hanging="540"/>
              <w:rPr>
                <w:rFonts w:hint="eastAsia" w:ascii="微软雅黑" w:hAnsi="微软雅黑" w:eastAsia="微软雅黑" w:cs="微软雅黑"/>
                <w:color w:val="auto"/>
                <w:sz w:val="24"/>
                <w:highlight w:val="none"/>
              </w:rPr>
            </w:pPr>
          </w:p>
        </w:tc>
      </w:tr>
      <w:tr w14:paraId="5975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9" w:type="dxa"/>
            <w:vAlign w:val="center"/>
          </w:tcPr>
          <w:p w14:paraId="725316F0">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w:t>
            </w:r>
          </w:p>
        </w:tc>
        <w:tc>
          <w:tcPr>
            <w:tcW w:w="1705" w:type="dxa"/>
          </w:tcPr>
          <w:p w14:paraId="67E53D26">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7C4499E1">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09" w:type="dxa"/>
          </w:tcPr>
          <w:p w14:paraId="715C0FAF">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3224A0FA">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6" w:type="dxa"/>
          </w:tcPr>
          <w:p w14:paraId="20EE2706">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10" w:type="dxa"/>
          </w:tcPr>
          <w:p w14:paraId="603E9044">
            <w:pPr>
              <w:pStyle w:val="15"/>
              <w:spacing w:line="360" w:lineRule="exact"/>
              <w:ind w:left="1080" w:leftChars="257" w:hanging="540"/>
              <w:rPr>
                <w:rFonts w:hint="eastAsia" w:ascii="微软雅黑" w:hAnsi="微软雅黑" w:eastAsia="微软雅黑" w:cs="微软雅黑"/>
                <w:color w:val="auto"/>
                <w:sz w:val="24"/>
                <w:highlight w:val="none"/>
              </w:rPr>
            </w:pPr>
          </w:p>
        </w:tc>
      </w:tr>
      <w:tr w14:paraId="1CC1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9" w:type="dxa"/>
            <w:vAlign w:val="center"/>
          </w:tcPr>
          <w:p w14:paraId="34EAE804">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w:t>
            </w:r>
          </w:p>
        </w:tc>
        <w:tc>
          <w:tcPr>
            <w:tcW w:w="1705" w:type="dxa"/>
          </w:tcPr>
          <w:p w14:paraId="2FAACF84">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3B4BE33F">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09" w:type="dxa"/>
          </w:tcPr>
          <w:p w14:paraId="3B3DF360">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21A7C954">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6" w:type="dxa"/>
          </w:tcPr>
          <w:p w14:paraId="7D1F6CF2">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10" w:type="dxa"/>
          </w:tcPr>
          <w:p w14:paraId="28B92AFA">
            <w:pPr>
              <w:pStyle w:val="15"/>
              <w:spacing w:line="360" w:lineRule="exact"/>
              <w:ind w:left="1080" w:leftChars="257" w:hanging="540"/>
              <w:rPr>
                <w:rFonts w:hint="eastAsia" w:ascii="微软雅黑" w:hAnsi="微软雅黑" w:eastAsia="微软雅黑" w:cs="微软雅黑"/>
                <w:color w:val="auto"/>
                <w:sz w:val="24"/>
                <w:highlight w:val="none"/>
              </w:rPr>
            </w:pPr>
          </w:p>
        </w:tc>
      </w:tr>
      <w:tr w14:paraId="1D0E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9" w:type="dxa"/>
            <w:vAlign w:val="center"/>
          </w:tcPr>
          <w:p w14:paraId="4940FFB0">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w:t>
            </w:r>
          </w:p>
        </w:tc>
        <w:tc>
          <w:tcPr>
            <w:tcW w:w="1705" w:type="dxa"/>
          </w:tcPr>
          <w:p w14:paraId="57F043E2">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2774936A">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09" w:type="dxa"/>
          </w:tcPr>
          <w:p w14:paraId="09AA66CD">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650D0056">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6" w:type="dxa"/>
          </w:tcPr>
          <w:p w14:paraId="0A98E9BC">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10" w:type="dxa"/>
          </w:tcPr>
          <w:p w14:paraId="17FD8C34">
            <w:pPr>
              <w:pStyle w:val="15"/>
              <w:spacing w:line="360" w:lineRule="exact"/>
              <w:ind w:left="1080" w:leftChars="257" w:hanging="540"/>
              <w:rPr>
                <w:rFonts w:hint="eastAsia" w:ascii="微软雅黑" w:hAnsi="微软雅黑" w:eastAsia="微软雅黑" w:cs="微软雅黑"/>
                <w:color w:val="auto"/>
                <w:sz w:val="24"/>
                <w:highlight w:val="none"/>
              </w:rPr>
            </w:pPr>
          </w:p>
        </w:tc>
      </w:tr>
      <w:tr w14:paraId="3DDC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9" w:type="dxa"/>
            <w:vAlign w:val="center"/>
          </w:tcPr>
          <w:p w14:paraId="718873CF">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w:t>
            </w:r>
          </w:p>
        </w:tc>
        <w:tc>
          <w:tcPr>
            <w:tcW w:w="1705" w:type="dxa"/>
          </w:tcPr>
          <w:p w14:paraId="2C984020">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0EFAA1F0">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09" w:type="dxa"/>
          </w:tcPr>
          <w:p w14:paraId="64AB646A">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45299B48">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6" w:type="dxa"/>
          </w:tcPr>
          <w:p w14:paraId="17750A36">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10" w:type="dxa"/>
          </w:tcPr>
          <w:p w14:paraId="221589A9">
            <w:pPr>
              <w:pStyle w:val="15"/>
              <w:spacing w:line="360" w:lineRule="exact"/>
              <w:ind w:left="1080" w:leftChars="257" w:hanging="540"/>
              <w:rPr>
                <w:rFonts w:hint="eastAsia" w:ascii="微软雅黑" w:hAnsi="微软雅黑" w:eastAsia="微软雅黑" w:cs="微软雅黑"/>
                <w:color w:val="auto"/>
                <w:sz w:val="24"/>
                <w:highlight w:val="none"/>
              </w:rPr>
            </w:pPr>
          </w:p>
        </w:tc>
      </w:tr>
      <w:tr w14:paraId="2488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9" w:type="dxa"/>
            <w:vAlign w:val="center"/>
          </w:tcPr>
          <w:p w14:paraId="0585B848">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w:t>
            </w:r>
          </w:p>
        </w:tc>
        <w:tc>
          <w:tcPr>
            <w:tcW w:w="1705" w:type="dxa"/>
          </w:tcPr>
          <w:p w14:paraId="2C004BD1">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2380A41B">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09" w:type="dxa"/>
          </w:tcPr>
          <w:p w14:paraId="60E5F8BA">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246FF377">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6" w:type="dxa"/>
          </w:tcPr>
          <w:p w14:paraId="7BEA3098">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10" w:type="dxa"/>
          </w:tcPr>
          <w:p w14:paraId="49BD44FB">
            <w:pPr>
              <w:pStyle w:val="15"/>
              <w:spacing w:line="360" w:lineRule="exact"/>
              <w:ind w:left="1080" w:leftChars="257" w:hanging="540"/>
              <w:rPr>
                <w:rFonts w:hint="eastAsia" w:ascii="微软雅黑" w:hAnsi="微软雅黑" w:eastAsia="微软雅黑" w:cs="微软雅黑"/>
                <w:color w:val="auto"/>
                <w:sz w:val="24"/>
                <w:highlight w:val="none"/>
              </w:rPr>
            </w:pPr>
          </w:p>
        </w:tc>
      </w:tr>
      <w:tr w14:paraId="0D4B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9" w:type="dxa"/>
            <w:vAlign w:val="center"/>
          </w:tcPr>
          <w:p w14:paraId="0871BACE">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w:t>
            </w:r>
          </w:p>
        </w:tc>
        <w:tc>
          <w:tcPr>
            <w:tcW w:w="1705" w:type="dxa"/>
          </w:tcPr>
          <w:p w14:paraId="1E7049ED">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468C6D1D">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09" w:type="dxa"/>
          </w:tcPr>
          <w:p w14:paraId="7696E9D5">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5959730B">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6" w:type="dxa"/>
          </w:tcPr>
          <w:p w14:paraId="17B49CFC">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10" w:type="dxa"/>
          </w:tcPr>
          <w:p w14:paraId="2062E56D">
            <w:pPr>
              <w:pStyle w:val="15"/>
              <w:spacing w:line="360" w:lineRule="exact"/>
              <w:ind w:left="1080" w:leftChars="257" w:hanging="540"/>
              <w:rPr>
                <w:rFonts w:hint="eastAsia" w:ascii="微软雅黑" w:hAnsi="微软雅黑" w:eastAsia="微软雅黑" w:cs="微软雅黑"/>
                <w:color w:val="auto"/>
                <w:sz w:val="24"/>
                <w:highlight w:val="none"/>
              </w:rPr>
            </w:pPr>
          </w:p>
        </w:tc>
      </w:tr>
      <w:tr w14:paraId="2BE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9" w:type="dxa"/>
            <w:vAlign w:val="center"/>
          </w:tcPr>
          <w:p w14:paraId="637DDBC0">
            <w:pPr>
              <w:pStyle w:val="15"/>
              <w:spacing w:line="36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8</w:t>
            </w:r>
          </w:p>
        </w:tc>
        <w:tc>
          <w:tcPr>
            <w:tcW w:w="1705" w:type="dxa"/>
          </w:tcPr>
          <w:p w14:paraId="0BF327E0">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4BFFEC4A">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09" w:type="dxa"/>
          </w:tcPr>
          <w:p w14:paraId="7590C43E">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5" w:type="dxa"/>
          </w:tcPr>
          <w:p w14:paraId="34B4281E">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706" w:type="dxa"/>
          </w:tcPr>
          <w:p w14:paraId="713EB365">
            <w:pPr>
              <w:pStyle w:val="15"/>
              <w:spacing w:line="360" w:lineRule="exact"/>
              <w:ind w:left="1080" w:leftChars="257" w:hanging="540"/>
              <w:rPr>
                <w:rFonts w:hint="eastAsia" w:ascii="微软雅黑" w:hAnsi="微软雅黑" w:eastAsia="微软雅黑" w:cs="微软雅黑"/>
                <w:color w:val="auto"/>
                <w:sz w:val="24"/>
                <w:highlight w:val="none"/>
              </w:rPr>
            </w:pPr>
          </w:p>
        </w:tc>
        <w:tc>
          <w:tcPr>
            <w:tcW w:w="1010" w:type="dxa"/>
          </w:tcPr>
          <w:p w14:paraId="6AE44765">
            <w:pPr>
              <w:pStyle w:val="15"/>
              <w:spacing w:line="360" w:lineRule="exact"/>
              <w:ind w:left="1080" w:leftChars="257" w:hanging="540"/>
              <w:rPr>
                <w:rFonts w:hint="eastAsia" w:ascii="微软雅黑" w:hAnsi="微软雅黑" w:eastAsia="微软雅黑" w:cs="微软雅黑"/>
                <w:color w:val="auto"/>
                <w:sz w:val="24"/>
                <w:highlight w:val="none"/>
              </w:rPr>
            </w:pPr>
          </w:p>
        </w:tc>
      </w:tr>
    </w:tbl>
    <w:p w14:paraId="7E9E191A">
      <w:pPr>
        <w:pStyle w:val="15"/>
        <w:spacing w:line="360" w:lineRule="exact"/>
        <w:ind w:left="1080" w:leftChars="257" w:hanging="540"/>
        <w:rPr>
          <w:rFonts w:hint="eastAsia" w:ascii="微软雅黑" w:hAnsi="微软雅黑" w:eastAsia="微软雅黑" w:cs="微软雅黑"/>
          <w:color w:val="auto"/>
          <w:sz w:val="24"/>
          <w:highlight w:val="none"/>
        </w:rPr>
      </w:pPr>
    </w:p>
    <w:p w14:paraId="5617C7F3">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48D82F6A">
      <w:pPr>
        <w:pStyle w:val="7"/>
        <w:spacing w:line="360" w:lineRule="exact"/>
        <w:ind w:firstLine="0"/>
        <w:rPr>
          <w:rFonts w:hint="eastAsia" w:ascii="微软雅黑" w:hAnsi="微软雅黑" w:eastAsia="微软雅黑" w:cs="微软雅黑"/>
          <w:color w:val="auto"/>
          <w:kern w:val="2"/>
          <w:sz w:val="24"/>
          <w:szCs w:val="24"/>
          <w:highlight w:val="none"/>
          <w:u w:val="single"/>
        </w:rPr>
      </w:pPr>
      <w:r>
        <w:rPr>
          <w:rFonts w:hint="eastAsia" w:ascii="微软雅黑" w:hAnsi="微软雅黑" w:eastAsia="微软雅黑" w:cs="微软雅黑"/>
          <w:color w:val="auto"/>
          <w:kern w:val="2"/>
          <w:sz w:val="24"/>
          <w:szCs w:val="24"/>
          <w:highlight w:val="none"/>
          <w:lang w:eastAsia="zh-CN"/>
        </w:rPr>
        <w:t>供应商</w:t>
      </w:r>
      <w:r>
        <w:rPr>
          <w:rFonts w:hint="eastAsia" w:ascii="微软雅黑" w:hAnsi="微软雅黑" w:eastAsia="微软雅黑" w:cs="微软雅黑"/>
          <w:color w:val="auto"/>
          <w:kern w:val="2"/>
          <w:sz w:val="24"/>
          <w:szCs w:val="24"/>
          <w:highlight w:val="none"/>
        </w:rPr>
        <w:t>名称（</w:t>
      </w:r>
      <w:r>
        <w:rPr>
          <w:rFonts w:hint="eastAsia" w:ascii="微软雅黑" w:hAnsi="微软雅黑" w:eastAsia="微软雅黑" w:cs="微软雅黑"/>
          <w:color w:val="auto"/>
          <w:kern w:val="2"/>
          <w:sz w:val="24"/>
          <w:szCs w:val="24"/>
          <w:highlight w:val="none"/>
          <w:lang w:eastAsia="zh-CN"/>
        </w:rPr>
        <w:t>公章</w:t>
      </w:r>
      <w:r>
        <w:rPr>
          <w:rFonts w:hint="eastAsia" w:ascii="微软雅黑" w:hAnsi="微软雅黑" w:eastAsia="微软雅黑" w:cs="微软雅黑"/>
          <w:color w:val="auto"/>
          <w:kern w:val="2"/>
          <w:sz w:val="24"/>
          <w:szCs w:val="24"/>
          <w:highlight w:val="none"/>
        </w:rPr>
        <w:t>）：</w:t>
      </w:r>
      <w:r>
        <w:rPr>
          <w:rFonts w:hint="eastAsia" w:ascii="微软雅黑" w:hAnsi="微软雅黑" w:eastAsia="微软雅黑" w:cs="微软雅黑"/>
          <w:color w:val="auto"/>
          <w:kern w:val="2"/>
          <w:sz w:val="24"/>
          <w:szCs w:val="24"/>
          <w:highlight w:val="none"/>
          <w:u w:val="single"/>
        </w:rPr>
        <w:t xml:space="preserve">                       </w:t>
      </w:r>
    </w:p>
    <w:p w14:paraId="644C04B4">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lang w:val="en-US" w:eastAsia="zh-CN"/>
        </w:rPr>
        <w:t>或委托代理人</w:t>
      </w:r>
      <w:r>
        <w:rPr>
          <w:rFonts w:hint="eastAsia" w:ascii="微软雅黑" w:hAnsi="微软雅黑" w:eastAsia="微软雅黑" w:cs="微软雅黑"/>
          <w:color w:val="auto"/>
          <w:kern w:val="2"/>
          <w:sz w:val="24"/>
          <w:szCs w:val="24"/>
          <w:highlight w:val="none"/>
        </w:rPr>
        <w:t>(签/章):</w:t>
      </w:r>
      <w:r>
        <w:rPr>
          <w:rFonts w:hint="eastAsia" w:ascii="微软雅黑" w:hAnsi="微软雅黑" w:eastAsia="微软雅黑" w:cs="微软雅黑"/>
          <w:color w:val="auto"/>
          <w:kern w:val="2"/>
          <w:sz w:val="24"/>
          <w:szCs w:val="24"/>
          <w:highlight w:val="none"/>
          <w:u w:val="single"/>
        </w:rPr>
        <w:tab/>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u w:val="single"/>
        </w:rPr>
        <w:t xml:space="preserve">   </w:t>
      </w:r>
      <w:r>
        <w:rPr>
          <w:rFonts w:hint="eastAsia" w:ascii="微软雅黑" w:hAnsi="微软雅黑" w:eastAsia="微软雅黑" w:cs="微软雅黑"/>
          <w:color w:val="auto"/>
          <w:kern w:val="2"/>
          <w:sz w:val="24"/>
          <w:szCs w:val="24"/>
          <w:highlight w:val="none"/>
        </w:rPr>
        <w:t xml:space="preserve">                 </w:t>
      </w:r>
    </w:p>
    <w:p w14:paraId="65781E31">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日期 ：</w:t>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rPr>
        <w:t xml:space="preserve">   </w:t>
      </w:r>
    </w:p>
    <w:p w14:paraId="7E06DCF7">
      <w:pPr>
        <w:pStyle w:val="15"/>
        <w:spacing w:line="240" w:lineRule="atLeast"/>
        <w:rPr>
          <w:rFonts w:hint="eastAsia" w:ascii="微软雅黑" w:hAnsi="微软雅黑" w:eastAsia="微软雅黑" w:cs="微软雅黑"/>
          <w:b/>
          <w:bCs/>
          <w:color w:val="auto"/>
          <w:sz w:val="22"/>
          <w:szCs w:val="22"/>
          <w:highlight w:val="none"/>
        </w:rPr>
      </w:pPr>
    </w:p>
    <w:p w14:paraId="63CB7B99">
      <w:pPr>
        <w:pStyle w:val="15"/>
        <w:spacing w:line="240" w:lineRule="atLeast"/>
        <w:rPr>
          <w:rFonts w:hint="eastAsia" w:ascii="微软雅黑" w:hAnsi="微软雅黑" w:eastAsia="微软雅黑" w:cs="微软雅黑"/>
          <w:b/>
          <w:bCs/>
          <w:color w:val="auto"/>
          <w:sz w:val="22"/>
          <w:szCs w:val="22"/>
          <w:highlight w:val="none"/>
        </w:rPr>
      </w:pPr>
    </w:p>
    <w:p w14:paraId="10783E46">
      <w:pPr>
        <w:pStyle w:val="15"/>
        <w:spacing w:line="240" w:lineRule="atLeast"/>
        <w:rPr>
          <w:rFonts w:hint="eastAsia" w:ascii="微软雅黑" w:hAnsi="微软雅黑" w:eastAsia="微软雅黑" w:cs="微软雅黑"/>
          <w:b/>
          <w:bCs/>
          <w:color w:val="auto"/>
          <w:sz w:val="22"/>
          <w:szCs w:val="22"/>
          <w:highlight w:val="none"/>
        </w:rPr>
      </w:pPr>
    </w:p>
    <w:p w14:paraId="67B97CB2">
      <w:pPr>
        <w:pStyle w:val="15"/>
        <w:spacing w:line="240" w:lineRule="atLeast"/>
        <w:rPr>
          <w:rFonts w:hint="eastAsia" w:ascii="微软雅黑" w:hAnsi="微软雅黑" w:eastAsia="微软雅黑" w:cs="微软雅黑"/>
          <w:b/>
          <w:bCs/>
          <w:color w:val="auto"/>
          <w:sz w:val="22"/>
          <w:szCs w:val="22"/>
          <w:highlight w:val="none"/>
        </w:rPr>
      </w:pPr>
    </w:p>
    <w:p w14:paraId="52454A8B">
      <w:pPr>
        <w:pStyle w:val="15"/>
        <w:spacing w:line="240" w:lineRule="atLeast"/>
        <w:rPr>
          <w:rFonts w:hint="eastAsia" w:ascii="微软雅黑" w:hAnsi="微软雅黑" w:eastAsia="微软雅黑" w:cs="微软雅黑"/>
          <w:b/>
          <w:bCs/>
          <w:color w:val="auto"/>
          <w:sz w:val="22"/>
          <w:szCs w:val="22"/>
          <w:highlight w:val="none"/>
        </w:rPr>
      </w:pPr>
    </w:p>
    <w:p w14:paraId="178C451B">
      <w:pPr>
        <w:pStyle w:val="15"/>
        <w:spacing w:line="240" w:lineRule="atLeast"/>
        <w:rPr>
          <w:rFonts w:hint="eastAsia" w:ascii="微软雅黑" w:hAnsi="微软雅黑" w:eastAsia="微软雅黑" w:cs="微软雅黑"/>
          <w:b/>
          <w:bCs/>
          <w:color w:val="auto"/>
          <w:sz w:val="22"/>
          <w:szCs w:val="22"/>
          <w:highlight w:val="none"/>
        </w:rPr>
      </w:pPr>
    </w:p>
    <w:p w14:paraId="2D7B2B06">
      <w:pPr>
        <w:pStyle w:val="15"/>
        <w:spacing w:line="240" w:lineRule="atLeast"/>
        <w:rPr>
          <w:rFonts w:hint="eastAsia" w:ascii="微软雅黑" w:hAnsi="微软雅黑" w:eastAsia="微软雅黑" w:cs="微软雅黑"/>
          <w:b/>
          <w:bCs/>
          <w:color w:val="auto"/>
          <w:sz w:val="22"/>
          <w:szCs w:val="22"/>
          <w:highlight w:val="none"/>
        </w:rPr>
      </w:pPr>
    </w:p>
    <w:p w14:paraId="1A90FED5">
      <w:pPr>
        <w:pStyle w:val="15"/>
        <w:spacing w:line="240" w:lineRule="atLeast"/>
        <w:rPr>
          <w:rFonts w:hint="eastAsia" w:ascii="微软雅黑" w:hAnsi="微软雅黑" w:eastAsia="微软雅黑" w:cs="微软雅黑"/>
          <w:b/>
          <w:bCs/>
          <w:color w:val="auto"/>
          <w:sz w:val="22"/>
          <w:szCs w:val="22"/>
          <w:highlight w:val="none"/>
        </w:rPr>
      </w:pPr>
    </w:p>
    <w:p w14:paraId="7668227A">
      <w:pPr>
        <w:pStyle w:val="15"/>
        <w:spacing w:line="240" w:lineRule="atLeast"/>
        <w:rPr>
          <w:rFonts w:hint="eastAsia" w:ascii="微软雅黑" w:hAnsi="微软雅黑" w:eastAsia="微软雅黑" w:cs="微软雅黑"/>
          <w:b/>
          <w:bCs/>
          <w:color w:val="auto"/>
          <w:sz w:val="22"/>
          <w:szCs w:val="22"/>
          <w:highlight w:val="none"/>
        </w:rPr>
      </w:pPr>
    </w:p>
    <w:p w14:paraId="0C37298E">
      <w:pPr>
        <w:pStyle w:val="15"/>
        <w:spacing w:line="240" w:lineRule="atLeast"/>
        <w:rPr>
          <w:rFonts w:hint="eastAsia" w:ascii="微软雅黑" w:hAnsi="微软雅黑" w:eastAsia="微软雅黑" w:cs="微软雅黑"/>
          <w:b/>
          <w:bCs/>
          <w:color w:val="auto"/>
          <w:sz w:val="22"/>
          <w:szCs w:val="22"/>
          <w:highlight w:val="none"/>
        </w:rPr>
      </w:pPr>
    </w:p>
    <w:p w14:paraId="62BB450C">
      <w:pPr>
        <w:pStyle w:val="15"/>
        <w:spacing w:line="240" w:lineRule="atLeast"/>
        <w:rPr>
          <w:rFonts w:hint="eastAsia" w:ascii="微软雅黑" w:hAnsi="微软雅黑" w:eastAsia="微软雅黑" w:cs="微软雅黑"/>
          <w:b/>
          <w:bCs/>
          <w:color w:val="auto"/>
          <w:sz w:val="22"/>
          <w:szCs w:val="22"/>
          <w:highlight w:val="none"/>
        </w:rPr>
      </w:pPr>
    </w:p>
    <w:p w14:paraId="462209F8">
      <w:pP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br w:type="page"/>
      </w:r>
    </w:p>
    <w:p w14:paraId="492E749A">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567" w:name="_Toc21982"/>
      <w:bookmarkStart w:id="2568" w:name="_Toc16668"/>
      <w:bookmarkStart w:id="2569" w:name="_Toc14012"/>
      <w:bookmarkStart w:id="2570" w:name="_Toc25063"/>
      <w:r>
        <w:rPr>
          <w:rFonts w:hint="eastAsia" w:ascii="微软雅黑" w:hAnsi="微软雅黑" w:eastAsia="微软雅黑" w:cs="微软雅黑"/>
          <w:b/>
          <w:bCs/>
          <w:color w:val="auto"/>
          <w:sz w:val="28"/>
          <w:szCs w:val="28"/>
          <w:highlight w:val="none"/>
          <w:u w:val="none"/>
          <w:lang w:val="en-US" w:eastAsia="zh-CN"/>
        </w:rPr>
        <w:t>4.</w:t>
      </w:r>
      <w:bookmarkEnd w:id="2567"/>
      <w:bookmarkEnd w:id="2568"/>
      <w:r>
        <w:rPr>
          <w:rFonts w:hint="eastAsia" w:ascii="微软雅黑" w:hAnsi="微软雅黑" w:eastAsia="微软雅黑" w:cs="微软雅黑"/>
          <w:b/>
          <w:bCs/>
          <w:color w:val="auto"/>
          <w:sz w:val="28"/>
          <w:szCs w:val="28"/>
          <w:highlight w:val="none"/>
          <w:u w:val="none"/>
          <w:lang w:val="en-US" w:eastAsia="zh-CN"/>
        </w:rPr>
        <w:t>服务要求偏离表</w:t>
      </w:r>
      <w:bookmarkEnd w:id="2569"/>
      <w:bookmarkEnd w:id="2570"/>
    </w:p>
    <w:p w14:paraId="10545450">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标项：</w:t>
      </w:r>
      <w:r>
        <w:rPr>
          <w:rFonts w:hint="eastAsia" w:ascii="微软雅黑" w:hAnsi="微软雅黑" w:eastAsia="微软雅黑" w:cs="微软雅黑"/>
          <w:color w:val="auto"/>
          <w:sz w:val="24"/>
          <w:szCs w:val="24"/>
          <w:highlight w:val="none"/>
        </w:rPr>
        <w:t xml:space="preserve">        </w:t>
      </w:r>
    </w:p>
    <w:tbl>
      <w:tblPr>
        <w:tblStyle w:val="29"/>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87"/>
        <w:gridCol w:w="2742"/>
        <w:gridCol w:w="1487"/>
        <w:gridCol w:w="1487"/>
        <w:gridCol w:w="882"/>
      </w:tblGrid>
      <w:tr w14:paraId="40DF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9" w:type="dxa"/>
            <w:vAlign w:val="center"/>
          </w:tcPr>
          <w:p w14:paraId="40894604">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87" w:type="dxa"/>
            <w:vAlign w:val="center"/>
          </w:tcPr>
          <w:p w14:paraId="7B28D8F8">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名称</w:t>
            </w:r>
          </w:p>
        </w:tc>
        <w:tc>
          <w:tcPr>
            <w:tcW w:w="2742" w:type="dxa"/>
            <w:vAlign w:val="center"/>
          </w:tcPr>
          <w:p w14:paraId="259FB4F7">
            <w:pPr>
              <w:pStyle w:val="15"/>
              <w:spacing w:line="400" w:lineRule="exac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487" w:type="dxa"/>
            <w:vAlign w:val="center"/>
          </w:tcPr>
          <w:p w14:paraId="1DB4EC57">
            <w:pPr>
              <w:pStyle w:val="15"/>
              <w:spacing w:line="4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招标</w:t>
            </w:r>
            <w:r>
              <w:rPr>
                <w:rFonts w:hint="eastAsia" w:ascii="微软雅黑" w:hAnsi="微软雅黑" w:eastAsia="微软雅黑" w:cs="微软雅黑"/>
                <w:color w:val="auto"/>
                <w:sz w:val="24"/>
                <w:szCs w:val="24"/>
                <w:highlight w:val="none"/>
                <w:lang w:val="en-US" w:eastAsia="zh-CN"/>
              </w:rPr>
              <w:t>内容</w:t>
            </w:r>
          </w:p>
        </w:tc>
        <w:tc>
          <w:tcPr>
            <w:tcW w:w="1487" w:type="dxa"/>
            <w:vAlign w:val="center"/>
          </w:tcPr>
          <w:p w14:paraId="13F50787">
            <w:pPr>
              <w:pStyle w:val="15"/>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投标</w:t>
            </w:r>
            <w:r>
              <w:rPr>
                <w:rFonts w:hint="eastAsia" w:ascii="微软雅黑" w:hAnsi="微软雅黑" w:eastAsia="微软雅黑" w:cs="微软雅黑"/>
                <w:color w:val="auto"/>
                <w:sz w:val="24"/>
                <w:szCs w:val="24"/>
                <w:highlight w:val="none"/>
                <w:lang w:val="en-US" w:eastAsia="zh-CN"/>
              </w:rPr>
              <w:t>内容</w:t>
            </w:r>
          </w:p>
        </w:tc>
        <w:tc>
          <w:tcPr>
            <w:tcW w:w="882" w:type="dxa"/>
            <w:vAlign w:val="center"/>
          </w:tcPr>
          <w:p w14:paraId="1031A76F">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r>
      <w:tr w14:paraId="4E2C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9" w:type="dxa"/>
            <w:vAlign w:val="center"/>
          </w:tcPr>
          <w:p w14:paraId="37251A4D">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p>
        </w:tc>
        <w:tc>
          <w:tcPr>
            <w:tcW w:w="1487" w:type="dxa"/>
          </w:tcPr>
          <w:p w14:paraId="56AA1564">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742" w:type="dxa"/>
          </w:tcPr>
          <w:p w14:paraId="6669E93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6767403B">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59064A6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882" w:type="dxa"/>
          </w:tcPr>
          <w:p w14:paraId="69D38A8E">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0A71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9" w:type="dxa"/>
            <w:vAlign w:val="center"/>
          </w:tcPr>
          <w:p w14:paraId="7EDCF386">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p>
        </w:tc>
        <w:tc>
          <w:tcPr>
            <w:tcW w:w="1487" w:type="dxa"/>
          </w:tcPr>
          <w:p w14:paraId="45496AC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742" w:type="dxa"/>
          </w:tcPr>
          <w:p w14:paraId="0091D02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795468CB">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1CB855B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882" w:type="dxa"/>
          </w:tcPr>
          <w:p w14:paraId="148A18B8">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37B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9" w:type="dxa"/>
            <w:vAlign w:val="center"/>
          </w:tcPr>
          <w:p w14:paraId="1438B561">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p>
        </w:tc>
        <w:tc>
          <w:tcPr>
            <w:tcW w:w="1487" w:type="dxa"/>
          </w:tcPr>
          <w:p w14:paraId="0E5E3C2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742" w:type="dxa"/>
          </w:tcPr>
          <w:p w14:paraId="1415D57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5449779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1D06152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882" w:type="dxa"/>
          </w:tcPr>
          <w:p w14:paraId="58CAFE1C">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894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9" w:type="dxa"/>
            <w:vAlign w:val="center"/>
          </w:tcPr>
          <w:p w14:paraId="1C147DBC">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p>
        </w:tc>
        <w:tc>
          <w:tcPr>
            <w:tcW w:w="1487" w:type="dxa"/>
          </w:tcPr>
          <w:p w14:paraId="758CA92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742" w:type="dxa"/>
          </w:tcPr>
          <w:p w14:paraId="4283895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216DD45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30605BE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882" w:type="dxa"/>
          </w:tcPr>
          <w:p w14:paraId="63407D58">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364F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9" w:type="dxa"/>
            <w:vAlign w:val="center"/>
          </w:tcPr>
          <w:p w14:paraId="66C1F87E">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p>
        </w:tc>
        <w:tc>
          <w:tcPr>
            <w:tcW w:w="1487" w:type="dxa"/>
          </w:tcPr>
          <w:p w14:paraId="252204C1">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742" w:type="dxa"/>
          </w:tcPr>
          <w:p w14:paraId="4937D95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08DF1D9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0F3CA33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882" w:type="dxa"/>
          </w:tcPr>
          <w:p w14:paraId="3C54FE9A">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5990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9" w:type="dxa"/>
            <w:vAlign w:val="center"/>
          </w:tcPr>
          <w:p w14:paraId="765E281C">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p>
        </w:tc>
        <w:tc>
          <w:tcPr>
            <w:tcW w:w="1487" w:type="dxa"/>
          </w:tcPr>
          <w:p w14:paraId="3C9BD22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742" w:type="dxa"/>
          </w:tcPr>
          <w:p w14:paraId="449BDBE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0ADAD99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2949C45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882" w:type="dxa"/>
          </w:tcPr>
          <w:p w14:paraId="741ABD02">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4D4E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79" w:type="dxa"/>
            <w:vAlign w:val="center"/>
          </w:tcPr>
          <w:p w14:paraId="089634A0">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p>
        </w:tc>
        <w:tc>
          <w:tcPr>
            <w:tcW w:w="1487" w:type="dxa"/>
          </w:tcPr>
          <w:p w14:paraId="117AB01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742" w:type="dxa"/>
          </w:tcPr>
          <w:p w14:paraId="5979E5E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42733B0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87" w:type="dxa"/>
          </w:tcPr>
          <w:p w14:paraId="0C19D15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882" w:type="dxa"/>
          </w:tcPr>
          <w:p w14:paraId="58861D8F">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bl>
    <w:p w14:paraId="26056952">
      <w:pPr>
        <w:pStyle w:val="15"/>
        <w:spacing w:line="400" w:lineRule="exact"/>
        <w:rPr>
          <w:rFonts w:hint="eastAsia" w:ascii="微软雅黑" w:hAnsi="微软雅黑" w:eastAsia="微软雅黑" w:cs="微软雅黑"/>
          <w:color w:val="auto"/>
          <w:sz w:val="24"/>
          <w:szCs w:val="24"/>
          <w:highlight w:val="none"/>
        </w:rPr>
      </w:pPr>
    </w:p>
    <w:p w14:paraId="24FD78E9">
      <w:pPr>
        <w:pStyle w:val="15"/>
        <w:spacing w:line="400" w:lineRule="exact"/>
        <w:rPr>
          <w:rFonts w:hint="eastAsia" w:ascii="微软雅黑" w:hAnsi="微软雅黑" w:eastAsia="微软雅黑" w:cs="微软雅黑"/>
          <w:color w:val="auto"/>
          <w:sz w:val="24"/>
          <w:szCs w:val="24"/>
          <w:highlight w:val="none"/>
        </w:rPr>
      </w:pPr>
    </w:p>
    <w:p w14:paraId="3ACEEDE0">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备注：以上表格内容中除“偏离”一列，其余表格填写不得出现“空白、无、/”等情形，否则视为实质性条款不响应，按无效投标处理。</w:t>
      </w:r>
    </w:p>
    <w:p w14:paraId="783AAFD4">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1AEC6595">
      <w:pPr>
        <w:pStyle w:val="15"/>
        <w:spacing w:line="400" w:lineRule="exact"/>
        <w:ind w:left="1080" w:leftChars="257" w:hanging="540"/>
        <w:rPr>
          <w:rFonts w:hint="eastAsia" w:ascii="微软雅黑" w:hAnsi="微软雅黑" w:eastAsia="微软雅黑" w:cs="微软雅黑"/>
          <w:color w:val="auto"/>
          <w:sz w:val="24"/>
          <w:szCs w:val="24"/>
          <w:highlight w:val="none"/>
        </w:rPr>
      </w:pPr>
    </w:p>
    <w:bookmarkEnd w:id="2547"/>
    <w:bookmarkEnd w:id="2548"/>
    <w:bookmarkEnd w:id="2549"/>
    <w:bookmarkEnd w:id="2550"/>
    <w:p w14:paraId="56331578">
      <w:pPr>
        <w:pStyle w:val="7"/>
        <w:spacing w:line="360" w:lineRule="exact"/>
        <w:ind w:firstLine="0"/>
        <w:rPr>
          <w:rFonts w:hint="eastAsia" w:ascii="微软雅黑" w:hAnsi="微软雅黑" w:eastAsia="微软雅黑" w:cs="微软雅黑"/>
          <w:color w:val="auto"/>
          <w:kern w:val="2"/>
          <w:sz w:val="24"/>
          <w:szCs w:val="24"/>
          <w:highlight w:val="none"/>
          <w:u w:val="single"/>
        </w:rPr>
      </w:pPr>
      <w:bookmarkStart w:id="2571" w:name="_Toc216582818"/>
      <w:bookmarkStart w:id="2572" w:name="_Toc515647821"/>
      <w:bookmarkStart w:id="2573" w:name="_Toc1980"/>
      <w:bookmarkStart w:id="2574" w:name="_Toc31439"/>
      <w:bookmarkStart w:id="2575" w:name="_Toc23"/>
      <w:r>
        <w:rPr>
          <w:rFonts w:hint="eastAsia" w:ascii="微软雅黑" w:hAnsi="微软雅黑" w:eastAsia="微软雅黑" w:cs="微软雅黑"/>
          <w:color w:val="auto"/>
          <w:kern w:val="2"/>
          <w:sz w:val="24"/>
          <w:szCs w:val="24"/>
          <w:highlight w:val="none"/>
          <w:lang w:eastAsia="zh-CN"/>
        </w:rPr>
        <w:t>供应商</w:t>
      </w:r>
      <w:r>
        <w:rPr>
          <w:rFonts w:hint="eastAsia" w:ascii="微软雅黑" w:hAnsi="微软雅黑" w:eastAsia="微软雅黑" w:cs="微软雅黑"/>
          <w:color w:val="auto"/>
          <w:kern w:val="2"/>
          <w:sz w:val="24"/>
          <w:szCs w:val="24"/>
          <w:highlight w:val="none"/>
        </w:rPr>
        <w:t>名称（</w:t>
      </w:r>
      <w:r>
        <w:rPr>
          <w:rFonts w:hint="eastAsia" w:ascii="微软雅黑" w:hAnsi="微软雅黑" w:eastAsia="微软雅黑" w:cs="微软雅黑"/>
          <w:color w:val="auto"/>
          <w:kern w:val="2"/>
          <w:sz w:val="24"/>
          <w:szCs w:val="24"/>
          <w:highlight w:val="none"/>
          <w:lang w:eastAsia="zh-CN"/>
        </w:rPr>
        <w:t>公章</w:t>
      </w:r>
      <w:r>
        <w:rPr>
          <w:rFonts w:hint="eastAsia" w:ascii="微软雅黑" w:hAnsi="微软雅黑" w:eastAsia="微软雅黑" w:cs="微软雅黑"/>
          <w:color w:val="auto"/>
          <w:kern w:val="2"/>
          <w:sz w:val="24"/>
          <w:szCs w:val="24"/>
          <w:highlight w:val="none"/>
        </w:rPr>
        <w:t>）：</w:t>
      </w:r>
      <w:r>
        <w:rPr>
          <w:rFonts w:hint="eastAsia" w:ascii="微软雅黑" w:hAnsi="微软雅黑" w:eastAsia="微软雅黑" w:cs="微软雅黑"/>
          <w:color w:val="auto"/>
          <w:kern w:val="2"/>
          <w:sz w:val="24"/>
          <w:szCs w:val="24"/>
          <w:highlight w:val="none"/>
          <w:u w:val="single"/>
        </w:rPr>
        <w:t xml:space="preserve">                       </w:t>
      </w:r>
    </w:p>
    <w:p w14:paraId="44F6E742">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lang w:val="en-US" w:eastAsia="zh-CN"/>
        </w:rPr>
        <w:t>或委托代理人</w:t>
      </w:r>
      <w:r>
        <w:rPr>
          <w:rFonts w:hint="eastAsia" w:ascii="微软雅黑" w:hAnsi="微软雅黑" w:eastAsia="微软雅黑" w:cs="微软雅黑"/>
          <w:color w:val="auto"/>
          <w:kern w:val="2"/>
          <w:sz w:val="24"/>
          <w:szCs w:val="24"/>
          <w:highlight w:val="none"/>
        </w:rPr>
        <w:t>(签/章):</w:t>
      </w:r>
      <w:r>
        <w:rPr>
          <w:rFonts w:hint="eastAsia" w:ascii="微软雅黑" w:hAnsi="微软雅黑" w:eastAsia="微软雅黑" w:cs="微软雅黑"/>
          <w:color w:val="auto"/>
          <w:kern w:val="2"/>
          <w:sz w:val="24"/>
          <w:szCs w:val="24"/>
          <w:highlight w:val="none"/>
          <w:u w:val="single"/>
        </w:rPr>
        <w:tab/>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u w:val="single"/>
        </w:rPr>
        <w:t xml:space="preserve">   </w:t>
      </w:r>
      <w:r>
        <w:rPr>
          <w:rFonts w:hint="eastAsia" w:ascii="微软雅黑" w:hAnsi="微软雅黑" w:eastAsia="微软雅黑" w:cs="微软雅黑"/>
          <w:color w:val="auto"/>
          <w:kern w:val="2"/>
          <w:sz w:val="24"/>
          <w:szCs w:val="24"/>
          <w:highlight w:val="none"/>
        </w:rPr>
        <w:t xml:space="preserve">                 </w:t>
      </w:r>
    </w:p>
    <w:p w14:paraId="6CD991F5">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日期 ：</w:t>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rPr>
        <w:t xml:space="preserve">   </w:t>
      </w:r>
    </w:p>
    <w:p w14:paraId="310640B3">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565B0A4A">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384854B">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51DC6FAD">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1E5BF0FF">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1EC4F4D1">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44D9E0F0">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7928207">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3742EC51">
      <w:pPr>
        <w:rPr>
          <w:rFonts w:hint="eastAsia" w:ascii="微软雅黑" w:hAnsi="微软雅黑" w:eastAsia="微软雅黑" w:cs="微软雅黑"/>
          <w:color w:val="auto"/>
          <w:sz w:val="28"/>
          <w:szCs w:val="28"/>
          <w:highlight w:val="none"/>
        </w:rPr>
      </w:pPr>
      <w:bookmarkStart w:id="2576" w:name="_Toc22109"/>
      <w:bookmarkStart w:id="2577" w:name="_Toc12914"/>
      <w:bookmarkStart w:id="2578" w:name="_Toc14887"/>
      <w:r>
        <w:rPr>
          <w:rFonts w:hint="eastAsia" w:ascii="微软雅黑" w:hAnsi="微软雅黑" w:eastAsia="微软雅黑" w:cs="微软雅黑"/>
          <w:color w:val="auto"/>
          <w:sz w:val="28"/>
          <w:szCs w:val="28"/>
          <w:highlight w:val="none"/>
        </w:rPr>
        <w:br w:type="page"/>
      </w:r>
    </w:p>
    <w:bookmarkEnd w:id="2571"/>
    <w:bookmarkEnd w:id="2572"/>
    <w:bookmarkEnd w:id="2573"/>
    <w:bookmarkEnd w:id="2574"/>
    <w:bookmarkEnd w:id="2575"/>
    <w:bookmarkEnd w:id="2576"/>
    <w:bookmarkEnd w:id="2577"/>
    <w:bookmarkEnd w:id="2578"/>
    <w:p w14:paraId="09BE300A">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579" w:name="_Toc3475"/>
      <w:bookmarkStart w:id="2580" w:name="_Toc4279"/>
      <w:bookmarkStart w:id="2581" w:name="_Toc16404"/>
      <w:bookmarkStart w:id="2582" w:name="_Toc26961"/>
      <w:r>
        <w:rPr>
          <w:rFonts w:hint="eastAsia" w:ascii="微软雅黑" w:hAnsi="微软雅黑" w:eastAsia="微软雅黑" w:cs="微软雅黑"/>
          <w:b/>
          <w:bCs/>
          <w:color w:val="auto"/>
          <w:sz w:val="28"/>
          <w:szCs w:val="28"/>
          <w:highlight w:val="none"/>
          <w:u w:val="none"/>
          <w:lang w:val="en-US" w:eastAsia="zh-CN"/>
        </w:rPr>
        <w:t>5.商务条款偏离表</w:t>
      </w:r>
      <w:bookmarkEnd w:id="2579"/>
      <w:bookmarkEnd w:id="2580"/>
      <w:bookmarkEnd w:id="2581"/>
      <w:bookmarkEnd w:id="2582"/>
    </w:p>
    <w:p w14:paraId="6E80D846">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val="en-US" w:eastAsia="zh-CN"/>
        </w:rPr>
        <w:t>标项：</w:t>
      </w:r>
      <w:r>
        <w:rPr>
          <w:rFonts w:hint="eastAsia" w:ascii="微软雅黑" w:hAnsi="微软雅黑" w:eastAsia="微软雅黑" w:cs="微软雅黑"/>
          <w:color w:val="auto"/>
          <w:sz w:val="24"/>
          <w:szCs w:val="24"/>
          <w:highlight w:val="none"/>
        </w:rPr>
        <w:t xml:space="preserve">  </w:t>
      </w:r>
    </w:p>
    <w:tbl>
      <w:tblPr>
        <w:tblStyle w:val="2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32"/>
        <w:gridCol w:w="2668"/>
        <w:gridCol w:w="2668"/>
        <w:gridCol w:w="795"/>
      </w:tblGrid>
      <w:tr w14:paraId="2DE3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12E691C3">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132" w:type="dxa"/>
            <w:vAlign w:val="top"/>
          </w:tcPr>
          <w:p w14:paraId="66CABF56">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668" w:type="dxa"/>
            <w:vAlign w:val="top"/>
          </w:tcPr>
          <w:p w14:paraId="30624D7D">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668" w:type="dxa"/>
            <w:vAlign w:val="top"/>
          </w:tcPr>
          <w:p w14:paraId="7839D4E7">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795" w:type="dxa"/>
            <w:vAlign w:val="top"/>
          </w:tcPr>
          <w:p w14:paraId="5D47D852">
            <w:pPr>
              <w:pStyle w:val="15"/>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偏离</w:t>
            </w:r>
          </w:p>
        </w:tc>
      </w:tr>
      <w:tr w14:paraId="11CD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62318A24">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633ECD7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1E049A39">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668" w:type="dxa"/>
            <w:vAlign w:val="top"/>
          </w:tcPr>
          <w:p w14:paraId="5DCA9717">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95" w:type="dxa"/>
            <w:vAlign w:val="top"/>
          </w:tcPr>
          <w:p w14:paraId="4F968965">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8D8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0462B35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0CA0A20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5F0322C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3260DE8B">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0F37BE3D">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506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2B0612F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38FB56B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26F98F3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09FDC65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02F068FF">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8F6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0DBF34F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256D0C9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5802A58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1B35B53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3F711A4E">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3A3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7102696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76D97A4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5A24E36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5B54628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5000B2D7">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3D6F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36614CF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32D8F76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143C2BF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4220E63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2CA05153">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5924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0732437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57D57F7B">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00AF2CAB">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77159FA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15DAD8A1">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A75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35F82F3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5E3E6C6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0C6535B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04426161">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0BB814F0">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439F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03B21F0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2820F98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3133C7FB">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33831BA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1F29FB47">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6E86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008EA511">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4E0AF6F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206DAD6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62EA71F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0E26F6DA">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25FA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5388E18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69262A9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6F7BBD8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1F9D5DD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41C7895C">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7866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07293E6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0A9BEE7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60056E0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2D67CA1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6B9108D4">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FA5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94" w:type="dxa"/>
            <w:vAlign w:val="top"/>
          </w:tcPr>
          <w:p w14:paraId="65D7DC7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132" w:type="dxa"/>
            <w:vAlign w:val="top"/>
          </w:tcPr>
          <w:p w14:paraId="12C3FF5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36F4141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68" w:type="dxa"/>
            <w:vAlign w:val="top"/>
          </w:tcPr>
          <w:p w14:paraId="63771D0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795" w:type="dxa"/>
            <w:vAlign w:val="top"/>
          </w:tcPr>
          <w:p w14:paraId="69463FF8">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bl>
    <w:p w14:paraId="6AD30933">
      <w:pPr>
        <w:widowControl w:val="0"/>
        <w:spacing w:line="400" w:lineRule="exact"/>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备注：以上表格内容中除“偏离”一列，其余表格填写不得出现“空白、无、/”等情形，否则视为实质性条款不响应，按无效投标处理。</w:t>
      </w:r>
    </w:p>
    <w:p w14:paraId="78E8D5A7">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6A563FFC">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5DECC688">
      <w:pPr>
        <w:pStyle w:val="7"/>
        <w:spacing w:line="360" w:lineRule="exact"/>
        <w:ind w:firstLine="0"/>
        <w:rPr>
          <w:rFonts w:hint="eastAsia" w:ascii="微软雅黑" w:hAnsi="微软雅黑" w:eastAsia="微软雅黑" w:cs="微软雅黑"/>
          <w:color w:val="auto"/>
          <w:kern w:val="2"/>
          <w:sz w:val="24"/>
          <w:szCs w:val="24"/>
          <w:highlight w:val="none"/>
          <w:u w:val="single"/>
        </w:rPr>
      </w:pPr>
      <w:r>
        <w:rPr>
          <w:rFonts w:hint="eastAsia" w:ascii="微软雅黑" w:hAnsi="微软雅黑" w:eastAsia="微软雅黑" w:cs="微软雅黑"/>
          <w:color w:val="auto"/>
          <w:kern w:val="2"/>
          <w:sz w:val="24"/>
          <w:szCs w:val="24"/>
          <w:highlight w:val="none"/>
          <w:lang w:eastAsia="zh-CN"/>
        </w:rPr>
        <w:t>供应商</w:t>
      </w:r>
      <w:r>
        <w:rPr>
          <w:rFonts w:hint="eastAsia" w:ascii="微软雅黑" w:hAnsi="微软雅黑" w:eastAsia="微软雅黑" w:cs="微软雅黑"/>
          <w:color w:val="auto"/>
          <w:kern w:val="2"/>
          <w:sz w:val="24"/>
          <w:szCs w:val="24"/>
          <w:highlight w:val="none"/>
        </w:rPr>
        <w:t>名称（</w:t>
      </w:r>
      <w:r>
        <w:rPr>
          <w:rFonts w:hint="eastAsia" w:ascii="微软雅黑" w:hAnsi="微软雅黑" w:eastAsia="微软雅黑" w:cs="微软雅黑"/>
          <w:color w:val="auto"/>
          <w:kern w:val="2"/>
          <w:sz w:val="24"/>
          <w:szCs w:val="24"/>
          <w:highlight w:val="none"/>
          <w:lang w:eastAsia="zh-CN"/>
        </w:rPr>
        <w:t>公章</w:t>
      </w:r>
      <w:r>
        <w:rPr>
          <w:rFonts w:hint="eastAsia" w:ascii="微软雅黑" w:hAnsi="微软雅黑" w:eastAsia="微软雅黑" w:cs="微软雅黑"/>
          <w:color w:val="auto"/>
          <w:kern w:val="2"/>
          <w:sz w:val="24"/>
          <w:szCs w:val="24"/>
          <w:highlight w:val="none"/>
        </w:rPr>
        <w:t>）：</w:t>
      </w:r>
      <w:r>
        <w:rPr>
          <w:rFonts w:hint="eastAsia" w:ascii="微软雅黑" w:hAnsi="微软雅黑" w:eastAsia="微软雅黑" w:cs="微软雅黑"/>
          <w:color w:val="auto"/>
          <w:kern w:val="2"/>
          <w:sz w:val="24"/>
          <w:szCs w:val="24"/>
          <w:highlight w:val="none"/>
          <w:u w:val="single"/>
        </w:rPr>
        <w:t xml:space="preserve">                       </w:t>
      </w:r>
    </w:p>
    <w:p w14:paraId="5CF3F7AB">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lang w:val="en-US" w:eastAsia="zh-CN"/>
        </w:rPr>
        <w:t>或委托代理人</w:t>
      </w:r>
      <w:r>
        <w:rPr>
          <w:rFonts w:hint="eastAsia" w:ascii="微软雅黑" w:hAnsi="微软雅黑" w:eastAsia="微软雅黑" w:cs="微软雅黑"/>
          <w:color w:val="auto"/>
          <w:kern w:val="2"/>
          <w:sz w:val="24"/>
          <w:szCs w:val="24"/>
          <w:highlight w:val="none"/>
        </w:rPr>
        <w:t>(签/章):</w:t>
      </w:r>
      <w:r>
        <w:rPr>
          <w:rFonts w:hint="eastAsia" w:ascii="微软雅黑" w:hAnsi="微软雅黑" w:eastAsia="微软雅黑" w:cs="微软雅黑"/>
          <w:color w:val="auto"/>
          <w:kern w:val="2"/>
          <w:sz w:val="24"/>
          <w:szCs w:val="24"/>
          <w:highlight w:val="none"/>
          <w:u w:val="single"/>
        </w:rPr>
        <w:tab/>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u w:val="single"/>
        </w:rPr>
        <w:t xml:space="preserve">   </w:t>
      </w:r>
      <w:r>
        <w:rPr>
          <w:rFonts w:hint="eastAsia" w:ascii="微软雅黑" w:hAnsi="微软雅黑" w:eastAsia="微软雅黑" w:cs="微软雅黑"/>
          <w:color w:val="auto"/>
          <w:kern w:val="2"/>
          <w:sz w:val="24"/>
          <w:szCs w:val="24"/>
          <w:highlight w:val="none"/>
        </w:rPr>
        <w:t xml:space="preserve">                 </w:t>
      </w:r>
    </w:p>
    <w:p w14:paraId="45D48FB3">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日期 ：</w:t>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rPr>
        <w:t xml:space="preserve">   </w:t>
      </w:r>
    </w:p>
    <w:p w14:paraId="5D2EBA36">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A0D50F9">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23A0066E">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4B6A4BC3">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9F1E1C0">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2A3E08DC">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583" w:name="_Toc27043"/>
      <w:bookmarkStart w:id="2584" w:name="_Toc17820"/>
      <w:bookmarkStart w:id="2585" w:name="_Toc25797"/>
      <w:bookmarkStart w:id="2586" w:name="_Toc515647823"/>
      <w:bookmarkStart w:id="2587" w:name="_Toc10725"/>
      <w:bookmarkStart w:id="2588" w:name="_Toc31694"/>
      <w:bookmarkStart w:id="2589" w:name="_Toc21312"/>
      <w:r>
        <w:rPr>
          <w:rFonts w:hint="eastAsia" w:ascii="微软雅黑" w:hAnsi="微软雅黑" w:eastAsia="微软雅黑" w:cs="微软雅黑"/>
          <w:color w:val="auto"/>
          <w:sz w:val="24"/>
          <w:szCs w:val="24"/>
          <w:highlight w:val="none"/>
        </w:rPr>
        <w:br w:type="page"/>
      </w:r>
      <w:bookmarkEnd w:id="2583"/>
      <w:bookmarkEnd w:id="2584"/>
      <w:bookmarkEnd w:id="2585"/>
      <w:bookmarkEnd w:id="2586"/>
      <w:bookmarkEnd w:id="2587"/>
      <w:bookmarkEnd w:id="2588"/>
      <w:bookmarkEnd w:id="2589"/>
      <w:bookmarkStart w:id="2590" w:name="_Toc32351"/>
      <w:bookmarkStart w:id="2591" w:name="_Toc26391"/>
      <w:bookmarkStart w:id="2592" w:name="_Toc2545"/>
      <w:bookmarkStart w:id="2593" w:name="_Toc7023"/>
      <w:bookmarkStart w:id="2594" w:name="_Toc10977"/>
      <w:bookmarkStart w:id="2595" w:name="_Toc11803"/>
      <w:bookmarkStart w:id="2596" w:name="_Toc515647824"/>
      <w:bookmarkStart w:id="2597" w:name="_Toc21610"/>
      <w:bookmarkStart w:id="2598" w:name="_Toc2709"/>
      <w:bookmarkStart w:id="2599" w:name="_Toc9687"/>
      <w:bookmarkStart w:id="2600" w:name="_Toc11343"/>
      <w:r>
        <w:rPr>
          <w:rFonts w:hint="eastAsia" w:ascii="微软雅黑" w:hAnsi="微软雅黑" w:eastAsia="微软雅黑" w:cs="微软雅黑"/>
          <w:b/>
          <w:bCs/>
          <w:color w:val="auto"/>
          <w:sz w:val="28"/>
          <w:szCs w:val="28"/>
          <w:highlight w:val="none"/>
          <w:u w:val="none"/>
          <w:lang w:val="en-US" w:eastAsia="zh-CN"/>
        </w:rPr>
        <w:t>6-1 中小企业声明函</w:t>
      </w:r>
      <w:bookmarkEnd w:id="2590"/>
      <w:bookmarkEnd w:id="2591"/>
      <w:r>
        <w:rPr>
          <w:rFonts w:hint="eastAsia" w:ascii="微软雅黑" w:hAnsi="微软雅黑" w:eastAsia="微软雅黑" w:cs="微软雅黑"/>
          <w:b/>
          <w:bCs/>
          <w:color w:val="auto"/>
          <w:sz w:val="28"/>
          <w:szCs w:val="28"/>
          <w:highlight w:val="none"/>
          <w:u w:val="none"/>
          <w:lang w:val="en-US" w:eastAsia="zh-CN"/>
        </w:rPr>
        <w:t>（服务）</w:t>
      </w:r>
      <w:bookmarkEnd w:id="2592"/>
      <w:bookmarkEnd w:id="2593"/>
    </w:p>
    <w:p w14:paraId="0FE8A0C0">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本公司（联合体）郑重声明，根据《政府采购促进中小企业发展管理办法》（财库﹝2020﹞46号）的规定，本公司（联合体）参加</w:t>
      </w:r>
      <w:r>
        <w:rPr>
          <w:rFonts w:hint="eastAsia" w:ascii="微软雅黑" w:hAnsi="微软雅黑" w:eastAsia="微软雅黑" w:cs="微软雅黑"/>
          <w:color w:val="auto"/>
          <w:spacing w:val="5"/>
          <w:w w:val="95"/>
          <w:kern w:val="2"/>
          <w:sz w:val="24"/>
          <w:szCs w:val="24"/>
          <w:highlight w:val="none"/>
          <w:u w:val="single"/>
          <w:lang w:val="zh-CN" w:eastAsia="zh-CN" w:bidi="zh-CN"/>
        </w:rPr>
        <w:t>（单位名称）</w:t>
      </w:r>
      <w:r>
        <w:rPr>
          <w:rFonts w:hint="eastAsia" w:ascii="微软雅黑" w:hAnsi="微软雅黑" w:eastAsia="微软雅黑" w:cs="微软雅黑"/>
          <w:color w:val="auto"/>
          <w:spacing w:val="5"/>
          <w:w w:val="95"/>
          <w:kern w:val="2"/>
          <w:sz w:val="24"/>
          <w:szCs w:val="24"/>
          <w:highlight w:val="none"/>
          <w:u w:val="none"/>
          <w:lang w:val="en-US" w:eastAsia="zh-CN" w:bidi="zh-CN"/>
        </w:rPr>
        <w:t>的</w:t>
      </w:r>
      <w:r>
        <w:rPr>
          <w:rFonts w:hint="eastAsia" w:ascii="微软雅黑" w:hAnsi="微软雅黑" w:eastAsia="微软雅黑" w:cs="微软雅黑"/>
          <w:color w:val="auto"/>
          <w:spacing w:val="5"/>
          <w:w w:val="95"/>
          <w:kern w:val="2"/>
          <w:sz w:val="24"/>
          <w:szCs w:val="24"/>
          <w:highlight w:val="none"/>
          <w:u w:val="single"/>
          <w:lang w:val="zh-CN" w:eastAsia="zh-CN" w:bidi="zh-CN"/>
        </w:rPr>
        <w:t>（项目名称）</w:t>
      </w:r>
      <w:r>
        <w:rPr>
          <w:rFonts w:hint="eastAsia" w:ascii="微软雅黑" w:hAnsi="微软雅黑" w:eastAsia="微软雅黑" w:cs="微软雅黑"/>
          <w:color w:val="auto"/>
          <w:spacing w:val="5"/>
          <w:w w:val="95"/>
          <w:kern w:val="2"/>
          <w:sz w:val="24"/>
          <w:szCs w:val="24"/>
          <w:highlight w:val="none"/>
          <w:u w:val="none"/>
          <w:lang w:val="en-US" w:eastAsia="zh-CN" w:bidi="zh-CN"/>
        </w:rPr>
        <w:t>采购活动，服务全部由符合政策要求的中小企业承接。相关企业（含联合体中的中小企业、签订分包意向协议的中小企业）的具体情况如下：</w:t>
      </w:r>
    </w:p>
    <w:p w14:paraId="6643436F">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kern w:val="2"/>
          <w:sz w:val="24"/>
          <w:szCs w:val="24"/>
          <w:highlight w:val="none"/>
          <w:u w:val="none"/>
          <w:lang w:val="en-US" w:eastAsia="zh-CN" w:bidi="ar-SA"/>
        </w:rPr>
      </w:pPr>
      <w:r>
        <w:rPr>
          <w:rFonts w:hint="eastAsia" w:ascii="微软雅黑" w:hAnsi="微软雅黑" w:eastAsia="微软雅黑" w:cs="微软雅黑"/>
          <w:color w:val="auto"/>
          <w:spacing w:val="5"/>
          <w:w w:val="95"/>
          <w:kern w:val="2"/>
          <w:sz w:val="24"/>
          <w:szCs w:val="24"/>
          <w:highlight w:val="none"/>
          <w:u w:val="none"/>
          <w:lang w:val="en-US" w:eastAsia="zh-CN" w:bidi="zh-CN"/>
        </w:rPr>
        <w:t>1.</w:t>
      </w:r>
      <w:r>
        <w:rPr>
          <w:rFonts w:hint="eastAsia" w:ascii="微软雅黑" w:hAnsi="微软雅黑" w:eastAsia="微软雅黑" w:cs="微软雅黑"/>
          <w:color w:val="auto"/>
          <w:spacing w:val="5"/>
          <w:w w:val="95"/>
          <w:kern w:val="2"/>
          <w:sz w:val="24"/>
          <w:szCs w:val="24"/>
          <w:highlight w:val="none"/>
          <w:u w:val="single"/>
          <w:lang w:val="zh-CN" w:eastAsia="zh-CN" w:bidi="zh-CN"/>
        </w:rPr>
        <w:t>（标的名称）</w:t>
      </w:r>
      <w:r>
        <w:rPr>
          <w:rFonts w:hint="eastAsia" w:ascii="微软雅黑" w:hAnsi="微软雅黑" w:eastAsia="微软雅黑" w:cs="微软雅黑"/>
          <w:i/>
          <w:color w:val="auto"/>
          <w:kern w:val="2"/>
          <w:sz w:val="24"/>
          <w:szCs w:val="24"/>
          <w:highlight w:val="none"/>
          <w:u w:val="none"/>
          <w:lang w:val="en-US" w:eastAsia="zh-CN" w:bidi="ar-SA"/>
        </w:rPr>
        <w:t xml:space="preserve"> </w:t>
      </w:r>
      <w:r>
        <w:rPr>
          <w:rFonts w:hint="eastAsia" w:ascii="微软雅黑" w:hAnsi="微软雅黑" w:eastAsia="微软雅黑" w:cs="微软雅黑"/>
          <w:color w:val="auto"/>
          <w:spacing w:val="-43"/>
          <w:kern w:val="2"/>
          <w:sz w:val="24"/>
          <w:szCs w:val="24"/>
          <w:highlight w:val="none"/>
          <w:u w:val="non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zh-CN" w:eastAsia="zh-CN" w:bidi="ar-SA"/>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（采购文件中明确的所属行业）行业</w:t>
      </w:r>
      <w:r>
        <w:rPr>
          <w:rFonts w:hint="eastAsia" w:ascii="微软雅黑" w:hAnsi="微软雅黑" w:eastAsia="微软雅黑" w:cs="微软雅黑"/>
          <w:color w:val="auto"/>
          <w:spacing w:val="7"/>
          <w:w w:val="99"/>
          <w:kern w:val="2"/>
          <w:sz w:val="24"/>
          <w:szCs w:val="24"/>
          <w:highlight w:val="none"/>
          <w:u w:val="none"/>
          <w:lang w:val="en-US" w:eastAsia="zh-CN" w:bidi="ar-SA"/>
        </w:rPr>
        <w:t>；</w:t>
      </w:r>
      <w:r>
        <w:rPr>
          <w:rFonts w:hint="eastAsia" w:ascii="微软雅黑" w:hAnsi="微软雅黑" w:eastAsia="微软雅黑" w:cs="微软雅黑"/>
          <w:color w:val="auto"/>
          <w:spacing w:val="5"/>
          <w:w w:val="99"/>
          <w:kern w:val="2"/>
          <w:sz w:val="24"/>
          <w:szCs w:val="24"/>
          <w:highlight w:val="none"/>
          <w:u w:val="none"/>
          <w:lang w:val="en-US" w:eastAsia="zh-CN" w:bidi="ar-SA"/>
        </w:rPr>
        <w:t>承接企业</w:t>
      </w:r>
      <w:r>
        <w:rPr>
          <w:rFonts w:hint="eastAsia" w:ascii="微软雅黑" w:hAnsi="微软雅黑" w:eastAsia="微软雅黑" w:cs="微软雅黑"/>
          <w:color w:val="auto"/>
          <w:spacing w:val="-10"/>
          <w:w w:val="99"/>
          <w:kern w:val="2"/>
          <w:sz w:val="24"/>
          <w:szCs w:val="24"/>
          <w:highlight w:val="none"/>
          <w:u w:val="none"/>
          <w:lang w:val="en-US" w:eastAsia="zh-CN" w:bidi="ar-SA"/>
        </w:rPr>
        <w:t>为</w:t>
      </w:r>
      <w:r>
        <w:rPr>
          <w:rFonts w:hint="eastAsia" w:ascii="微软雅黑" w:hAnsi="微软雅黑" w:eastAsia="微软雅黑" w:cs="微软雅黑"/>
          <w:color w:val="auto"/>
          <w:spacing w:val="5"/>
          <w:w w:val="95"/>
          <w:kern w:val="2"/>
          <w:sz w:val="24"/>
          <w:szCs w:val="24"/>
          <w:highlight w:val="none"/>
          <w:u w:val="single"/>
          <w:lang w:val="zh-CN" w:eastAsia="zh-CN" w:bidi="zh-CN"/>
        </w:rPr>
        <w:t>（企业名称）</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r>
        <w:rPr>
          <w:rFonts w:hint="eastAsia" w:ascii="微软雅黑" w:hAnsi="微软雅黑" w:eastAsia="微软雅黑" w:cs="微软雅黑"/>
          <w:color w:val="auto"/>
          <w:spacing w:val="5"/>
          <w:w w:val="99"/>
          <w:kern w:val="2"/>
          <w:sz w:val="24"/>
          <w:szCs w:val="24"/>
          <w:highlight w:val="none"/>
          <w:u w:val="none"/>
          <w:lang w:val="en-US" w:eastAsia="zh-CN" w:bidi="ar-SA"/>
        </w:rPr>
        <w:t>从</w:t>
      </w:r>
      <w:r>
        <w:rPr>
          <w:rFonts w:hint="eastAsia" w:ascii="微软雅黑" w:hAnsi="微软雅黑" w:eastAsia="微软雅黑" w:cs="微软雅黑"/>
          <w:color w:val="auto"/>
          <w:spacing w:val="7"/>
          <w:w w:val="99"/>
          <w:kern w:val="2"/>
          <w:sz w:val="24"/>
          <w:szCs w:val="24"/>
          <w:highlight w:val="none"/>
          <w:u w:val="none"/>
          <w:lang w:val="en-US" w:eastAsia="zh-CN" w:bidi="ar-SA"/>
        </w:rPr>
        <w:t>业</w:t>
      </w:r>
      <w:r>
        <w:rPr>
          <w:rFonts w:hint="eastAsia" w:ascii="微软雅黑" w:hAnsi="微软雅黑" w:eastAsia="微软雅黑" w:cs="微软雅黑"/>
          <w:color w:val="auto"/>
          <w:spacing w:val="5"/>
          <w:w w:val="99"/>
          <w:kern w:val="2"/>
          <w:sz w:val="24"/>
          <w:szCs w:val="24"/>
          <w:highlight w:val="none"/>
          <w:u w:val="none"/>
          <w:lang w:val="en-US" w:eastAsia="zh-CN" w:bidi="ar-SA"/>
        </w:rPr>
        <w:t>人</w:t>
      </w:r>
      <w:r>
        <w:rPr>
          <w:rFonts w:hint="eastAsia" w:ascii="微软雅黑" w:hAnsi="微软雅黑" w:eastAsia="微软雅黑" w:cs="微软雅黑"/>
          <w:color w:val="auto"/>
          <w:spacing w:val="4"/>
          <w:w w:val="99"/>
          <w:kern w:val="2"/>
          <w:sz w:val="24"/>
          <w:szCs w:val="24"/>
          <w:highlight w:val="none"/>
          <w:u w:val="none"/>
          <w:lang w:val="en-US" w:eastAsia="zh-CN" w:bidi="ar-SA"/>
        </w:rPr>
        <w:t>员</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en-US" w:eastAsia="zh-CN" w:bidi="ar-SA"/>
        </w:rPr>
        <w:t>人</w:t>
      </w:r>
      <w:r>
        <w:rPr>
          <w:rFonts w:hint="eastAsia" w:ascii="微软雅黑" w:hAnsi="微软雅黑" w:eastAsia="微软雅黑" w:cs="微软雅黑"/>
          <w:color w:val="auto"/>
          <w:spacing w:val="5"/>
          <w:w w:val="99"/>
          <w:kern w:val="2"/>
          <w:sz w:val="24"/>
          <w:szCs w:val="24"/>
          <w:highlight w:val="none"/>
          <w:u w:val="none"/>
          <w:lang w:val="en-US" w:eastAsia="zh-CN" w:bidi="ar-SA"/>
        </w:rPr>
        <w:t>，</w:t>
      </w:r>
      <w:r>
        <w:rPr>
          <w:rFonts w:hint="eastAsia" w:ascii="微软雅黑" w:hAnsi="微软雅黑" w:eastAsia="微软雅黑" w:cs="微软雅黑"/>
          <w:color w:val="auto"/>
          <w:spacing w:val="7"/>
          <w:w w:val="99"/>
          <w:kern w:val="2"/>
          <w:sz w:val="24"/>
          <w:szCs w:val="24"/>
          <w:highlight w:val="none"/>
          <w:u w:val="none"/>
          <w:lang w:val="en-US" w:eastAsia="zh-CN" w:bidi="ar-SA"/>
        </w:rPr>
        <w:t>营</w:t>
      </w:r>
      <w:r>
        <w:rPr>
          <w:rFonts w:hint="eastAsia" w:ascii="微软雅黑" w:hAnsi="微软雅黑" w:eastAsia="微软雅黑" w:cs="微软雅黑"/>
          <w:color w:val="auto"/>
          <w:spacing w:val="5"/>
          <w:w w:val="99"/>
          <w:kern w:val="2"/>
          <w:sz w:val="24"/>
          <w:szCs w:val="24"/>
          <w:highlight w:val="none"/>
          <w:u w:val="none"/>
          <w:lang w:val="en-US" w:eastAsia="zh-CN" w:bidi="ar-SA"/>
        </w:rPr>
        <w:t>业</w:t>
      </w:r>
      <w:r>
        <w:rPr>
          <w:rFonts w:hint="eastAsia" w:ascii="微软雅黑" w:hAnsi="微软雅黑" w:eastAsia="微软雅黑" w:cs="微软雅黑"/>
          <w:color w:val="auto"/>
          <w:spacing w:val="7"/>
          <w:w w:val="99"/>
          <w:kern w:val="2"/>
          <w:sz w:val="24"/>
          <w:szCs w:val="24"/>
          <w:highlight w:val="none"/>
          <w:u w:val="none"/>
          <w:lang w:val="en-US" w:eastAsia="zh-CN" w:bidi="ar-SA"/>
        </w:rPr>
        <w:t>收入为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u w:val="none"/>
          <w:lang w:val="en-US" w:eastAsia="zh-CN" w:bidi="ar-SA"/>
        </w:rPr>
        <w:t>万元</w:t>
      </w:r>
      <w:r>
        <w:rPr>
          <w:rFonts w:hint="eastAsia" w:ascii="微软雅黑" w:hAnsi="微软雅黑" w:eastAsia="微软雅黑" w:cs="微软雅黑"/>
          <w:color w:val="auto"/>
          <w:spacing w:val="-22"/>
          <w:kern w:val="2"/>
          <w:sz w:val="24"/>
          <w:szCs w:val="24"/>
          <w:highlight w:val="none"/>
          <w:u w:val="none"/>
          <w:lang w:val="en-US" w:eastAsia="zh-CN" w:bidi="ar-SA"/>
        </w:rPr>
        <w:t>，</w:t>
      </w:r>
      <w:r>
        <w:rPr>
          <w:rFonts w:hint="eastAsia" w:ascii="微软雅黑" w:hAnsi="微软雅黑" w:eastAsia="微软雅黑" w:cs="微软雅黑"/>
          <w:color w:val="auto"/>
          <w:kern w:val="2"/>
          <w:sz w:val="24"/>
          <w:szCs w:val="24"/>
          <w:highlight w:val="none"/>
          <w:u w:val="none"/>
          <w:lang w:val="en-US" w:eastAsia="zh-CN" w:bidi="ar-SA"/>
        </w:rPr>
        <w:t>资产总额为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w w:val="95"/>
          <w:kern w:val="2"/>
          <w:sz w:val="24"/>
          <w:szCs w:val="24"/>
          <w:highlight w:val="none"/>
          <w:u w:val="none"/>
          <w:lang w:val="en-US" w:eastAsia="zh-CN" w:bidi="ar-SA"/>
        </w:rPr>
        <w:t>万元</w:t>
      </w:r>
      <w:r>
        <w:rPr>
          <w:rFonts w:hint="eastAsia" w:ascii="微软雅黑" w:hAnsi="微软雅黑" w:eastAsia="微软雅黑" w:cs="微软雅黑"/>
          <w:color w:val="auto"/>
          <w:spacing w:val="-12"/>
          <w:w w:val="95"/>
          <w:kern w:val="2"/>
          <w:sz w:val="24"/>
          <w:szCs w:val="24"/>
          <w:highlight w:val="none"/>
          <w:u w:val="none"/>
          <w:lang w:val="en-US" w:eastAsia="zh-CN" w:bidi="ar-SA"/>
        </w:rPr>
        <w:t>，</w:t>
      </w:r>
      <w:r>
        <w:rPr>
          <w:rFonts w:hint="eastAsia" w:ascii="微软雅黑" w:hAnsi="微软雅黑" w:eastAsia="微软雅黑" w:cs="微软雅黑"/>
          <w:color w:val="auto"/>
          <w:spacing w:val="5"/>
          <w:w w:val="95"/>
          <w:kern w:val="2"/>
          <w:sz w:val="24"/>
          <w:szCs w:val="24"/>
          <w:highlight w:val="none"/>
          <w:u w:val="none"/>
          <w:lang w:val="zh-CN" w:eastAsia="zh-CN" w:bidi="zh-CN"/>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（中型企业、小型企业、微型企业）</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p>
    <w:p w14:paraId="5736E60D">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2.</w:t>
      </w:r>
      <w:r>
        <w:rPr>
          <w:rFonts w:hint="eastAsia" w:ascii="微软雅黑" w:hAnsi="微软雅黑" w:eastAsia="微软雅黑" w:cs="微软雅黑"/>
          <w:color w:val="auto"/>
          <w:spacing w:val="5"/>
          <w:w w:val="95"/>
          <w:kern w:val="2"/>
          <w:sz w:val="24"/>
          <w:szCs w:val="24"/>
          <w:highlight w:val="none"/>
          <w:u w:val="none"/>
          <w:lang w:val="zh-CN" w:eastAsia="zh-CN" w:bidi="zh-CN"/>
        </w:rPr>
        <w:t xml:space="preserve"> </w:t>
      </w:r>
      <w:r>
        <w:rPr>
          <w:rFonts w:hint="eastAsia" w:ascii="微软雅黑" w:hAnsi="微软雅黑" w:eastAsia="微软雅黑" w:cs="微软雅黑"/>
          <w:color w:val="auto"/>
          <w:spacing w:val="5"/>
          <w:w w:val="95"/>
          <w:kern w:val="2"/>
          <w:sz w:val="24"/>
          <w:szCs w:val="24"/>
          <w:highlight w:val="none"/>
          <w:u w:val="single"/>
          <w:lang w:val="zh-CN" w:eastAsia="zh-CN" w:bidi="zh-CN"/>
        </w:rPr>
        <w:t>（标的名称）</w:t>
      </w:r>
      <w:r>
        <w:rPr>
          <w:rFonts w:hint="eastAsia" w:ascii="微软雅黑" w:hAnsi="微软雅黑" w:eastAsia="微软雅黑" w:cs="微软雅黑"/>
          <w:i/>
          <w:color w:val="auto"/>
          <w:kern w:val="2"/>
          <w:sz w:val="24"/>
          <w:szCs w:val="24"/>
          <w:highlight w:val="none"/>
          <w:u w:val="none"/>
          <w:lang w:val="en-US" w:eastAsia="zh-CN" w:bidi="ar-SA"/>
        </w:rPr>
        <w:t xml:space="preserve"> </w:t>
      </w:r>
      <w:r>
        <w:rPr>
          <w:rFonts w:hint="eastAsia" w:ascii="微软雅黑" w:hAnsi="微软雅黑" w:eastAsia="微软雅黑" w:cs="微软雅黑"/>
          <w:color w:val="auto"/>
          <w:spacing w:val="-43"/>
          <w:kern w:val="2"/>
          <w:sz w:val="24"/>
          <w:szCs w:val="24"/>
          <w:highlight w:val="none"/>
          <w:u w:val="non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zh-CN" w:eastAsia="zh-CN" w:bidi="ar-SA"/>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（采购文件中明确的所属行业）行业</w:t>
      </w:r>
      <w:r>
        <w:rPr>
          <w:rFonts w:hint="eastAsia" w:ascii="微软雅黑" w:hAnsi="微软雅黑" w:eastAsia="微软雅黑" w:cs="微软雅黑"/>
          <w:color w:val="auto"/>
          <w:spacing w:val="7"/>
          <w:w w:val="99"/>
          <w:kern w:val="2"/>
          <w:sz w:val="24"/>
          <w:szCs w:val="24"/>
          <w:highlight w:val="none"/>
          <w:u w:val="none"/>
          <w:lang w:val="en-US" w:eastAsia="zh-CN" w:bidi="ar-SA"/>
        </w:rPr>
        <w:t>；</w:t>
      </w:r>
      <w:r>
        <w:rPr>
          <w:rFonts w:hint="eastAsia" w:ascii="微软雅黑" w:hAnsi="微软雅黑" w:eastAsia="微软雅黑" w:cs="微软雅黑"/>
          <w:color w:val="auto"/>
          <w:spacing w:val="5"/>
          <w:w w:val="99"/>
          <w:kern w:val="2"/>
          <w:sz w:val="24"/>
          <w:szCs w:val="24"/>
          <w:highlight w:val="none"/>
          <w:u w:val="none"/>
          <w:lang w:val="en-US" w:eastAsia="zh-CN" w:bidi="ar-SA"/>
        </w:rPr>
        <w:t>承接企业</w:t>
      </w:r>
      <w:r>
        <w:rPr>
          <w:rFonts w:hint="eastAsia" w:ascii="微软雅黑" w:hAnsi="微软雅黑" w:eastAsia="微软雅黑" w:cs="微软雅黑"/>
          <w:color w:val="auto"/>
          <w:spacing w:val="-10"/>
          <w:w w:val="99"/>
          <w:kern w:val="2"/>
          <w:sz w:val="24"/>
          <w:szCs w:val="24"/>
          <w:highlight w:val="none"/>
          <w:u w:val="none"/>
          <w:lang w:val="en-US" w:eastAsia="zh-CN" w:bidi="ar-SA"/>
        </w:rPr>
        <w:t>为</w:t>
      </w:r>
      <w:r>
        <w:rPr>
          <w:rFonts w:hint="eastAsia" w:ascii="微软雅黑" w:hAnsi="微软雅黑" w:eastAsia="微软雅黑" w:cs="微软雅黑"/>
          <w:color w:val="auto"/>
          <w:spacing w:val="5"/>
          <w:w w:val="95"/>
          <w:kern w:val="2"/>
          <w:sz w:val="24"/>
          <w:szCs w:val="24"/>
          <w:highlight w:val="none"/>
          <w:u w:val="single"/>
          <w:lang w:val="zh-CN" w:eastAsia="zh-CN" w:bidi="zh-CN"/>
        </w:rPr>
        <w:t>（企业名称）</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r>
        <w:rPr>
          <w:rFonts w:hint="eastAsia" w:ascii="微软雅黑" w:hAnsi="微软雅黑" w:eastAsia="微软雅黑" w:cs="微软雅黑"/>
          <w:color w:val="auto"/>
          <w:spacing w:val="5"/>
          <w:w w:val="99"/>
          <w:kern w:val="2"/>
          <w:sz w:val="24"/>
          <w:szCs w:val="24"/>
          <w:highlight w:val="none"/>
          <w:u w:val="none"/>
          <w:lang w:val="en-US" w:eastAsia="zh-CN" w:bidi="ar-SA"/>
        </w:rPr>
        <w:t>从</w:t>
      </w:r>
      <w:r>
        <w:rPr>
          <w:rFonts w:hint="eastAsia" w:ascii="微软雅黑" w:hAnsi="微软雅黑" w:eastAsia="微软雅黑" w:cs="微软雅黑"/>
          <w:color w:val="auto"/>
          <w:spacing w:val="7"/>
          <w:w w:val="99"/>
          <w:kern w:val="2"/>
          <w:sz w:val="24"/>
          <w:szCs w:val="24"/>
          <w:highlight w:val="none"/>
          <w:u w:val="none"/>
          <w:lang w:val="en-US" w:eastAsia="zh-CN" w:bidi="ar-SA"/>
        </w:rPr>
        <w:t>业</w:t>
      </w:r>
      <w:r>
        <w:rPr>
          <w:rFonts w:hint="eastAsia" w:ascii="微软雅黑" w:hAnsi="微软雅黑" w:eastAsia="微软雅黑" w:cs="微软雅黑"/>
          <w:color w:val="auto"/>
          <w:spacing w:val="5"/>
          <w:w w:val="99"/>
          <w:kern w:val="2"/>
          <w:sz w:val="24"/>
          <w:szCs w:val="24"/>
          <w:highlight w:val="none"/>
          <w:u w:val="none"/>
          <w:lang w:val="en-US" w:eastAsia="zh-CN" w:bidi="ar-SA"/>
        </w:rPr>
        <w:t>人</w:t>
      </w:r>
      <w:r>
        <w:rPr>
          <w:rFonts w:hint="eastAsia" w:ascii="微软雅黑" w:hAnsi="微软雅黑" w:eastAsia="微软雅黑" w:cs="微软雅黑"/>
          <w:color w:val="auto"/>
          <w:spacing w:val="4"/>
          <w:w w:val="99"/>
          <w:kern w:val="2"/>
          <w:sz w:val="24"/>
          <w:szCs w:val="24"/>
          <w:highlight w:val="none"/>
          <w:u w:val="none"/>
          <w:lang w:val="en-US" w:eastAsia="zh-CN" w:bidi="ar-SA"/>
        </w:rPr>
        <w:t>员</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en-US" w:eastAsia="zh-CN" w:bidi="ar-SA"/>
        </w:rPr>
        <w:t>人</w:t>
      </w:r>
      <w:r>
        <w:rPr>
          <w:rFonts w:hint="eastAsia" w:ascii="微软雅黑" w:hAnsi="微软雅黑" w:eastAsia="微软雅黑" w:cs="微软雅黑"/>
          <w:color w:val="auto"/>
          <w:spacing w:val="5"/>
          <w:w w:val="99"/>
          <w:kern w:val="2"/>
          <w:sz w:val="24"/>
          <w:szCs w:val="24"/>
          <w:highlight w:val="none"/>
          <w:u w:val="none"/>
          <w:lang w:val="en-US" w:eastAsia="zh-CN" w:bidi="ar-SA"/>
        </w:rPr>
        <w:t>，</w:t>
      </w:r>
      <w:r>
        <w:rPr>
          <w:rFonts w:hint="eastAsia" w:ascii="微软雅黑" w:hAnsi="微软雅黑" w:eastAsia="微软雅黑" w:cs="微软雅黑"/>
          <w:color w:val="auto"/>
          <w:spacing w:val="7"/>
          <w:w w:val="99"/>
          <w:kern w:val="2"/>
          <w:sz w:val="24"/>
          <w:szCs w:val="24"/>
          <w:highlight w:val="none"/>
          <w:u w:val="none"/>
          <w:lang w:val="en-US" w:eastAsia="zh-CN" w:bidi="ar-SA"/>
        </w:rPr>
        <w:t>营</w:t>
      </w:r>
      <w:r>
        <w:rPr>
          <w:rFonts w:hint="eastAsia" w:ascii="微软雅黑" w:hAnsi="微软雅黑" w:eastAsia="微软雅黑" w:cs="微软雅黑"/>
          <w:color w:val="auto"/>
          <w:spacing w:val="5"/>
          <w:w w:val="99"/>
          <w:kern w:val="2"/>
          <w:sz w:val="24"/>
          <w:szCs w:val="24"/>
          <w:highlight w:val="none"/>
          <w:u w:val="none"/>
          <w:lang w:val="en-US" w:eastAsia="zh-CN" w:bidi="ar-SA"/>
        </w:rPr>
        <w:t>业</w:t>
      </w:r>
      <w:r>
        <w:rPr>
          <w:rFonts w:hint="eastAsia" w:ascii="微软雅黑" w:hAnsi="微软雅黑" w:eastAsia="微软雅黑" w:cs="微软雅黑"/>
          <w:color w:val="auto"/>
          <w:spacing w:val="7"/>
          <w:w w:val="99"/>
          <w:kern w:val="2"/>
          <w:sz w:val="24"/>
          <w:szCs w:val="24"/>
          <w:highlight w:val="none"/>
          <w:u w:val="none"/>
          <w:lang w:val="en-US" w:eastAsia="zh-CN" w:bidi="ar-SA"/>
        </w:rPr>
        <w:t>收入为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u w:val="none"/>
          <w:lang w:val="en-US" w:eastAsia="zh-CN" w:bidi="ar-SA"/>
        </w:rPr>
        <w:t>万元</w:t>
      </w:r>
      <w:r>
        <w:rPr>
          <w:rFonts w:hint="eastAsia" w:ascii="微软雅黑" w:hAnsi="微软雅黑" w:eastAsia="微软雅黑" w:cs="微软雅黑"/>
          <w:color w:val="auto"/>
          <w:spacing w:val="-22"/>
          <w:kern w:val="2"/>
          <w:sz w:val="24"/>
          <w:szCs w:val="24"/>
          <w:highlight w:val="none"/>
          <w:u w:val="none"/>
          <w:lang w:val="en-US" w:eastAsia="zh-CN" w:bidi="ar-SA"/>
        </w:rPr>
        <w:t>，</w:t>
      </w:r>
      <w:r>
        <w:rPr>
          <w:rFonts w:hint="eastAsia" w:ascii="微软雅黑" w:hAnsi="微软雅黑" w:eastAsia="微软雅黑" w:cs="微软雅黑"/>
          <w:color w:val="auto"/>
          <w:kern w:val="2"/>
          <w:sz w:val="24"/>
          <w:szCs w:val="24"/>
          <w:highlight w:val="none"/>
          <w:u w:val="none"/>
          <w:lang w:val="en-US" w:eastAsia="zh-CN" w:bidi="ar-SA"/>
        </w:rPr>
        <w:t>资产总额为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w w:val="95"/>
          <w:kern w:val="2"/>
          <w:sz w:val="24"/>
          <w:szCs w:val="24"/>
          <w:highlight w:val="none"/>
          <w:u w:val="none"/>
          <w:lang w:val="en-US" w:eastAsia="zh-CN" w:bidi="ar-SA"/>
        </w:rPr>
        <w:t>万元</w:t>
      </w:r>
      <w:r>
        <w:rPr>
          <w:rFonts w:hint="eastAsia" w:ascii="微软雅黑" w:hAnsi="微软雅黑" w:eastAsia="微软雅黑" w:cs="微软雅黑"/>
          <w:color w:val="auto"/>
          <w:spacing w:val="-12"/>
          <w:w w:val="95"/>
          <w:kern w:val="2"/>
          <w:sz w:val="24"/>
          <w:szCs w:val="24"/>
          <w:highlight w:val="none"/>
          <w:u w:val="none"/>
          <w:lang w:val="en-US" w:eastAsia="zh-CN" w:bidi="ar-SA"/>
        </w:rPr>
        <w:t>，</w:t>
      </w:r>
      <w:r>
        <w:rPr>
          <w:rFonts w:hint="eastAsia" w:ascii="微软雅黑" w:hAnsi="微软雅黑" w:eastAsia="微软雅黑" w:cs="微软雅黑"/>
          <w:color w:val="auto"/>
          <w:spacing w:val="5"/>
          <w:w w:val="95"/>
          <w:kern w:val="2"/>
          <w:sz w:val="24"/>
          <w:szCs w:val="24"/>
          <w:highlight w:val="none"/>
          <w:u w:val="none"/>
          <w:lang w:val="zh-CN" w:eastAsia="zh-CN" w:bidi="zh-CN"/>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（中型企业、小型企业、微型企业）</w:t>
      </w:r>
      <w:r>
        <w:rPr>
          <w:rFonts w:hint="eastAsia" w:ascii="微软雅黑" w:hAnsi="微软雅黑" w:eastAsia="微软雅黑" w:cs="微软雅黑"/>
          <w:color w:val="auto"/>
          <w:spacing w:val="5"/>
          <w:w w:val="95"/>
          <w:kern w:val="2"/>
          <w:sz w:val="24"/>
          <w:szCs w:val="24"/>
          <w:highlight w:val="none"/>
          <w:u w:val="none"/>
          <w:lang w:val="zh-CN" w:eastAsia="zh-CN" w:bidi="zh-CN"/>
        </w:rPr>
        <w:t>；</w:t>
      </w:r>
    </w:p>
    <w:p w14:paraId="1A6FF4C5">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w:t>
      </w:r>
    </w:p>
    <w:p w14:paraId="03F2E9C8">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以上企业，不属于大企业的分支机构，不存在控股股东为大企业的情形，也不存在与大企业的负责人为同一人的情形。</w:t>
      </w:r>
    </w:p>
    <w:p w14:paraId="788FE0D3">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本企业对上述声明内容的真实性负责。如有虚假，将依法承担相应责任。</w:t>
      </w:r>
    </w:p>
    <w:p w14:paraId="3B5EC9BA">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p>
    <w:p w14:paraId="1D14D510">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p>
    <w:p w14:paraId="35FEF2AD">
      <w:pPr>
        <w:keepNext w:val="0"/>
        <w:keepLines w:val="0"/>
        <w:pageBreakBefore w:val="0"/>
        <w:widowControl w:val="0"/>
        <w:numPr>
          <w:ilvl w:val="0"/>
          <w:numId w:val="0"/>
        </w:numPr>
        <w:tabs>
          <w:tab w:val="left" w:pos="1183"/>
          <w:tab w:val="left" w:pos="1484"/>
          <w:tab w:val="left" w:pos="4662"/>
          <w:tab w:val="left" w:pos="6903"/>
        </w:tabs>
        <w:kinsoku/>
        <w:wordWrap w:val="0"/>
        <w:overflowPunct/>
        <w:topLinePunct w:val="0"/>
        <w:autoSpaceDE/>
        <w:autoSpaceDN/>
        <w:bidi w:val="0"/>
        <w:adjustRightInd/>
        <w:snapToGrid/>
        <w:spacing w:before="0" w:after="0" w:line="480" w:lineRule="exact"/>
        <w:ind w:leftChars="0" w:right="0" w:rightChars="0" w:firstLine="476" w:firstLineChars="200"/>
        <w:jc w:val="righ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 xml:space="preserve">企业名称（盖章）：        </w:t>
      </w:r>
    </w:p>
    <w:p w14:paraId="58FF2403">
      <w:pPr>
        <w:widowControl w:val="0"/>
        <w:snapToGrid w:val="0"/>
        <w:spacing w:line="500" w:lineRule="exact"/>
        <w:jc w:val="center"/>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 xml:space="preserve">                      日期：      </w:t>
      </w:r>
    </w:p>
    <w:p w14:paraId="787A86D7">
      <w:pPr>
        <w:rPr>
          <w:rFonts w:hint="eastAsia" w:ascii="微软雅黑" w:hAnsi="微软雅黑" w:eastAsia="微软雅黑" w:cs="微软雅黑"/>
          <w:b/>
          <w:bCs/>
          <w:color w:val="auto"/>
          <w:kern w:val="0"/>
          <w:sz w:val="32"/>
          <w:szCs w:val="32"/>
          <w:highlight w:val="none"/>
          <w:lang w:eastAsia="zh-CN"/>
        </w:rPr>
      </w:pPr>
      <w:r>
        <w:rPr>
          <w:rFonts w:hint="eastAsia" w:ascii="微软雅黑" w:hAnsi="微软雅黑" w:eastAsia="微软雅黑" w:cs="微软雅黑"/>
          <w:b/>
          <w:bCs/>
          <w:color w:val="auto"/>
          <w:kern w:val="0"/>
          <w:sz w:val="32"/>
          <w:szCs w:val="32"/>
          <w:highlight w:val="none"/>
          <w:lang w:val="en-US" w:eastAsia="zh-CN"/>
        </w:rPr>
        <w:t>本项目所属行业为“</w:t>
      </w:r>
      <w:r>
        <w:rPr>
          <w:rFonts w:hint="eastAsia" w:ascii="微软雅黑" w:hAnsi="微软雅黑" w:eastAsia="微软雅黑" w:cs="微软雅黑"/>
          <w:b/>
          <w:bCs/>
          <w:color w:val="FF0000"/>
          <w:kern w:val="0"/>
          <w:sz w:val="32"/>
          <w:szCs w:val="32"/>
          <w:highlight w:val="none"/>
          <w:lang w:val="en-US" w:eastAsia="zh-CN"/>
        </w:rPr>
        <w:t>租赁和商务服务业</w:t>
      </w:r>
      <w:r>
        <w:rPr>
          <w:rFonts w:hint="eastAsia" w:ascii="微软雅黑" w:hAnsi="微软雅黑" w:eastAsia="微软雅黑" w:cs="微软雅黑"/>
          <w:b/>
          <w:bCs/>
          <w:color w:val="auto"/>
          <w:kern w:val="0"/>
          <w:sz w:val="32"/>
          <w:szCs w:val="32"/>
          <w:highlight w:val="none"/>
          <w:lang w:val="en-US" w:eastAsia="zh-CN"/>
        </w:rPr>
        <w:t>”。</w:t>
      </w:r>
    </w:p>
    <w:p w14:paraId="45E40E2B">
      <w:pPr>
        <w:rPr>
          <w:rFonts w:hint="eastAsia" w:ascii="微软雅黑" w:hAnsi="微软雅黑" w:eastAsia="微软雅黑" w:cs="微软雅黑"/>
          <w:b/>
          <w:bCs/>
          <w:color w:val="auto"/>
          <w:kern w:val="0"/>
          <w:sz w:val="21"/>
          <w:szCs w:val="21"/>
          <w:highlight w:val="none"/>
          <w:lang w:val="en-US" w:eastAsia="zh-CN"/>
        </w:rPr>
      </w:pPr>
      <w:r>
        <w:rPr>
          <w:rFonts w:hint="eastAsia" w:ascii="微软雅黑" w:hAnsi="微软雅黑" w:eastAsia="微软雅黑" w:cs="微软雅黑"/>
          <w:b/>
          <w:bCs/>
          <w:color w:val="auto"/>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14:paraId="7C539CC0">
      <w:pPr>
        <w:pStyle w:val="22"/>
        <w:rPr>
          <w:rFonts w:hint="eastAsia" w:ascii="微软雅黑" w:hAnsi="微软雅黑" w:eastAsia="微软雅黑" w:cs="微软雅黑"/>
          <w:b/>
          <w:bCs/>
          <w:color w:val="auto"/>
          <w:kern w:val="0"/>
          <w:sz w:val="21"/>
          <w:szCs w:val="21"/>
          <w:highlight w:val="none"/>
          <w:lang w:val="en-US" w:eastAsia="zh-CN"/>
        </w:rPr>
      </w:pPr>
    </w:p>
    <w:p w14:paraId="3504EBE8">
      <w:pPr>
        <w:rPr>
          <w:rFonts w:hint="eastAsia" w:ascii="微软雅黑" w:hAnsi="微软雅黑" w:eastAsia="微软雅黑" w:cs="微软雅黑"/>
          <w:b/>
          <w:bCs/>
          <w:color w:val="000000"/>
          <w:kern w:val="0"/>
          <w:sz w:val="24"/>
          <w:szCs w:val="24"/>
          <w:highlight w:val="none"/>
        </w:rPr>
      </w:pPr>
      <w:r>
        <w:rPr>
          <w:rFonts w:hint="eastAsia" w:ascii="微软雅黑" w:hAnsi="微软雅黑" w:eastAsia="微软雅黑" w:cs="微软雅黑"/>
          <w:b/>
          <w:bCs/>
          <w:color w:val="000000"/>
          <w:kern w:val="0"/>
          <w:sz w:val="24"/>
          <w:szCs w:val="24"/>
          <w:highlight w:val="none"/>
        </w:rPr>
        <w:br w:type="page"/>
      </w:r>
    </w:p>
    <w:p w14:paraId="4661A6A1">
      <w:pPr>
        <w:jc w:val="left"/>
        <w:rPr>
          <w:rFonts w:hint="eastAsia" w:ascii="微软雅黑" w:hAnsi="微软雅黑" w:eastAsia="微软雅黑" w:cs="微软雅黑"/>
          <w:b/>
          <w:bCs/>
          <w:color w:val="000000"/>
          <w:kern w:val="0"/>
          <w:sz w:val="24"/>
          <w:szCs w:val="24"/>
          <w:highlight w:val="none"/>
        </w:rPr>
      </w:pPr>
      <w:r>
        <w:rPr>
          <w:rFonts w:hint="eastAsia" w:ascii="微软雅黑" w:hAnsi="微软雅黑" w:eastAsia="微软雅黑" w:cs="微软雅黑"/>
          <w:b/>
          <w:bCs/>
          <w:color w:val="000000"/>
          <w:kern w:val="0"/>
          <w:sz w:val="24"/>
          <w:szCs w:val="24"/>
          <w:highlight w:val="none"/>
        </w:rPr>
        <w:t>附：</w:t>
      </w:r>
    </w:p>
    <w:p w14:paraId="2B69FD5D">
      <w:pPr>
        <w:jc w:val="center"/>
        <w:rPr>
          <w:rFonts w:hint="eastAsia" w:ascii="微软雅黑" w:hAnsi="微软雅黑" w:eastAsia="微软雅黑" w:cs="微软雅黑"/>
          <w:b/>
          <w:bCs/>
          <w:color w:val="000000"/>
          <w:kern w:val="0"/>
          <w:sz w:val="24"/>
          <w:szCs w:val="24"/>
          <w:highlight w:val="none"/>
        </w:rPr>
      </w:pPr>
      <w:r>
        <w:rPr>
          <w:rFonts w:hint="eastAsia" w:ascii="微软雅黑" w:hAnsi="微软雅黑" w:eastAsia="微软雅黑" w:cs="微软雅黑"/>
          <w:b/>
          <w:bCs/>
          <w:color w:val="000000"/>
          <w:kern w:val="0"/>
          <w:sz w:val="24"/>
          <w:szCs w:val="24"/>
          <w:highlight w:val="none"/>
        </w:rPr>
        <w:t>中小微企业划型标准</w:t>
      </w:r>
    </w:p>
    <w:tbl>
      <w:tblPr>
        <w:tblStyle w:val="29"/>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62EA6E2A">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08FC2C0C">
            <w:pPr>
              <w:widowControl/>
              <w:snapToGrid w:val="0"/>
              <w:contextualSpacing/>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586FA233">
            <w:pPr>
              <w:widowControl/>
              <w:snapToGrid w:val="0"/>
              <w:contextualSpacing/>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65AA0ECF">
            <w:pPr>
              <w:widowControl/>
              <w:snapToGrid w:val="0"/>
              <w:contextualSpacing/>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6115D487">
            <w:pPr>
              <w:widowControl/>
              <w:snapToGrid w:val="0"/>
              <w:contextualSpacing/>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1AED7957">
            <w:pPr>
              <w:widowControl/>
              <w:snapToGrid w:val="0"/>
              <w:contextualSpacing/>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0F842FE7">
            <w:pPr>
              <w:widowControl/>
              <w:snapToGrid w:val="0"/>
              <w:contextualSpacing/>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微型</w:t>
            </w:r>
          </w:p>
        </w:tc>
      </w:tr>
      <w:tr w14:paraId="4EFBD7A0">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5C275E8">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农、林、牧、渔</w:t>
            </w:r>
          </w:p>
        </w:tc>
        <w:tc>
          <w:tcPr>
            <w:tcW w:w="1660" w:type="dxa"/>
            <w:tcBorders>
              <w:top w:val="nil"/>
              <w:left w:val="nil"/>
              <w:bottom w:val="single" w:color="auto" w:sz="4" w:space="0"/>
              <w:right w:val="single" w:color="auto" w:sz="4" w:space="0"/>
            </w:tcBorders>
            <w:noWrap w:val="0"/>
            <w:vAlign w:val="center"/>
          </w:tcPr>
          <w:p w14:paraId="66F53A3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4A2249C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5E67618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noWrap w:val="0"/>
            <w:vAlign w:val="center"/>
          </w:tcPr>
          <w:p w14:paraId="28E8420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50≤Y＜500</w:t>
            </w:r>
          </w:p>
        </w:tc>
        <w:tc>
          <w:tcPr>
            <w:tcW w:w="1087" w:type="dxa"/>
            <w:tcBorders>
              <w:top w:val="nil"/>
              <w:left w:val="nil"/>
              <w:bottom w:val="single" w:color="auto" w:sz="4" w:space="0"/>
              <w:right w:val="single" w:color="auto" w:sz="4" w:space="0"/>
            </w:tcBorders>
            <w:noWrap w:val="0"/>
            <w:vAlign w:val="center"/>
          </w:tcPr>
          <w:p w14:paraId="5A81D7A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w:t>
            </w:r>
          </w:p>
        </w:tc>
      </w:tr>
      <w:tr w14:paraId="624312C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5EACB78">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工业</w:t>
            </w:r>
          </w:p>
          <w:p w14:paraId="2BF0EBD2">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（包括采矿业，制造业，电力、热力、燃气及水生产和供应业）</w:t>
            </w:r>
          </w:p>
        </w:tc>
        <w:tc>
          <w:tcPr>
            <w:tcW w:w="1660" w:type="dxa"/>
            <w:tcBorders>
              <w:top w:val="nil"/>
              <w:left w:val="nil"/>
              <w:bottom w:val="single" w:color="auto" w:sz="4" w:space="0"/>
              <w:right w:val="single" w:color="auto" w:sz="4" w:space="0"/>
            </w:tcBorders>
            <w:noWrap w:val="0"/>
            <w:vAlign w:val="center"/>
          </w:tcPr>
          <w:p w14:paraId="791BA7B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4120EBB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757BDEB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noWrap w:val="0"/>
            <w:vAlign w:val="center"/>
          </w:tcPr>
          <w:p w14:paraId="40FA554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noWrap w:val="0"/>
            <w:vAlign w:val="center"/>
          </w:tcPr>
          <w:p w14:paraId="2A4E633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79A24BD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7EA7135">
            <w:pPr>
              <w:widowControl/>
              <w:snapToGrid w:val="0"/>
              <w:contextualSpacing/>
              <w:jc w:val="center"/>
              <w:rPr>
                <w:rFonts w:hint="eastAsia" w:ascii="微软雅黑" w:hAnsi="微软雅黑" w:eastAsia="微软雅黑" w:cs="微软雅黑"/>
                <w:b w:val="0"/>
                <w:bCs w:val="0"/>
                <w:color w:val="auto"/>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0AD75FB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1DCB501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41A9919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2000≤Y＜40000</w:t>
            </w:r>
          </w:p>
        </w:tc>
        <w:tc>
          <w:tcPr>
            <w:tcW w:w="1692" w:type="dxa"/>
            <w:tcBorders>
              <w:top w:val="nil"/>
              <w:left w:val="nil"/>
              <w:bottom w:val="single" w:color="auto" w:sz="4" w:space="0"/>
              <w:right w:val="single" w:color="auto" w:sz="4" w:space="0"/>
            </w:tcBorders>
            <w:noWrap w:val="0"/>
            <w:vAlign w:val="center"/>
          </w:tcPr>
          <w:p w14:paraId="745DAE0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300≤Y＜2000</w:t>
            </w:r>
          </w:p>
        </w:tc>
        <w:tc>
          <w:tcPr>
            <w:tcW w:w="1087" w:type="dxa"/>
            <w:tcBorders>
              <w:top w:val="nil"/>
              <w:left w:val="nil"/>
              <w:bottom w:val="single" w:color="auto" w:sz="4" w:space="0"/>
              <w:right w:val="single" w:color="auto" w:sz="4" w:space="0"/>
            </w:tcBorders>
            <w:noWrap w:val="0"/>
            <w:vAlign w:val="center"/>
          </w:tcPr>
          <w:p w14:paraId="33C4359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Y＜300</w:t>
            </w:r>
          </w:p>
        </w:tc>
      </w:tr>
      <w:tr w14:paraId="1D88A77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BA627AD">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建筑业</w:t>
            </w:r>
          </w:p>
        </w:tc>
        <w:tc>
          <w:tcPr>
            <w:tcW w:w="1660" w:type="dxa"/>
            <w:tcBorders>
              <w:top w:val="nil"/>
              <w:left w:val="nil"/>
              <w:bottom w:val="single" w:color="auto" w:sz="4" w:space="0"/>
              <w:right w:val="single" w:color="auto" w:sz="4" w:space="0"/>
            </w:tcBorders>
            <w:noWrap w:val="0"/>
            <w:vAlign w:val="center"/>
          </w:tcPr>
          <w:p w14:paraId="7FF9341F">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094DB0DF">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780473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6000≤Y＜80000</w:t>
            </w:r>
          </w:p>
        </w:tc>
        <w:tc>
          <w:tcPr>
            <w:tcW w:w="1692" w:type="dxa"/>
            <w:tcBorders>
              <w:top w:val="nil"/>
              <w:left w:val="nil"/>
              <w:bottom w:val="single" w:color="auto" w:sz="4" w:space="0"/>
              <w:right w:val="single" w:color="auto" w:sz="4" w:space="0"/>
            </w:tcBorders>
            <w:noWrap w:val="0"/>
            <w:vAlign w:val="center"/>
          </w:tcPr>
          <w:p w14:paraId="6860EB3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300≤Y＜6000</w:t>
            </w:r>
          </w:p>
        </w:tc>
        <w:tc>
          <w:tcPr>
            <w:tcW w:w="1087" w:type="dxa"/>
            <w:tcBorders>
              <w:top w:val="nil"/>
              <w:left w:val="nil"/>
              <w:bottom w:val="single" w:color="auto" w:sz="4" w:space="0"/>
              <w:right w:val="single" w:color="auto" w:sz="4" w:space="0"/>
            </w:tcBorders>
            <w:noWrap w:val="0"/>
            <w:vAlign w:val="center"/>
          </w:tcPr>
          <w:p w14:paraId="6F055199">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Y＜300</w:t>
            </w:r>
          </w:p>
        </w:tc>
      </w:tr>
      <w:tr w14:paraId="231D6C7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C14CACF">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7AAFE50E">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资产总额（Z）</w:t>
            </w:r>
          </w:p>
        </w:tc>
        <w:tc>
          <w:tcPr>
            <w:tcW w:w="1466" w:type="dxa"/>
            <w:tcBorders>
              <w:top w:val="nil"/>
              <w:left w:val="nil"/>
              <w:bottom w:val="single" w:color="auto" w:sz="4" w:space="0"/>
              <w:right w:val="single" w:color="auto" w:sz="4" w:space="0"/>
            </w:tcBorders>
            <w:noWrap w:val="0"/>
            <w:vAlign w:val="center"/>
          </w:tcPr>
          <w:p w14:paraId="107B745E">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46C825AF">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5000≤Z＜80000</w:t>
            </w:r>
          </w:p>
        </w:tc>
        <w:tc>
          <w:tcPr>
            <w:tcW w:w="1692" w:type="dxa"/>
            <w:tcBorders>
              <w:top w:val="nil"/>
              <w:left w:val="nil"/>
              <w:bottom w:val="single" w:color="auto" w:sz="4" w:space="0"/>
              <w:right w:val="single" w:color="auto" w:sz="4" w:space="0"/>
            </w:tcBorders>
            <w:noWrap w:val="0"/>
            <w:vAlign w:val="center"/>
          </w:tcPr>
          <w:p w14:paraId="333E6AF5">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300≤Z＜5000</w:t>
            </w:r>
          </w:p>
        </w:tc>
        <w:tc>
          <w:tcPr>
            <w:tcW w:w="1087" w:type="dxa"/>
            <w:tcBorders>
              <w:top w:val="nil"/>
              <w:left w:val="nil"/>
              <w:bottom w:val="single" w:color="auto" w:sz="4" w:space="0"/>
              <w:right w:val="single" w:color="auto" w:sz="4" w:space="0"/>
            </w:tcBorders>
            <w:noWrap w:val="0"/>
            <w:vAlign w:val="center"/>
          </w:tcPr>
          <w:p w14:paraId="1B8E89AC">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Z＜300</w:t>
            </w:r>
          </w:p>
        </w:tc>
      </w:tr>
      <w:tr w14:paraId="3FE0129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8CF03C7">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批发业</w:t>
            </w:r>
          </w:p>
        </w:tc>
        <w:tc>
          <w:tcPr>
            <w:tcW w:w="1660" w:type="dxa"/>
            <w:tcBorders>
              <w:top w:val="nil"/>
              <w:left w:val="nil"/>
              <w:bottom w:val="single" w:color="auto" w:sz="4" w:space="0"/>
              <w:right w:val="single" w:color="auto" w:sz="4" w:space="0"/>
            </w:tcBorders>
            <w:noWrap w:val="0"/>
            <w:vAlign w:val="center"/>
          </w:tcPr>
          <w:p w14:paraId="4005086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0EEDDA83">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5B6B06AC">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20≤X＜200</w:t>
            </w:r>
          </w:p>
        </w:tc>
        <w:tc>
          <w:tcPr>
            <w:tcW w:w="1692" w:type="dxa"/>
            <w:tcBorders>
              <w:top w:val="nil"/>
              <w:left w:val="nil"/>
              <w:bottom w:val="single" w:color="auto" w:sz="4" w:space="0"/>
              <w:right w:val="single" w:color="auto" w:sz="4" w:space="0"/>
            </w:tcBorders>
            <w:noWrap w:val="0"/>
            <w:vAlign w:val="center"/>
          </w:tcPr>
          <w:p w14:paraId="165A430D">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5≤X＜20</w:t>
            </w:r>
          </w:p>
        </w:tc>
        <w:tc>
          <w:tcPr>
            <w:tcW w:w="1087" w:type="dxa"/>
            <w:tcBorders>
              <w:top w:val="nil"/>
              <w:left w:val="nil"/>
              <w:bottom w:val="single" w:color="auto" w:sz="4" w:space="0"/>
              <w:right w:val="single" w:color="auto" w:sz="4" w:space="0"/>
            </w:tcBorders>
            <w:noWrap w:val="0"/>
            <w:vAlign w:val="center"/>
          </w:tcPr>
          <w:p w14:paraId="620A3115">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X＜5</w:t>
            </w:r>
          </w:p>
        </w:tc>
      </w:tr>
      <w:tr w14:paraId="47DF7BB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C28F24B">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132958E4">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6AFA05D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BAF553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5000≤Y＜40000</w:t>
            </w:r>
          </w:p>
        </w:tc>
        <w:tc>
          <w:tcPr>
            <w:tcW w:w="1692" w:type="dxa"/>
            <w:tcBorders>
              <w:top w:val="nil"/>
              <w:left w:val="nil"/>
              <w:bottom w:val="single" w:color="auto" w:sz="4" w:space="0"/>
              <w:right w:val="single" w:color="auto" w:sz="4" w:space="0"/>
            </w:tcBorders>
            <w:noWrap w:val="0"/>
            <w:vAlign w:val="center"/>
          </w:tcPr>
          <w:p w14:paraId="018090C0">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1000≤Y＜5000</w:t>
            </w:r>
          </w:p>
        </w:tc>
        <w:tc>
          <w:tcPr>
            <w:tcW w:w="1087" w:type="dxa"/>
            <w:tcBorders>
              <w:top w:val="nil"/>
              <w:left w:val="nil"/>
              <w:bottom w:val="single" w:color="auto" w:sz="4" w:space="0"/>
              <w:right w:val="single" w:color="auto" w:sz="4" w:space="0"/>
            </w:tcBorders>
            <w:noWrap w:val="0"/>
            <w:vAlign w:val="center"/>
          </w:tcPr>
          <w:p w14:paraId="0EEA84F1">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Y＜1000</w:t>
            </w:r>
          </w:p>
        </w:tc>
      </w:tr>
      <w:tr w14:paraId="0D39F8C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80904EF">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零售业</w:t>
            </w:r>
          </w:p>
        </w:tc>
        <w:tc>
          <w:tcPr>
            <w:tcW w:w="1660" w:type="dxa"/>
            <w:tcBorders>
              <w:top w:val="nil"/>
              <w:left w:val="nil"/>
              <w:bottom w:val="single" w:color="auto" w:sz="4" w:space="0"/>
              <w:right w:val="single" w:color="auto" w:sz="4" w:space="0"/>
            </w:tcBorders>
            <w:noWrap w:val="0"/>
            <w:vAlign w:val="center"/>
          </w:tcPr>
          <w:p w14:paraId="645C2349">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780B0A7F">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5B8AF44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50≤X＜300</w:t>
            </w:r>
          </w:p>
        </w:tc>
        <w:tc>
          <w:tcPr>
            <w:tcW w:w="1692" w:type="dxa"/>
            <w:tcBorders>
              <w:top w:val="nil"/>
              <w:left w:val="nil"/>
              <w:bottom w:val="single" w:color="auto" w:sz="4" w:space="0"/>
              <w:right w:val="single" w:color="auto" w:sz="4" w:space="0"/>
            </w:tcBorders>
            <w:noWrap w:val="0"/>
            <w:vAlign w:val="center"/>
          </w:tcPr>
          <w:p w14:paraId="48A1712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10≤X＜50</w:t>
            </w:r>
          </w:p>
        </w:tc>
        <w:tc>
          <w:tcPr>
            <w:tcW w:w="1087" w:type="dxa"/>
            <w:tcBorders>
              <w:top w:val="nil"/>
              <w:left w:val="nil"/>
              <w:bottom w:val="single" w:color="auto" w:sz="4" w:space="0"/>
              <w:right w:val="single" w:color="auto" w:sz="4" w:space="0"/>
            </w:tcBorders>
            <w:noWrap w:val="0"/>
            <w:vAlign w:val="center"/>
          </w:tcPr>
          <w:p w14:paraId="17591557">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06E0890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7C84982">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5C709CD0">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7E3E10A0">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074D3D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500≤Y＜20000</w:t>
            </w:r>
          </w:p>
        </w:tc>
        <w:tc>
          <w:tcPr>
            <w:tcW w:w="1692" w:type="dxa"/>
            <w:tcBorders>
              <w:top w:val="nil"/>
              <w:left w:val="nil"/>
              <w:bottom w:val="single" w:color="auto" w:sz="4" w:space="0"/>
              <w:right w:val="single" w:color="auto" w:sz="4" w:space="0"/>
            </w:tcBorders>
            <w:noWrap w:val="0"/>
            <w:vAlign w:val="center"/>
          </w:tcPr>
          <w:p w14:paraId="2B0B5029">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100≤Y＜500</w:t>
            </w:r>
          </w:p>
        </w:tc>
        <w:tc>
          <w:tcPr>
            <w:tcW w:w="1087" w:type="dxa"/>
            <w:tcBorders>
              <w:top w:val="nil"/>
              <w:left w:val="nil"/>
              <w:bottom w:val="single" w:color="auto" w:sz="4" w:space="0"/>
              <w:right w:val="single" w:color="auto" w:sz="4" w:space="0"/>
            </w:tcBorders>
            <w:noWrap w:val="0"/>
            <w:vAlign w:val="center"/>
          </w:tcPr>
          <w:p w14:paraId="10BF6AA4">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0DD3C52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32E4689">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交通运输业（不含铁路运输业）</w:t>
            </w:r>
          </w:p>
        </w:tc>
        <w:tc>
          <w:tcPr>
            <w:tcW w:w="1660" w:type="dxa"/>
            <w:tcBorders>
              <w:top w:val="nil"/>
              <w:left w:val="nil"/>
              <w:bottom w:val="single" w:color="auto" w:sz="4" w:space="0"/>
              <w:right w:val="single" w:color="auto" w:sz="4" w:space="0"/>
            </w:tcBorders>
            <w:noWrap w:val="0"/>
            <w:vAlign w:val="center"/>
          </w:tcPr>
          <w:p w14:paraId="30B173A8">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0CE655DB">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21062EFA">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300≤X＜1000</w:t>
            </w:r>
          </w:p>
        </w:tc>
        <w:tc>
          <w:tcPr>
            <w:tcW w:w="1692" w:type="dxa"/>
            <w:tcBorders>
              <w:top w:val="nil"/>
              <w:left w:val="nil"/>
              <w:bottom w:val="single" w:color="auto" w:sz="4" w:space="0"/>
              <w:right w:val="single" w:color="auto" w:sz="4" w:space="0"/>
            </w:tcBorders>
            <w:noWrap w:val="0"/>
            <w:vAlign w:val="center"/>
          </w:tcPr>
          <w:p w14:paraId="2603E00E">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20≤X＜300</w:t>
            </w:r>
          </w:p>
        </w:tc>
        <w:tc>
          <w:tcPr>
            <w:tcW w:w="1087" w:type="dxa"/>
            <w:tcBorders>
              <w:top w:val="nil"/>
              <w:left w:val="nil"/>
              <w:bottom w:val="single" w:color="auto" w:sz="4" w:space="0"/>
              <w:right w:val="single" w:color="auto" w:sz="4" w:space="0"/>
            </w:tcBorders>
            <w:noWrap w:val="0"/>
            <w:vAlign w:val="center"/>
          </w:tcPr>
          <w:p w14:paraId="696DE18F">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X＜20</w:t>
            </w:r>
          </w:p>
        </w:tc>
      </w:tr>
      <w:tr w14:paraId="40717BE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477A9D5">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7A5D76F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0AC2F7DA">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58570A4A">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3000≤Y＜30000</w:t>
            </w:r>
          </w:p>
        </w:tc>
        <w:tc>
          <w:tcPr>
            <w:tcW w:w="1692" w:type="dxa"/>
            <w:tcBorders>
              <w:top w:val="nil"/>
              <w:left w:val="nil"/>
              <w:bottom w:val="single" w:color="auto" w:sz="4" w:space="0"/>
              <w:right w:val="single" w:color="auto" w:sz="4" w:space="0"/>
            </w:tcBorders>
            <w:noWrap w:val="0"/>
            <w:vAlign w:val="center"/>
          </w:tcPr>
          <w:p w14:paraId="7FB51A8E">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200≤Y＜3000</w:t>
            </w:r>
          </w:p>
        </w:tc>
        <w:tc>
          <w:tcPr>
            <w:tcW w:w="1087" w:type="dxa"/>
            <w:tcBorders>
              <w:top w:val="nil"/>
              <w:left w:val="nil"/>
              <w:bottom w:val="single" w:color="auto" w:sz="4" w:space="0"/>
              <w:right w:val="single" w:color="auto" w:sz="4" w:space="0"/>
            </w:tcBorders>
            <w:noWrap w:val="0"/>
            <w:vAlign w:val="center"/>
          </w:tcPr>
          <w:p w14:paraId="6802142A">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Y＜200</w:t>
            </w:r>
          </w:p>
        </w:tc>
      </w:tr>
      <w:tr w14:paraId="40F204B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132BE8F">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仓储业</w:t>
            </w:r>
          </w:p>
        </w:tc>
        <w:tc>
          <w:tcPr>
            <w:tcW w:w="1660" w:type="dxa"/>
            <w:tcBorders>
              <w:top w:val="nil"/>
              <w:left w:val="nil"/>
              <w:bottom w:val="single" w:color="auto" w:sz="4" w:space="0"/>
              <w:right w:val="single" w:color="auto" w:sz="4" w:space="0"/>
            </w:tcBorders>
            <w:noWrap w:val="0"/>
            <w:vAlign w:val="center"/>
          </w:tcPr>
          <w:p w14:paraId="7DD62887">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108181F3">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1317FA57">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100≤X＜200</w:t>
            </w:r>
          </w:p>
        </w:tc>
        <w:tc>
          <w:tcPr>
            <w:tcW w:w="1692" w:type="dxa"/>
            <w:tcBorders>
              <w:top w:val="nil"/>
              <w:left w:val="nil"/>
              <w:bottom w:val="single" w:color="auto" w:sz="4" w:space="0"/>
              <w:right w:val="single" w:color="auto" w:sz="4" w:space="0"/>
            </w:tcBorders>
            <w:noWrap w:val="0"/>
            <w:vAlign w:val="center"/>
          </w:tcPr>
          <w:p w14:paraId="66B3805E">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20≤X＜100</w:t>
            </w:r>
          </w:p>
        </w:tc>
        <w:tc>
          <w:tcPr>
            <w:tcW w:w="1087" w:type="dxa"/>
            <w:tcBorders>
              <w:top w:val="nil"/>
              <w:left w:val="nil"/>
              <w:bottom w:val="single" w:color="auto" w:sz="4" w:space="0"/>
              <w:right w:val="single" w:color="auto" w:sz="4" w:space="0"/>
            </w:tcBorders>
            <w:noWrap w:val="0"/>
            <w:vAlign w:val="center"/>
          </w:tcPr>
          <w:p w14:paraId="0FBAC4E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X＜20</w:t>
            </w:r>
          </w:p>
        </w:tc>
      </w:tr>
      <w:tr w14:paraId="5483A66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ED53412">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5746FADA">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38B30155">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5CE9CB8">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1000≤Y＜30000</w:t>
            </w:r>
          </w:p>
        </w:tc>
        <w:tc>
          <w:tcPr>
            <w:tcW w:w="1692" w:type="dxa"/>
            <w:tcBorders>
              <w:top w:val="nil"/>
              <w:left w:val="nil"/>
              <w:bottom w:val="single" w:color="auto" w:sz="4" w:space="0"/>
              <w:right w:val="single" w:color="auto" w:sz="4" w:space="0"/>
            </w:tcBorders>
            <w:noWrap w:val="0"/>
            <w:vAlign w:val="center"/>
          </w:tcPr>
          <w:p w14:paraId="2A5742A7">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100≤Y＜1000</w:t>
            </w:r>
          </w:p>
        </w:tc>
        <w:tc>
          <w:tcPr>
            <w:tcW w:w="1087" w:type="dxa"/>
            <w:tcBorders>
              <w:top w:val="nil"/>
              <w:left w:val="nil"/>
              <w:bottom w:val="single" w:color="auto" w:sz="4" w:space="0"/>
              <w:right w:val="single" w:color="auto" w:sz="4" w:space="0"/>
            </w:tcBorders>
            <w:noWrap w:val="0"/>
            <w:vAlign w:val="center"/>
          </w:tcPr>
          <w:p w14:paraId="0E3FEC5D">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00655B3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4D34E3F">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邮政业</w:t>
            </w:r>
          </w:p>
        </w:tc>
        <w:tc>
          <w:tcPr>
            <w:tcW w:w="1660" w:type="dxa"/>
            <w:tcBorders>
              <w:top w:val="nil"/>
              <w:left w:val="nil"/>
              <w:bottom w:val="single" w:color="auto" w:sz="4" w:space="0"/>
              <w:right w:val="single" w:color="auto" w:sz="4" w:space="0"/>
            </w:tcBorders>
            <w:noWrap w:val="0"/>
            <w:vAlign w:val="center"/>
          </w:tcPr>
          <w:p w14:paraId="6D05064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0271DCC8">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68F2AF9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300≤X＜1000</w:t>
            </w:r>
          </w:p>
        </w:tc>
        <w:tc>
          <w:tcPr>
            <w:tcW w:w="1692" w:type="dxa"/>
            <w:tcBorders>
              <w:top w:val="nil"/>
              <w:left w:val="nil"/>
              <w:bottom w:val="single" w:color="auto" w:sz="4" w:space="0"/>
              <w:right w:val="single" w:color="auto" w:sz="4" w:space="0"/>
            </w:tcBorders>
            <w:noWrap w:val="0"/>
            <w:vAlign w:val="center"/>
          </w:tcPr>
          <w:p w14:paraId="13BD3954">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20≤X＜300</w:t>
            </w:r>
          </w:p>
        </w:tc>
        <w:tc>
          <w:tcPr>
            <w:tcW w:w="1087" w:type="dxa"/>
            <w:tcBorders>
              <w:top w:val="nil"/>
              <w:left w:val="nil"/>
              <w:bottom w:val="single" w:color="auto" w:sz="4" w:space="0"/>
              <w:right w:val="single" w:color="auto" w:sz="4" w:space="0"/>
            </w:tcBorders>
            <w:noWrap w:val="0"/>
            <w:vAlign w:val="center"/>
          </w:tcPr>
          <w:p w14:paraId="5BEBA417">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X＜20</w:t>
            </w:r>
          </w:p>
        </w:tc>
      </w:tr>
      <w:tr w14:paraId="3E6AE05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9774996">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5482F33E">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56D0E037">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6CF63C13">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2000≤Y＜30000</w:t>
            </w:r>
          </w:p>
        </w:tc>
        <w:tc>
          <w:tcPr>
            <w:tcW w:w="1692" w:type="dxa"/>
            <w:tcBorders>
              <w:top w:val="nil"/>
              <w:left w:val="nil"/>
              <w:bottom w:val="single" w:color="auto" w:sz="4" w:space="0"/>
              <w:right w:val="single" w:color="auto" w:sz="4" w:space="0"/>
            </w:tcBorders>
            <w:noWrap w:val="0"/>
            <w:vAlign w:val="center"/>
          </w:tcPr>
          <w:p w14:paraId="68288573">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100≤Y＜2000</w:t>
            </w:r>
          </w:p>
        </w:tc>
        <w:tc>
          <w:tcPr>
            <w:tcW w:w="1087" w:type="dxa"/>
            <w:tcBorders>
              <w:top w:val="nil"/>
              <w:left w:val="nil"/>
              <w:bottom w:val="single" w:color="auto" w:sz="4" w:space="0"/>
              <w:right w:val="single" w:color="auto" w:sz="4" w:space="0"/>
            </w:tcBorders>
            <w:noWrap w:val="0"/>
            <w:vAlign w:val="center"/>
          </w:tcPr>
          <w:p w14:paraId="35EEAE95">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19FC65C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69745DF">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住宿业</w:t>
            </w:r>
          </w:p>
        </w:tc>
        <w:tc>
          <w:tcPr>
            <w:tcW w:w="1660" w:type="dxa"/>
            <w:tcBorders>
              <w:top w:val="nil"/>
              <w:left w:val="nil"/>
              <w:bottom w:val="single" w:color="auto" w:sz="4" w:space="0"/>
              <w:right w:val="single" w:color="auto" w:sz="4" w:space="0"/>
            </w:tcBorders>
            <w:noWrap w:val="0"/>
            <w:vAlign w:val="center"/>
          </w:tcPr>
          <w:p w14:paraId="6286ABBB">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53F14B35">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2147D83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50C1C2FE">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47FF60CD">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3C8C0C3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F6BB39D">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306E21D5">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42BF701A">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3B6B5CE8">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2000≤Y＜10000</w:t>
            </w:r>
          </w:p>
        </w:tc>
        <w:tc>
          <w:tcPr>
            <w:tcW w:w="1692" w:type="dxa"/>
            <w:tcBorders>
              <w:top w:val="nil"/>
              <w:left w:val="nil"/>
              <w:bottom w:val="single" w:color="auto" w:sz="4" w:space="0"/>
              <w:right w:val="single" w:color="auto" w:sz="4" w:space="0"/>
            </w:tcBorders>
            <w:noWrap w:val="0"/>
            <w:vAlign w:val="center"/>
          </w:tcPr>
          <w:p w14:paraId="1DCC64B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100≤Y＜2000</w:t>
            </w:r>
          </w:p>
        </w:tc>
        <w:tc>
          <w:tcPr>
            <w:tcW w:w="1087" w:type="dxa"/>
            <w:tcBorders>
              <w:top w:val="nil"/>
              <w:left w:val="nil"/>
              <w:bottom w:val="single" w:color="auto" w:sz="4" w:space="0"/>
              <w:right w:val="single" w:color="auto" w:sz="4" w:space="0"/>
            </w:tcBorders>
            <w:noWrap w:val="0"/>
            <w:vAlign w:val="center"/>
          </w:tcPr>
          <w:p w14:paraId="7AE1A07C">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4C68975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EF9943">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餐饮业</w:t>
            </w:r>
          </w:p>
        </w:tc>
        <w:tc>
          <w:tcPr>
            <w:tcW w:w="1660" w:type="dxa"/>
            <w:tcBorders>
              <w:top w:val="nil"/>
              <w:left w:val="nil"/>
              <w:bottom w:val="single" w:color="auto" w:sz="4" w:space="0"/>
              <w:right w:val="single" w:color="auto" w:sz="4" w:space="0"/>
            </w:tcBorders>
            <w:noWrap w:val="0"/>
            <w:vAlign w:val="center"/>
          </w:tcPr>
          <w:p w14:paraId="7923EE59">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348666A4">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403F36CB">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442EFC43">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6D4DEDFB">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w:t>
            </w:r>
          </w:p>
        </w:tc>
      </w:tr>
      <w:tr w14:paraId="08D8023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864CC6">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103D0470">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0FBA4987">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5492A8FB">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2000≤Y＜10000</w:t>
            </w:r>
          </w:p>
        </w:tc>
        <w:tc>
          <w:tcPr>
            <w:tcW w:w="1692" w:type="dxa"/>
            <w:tcBorders>
              <w:top w:val="nil"/>
              <w:left w:val="nil"/>
              <w:bottom w:val="single" w:color="auto" w:sz="4" w:space="0"/>
              <w:right w:val="single" w:color="auto" w:sz="4" w:space="0"/>
            </w:tcBorders>
            <w:noWrap w:val="0"/>
            <w:vAlign w:val="center"/>
          </w:tcPr>
          <w:p w14:paraId="5B6A3770">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100≤Y＜2000</w:t>
            </w:r>
          </w:p>
        </w:tc>
        <w:tc>
          <w:tcPr>
            <w:tcW w:w="1087" w:type="dxa"/>
            <w:tcBorders>
              <w:top w:val="nil"/>
              <w:left w:val="nil"/>
              <w:bottom w:val="single" w:color="auto" w:sz="4" w:space="0"/>
              <w:right w:val="single" w:color="auto" w:sz="4" w:space="0"/>
            </w:tcBorders>
            <w:noWrap w:val="0"/>
            <w:vAlign w:val="center"/>
          </w:tcPr>
          <w:p w14:paraId="78944CFD">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Y＜100</w:t>
            </w:r>
          </w:p>
        </w:tc>
      </w:tr>
      <w:tr w14:paraId="766899B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6A9EFC7">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信息传输业（包括电信、互联网和相关服务）</w:t>
            </w:r>
          </w:p>
        </w:tc>
        <w:tc>
          <w:tcPr>
            <w:tcW w:w="1660" w:type="dxa"/>
            <w:tcBorders>
              <w:top w:val="nil"/>
              <w:left w:val="nil"/>
              <w:bottom w:val="single" w:color="auto" w:sz="4" w:space="0"/>
              <w:right w:val="single" w:color="auto" w:sz="4" w:space="0"/>
            </w:tcBorders>
            <w:noWrap w:val="0"/>
            <w:vAlign w:val="center"/>
          </w:tcPr>
          <w:p w14:paraId="663686DB">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111602D8">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0DF50A5D">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100≤X＜2000</w:t>
            </w:r>
          </w:p>
        </w:tc>
        <w:tc>
          <w:tcPr>
            <w:tcW w:w="1692" w:type="dxa"/>
            <w:tcBorders>
              <w:top w:val="nil"/>
              <w:left w:val="nil"/>
              <w:bottom w:val="single" w:color="auto" w:sz="4" w:space="0"/>
              <w:right w:val="single" w:color="auto" w:sz="4" w:space="0"/>
            </w:tcBorders>
            <w:noWrap w:val="0"/>
            <w:vAlign w:val="center"/>
          </w:tcPr>
          <w:p w14:paraId="076C650C">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6DDA3FC3">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X＜10</w:t>
            </w:r>
          </w:p>
        </w:tc>
      </w:tr>
      <w:tr w14:paraId="089DB27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78B33D5">
            <w:pPr>
              <w:widowControl/>
              <w:snapToGrid w:val="0"/>
              <w:contextualSpacing/>
              <w:jc w:val="center"/>
              <w:rPr>
                <w:rFonts w:hint="eastAsia" w:ascii="微软雅黑" w:hAnsi="微软雅黑" w:eastAsia="微软雅黑" w:cs="微软雅黑"/>
                <w:b w:val="0"/>
                <w:bCs w:val="0"/>
                <w:color w:val="auto"/>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5EB2A2CE">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64C78BF1">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781461F">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1000≤Y＜100000</w:t>
            </w:r>
          </w:p>
        </w:tc>
        <w:tc>
          <w:tcPr>
            <w:tcW w:w="1692" w:type="dxa"/>
            <w:tcBorders>
              <w:top w:val="nil"/>
              <w:left w:val="nil"/>
              <w:bottom w:val="single" w:color="auto" w:sz="4" w:space="0"/>
              <w:right w:val="single" w:color="auto" w:sz="4" w:space="0"/>
            </w:tcBorders>
            <w:noWrap w:val="0"/>
            <w:vAlign w:val="center"/>
          </w:tcPr>
          <w:p w14:paraId="121C7F90">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100≤Y＜1000</w:t>
            </w:r>
          </w:p>
        </w:tc>
        <w:tc>
          <w:tcPr>
            <w:tcW w:w="1087" w:type="dxa"/>
            <w:tcBorders>
              <w:top w:val="nil"/>
              <w:left w:val="nil"/>
              <w:bottom w:val="single" w:color="auto" w:sz="4" w:space="0"/>
              <w:right w:val="single" w:color="auto" w:sz="4" w:space="0"/>
            </w:tcBorders>
            <w:noWrap w:val="0"/>
            <w:vAlign w:val="center"/>
          </w:tcPr>
          <w:p w14:paraId="4E52C636">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Y＜100</w:t>
            </w:r>
          </w:p>
        </w:tc>
      </w:tr>
      <w:tr w14:paraId="76692FD3">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DEF9599">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3A666F16">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01C2A2DD">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16669C31">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55768757">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37B59851">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X＜10</w:t>
            </w:r>
          </w:p>
        </w:tc>
      </w:tr>
      <w:tr w14:paraId="501A118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9E19DC7">
            <w:pPr>
              <w:widowControl/>
              <w:snapToGrid w:val="0"/>
              <w:contextualSpacing/>
              <w:jc w:val="center"/>
              <w:rPr>
                <w:rFonts w:hint="eastAsia" w:ascii="微软雅黑" w:hAnsi="微软雅黑" w:eastAsia="微软雅黑" w:cs="微软雅黑"/>
                <w:b w:val="0"/>
                <w:bCs w:val="0"/>
                <w:color w:val="auto"/>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67D1DED0">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7926DD0F">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7AAD2EB5">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1000≤Y＜10000</w:t>
            </w:r>
          </w:p>
        </w:tc>
        <w:tc>
          <w:tcPr>
            <w:tcW w:w="1692" w:type="dxa"/>
            <w:tcBorders>
              <w:top w:val="nil"/>
              <w:left w:val="nil"/>
              <w:bottom w:val="single" w:color="auto" w:sz="4" w:space="0"/>
              <w:right w:val="single" w:color="auto" w:sz="4" w:space="0"/>
            </w:tcBorders>
            <w:noWrap w:val="0"/>
            <w:vAlign w:val="center"/>
          </w:tcPr>
          <w:p w14:paraId="611D22F5">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50≤Y＜1000</w:t>
            </w:r>
          </w:p>
        </w:tc>
        <w:tc>
          <w:tcPr>
            <w:tcW w:w="1087" w:type="dxa"/>
            <w:tcBorders>
              <w:top w:val="nil"/>
              <w:left w:val="nil"/>
              <w:bottom w:val="single" w:color="auto" w:sz="4" w:space="0"/>
              <w:right w:val="single" w:color="auto" w:sz="4" w:space="0"/>
            </w:tcBorders>
            <w:noWrap w:val="0"/>
            <w:vAlign w:val="center"/>
          </w:tcPr>
          <w:p w14:paraId="23B9CFDE">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Y＜50</w:t>
            </w:r>
          </w:p>
        </w:tc>
      </w:tr>
      <w:tr w14:paraId="7F3A06F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C3C5E76">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房地产开发经营</w:t>
            </w:r>
          </w:p>
        </w:tc>
        <w:tc>
          <w:tcPr>
            <w:tcW w:w="1660" w:type="dxa"/>
            <w:tcBorders>
              <w:top w:val="nil"/>
              <w:left w:val="nil"/>
              <w:bottom w:val="single" w:color="auto" w:sz="4" w:space="0"/>
              <w:right w:val="single" w:color="auto" w:sz="4" w:space="0"/>
            </w:tcBorders>
            <w:noWrap w:val="0"/>
            <w:vAlign w:val="center"/>
          </w:tcPr>
          <w:p w14:paraId="4FE4B77B">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79BEADC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66768FE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1000≤Y＜200000</w:t>
            </w:r>
          </w:p>
        </w:tc>
        <w:tc>
          <w:tcPr>
            <w:tcW w:w="1692" w:type="dxa"/>
            <w:tcBorders>
              <w:top w:val="nil"/>
              <w:left w:val="nil"/>
              <w:bottom w:val="single" w:color="auto" w:sz="4" w:space="0"/>
              <w:right w:val="single" w:color="auto" w:sz="4" w:space="0"/>
            </w:tcBorders>
            <w:noWrap w:val="0"/>
            <w:vAlign w:val="center"/>
          </w:tcPr>
          <w:p w14:paraId="7DF8C4FF">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100≤X＜1000</w:t>
            </w:r>
          </w:p>
        </w:tc>
        <w:tc>
          <w:tcPr>
            <w:tcW w:w="1087" w:type="dxa"/>
            <w:tcBorders>
              <w:top w:val="nil"/>
              <w:left w:val="nil"/>
              <w:bottom w:val="single" w:color="auto" w:sz="4" w:space="0"/>
              <w:right w:val="single" w:color="auto" w:sz="4" w:space="0"/>
            </w:tcBorders>
            <w:noWrap w:val="0"/>
            <w:vAlign w:val="center"/>
          </w:tcPr>
          <w:p w14:paraId="5EE4DC5C">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X＜100</w:t>
            </w:r>
          </w:p>
        </w:tc>
      </w:tr>
      <w:tr w14:paraId="5EC51E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D47B7FB">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383B2948">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资产总额（Z）</w:t>
            </w:r>
          </w:p>
        </w:tc>
        <w:tc>
          <w:tcPr>
            <w:tcW w:w="1466" w:type="dxa"/>
            <w:tcBorders>
              <w:top w:val="nil"/>
              <w:left w:val="nil"/>
              <w:bottom w:val="single" w:color="auto" w:sz="4" w:space="0"/>
              <w:right w:val="single" w:color="auto" w:sz="4" w:space="0"/>
            </w:tcBorders>
            <w:noWrap w:val="0"/>
            <w:vAlign w:val="center"/>
          </w:tcPr>
          <w:p w14:paraId="7160760F">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8B8373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5000≤Z＜10000</w:t>
            </w:r>
          </w:p>
        </w:tc>
        <w:tc>
          <w:tcPr>
            <w:tcW w:w="1692" w:type="dxa"/>
            <w:tcBorders>
              <w:top w:val="nil"/>
              <w:left w:val="nil"/>
              <w:bottom w:val="single" w:color="auto" w:sz="4" w:space="0"/>
              <w:right w:val="single" w:color="auto" w:sz="4" w:space="0"/>
            </w:tcBorders>
            <w:noWrap w:val="0"/>
            <w:vAlign w:val="center"/>
          </w:tcPr>
          <w:p w14:paraId="6610FD40">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2000≤Y＜5000</w:t>
            </w:r>
          </w:p>
        </w:tc>
        <w:tc>
          <w:tcPr>
            <w:tcW w:w="1087" w:type="dxa"/>
            <w:tcBorders>
              <w:top w:val="nil"/>
              <w:left w:val="nil"/>
              <w:bottom w:val="single" w:color="auto" w:sz="4" w:space="0"/>
              <w:right w:val="single" w:color="auto" w:sz="4" w:space="0"/>
            </w:tcBorders>
            <w:noWrap w:val="0"/>
            <w:vAlign w:val="center"/>
          </w:tcPr>
          <w:p w14:paraId="2EF0A4F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Y＜2000</w:t>
            </w:r>
          </w:p>
        </w:tc>
      </w:tr>
      <w:tr w14:paraId="16AA7B7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030AA38">
            <w:pPr>
              <w:widowControl/>
              <w:snapToGrid w:val="0"/>
              <w:contextualSpacing/>
              <w:jc w:val="center"/>
              <w:rPr>
                <w:rFonts w:hint="eastAsia" w:ascii="微软雅黑" w:hAnsi="微软雅黑" w:eastAsia="微软雅黑" w:cs="微软雅黑"/>
                <w:b w:val="0"/>
                <w:bCs w:val="0"/>
                <w:kern w:val="0"/>
                <w:sz w:val="22"/>
                <w:szCs w:val="22"/>
                <w:highlight w:val="none"/>
              </w:rPr>
            </w:pPr>
            <w:r>
              <w:rPr>
                <w:rFonts w:hint="eastAsia" w:ascii="微软雅黑" w:hAnsi="微软雅黑" w:eastAsia="微软雅黑" w:cs="微软雅黑"/>
                <w:b w:val="0"/>
                <w:bCs w:val="0"/>
                <w:kern w:val="0"/>
                <w:sz w:val="22"/>
                <w:szCs w:val="22"/>
                <w:highlight w:val="none"/>
              </w:rPr>
              <w:t>物业管理</w:t>
            </w:r>
          </w:p>
        </w:tc>
        <w:tc>
          <w:tcPr>
            <w:tcW w:w="1660" w:type="dxa"/>
            <w:tcBorders>
              <w:top w:val="nil"/>
              <w:left w:val="nil"/>
              <w:bottom w:val="single" w:color="auto" w:sz="4" w:space="0"/>
              <w:right w:val="single" w:color="auto" w:sz="4" w:space="0"/>
            </w:tcBorders>
            <w:noWrap w:val="0"/>
            <w:vAlign w:val="center"/>
          </w:tcPr>
          <w:p w14:paraId="2C591B99">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6D8DEF4C">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5122CDB8">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300≤X＜1000</w:t>
            </w:r>
          </w:p>
        </w:tc>
        <w:tc>
          <w:tcPr>
            <w:tcW w:w="1692" w:type="dxa"/>
            <w:tcBorders>
              <w:top w:val="nil"/>
              <w:left w:val="nil"/>
              <w:bottom w:val="single" w:color="auto" w:sz="4" w:space="0"/>
              <w:right w:val="single" w:color="auto" w:sz="4" w:space="0"/>
            </w:tcBorders>
            <w:noWrap w:val="0"/>
            <w:vAlign w:val="center"/>
          </w:tcPr>
          <w:p w14:paraId="407DE042">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100≤X＜300</w:t>
            </w:r>
          </w:p>
        </w:tc>
        <w:tc>
          <w:tcPr>
            <w:tcW w:w="1087" w:type="dxa"/>
            <w:tcBorders>
              <w:top w:val="nil"/>
              <w:left w:val="nil"/>
              <w:bottom w:val="single" w:color="auto" w:sz="4" w:space="0"/>
              <w:right w:val="single" w:color="auto" w:sz="4" w:space="0"/>
            </w:tcBorders>
            <w:noWrap w:val="0"/>
            <w:vAlign w:val="center"/>
          </w:tcPr>
          <w:p w14:paraId="3D5DECD8">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X＜100</w:t>
            </w:r>
          </w:p>
        </w:tc>
      </w:tr>
      <w:tr w14:paraId="727D7DB5">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66D7C8D">
            <w:pPr>
              <w:widowControl/>
              <w:snapToGrid w:val="0"/>
              <w:contextualSpacing/>
              <w:jc w:val="center"/>
              <w:rPr>
                <w:rFonts w:hint="eastAsia" w:ascii="微软雅黑" w:hAnsi="微软雅黑" w:eastAsia="微软雅黑" w:cs="微软雅黑"/>
                <w:b w:val="0"/>
                <w:bCs w:val="0"/>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6D02DA7A">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5CD64916">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F88C5A3">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1000≤Y＜5000</w:t>
            </w:r>
          </w:p>
        </w:tc>
        <w:tc>
          <w:tcPr>
            <w:tcW w:w="1692" w:type="dxa"/>
            <w:tcBorders>
              <w:top w:val="nil"/>
              <w:left w:val="nil"/>
              <w:bottom w:val="single" w:color="auto" w:sz="4" w:space="0"/>
              <w:right w:val="single" w:color="auto" w:sz="4" w:space="0"/>
            </w:tcBorders>
            <w:noWrap w:val="0"/>
            <w:vAlign w:val="center"/>
          </w:tcPr>
          <w:p w14:paraId="7733CBA4">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500≤Y＜1000</w:t>
            </w:r>
          </w:p>
        </w:tc>
        <w:tc>
          <w:tcPr>
            <w:tcW w:w="1087" w:type="dxa"/>
            <w:tcBorders>
              <w:top w:val="nil"/>
              <w:left w:val="nil"/>
              <w:bottom w:val="single" w:color="auto" w:sz="4" w:space="0"/>
              <w:right w:val="single" w:color="auto" w:sz="4" w:space="0"/>
            </w:tcBorders>
            <w:noWrap w:val="0"/>
            <w:vAlign w:val="center"/>
          </w:tcPr>
          <w:p w14:paraId="3BDC13FA">
            <w:pPr>
              <w:widowControl/>
              <w:snapToGrid w:val="0"/>
              <w:contextualSpacing/>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Y＜500</w:t>
            </w:r>
          </w:p>
        </w:tc>
      </w:tr>
      <w:tr w14:paraId="151D5550">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526F9D8">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4345D7F1">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36B1C0B5">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1E06B55B">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0D9D3D8A">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17A3312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X＜10</w:t>
            </w:r>
          </w:p>
        </w:tc>
      </w:tr>
      <w:tr w14:paraId="1081347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D855010">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noWrap w:val="0"/>
            <w:vAlign w:val="center"/>
          </w:tcPr>
          <w:p w14:paraId="32F5624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资产总额（Z）</w:t>
            </w:r>
          </w:p>
        </w:tc>
        <w:tc>
          <w:tcPr>
            <w:tcW w:w="1466" w:type="dxa"/>
            <w:tcBorders>
              <w:top w:val="nil"/>
              <w:left w:val="nil"/>
              <w:bottom w:val="single" w:color="auto" w:sz="4" w:space="0"/>
              <w:right w:val="single" w:color="auto" w:sz="4" w:space="0"/>
            </w:tcBorders>
            <w:noWrap w:val="0"/>
            <w:vAlign w:val="center"/>
          </w:tcPr>
          <w:p w14:paraId="0658A82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48E2F36">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8000≤Z＜120000</w:t>
            </w:r>
          </w:p>
        </w:tc>
        <w:tc>
          <w:tcPr>
            <w:tcW w:w="1692" w:type="dxa"/>
            <w:tcBorders>
              <w:top w:val="nil"/>
              <w:left w:val="nil"/>
              <w:bottom w:val="single" w:color="auto" w:sz="4" w:space="0"/>
              <w:right w:val="single" w:color="auto" w:sz="4" w:space="0"/>
            </w:tcBorders>
            <w:noWrap w:val="0"/>
            <w:vAlign w:val="center"/>
          </w:tcPr>
          <w:p w14:paraId="54A097FB">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100≤Z＜8000</w:t>
            </w:r>
          </w:p>
        </w:tc>
        <w:tc>
          <w:tcPr>
            <w:tcW w:w="1087" w:type="dxa"/>
            <w:tcBorders>
              <w:top w:val="nil"/>
              <w:left w:val="nil"/>
              <w:bottom w:val="single" w:color="auto" w:sz="4" w:space="0"/>
              <w:right w:val="single" w:color="auto" w:sz="4" w:space="0"/>
            </w:tcBorders>
            <w:noWrap w:val="0"/>
            <w:vAlign w:val="center"/>
          </w:tcPr>
          <w:p w14:paraId="6D3D8928">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Y＜100</w:t>
            </w:r>
          </w:p>
        </w:tc>
      </w:tr>
      <w:tr w14:paraId="3F594CBC">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9831A44">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其他未列明行业</w:t>
            </w:r>
          </w:p>
          <w:p w14:paraId="016CBD70">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（包括科学研究和技术服务业，水利、环境和公共设施管理业，居民服务、修理和其他服务业，社会工作，文化、体育和娱乐业等）</w:t>
            </w:r>
          </w:p>
        </w:tc>
        <w:tc>
          <w:tcPr>
            <w:tcW w:w="1660" w:type="dxa"/>
            <w:tcBorders>
              <w:top w:val="nil"/>
              <w:left w:val="nil"/>
              <w:bottom w:val="single" w:color="auto" w:sz="4" w:space="0"/>
              <w:right w:val="single" w:color="auto" w:sz="4" w:space="0"/>
            </w:tcBorders>
            <w:noWrap w:val="0"/>
            <w:vAlign w:val="center"/>
          </w:tcPr>
          <w:p w14:paraId="3704864D">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48993FB3">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70238D63">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7A99D90B">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466B4672">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X＜10</w:t>
            </w:r>
          </w:p>
        </w:tc>
      </w:tr>
    </w:tbl>
    <w:p w14:paraId="1CBA4103">
      <w:pPr>
        <w:spacing w:line="360" w:lineRule="auto"/>
        <w:rPr>
          <w:rFonts w:hint="eastAsia" w:ascii="微软雅黑" w:hAnsi="微软雅黑" w:eastAsia="微软雅黑" w:cs="微软雅黑"/>
          <w:sz w:val="24"/>
          <w:szCs w:val="24"/>
          <w:highlight w:val="none"/>
        </w:rPr>
      </w:pPr>
    </w:p>
    <w:p w14:paraId="157A6C1F">
      <w:pPr>
        <w:snapToGrid w:val="0"/>
        <w:spacing w:line="336" w:lineRule="auto"/>
        <w:ind w:firstLine="480" w:firstLineChars="200"/>
        <w:contextualSpacing/>
        <w:jc w:val="left"/>
        <w:rPr>
          <w:rFonts w:hint="eastAsia" w:ascii="微软雅黑" w:hAnsi="微软雅黑" w:eastAsia="微软雅黑" w:cs="微软雅黑"/>
          <w:sz w:val="24"/>
          <w:szCs w:val="24"/>
          <w:highlight w:val="none"/>
        </w:rPr>
      </w:pPr>
      <w:r>
        <w:rPr>
          <w:rFonts w:hint="eastAsia" w:ascii="微软雅黑" w:hAnsi="微软雅黑" w:eastAsia="微软雅黑" w:cs="微软雅黑"/>
          <w:b/>
          <w:sz w:val="24"/>
          <w:szCs w:val="24"/>
          <w:highlight w:val="none"/>
        </w:rPr>
        <w:t>说明：</w:t>
      </w:r>
      <w:r>
        <w:rPr>
          <w:rFonts w:hint="eastAsia" w:ascii="微软雅黑" w:hAnsi="微软雅黑" w:eastAsia="微软雅黑" w:cs="微软雅黑"/>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42830BE0">
      <w:pPr>
        <w:snapToGrid w:val="0"/>
        <w:spacing w:line="336" w:lineRule="auto"/>
        <w:ind w:firstLine="480" w:firstLineChars="200"/>
        <w:contextualSpacing/>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w:t>
      </w:r>
      <w:r>
        <w:rPr>
          <w:rFonts w:hint="eastAsia" w:ascii="微软雅黑" w:hAnsi="微软雅黑" w:eastAsia="微软雅黑" w:cs="微软雅黑"/>
          <w:sz w:val="24"/>
          <w:szCs w:val="24"/>
          <w:highlight w:val="none"/>
          <w:lang w:eastAsia="zh-CN"/>
        </w:rPr>
        <w:t>招标文件</w:t>
      </w:r>
      <w:r>
        <w:rPr>
          <w:rFonts w:hint="eastAsia" w:ascii="微软雅黑" w:hAnsi="微软雅黑" w:eastAsia="微软雅黑" w:cs="微软雅黑"/>
          <w:sz w:val="24"/>
          <w:szCs w:val="24"/>
          <w:highlight w:val="none"/>
        </w:rPr>
        <w:t>所称中小企业，是指在中华人民共和国境内依法设立，依据国务院批准的</w:t>
      </w:r>
    </w:p>
    <w:p w14:paraId="3E22A922">
      <w:pPr>
        <w:snapToGrid w:val="0"/>
        <w:spacing w:line="336" w:lineRule="auto"/>
        <w:ind w:firstLine="480" w:firstLineChars="200"/>
        <w:contextualSpacing/>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sz w:val="24"/>
          <w:szCs w:val="24"/>
          <w:highlight w:val="none"/>
          <w:lang w:eastAsia="zh-CN"/>
        </w:rPr>
        <w:t>招标文件</w:t>
      </w:r>
      <w:r>
        <w:rPr>
          <w:rFonts w:hint="eastAsia" w:ascii="微软雅黑" w:hAnsi="微软雅黑" w:eastAsia="微软雅黑" w:cs="微软雅黑"/>
          <w:sz w:val="24"/>
          <w:szCs w:val="24"/>
          <w:highlight w:val="none"/>
        </w:rPr>
        <w:t>规定的中小企业扶持政策：</w:t>
      </w:r>
    </w:p>
    <w:p w14:paraId="7A68B1AF">
      <w:pPr>
        <w:snapToGrid w:val="0"/>
        <w:spacing w:line="336" w:lineRule="auto"/>
        <w:ind w:firstLine="480" w:firstLineChars="200"/>
        <w:contextualSpacing/>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4C9AD84F">
      <w:pPr>
        <w:snapToGrid w:val="0"/>
        <w:spacing w:line="336" w:lineRule="auto"/>
        <w:ind w:firstLine="480" w:firstLineChars="200"/>
        <w:contextualSpacing/>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（2）在工程采购项目中，工程由中小企业承建，即工程施工单位为中小企业，不对其中涉及的货物的制造商和服务的承接商作出要求；</w:t>
      </w:r>
    </w:p>
    <w:p w14:paraId="07A5A9DB">
      <w:pPr>
        <w:snapToGrid w:val="0"/>
        <w:spacing w:line="336" w:lineRule="auto"/>
        <w:ind w:firstLine="480" w:firstLineChars="200"/>
        <w:contextualSpacing/>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（3）在服务采购项目中，服务由中小企业承接，即提供服务的人员为中小企业依照《中华人民共和国</w:t>
      </w:r>
      <w:r>
        <w:rPr>
          <w:rFonts w:hint="eastAsia" w:ascii="微软雅黑" w:hAnsi="微软雅黑" w:eastAsia="微软雅黑" w:cs="微软雅黑"/>
          <w:kern w:val="0"/>
          <w:sz w:val="24"/>
          <w:szCs w:val="24"/>
          <w:highlight w:val="none"/>
          <w:lang w:eastAsia="zh-CN"/>
        </w:rPr>
        <w:t>民法典</w:t>
      </w:r>
      <w:r>
        <w:rPr>
          <w:rFonts w:hint="eastAsia" w:ascii="微软雅黑" w:hAnsi="微软雅黑" w:eastAsia="微软雅黑" w:cs="微软雅黑"/>
          <w:kern w:val="0"/>
          <w:sz w:val="24"/>
          <w:szCs w:val="24"/>
          <w:highlight w:val="none"/>
        </w:rPr>
        <w:t>》订立合同的从业人员，不对其中涉及的货物的制造商和工程承建商作出要求。</w:t>
      </w:r>
    </w:p>
    <w:p w14:paraId="680B87C3">
      <w:pPr>
        <w:snapToGrid w:val="0"/>
        <w:spacing w:line="336" w:lineRule="auto"/>
        <w:ind w:firstLine="480" w:firstLineChars="200"/>
        <w:contextualSpacing/>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sz w:val="24"/>
          <w:szCs w:val="24"/>
          <w:highlight w:val="none"/>
          <w:lang w:eastAsia="zh-CN"/>
        </w:rPr>
        <w:t>招标文件</w:t>
      </w:r>
      <w:r>
        <w:rPr>
          <w:rFonts w:hint="eastAsia" w:ascii="微软雅黑" w:hAnsi="微软雅黑" w:eastAsia="微软雅黑" w:cs="微软雅黑"/>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2BABC49A">
      <w:pPr>
        <w:snapToGrid w:val="0"/>
        <w:spacing w:line="336" w:lineRule="auto"/>
        <w:ind w:firstLine="480" w:firstLineChars="200"/>
        <w:contextualSpacing/>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依据本</w:t>
      </w:r>
      <w:r>
        <w:rPr>
          <w:rFonts w:hint="eastAsia" w:ascii="微软雅黑" w:hAnsi="微软雅黑" w:eastAsia="微软雅黑" w:cs="微软雅黑"/>
          <w:sz w:val="24"/>
          <w:szCs w:val="24"/>
          <w:highlight w:val="none"/>
          <w:lang w:eastAsia="zh-CN"/>
        </w:rPr>
        <w:t>招标文件</w:t>
      </w:r>
      <w:r>
        <w:rPr>
          <w:rFonts w:hint="eastAsia" w:ascii="微软雅黑" w:hAnsi="微软雅黑" w:eastAsia="微软雅黑" w:cs="微软雅黑"/>
          <w:sz w:val="24"/>
          <w:szCs w:val="24"/>
          <w:highlight w:val="none"/>
        </w:rPr>
        <w:t>规定享受扶持政策获得政府采购合同的，小微企业不得将合同分包给大中型企业，中型企业不得将合同分包给大型企业。</w:t>
      </w:r>
    </w:p>
    <w:bookmarkEnd w:id="2594"/>
    <w:bookmarkEnd w:id="2595"/>
    <w:bookmarkEnd w:id="2596"/>
    <w:bookmarkEnd w:id="2597"/>
    <w:bookmarkEnd w:id="2598"/>
    <w:bookmarkEnd w:id="2599"/>
    <w:bookmarkEnd w:id="2600"/>
    <w:p w14:paraId="3E716D65">
      <w:pPr>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br w:type="page"/>
      </w:r>
    </w:p>
    <w:p w14:paraId="3D23E859">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601" w:name="_Toc2805"/>
      <w:bookmarkStart w:id="2602" w:name="_Toc20477"/>
      <w:bookmarkStart w:id="2603" w:name="_Toc31232"/>
      <w:bookmarkStart w:id="2604" w:name="_Toc28393"/>
      <w:r>
        <w:rPr>
          <w:rFonts w:hint="eastAsia" w:ascii="微软雅黑" w:hAnsi="微软雅黑" w:eastAsia="微软雅黑" w:cs="微软雅黑"/>
          <w:b/>
          <w:bCs/>
          <w:color w:val="auto"/>
          <w:sz w:val="28"/>
          <w:szCs w:val="28"/>
          <w:highlight w:val="none"/>
          <w:u w:val="none"/>
          <w:lang w:val="en-US" w:eastAsia="zh-CN"/>
        </w:rPr>
        <w:t>6-2 残疾人福利性单位声明函</w:t>
      </w:r>
      <w:bookmarkEnd w:id="2601"/>
      <w:bookmarkEnd w:id="2602"/>
      <w:bookmarkEnd w:id="2603"/>
      <w:bookmarkEnd w:id="2604"/>
    </w:p>
    <w:p w14:paraId="2A141DC5">
      <w:pPr>
        <w:spacing w:line="400" w:lineRule="exact"/>
        <w:ind w:left="1080" w:leftChars="257" w:hanging="540"/>
        <w:jc w:val="center"/>
        <w:rPr>
          <w:rFonts w:hint="eastAsia" w:ascii="微软雅黑" w:hAnsi="微软雅黑" w:eastAsia="微软雅黑" w:cs="微软雅黑"/>
          <w:color w:val="auto"/>
          <w:kern w:val="0"/>
          <w:sz w:val="24"/>
          <w:highlight w:val="none"/>
        </w:rPr>
      </w:pPr>
    </w:p>
    <w:p w14:paraId="54883207">
      <w:pPr>
        <w:pageBreakBefore w:val="0"/>
        <w:kinsoku/>
        <w:overflowPunct/>
        <w:topLinePunct w:val="0"/>
        <w:bidi w:val="0"/>
        <w:spacing w:line="380" w:lineRule="exact"/>
        <w:ind w:left="0" w:leftChars="0" w:right="0" w:rightChars="0"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w:t>
      </w:r>
      <w:r>
        <w:rPr>
          <w:rFonts w:hint="eastAsia" w:ascii="微软雅黑" w:hAnsi="微软雅黑" w:eastAsia="微软雅黑" w:cs="微软雅黑"/>
          <w:color w:val="auto"/>
          <w:kern w:val="0"/>
          <w:sz w:val="24"/>
          <w:highlight w:val="none"/>
          <w:lang w:val="en-US" w:eastAsia="zh-CN"/>
        </w:rPr>
        <w:t>服务</w:t>
      </w:r>
      <w:r>
        <w:rPr>
          <w:rFonts w:hint="eastAsia" w:ascii="微软雅黑" w:hAnsi="微软雅黑" w:eastAsia="微软雅黑" w:cs="微软雅黑"/>
          <w:color w:val="auto"/>
          <w:kern w:val="0"/>
          <w:sz w:val="24"/>
          <w:highlight w:val="none"/>
        </w:rPr>
        <w:t>，或者提供其他残疾人福利性单位</w:t>
      </w:r>
      <w:r>
        <w:rPr>
          <w:rFonts w:hint="eastAsia" w:ascii="微软雅黑" w:hAnsi="微软雅黑" w:eastAsia="微软雅黑" w:cs="微软雅黑"/>
          <w:color w:val="auto"/>
          <w:kern w:val="0"/>
          <w:sz w:val="24"/>
          <w:highlight w:val="none"/>
          <w:lang w:val="en-US" w:eastAsia="zh-CN"/>
        </w:rPr>
        <w:t>的服务</w:t>
      </w:r>
      <w:r>
        <w:rPr>
          <w:rFonts w:hint="eastAsia" w:ascii="微软雅黑" w:hAnsi="微软雅黑" w:eastAsia="微软雅黑" w:cs="微软雅黑"/>
          <w:color w:val="auto"/>
          <w:kern w:val="0"/>
          <w:sz w:val="24"/>
          <w:highlight w:val="none"/>
        </w:rPr>
        <w:t>（不包括使用非残疾人福利性单位注册商标的</w:t>
      </w:r>
      <w:r>
        <w:rPr>
          <w:rFonts w:hint="eastAsia" w:ascii="微软雅黑" w:hAnsi="微软雅黑" w:eastAsia="微软雅黑" w:cs="微软雅黑"/>
          <w:color w:val="auto"/>
          <w:kern w:val="0"/>
          <w:sz w:val="24"/>
          <w:highlight w:val="none"/>
          <w:lang w:val="en-US" w:eastAsia="zh-CN"/>
        </w:rPr>
        <w:t>服务</w:t>
      </w:r>
      <w:r>
        <w:rPr>
          <w:rFonts w:hint="eastAsia" w:ascii="微软雅黑" w:hAnsi="微软雅黑" w:eastAsia="微软雅黑" w:cs="微软雅黑"/>
          <w:color w:val="auto"/>
          <w:kern w:val="0"/>
          <w:sz w:val="24"/>
          <w:highlight w:val="none"/>
        </w:rPr>
        <w:t>）。</w:t>
      </w:r>
    </w:p>
    <w:p w14:paraId="63BBA030">
      <w:pPr>
        <w:pageBreakBefore w:val="0"/>
        <w:kinsoku/>
        <w:overflowPunct/>
        <w:topLinePunct w:val="0"/>
        <w:bidi w:val="0"/>
        <w:spacing w:line="380" w:lineRule="exact"/>
        <w:ind w:left="0" w:leftChars="0" w:right="0" w:rightChars="0"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本单位对上述声明的真实性负责。如有虚假，将依法承担相应责任。</w:t>
      </w:r>
    </w:p>
    <w:p w14:paraId="0D1CA33C">
      <w:pPr>
        <w:pageBreakBefore w:val="0"/>
        <w:kinsoku/>
        <w:overflowPunct/>
        <w:topLinePunct w:val="0"/>
        <w:bidi w:val="0"/>
        <w:spacing w:line="380" w:lineRule="exact"/>
        <w:ind w:left="0" w:leftChars="0" w:right="0" w:rightChars="0" w:firstLine="480" w:firstLineChars="20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残疾人福利性单位名称（公章）：______________</w:t>
      </w:r>
    </w:p>
    <w:p w14:paraId="2A571A00">
      <w:pPr>
        <w:pageBreakBefore w:val="0"/>
        <w:widowControl w:val="0"/>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  </w:t>
      </w:r>
      <w:r>
        <w:rPr>
          <w:rFonts w:hint="eastAsia" w:ascii="微软雅黑" w:hAnsi="微软雅黑" w:eastAsia="微软雅黑" w:cs="微软雅黑"/>
          <w:color w:val="auto"/>
          <w:kern w:val="0"/>
          <w:sz w:val="24"/>
          <w:szCs w:val="24"/>
          <w:highlight w:val="none"/>
          <w:u w:val="single" w:color="FFFFFF"/>
          <w:lang w:val="en-US" w:eastAsia="zh-CN" w:bidi="ar-SA"/>
        </w:rPr>
        <w:t xml:space="preserve">       </w:t>
      </w:r>
      <w:r>
        <w:rPr>
          <w:rFonts w:hint="eastAsia" w:ascii="微软雅黑" w:hAnsi="微软雅黑" w:eastAsia="微软雅黑" w:cs="微软雅黑"/>
          <w:color w:val="auto"/>
          <w:kern w:val="0"/>
          <w:sz w:val="24"/>
          <w:szCs w:val="24"/>
          <w:highlight w:val="none"/>
          <w:lang w:val="en-US" w:eastAsia="zh-CN" w:bidi="ar-SA"/>
        </w:rPr>
        <w:t>日  期：_____________________________________________</w:t>
      </w:r>
    </w:p>
    <w:p w14:paraId="2C454637">
      <w:pPr>
        <w:pStyle w:val="12"/>
        <w:spacing w:line="400" w:lineRule="exact"/>
        <w:ind w:firstLine="480"/>
        <w:rPr>
          <w:rFonts w:hint="eastAsia" w:ascii="微软雅黑" w:hAnsi="微软雅黑" w:eastAsia="微软雅黑" w:cs="微软雅黑"/>
          <w:color w:val="auto"/>
          <w:highlight w:val="none"/>
        </w:rPr>
      </w:pPr>
    </w:p>
    <w:p w14:paraId="13018A24">
      <w:pPr>
        <w:pStyle w:val="12"/>
        <w:spacing w:line="400" w:lineRule="exact"/>
        <w:ind w:firstLine="480"/>
        <w:rPr>
          <w:rFonts w:hint="eastAsia" w:ascii="微软雅黑" w:hAnsi="微软雅黑" w:eastAsia="微软雅黑" w:cs="微软雅黑"/>
          <w:color w:val="auto"/>
          <w:highlight w:val="none"/>
        </w:rPr>
      </w:pPr>
    </w:p>
    <w:p w14:paraId="548C8006">
      <w:pPr>
        <w:rPr>
          <w:rFonts w:hint="eastAsia" w:ascii="微软雅黑" w:hAnsi="微软雅黑" w:eastAsia="微软雅黑" w:cs="微软雅黑"/>
          <w:highlight w:val="none"/>
        </w:rPr>
      </w:pPr>
    </w:p>
    <w:p w14:paraId="390222A1">
      <w:pPr>
        <w:pStyle w:val="8"/>
        <w:rPr>
          <w:rFonts w:hint="eastAsia" w:ascii="微软雅黑" w:hAnsi="微软雅黑" w:eastAsia="微软雅黑" w:cs="微软雅黑"/>
          <w:color w:val="auto"/>
          <w:highlight w:val="none"/>
        </w:rPr>
      </w:pPr>
    </w:p>
    <w:p w14:paraId="33BE4B6A">
      <w:pPr>
        <w:rPr>
          <w:rFonts w:hint="eastAsia" w:ascii="微软雅黑" w:hAnsi="微软雅黑" w:eastAsia="微软雅黑" w:cs="微软雅黑"/>
          <w:highlight w:val="none"/>
        </w:rPr>
      </w:pPr>
    </w:p>
    <w:p w14:paraId="651B8257">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605" w:name="_Toc5157"/>
      <w:bookmarkStart w:id="2606" w:name="_Toc3673"/>
      <w:bookmarkStart w:id="2607" w:name="_Toc7438"/>
      <w:bookmarkStart w:id="2608" w:name="_Toc22669"/>
      <w:r>
        <w:rPr>
          <w:rFonts w:hint="eastAsia" w:ascii="微软雅黑" w:hAnsi="微软雅黑" w:eastAsia="微软雅黑" w:cs="微软雅黑"/>
          <w:b/>
          <w:bCs/>
          <w:color w:val="auto"/>
          <w:sz w:val="28"/>
          <w:szCs w:val="28"/>
          <w:highlight w:val="none"/>
          <w:u w:val="none"/>
          <w:lang w:val="en-US" w:eastAsia="zh-CN"/>
        </w:rPr>
        <w:t>7.供应商关联单位的说明（格式自拟）</w:t>
      </w:r>
      <w:bookmarkEnd w:id="2605"/>
      <w:bookmarkEnd w:id="2606"/>
      <w:bookmarkEnd w:id="2607"/>
      <w:bookmarkEnd w:id="2608"/>
    </w:p>
    <w:p w14:paraId="25315E95">
      <w:pPr>
        <w:pStyle w:val="7"/>
        <w:spacing w:line="400" w:lineRule="exact"/>
        <w:jc w:val="center"/>
        <w:rPr>
          <w:rFonts w:hint="eastAsia" w:ascii="微软雅黑" w:hAnsi="微软雅黑" w:eastAsia="微软雅黑" w:cs="微软雅黑"/>
          <w:color w:val="auto"/>
          <w:szCs w:val="24"/>
          <w:highlight w:val="none"/>
        </w:rPr>
      </w:pPr>
    </w:p>
    <w:p w14:paraId="086F5E9C">
      <w:pPr>
        <w:pStyle w:val="7"/>
        <w:spacing w:line="400" w:lineRule="exact"/>
        <w:ind w:firstLine="48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说明：供应商应当如实披露与本单位存在下列关联关系的单位名称：</w:t>
      </w:r>
    </w:p>
    <w:p w14:paraId="1AE60C0B">
      <w:pPr>
        <w:pStyle w:val="7"/>
        <w:spacing w:line="400" w:lineRule="exact"/>
        <w:ind w:firstLine="960" w:firstLineChars="400"/>
        <w:rPr>
          <w:rFonts w:hint="eastAsia" w:ascii="微软雅黑" w:hAnsi="微软雅黑" w:eastAsia="微软雅黑" w:cs="微软雅黑"/>
          <w:color w:val="auto"/>
          <w:szCs w:val="24"/>
          <w:highlight w:val="none"/>
          <w:lang w:eastAsia="zh-CN"/>
        </w:rPr>
      </w:pPr>
      <w:r>
        <w:rPr>
          <w:rFonts w:hint="eastAsia" w:ascii="微软雅黑" w:hAnsi="微软雅黑" w:eastAsia="微软雅黑" w:cs="微软雅黑"/>
          <w:color w:val="auto"/>
          <w:szCs w:val="24"/>
          <w:highlight w:val="none"/>
        </w:rPr>
        <w:t>（1）与供应商单位负责人为同一人的其他单位；</w:t>
      </w:r>
    </w:p>
    <w:p w14:paraId="6B59D9A2">
      <w:pPr>
        <w:pStyle w:val="7"/>
        <w:spacing w:line="400" w:lineRule="exact"/>
        <w:ind w:firstLine="48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 xml:space="preserve">    （2）与供应商存在直接控股、管理关系的其他单位。</w:t>
      </w:r>
    </w:p>
    <w:p w14:paraId="484B0BB3">
      <w:pPr>
        <w:pStyle w:val="8"/>
        <w:rPr>
          <w:rFonts w:hint="eastAsia" w:ascii="微软雅黑" w:hAnsi="微软雅黑" w:eastAsia="微软雅黑" w:cs="微软雅黑"/>
          <w:color w:val="auto"/>
          <w:highlight w:val="none"/>
        </w:rPr>
      </w:pPr>
    </w:p>
    <w:p w14:paraId="3E4C44CE">
      <w:pPr>
        <w:pStyle w:val="22"/>
        <w:rPr>
          <w:rFonts w:hint="eastAsia" w:ascii="微软雅黑" w:hAnsi="微软雅黑" w:eastAsia="微软雅黑" w:cs="微软雅黑"/>
          <w:b/>
          <w:color w:val="auto"/>
          <w:kern w:val="0"/>
          <w:sz w:val="24"/>
          <w:highlight w:val="none"/>
        </w:rPr>
      </w:pPr>
    </w:p>
    <w:p w14:paraId="0BA77FEF">
      <w:pPr>
        <w:pStyle w:val="22"/>
        <w:rPr>
          <w:rFonts w:hint="eastAsia" w:ascii="微软雅黑" w:hAnsi="微软雅黑" w:eastAsia="微软雅黑" w:cs="微软雅黑"/>
          <w:b/>
          <w:color w:val="auto"/>
          <w:kern w:val="0"/>
          <w:sz w:val="24"/>
          <w:highlight w:val="none"/>
        </w:rPr>
      </w:pPr>
    </w:p>
    <w:p w14:paraId="11CBE452">
      <w:pPr>
        <w:pStyle w:val="22"/>
        <w:rPr>
          <w:rFonts w:hint="eastAsia" w:ascii="微软雅黑" w:hAnsi="微软雅黑" w:eastAsia="微软雅黑" w:cs="微软雅黑"/>
          <w:b/>
          <w:color w:val="auto"/>
          <w:kern w:val="0"/>
          <w:sz w:val="24"/>
          <w:highlight w:val="none"/>
        </w:rPr>
      </w:pPr>
    </w:p>
    <w:p w14:paraId="55B19571">
      <w:pPr>
        <w:pStyle w:val="22"/>
        <w:rPr>
          <w:rFonts w:hint="eastAsia" w:ascii="微软雅黑" w:hAnsi="微软雅黑" w:eastAsia="微软雅黑" w:cs="微软雅黑"/>
          <w:b/>
          <w:color w:val="auto"/>
          <w:kern w:val="0"/>
          <w:sz w:val="24"/>
          <w:highlight w:val="none"/>
        </w:rPr>
      </w:pPr>
    </w:p>
    <w:p w14:paraId="5DE85368">
      <w:pPr>
        <w:pStyle w:val="22"/>
        <w:rPr>
          <w:rFonts w:hint="eastAsia" w:ascii="微软雅黑" w:hAnsi="微软雅黑" w:eastAsia="微软雅黑" w:cs="微软雅黑"/>
          <w:b/>
          <w:color w:val="auto"/>
          <w:kern w:val="0"/>
          <w:sz w:val="24"/>
          <w:highlight w:val="none"/>
        </w:rPr>
      </w:pPr>
    </w:p>
    <w:p w14:paraId="4CE161B7">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609" w:name="_Toc29994"/>
      <w:bookmarkStart w:id="2610" w:name="_Toc18833"/>
      <w:bookmarkStart w:id="2611" w:name="_Toc10179"/>
      <w:bookmarkStart w:id="2612" w:name="_Toc26676"/>
      <w:r>
        <w:rPr>
          <w:rFonts w:hint="eastAsia" w:ascii="微软雅黑" w:hAnsi="微软雅黑" w:eastAsia="微软雅黑" w:cs="微软雅黑"/>
          <w:b/>
          <w:bCs/>
          <w:color w:val="auto"/>
          <w:sz w:val="28"/>
          <w:szCs w:val="28"/>
          <w:highlight w:val="none"/>
          <w:u w:val="none"/>
          <w:lang w:val="en-US" w:eastAsia="zh-CN"/>
        </w:rPr>
        <w:t>8.供应商可提供有利于投标的其他证明材料</w:t>
      </w:r>
      <w:bookmarkEnd w:id="2609"/>
      <w:bookmarkEnd w:id="2610"/>
      <w:bookmarkEnd w:id="2611"/>
      <w:bookmarkEnd w:id="2612"/>
    </w:p>
    <w:p w14:paraId="465DEB55">
      <w:pPr>
        <w:pStyle w:val="7"/>
        <w:ind w:left="0" w:leftChars="0" w:firstLine="0" w:firstLineChars="0"/>
        <w:rPr>
          <w:rFonts w:hint="eastAsia" w:ascii="微软雅黑" w:hAnsi="微软雅黑" w:eastAsia="微软雅黑" w:cs="微软雅黑"/>
          <w:color w:val="auto"/>
          <w:sz w:val="24"/>
          <w:highlight w:val="none"/>
        </w:rPr>
      </w:pPr>
    </w:p>
    <w:p w14:paraId="32C1DC0C">
      <w:pPr>
        <w:pStyle w:val="8"/>
        <w:rPr>
          <w:rFonts w:hint="eastAsia" w:ascii="微软雅黑" w:hAnsi="微软雅黑" w:eastAsia="微软雅黑" w:cs="微软雅黑"/>
          <w:color w:val="auto"/>
          <w:sz w:val="24"/>
          <w:highlight w:val="none"/>
        </w:rPr>
      </w:pPr>
    </w:p>
    <w:p w14:paraId="008EBED2">
      <w:pPr>
        <w:rPr>
          <w:rFonts w:hint="eastAsia" w:ascii="微软雅黑" w:hAnsi="微软雅黑" w:eastAsia="微软雅黑" w:cs="微软雅黑"/>
          <w:color w:val="auto"/>
          <w:sz w:val="24"/>
          <w:highlight w:val="none"/>
        </w:rPr>
      </w:pPr>
    </w:p>
    <w:p w14:paraId="2C70075B">
      <w:pPr>
        <w:rPr>
          <w:rFonts w:hint="eastAsia" w:ascii="微软雅黑" w:hAnsi="微软雅黑" w:eastAsia="微软雅黑" w:cs="微软雅黑"/>
          <w:color w:val="auto"/>
          <w:sz w:val="28"/>
          <w:szCs w:val="28"/>
          <w:highlight w:val="none"/>
          <w:lang w:val="en-US" w:eastAsia="zh-CN"/>
        </w:rPr>
      </w:pPr>
      <w:bookmarkStart w:id="2613" w:name="_Toc11"/>
      <w:bookmarkStart w:id="2614" w:name="_Toc24340"/>
      <w:r>
        <w:rPr>
          <w:rFonts w:hint="eastAsia" w:ascii="微软雅黑" w:hAnsi="微软雅黑" w:eastAsia="微软雅黑" w:cs="微软雅黑"/>
          <w:color w:val="auto"/>
          <w:sz w:val="28"/>
          <w:szCs w:val="28"/>
          <w:highlight w:val="none"/>
          <w:lang w:val="en-US" w:eastAsia="zh-CN"/>
        </w:rPr>
        <w:br w:type="page"/>
      </w:r>
    </w:p>
    <w:p w14:paraId="3E329FE2">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2"/>
        <w:rPr>
          <w:rFonts w:hint="eastAsia" w:ascii="微软雅黑" w:hAnsi="微软雅黑" w:eastAsia="微软雅黑" w:cs="微软雅黑"/>
          <w:b/>
          <w:bCs/>
          <w:color w:val="auto"/>
          <w:sz w:val="28"/>
          <w:szCs w:val="28"/>
          <w:highlight w:val="none"/>
          <w:u w:val="none"/>
          <w:lang w:val="en-US" w:eastAsia="zh-CN"/>
        </w:rPr>
      </w:pPr>
      <w:bookmarkStart w:id="2615" w:name="_Toc30187"/>
      <w:bookmarkStart w:id="2616" w:name="_Toc19744"/>
      <w:r>
        <w:rPr>
          <w:rFonts w:hint="eastAsia" w:ascii="微软雅黑" w:hAnsi="微软雅黑" w:eastAsia="微软雅黑" w:cs="微软雅黑"/>
          <w:b/>
          <w:bCs/>
          <w:color w:val="auto"/>
          <w:sz w:val="28"/>
          <w:szCs w:val="28"/>
          <w:highlight w:val="none"/>
          <w:u w:val="none"/>
          <w:lang w:val="en-US" w:eastAsia="zh-CN"/>
        </w:rPr>
        <w:t>9.投标文件格式范本</w:t>
      </w:r>
      <w:bookmarkEnd w:id="2613"/>
      <w:bookmarkEnd w:id="2614"/>
      <w:bookmarkEnd w:id="2615"/>
      <w:bookmarkEnd w:id="2616"/>
    </w:p>
    <w:tbl>
      <w:tblPr>
        <w:tblStyle w:val="29"/>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6D9347BD">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230EDBC9">
            <w:pPr>
              <w:pStyle w:val="10"/>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w:t>
            </w:r>
          </w:p>
          <w:p w14:paraId="2240B015">
            <w:pPr>
              <w:pStyle w:val="10"/>
              <w:ind w:firstLine="4202" w:firstLineChars="1500"/>
              <w:rPr>
                <w:rFonts w:hint="eastAsia" w:ascii="微软雅黑" w:hAnsi="微软雅黑" w:eastAsia="微软雅黑" w:cs="微软雅黑"/>
                <w:b/>
                <w:bCs/>
                <w:color w:val="auto"/>
                <w:sz w:val="28"/>
                <w:szCs w:val="28"/>
                <w:highlight w:val="none"/>
              </w:rPr>
            </w:pPr>
          </w:p>
          <w:p w14:paraId="646ACF52">
            <w:pPr>
              <w:pStyle w:val="10"/>
              <w:ind w:firstLine="4202" w:firstLineChars="1500"/>
              <w:rPr>
                <w:rFonts w:hint="eastAsia" w:ascii="微软雅黑" w:hAnsi="微软雅黑" w:eastAsia="微软雅黑" w:cs="微软雅黑"/>
                <w:b/>
                <w:bCs/>
                <w:color w:val="auto"/>
                <w:sz w:val="28"/>
                <w:szCs w:val="28"/>
                <w:highlight w:val="none"/>
              </w:rPr>
            </w:pPr>
          </w:p>
          <w:p w14:paraId="378D9B47">
            <w:pPr>
              <w:pStyle w:val="10"/>
              <w:rPr>
                <w:rFonts w:hint="eastAsia" w:ascii="微软雅黑" w:hAnsi="微软雅黑" w:eastAsia="微软雅黑" w:cs="微软雅黑"/>
                <w:b/>
                <w:bCs/>
                <w:color w:val="auto"/>
                <w:sz w:val="28"/>
                <w:szCs w:val="28"/>
                <w:highlight w:val="none"/>
              </w:rPr>
            </w:pPr>
          </w:p>
          <w:p w14:paraId="26AE6DBC">
            <w:pPr>
              <w:pStyle w:val="10"/>
              <w:ind w:firstLine="1891"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8"/>
                <w:szCs w:val="28"/>
                <w:highlight w:val="none"/>
              </w:rPr>
              <w:t>项目</w:t>
            </w:r>
          </w:p>
          <w:p w14:paraId="73C0DD45">
            <w:pPr>
              <w:pStyle w:val="10"/>
              <w:jc w:val="center"/>
              <w:rPr>
                <w:rFonts w:hint="eastAsia" w:ascii="微软雅黑" w:hAnsi="微软雅黑" w:eastAsia="微软雅黑" w:cs="微软雅黑"/>
                <w:b/>
                <w:bCs/>
                <w:color w:val="auto"/>
                <w:sz w:val="21"/>
                <w:szCs w:val="21"/>
                <w:highlight w:val="none"/>
              </w:rPr>
            </w:pPr>
          </w:p>
          <w:p w14:paraId="4F5C696F">
            <w:pPr>
              <w:rPr>
                <w:rFonts w:hint="eastAsia" w:ascii="微软雅黑" w:hAnsi="微软雅黑" w:eastAsia="微软雅黑" w:cs="微软雅黑"/>
                <w:highlight w:val="none"/>
              </w:rPr>
            </w:pPr>
          </w:p>
          <w:p w14:paraId="23855B3C">
            <w:pPr>
              <w:pStyle w:val="10"/>
              <w:ind w:firstLine="2731" w:firstLineChars="1300"/>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项目</w:t>
            </w:r>
            <w:r>
              <w:rPr>
                <w:rFonts w:hint="eastAsia" w:ascii="微软雅黑" w:hAnsi="微软雅黑" w:eastAsia="微软雅黑" w:cs="微软雅黑"/>
                <w:b/>
                <w:bCs/>
                <w:color w:val="auto"/>
                <w:sz w:val="21"/>
                <w:szCs w:val="21"/>
                <w:highlight w:val="none"/>
              </w:rPr>
              <w:t xml:space="preserve">编号 ＊＊＊      </w:t>
            </w:r>
            <w:r>
              <w:rPr>
                <w:rFonts w:hint="eastAsia" w:ascii="微软雅黑" w:hAnsi="微软雅黑" w:eastAsia="微软雅黑" w:cs="微软雅黑"/>
                <w:b/>
                <w:bCs/>
                <w:color w:val="auto"/>
                <w:sz w:val="21"/>
                <w:szCs w:val="21"/>
                <w:highlight w:val="none"/>
                <w:lang w:eastAsia="zh-CN"/>
              </w:rPr>
              <w:t>标项</w:t>
            </w:r>
            <w:r>
              <w:rPr>
                <w:rFonts w:hint="eastAsia" w:ascii="微软雅黑" w:hAnsi="微软雅黑" w:eastAsia="微软雅黑" w:cs="微软雅黑"/>
                <w:b/>
                <w:bCs/>
                <w:color w:val="auto"/>
                <w:sz w:val="21"/>
                <w:szCs w:val="21"/>
                <w:highlight w:val="none"/>
              </w:rPr>
              <w:t>：＊＊＊（如有）</w:t>
            </w:r>
          </w:p>
          <w:p w14:paraId="52B3977F">
            <w:pPr>
              <w:pStyle w:val="10"/>
              <w:jc w:val="center"/>
              <w:rPr>
                <w:rFonts w:hint="eastAsia" w:ascii="微软雅黑" w:hAnsi="微软雅黑" w:eastAsia="微软雅黑" w:cs="微软雅黑"/>
                <w:b/>
                <w:bCs/>
                <w:color w:val="auto"/>
                <w:sz w:val="48"/>
                <w:highlight w:val="none"/>
              </w:rPr>
            </w:pPr>
          </w:p>
          <w:p w14:paraId="75A3DADE">
            <w:pPr>
              <w:pStyle w:val="10"/>
              <w:jc w:val="center"/>
              <w:rPr>
                <w:rFonts w:hint="eastAsia"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rPr>
              <w:t>投 标 文 件</w:t>
            </w:r>
          </w:p>
          <w:p w14:paraId="2B54EB8C">
            <w:pPr>
              <w:pStyle w:val="7"/>
              <w:ind w:firstLine="0"/>
              <w:rPr>
                <w:rFonts w:hint="eastAsia" w:ascii="微软雅黑" w:hAnsi="微软雅黑" w:eastAsia="微软雅黑" w:cs="微软雅黑"/>
                <w:b/>
                <w:color w:val="auto"/>
                <w:sz w:val="32"/>
                <w:highlight w:val="none"/>
              </w:rPr>
            </w:pPr>
          </w:p>
          <w:p w14:paraId="7568DA67">
            <w:pPr>
              <w:pStyle w:val="7"/>
              <w:rPr>
                <w:rFonts w:hint="eastAsia" w:ascii="微软雅黑" w:hAnsi="微软雅黑" w:eastAsia="微软雅黑" w:cs="微软雅黑"/>
                <w:b/>
                <w:color w:val="auto"/>
                <w:sz w:val="32"/>
                <w:highlight w:val="none"/>
              </w:rPr>
            </w:pPr>
          </w:p>
          <w:p w14:paraId="46685BA6">
            <w:pPr>
              <w:spacing w:line="360" w:lineRule="auto"/>
              <w:ind w:left="176" w:leftChars="84" w:firstLine="1260" w:firstLineChars="6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应</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（公章）</w:t>
            </w:r>
          </w:p>
          <w:p w14:paraId="06B99FDB">
            <w:pPr>
              <w:spacing w:line="360" w:lineRule="auto"/>
              <w:ind w:left="176" w:leftChars="84" w:firstLine="1260" w:firstLineChars="6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项目名称：</w:t>
            </w:r>
            <w:r>
              <w:rPr>
                <w:rFonts w:hint="eastAsia" w:ascii="微软雅黑" w:hAnsi="微软雅黑" w:eastAsia="微软雅黑" w:cs="微软雅黑"/>
                <w:color w:val="auto"/>
                <w:szCs w:val="21"/>
                <w:highlight w:val="none"/>
                <w:u w:val="single"/>
              </w:rPr>
              <w:t xml:space="preserve">                                       </w:t>
            </w:r>
          </w:p>
          <w:p w14:paraId="19760C81">
            <w:pPr>
              <w:spacing w:line="360" w:lineRule="auto"/>
              <w:ind w:left="176" w:leftChars="84" w:firstLine="1260" w:firstLineChars="6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项目编号：</w:t>
            </w:r>
            <w:r>
              <w:rPr>
                <w:rFonts w:hint="eastAsia" w:ascii="微软雅黑" w:hAnsi="微软雅黑" w:eastAsia="微软雅黑" w:cs="微软雅黑"/>
                <w:color w:val="auto"/>
                <w:szCs w:val="21"/>
                <w:highlight w:val="none"/>
                <w:u w:val="single"/>
              </w:rPr>
              <w:t xml:space="preserve">                                       </w:t>
            </w:r>
          </w:p>
          <w:p w14:paraId="6F2B739E">
            <w:pPr>
              <w:spacing w:line="360" w:lineRule="auto"/>
              <w:ind w:left="176" w:leftChars="84" w:firstLine="1260" w:firstLineChars="6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联 系 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14:paraId="5EDF838E">
            <w:pPr>
              <w:spacing w:line="360" w:lineRule="auto"/>
              <w:ind w:left="176" w:leftChars="84" w:firstLine="1260" w:firstLineChars="6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    话：</w:t>
            </w:r>
            <w:r>
              <w:rPr>
                <w:rFonts w:hint="eastAsia" w:ascii="微软雅黑" w:hAnsi="微软雅黑" w:eastAsia="微软雅黑" w:cs="微软雅黑"/>
                <w:color w:val="auto"/>
                <w:szCs w:val="21"/>
                <w:highlight w:val="none"/>
                <w:u w:val="single"/>
              </w:rPr>
              <w:t xml:space="preserve">                                       </w:t>
            </w:r>
          </w:p>
          <w:p w14:paraId="0CFA41A5">
            <w:pPr>
              <w:spacing w:line="360" w:lineRule="auto"/>
              <w:ind w:left="176" w:leftChars="84" w:firstLine="1260" w:firstLineChars="6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Cs w:val="21"/>
                <w:highlight w:val="none"/>
              </w:rPr>
              <w:t>地    址：</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33587061">
            <w:pPr>
              <w:jc w:val="center"/>
              <w:rPr>
                <w:rFonts w:hint="eastAsia" w:ascii="微软雅黑" w:hAnsi="微软雅黑" w:eastAsia="微软雅黑" w:cs="微软雅黑"/>
                <w:b/>
                <w:bCs/>
                <w:color w:val="auto"/>
                <w:highlight w:val="none"/>
              </w:rPr>
            </w:pPr>
          </w:p>
          <w:p w14:paraId="72D25FDB">
            <w:pPr>
              <w:pStyle w:val="7"/>
              <w:rPr>
                <w:rFonts w:hint="eastAsia" w:ascii="微软雅黑" w:hAnsi="微软雅黑" w:eastAsia="微软雅黑" w:cs="微软雅黑"/>
                <w:color w:val="auto"/>
                <w:highlight w:val="none"/>
              </w:rPr>
            </w:pPr>
          </w:p>
          <w:p w14:paraId="3468254A">
            <w:pPr>
              <w:jc w:val="center"/>
              <w:rPr>
                <w:rFonts w:hint="eastAsia" w:ascii="微软雅黑" w:hAnsi="微软雅黑" w:eastAsia="微软雅黑" w:cs="微软雅黑"/>
                <w:b/>
                <w:bCs/>
                <w:color w:val="auto"/>
                <w:highlight w:val="none"/>
              </w:rPr>
            </w:pPr>
          </w:p>
          <w:p w14:paraId="1B752FB3">
            <w:pPr>
              <w:jc w:val="center"/>
              <w:rPr>
                <w:rFonts w:hint="eastAsia" w:ascii="微软雅黑" w:hAnsi="微软雅黑" w:eastAsia="微软雅黑" w:cs="微软雅黑"/>
                <w:b/>
                <w:bCs/>
                <w:color w:val="auto"/>
                <w:highlight w:val="none"/>
              </w:rPr>
            </w:pPr>
          </w:p>
        </w:tc>
      </w:tr>
    </w:tbl>
    <w:p w14:paraId="3C5409FF">
      <w:pPr>
        <w:spacing w:line="240" w:lineRule="atLeast"/>
        <w:jc w:val="center"/>
        <w:rPr>
          <w:rFonts w:hint="eastAsia" w:ascii="微软雅黑" w:hAnsi="微软雅黑" w:eastAsia="微软雅黑" w:cs="微软雅黑"/>
          <w:b/>
          <w:color w:val="auto"/>
          <w:sz w:val="32"/>
          <w:highlight w:val="none"/>
        </w:rPr>
      </w:pPr>
    </w:p>
    <w:p w14:paraId="50F9BE6A">
      <w:pP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br w:type="page"/>
      </w:r>
    </w:p>
    <w:p w14:paraId="45E23754">
      <w:pPr>
        <w:pStyle w:val="10"/>
        <w:rPr>
          <w:rFonts w:hint="eastAsia" w:ascii="微软雅黑" w:hAnsi="微软雅黑" w:eastAsia="微软雅黑" w:cs="微软雅黑"/>
          <w:highlight w:val="none"/>
        </w:rPr>
      </w:pPr>
    </w:p>
    <w:p w14:paraId="229633CB">
      <w:pPr>
        <w:spacing w:line="240" w:lineRule="atLeast"/>
        <w:jc w:val="center"/>
        <w:outlineLvl w:val="9"/>
        <w:rPr>
          <w:rFonts w:hint="eastAsia" w:ascii="微软雅黑" w:hAnsi="微软雅黑" w:eastAsia="微软雅黑" w:cs="微软雅黑"/>
          <w:b/>
          <w:color w:val="auto"/>
          <w:sz w:val="44"/>
          <w:szCs w:val="44"/>
          <w:highlight w:val="none"/>
        </w:rPr>
      </w:pPr>
    </w:p>
    <w:p w14:paraId="54BEEAEC">
      <w:pPr>
        <w:pStyle w:val="8"/>
        <w:outlineLvl w:val="9"/>
        <w:rPr>
          <w:rFonts w:hint="eastAsia" w:ascii="微软雅黑" w:hAnsi="微软雅黑" w:eastAsia="微软雅黑" w:cs="微软雅黑"/>
          <w:b/>
          <w:color w:val="auto"/>
          <w:sz w:val="44"/>
          <w:szCs w:val="44"/>
          <w:highlight w:val="none"/>
        </w:rPr>
      </w:pPr>
    </w:p>
    <w:p w14:paraId="779410DE">
      <w:pPr>
        <w:outlineLvl w:val="9"/>
        <w:rPr>
          <w:rFonts w:hint="eastAsia" w:ascii="微软雅黑" w:hAnsi="微软雅黑" w:eastAsia="微软雅黑" w:cs="微软雅黑"/>
          <w:b/>
          <w:color w:val="auto"/>
          <w:sz w:val="44"/>
          <w:szCs w:val="44"/>
          <w:highlight w:val="none"/>
        </w:rPr>
      </w:pPr>
    </w:p>
    <w:p w14:paraId="0FA5BE64">
      <w:pPr>
        <w:pStyle w:val="28"/>
        <w:rPr>
          <w:rFonts w:hint="eastAsia" w:ascii="微软雅黑" w:hAnsi="微软雅黑" w:eastAsia="微软雅黑" w:cs="微软雅黑"/>
          <w:b/>
          <w:color w:val="auto"/>
          <w:sz w:val="32"/>
          <w:szCs w:val="32"/>
          <w:highlight w:val="none"/>
        </w:rPr>
      </w:pPr>
    </w:p>
    <w:p w14:paraId="067D2D9D">
      <w:pPr>
        <w:rPr>
          <w:rFonts w:hint="eastAsia" w:ascii="微软雅黑" w:hAnsi="微软雅黑" w:eastAsia="微软雅黑" w:cs="微软雅黑"/>
          <w:highlight w:val="none"/>
        </w:rPr>
      </w:pPr>
    </w:p>
    <w:p w14:paraId="6246B53F">
      <w:pPr>
        <w:outlineLvl w:val="9"/>
        <w:rPr>
          <w:rFonts w:hint="eastAsia" w:ascii="微软雅黑" w:hAnsi="微软雅黑" w:eastAsia="微软雅黑" w:cs="微软雅黑"/>
          <w:highlight w:val="none"/>
        </w:rPr>
      </w:pPr>
    </w:p>
    <w:p w14:paraId="1900FE66">
      <w:pPr>
        <w:pStyle w:val="22"/>
        <w:rPr>
          <w:rFonts w:hint="eastAsia" w:ascii="微软雅黑" w:hAnsi="微软雅黑" w:eastAsia="微软雅黑" w:cs="微软雅黑"/>
          <w:color w:val="auto"/>
          <w:highlight w:val="none"/>
        </w:rPr>
      </w:pPr>
    </w:p>
    <w:p w14:paraId="5E42F5AD">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14:paraId="369003A9">
      <w:pPr>
        <w:spacing w:line="240" w:lineRule="auto"/>
        <w:rPr>
          <w:rFonts w:hint="eastAsia" w:ascii="微软雅黑" w:hAnsi="微软雅黑" w:eastAsia="微软雅黑" w:cs="微软雅黑"/>
          <w:b/>
          <w:color w:val="auto"/>
          <w:sz w:val="44"/>
          <w:szCs w:val="44"/>
          <w:highlight w:val="none"/>
        </w:rPr>
      </w:pPr>
      <w:bookmarkStart w:id="2617" w:name="_Toc24900_WPSOffice_Level2"/>
    </w:p>
    <w:p w14:paraId="41E268B7">
      <w:pPr>
        <w:spacing w:line="240" w:lineRule="auto"/>
        <w:jc w:val="center"/>
        <w:outlineLvl w:val="9"/>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rPr>
        <w:t>项目编号：</w:t>
      </w:r>
      <w:bookmarkEnd w:id="2617"/>
      <w:r>
        <w:rPr>
          <w:rFonts w:hint="eastAsia" w:ascii="微软雅黑" w:hAnsi="微软雅黑" w:eastAsia="微软雅黑" w:cs="微软雅黑"/>
          <w:b/>
          <w:color w:val="auto"/>
          <w:sz w:val="44"/>
          <w:szCs w:val="44"/>
          <w:highlight w:val="none"/>
          <w:lang w:eastAsia="zh-CN"/>
        </w:rPr>
        <w:t>26GJ-(GK)012</w:t>
      </w:r>
    </w:p>
    <w:p w14:paraId="4DBB08F2">
      <w:pPr>
        <w:spacing w:line="240" w:lineRule="auto"/>
        <w:rPr>
          <w:rFonts w:hint="eastAsia" w:ascii="微软雅黑" w:hAnsi="微软雅黑" w:eastAsia="微软雅黑" w:cs="微软雅黑"/>
          <w:b/>
          <w:color w:val="auto"/>
          <w:sz w:val="44"/>
          <w:szCs w:val="44"/>
          <w:highlight w:val="none"/>
        </w:rPr>
      </w:pPr>
    </w:p>
    <w:p w14:paraId="5A591CF3">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第 二 册</w:t>
      </w:r>
    </w:p>
    <w:p w14:paraId="559A0DE5">
      <w:pPr>
        <w:rPr>
          <w:rFonts w:hint="eastAsia" w:ascii="微软雅黑" w:hAnsi="微软雅黑" w:eastAsia="微软雅黑" w:cs="微软雅黑"/>
          <w:color w:val="auto"/>
          <w:sz w:val="44"/>
          <w:szCs w:val="36"/>
          <w:highlight w:val="none"/>
        </w:rPr>
      </w:pPr>
    </w:p>
    <w:bookmarkEnd w:id="2456"/>
    <w:bookmarkEnd w:id="2457"/>
    <w:bookmarkEnd w:id="2458"/>
    <w:bookmarkEnd w:id="2459"/>
    <w:bookmarkEnd w:id="2513"/>
    <w:bookmarkEnd w:id="2514"/>
    <w:bookmarkEnd w:id="2515"/>
    <w:bookmarkEnd w:id="2516"/>
    <w:bookmarkEnd w:id="2517"/>
    <w:bookmarkEnd w:id="2518"/>
    <w:p w14:paraId="5480E676">
      <w:pPr>
        <w:rPr>
          <w:rFonts w:hint="eastAsia" w:ascii="微软雅黑" w:hAnsi="微软雅黑" w:eastAsia="微软雅黑" w:cs="微软雅黑"/>
          <w:color w:val="auto"/>
          <w:highlight w:val="none"/>
        </w:rPr>
      </w:pPr>
    </w:p>
    <w:p w14:paraId="4ABAFB8A">
      <w:pPr>
        <w:rPr>
          <w:rStyle w:val="43"/>
          <w:rFonts w:hint="eastAsia" w:ascii="微软雅黑" w:hAnsi="微软雅黑" w:eastAsia="微软雅黑" w:cs="微软雅黑"/>
          <w:color w:val="auto"/>
          <w:highlight w:val="none"/>
        </w:rPr>
      </w:pPr>
      <w:bookmarkStart w:id="2618" w:name="_Toc219175634"/>
      <w:bookmarkStart w:id="2619" w:name="_Toc29715"/>
      <w:bookmarkStart w:id="2620" w:name="_Toc16370"/>
      <w:bookmarkStart w:id="2621" w:name="_Toc22081"/>
      <w:bookmarkStart w:id="2622" w:name="_Toc218935350"/>
      <w:bookmarkStart w:id="2623" w:name="_Toc515647829"/>
      <w:bookmarkStart w:id="2624" w:name="_Toc216582822"/>
      <w:bookmarkStart w:id="2625" w:name="_Toc507399902"/>
      <w:bookmarkStart w:id="2626" w:name="_Toc28765"/>
      <w:r>
        <w:rPr>
          <w:rStyle w:val="43"/>
          <w:rFonts w:hint="eastAsia" w:ascii="微软雅黑" w:hAnsi="微软雅黑" w:eastAsia="微软雅黑" w:cs="微软雅黑"/>
          <w:color w:val="auto"/>
          <w:highlight w:val="none"/>
        </w:rPr>
        <w:br w:type="page"/>
      </w:r>
    </w:p>
    <w:p w14:paraId="7B967BD9">
      <w:pPr>
        <w:pStyle w:val="7"/>
        <w:ind w:firstLine="0"/>
        <w:jc w:val="center"/>
        <w:outlineLvl w:val="0"/>
        <w:rPr>
          <w:rFonts w:hint="eastAsia" w:ascii="微软雅黑" w:hAnsi="微软雅黑" w:eastAsia="微软雅黑" w:cs="微软雅黑"/>
          <w:b/>
          <w:bCs/>
          <w:color w:val="auto"/>
          <w:sz w:val="32"/>
          <w:szCs w:val="32"/>
          <w:highlight w:val="none"/>
          <w:lang w:val="en-US" w:eastAsia="zh-CN"/>
        </w:rPr>
      </w:pPr>
      <w:bookmarkStart w:id="2627" w:name="_Toc23900"/>
      <w:bookmarkStart w:id="2628" w:name="_Toc22943"/>
      <w:bookmarkStart w:id="2629" w:name="_Toc10889"/>
      <w:r>
        <w:rPr>
          <w:rFonts w:hint="eastAsia" w:ascii="微软雅黑" w:hAnsi="微软雅黑" w:eastAsia="微软雅黑" w:cs="微软雅黑"/>
          <w:b/>
          <w:bCs/>
          <w:color w:val="auto"/>
          <w:sz w:val="32"/>
          <w:szCs w:val="32"/>
          <w:highlight w:val="none"/>
          <w:lang w:val="en-US" w:eastAsia="zh-CN"/>
        </w:rPr>
        <w:t>第3章  投标邀请</w:t>
      </w:r>
      <w:bookmarkEnd w:id="2618"/>
      <w:bookmarkEnd w:id="2619"/>
      <w:bookmarkEnd w:id="2620"/>
      <w:bookmarkEnd w:id="2621"/>
      <w:bookmarkEnd w:id="2622"/>
      <w:bookmarkEnd w:id="2623"/>
      <w:bookmarkEnd w:id="2624"/>
      <w:bookmarkEnd w:id="2625"/>
      <w:bookmarkEnd w:id="2626"/>
      <w:bookmarkEnd w:id="2627"/>
      <w:bookmarkEnd w:id="2628"/>
      <w:bookmarkEnd w:id="2629"/>
      <w:bookmarkStart w:id="2630" w:name="_Toc507399903"/>
      <w:bookmarkStart w:id="2631" w:name="_Toc5272"/>
      <w:bookmarkStart w:id="2632" w:name="_Toc515647830"/>
      <w:bookmarkStart w:id="2633" w:name="_Toc216582823"/>
      <w:bookmarkStart w:id="2634" w:name="_Toc512937850"/>
      <w:bookmarkStart w:id="2635" w:name="_Toc10488"/>
      <w:bookmarkStart w:id="2636" w:name="_Toc31583"/>
    </w:p>
    <w:p w14:paraId="2A898078">
      <w:pPr>
        <w:tabs>
          <w:tab w:val="left" w:pos="0"/>
          <w:tab w:val="left" w:pos="3165"/>
          <w:tab w:val="center" w:pos="4153"/>
        </w:tabs>
        <w:spacing w:before="0" w:after="0" w:line="240" w:lineRule="auto"/>
        <w:jc w:val="center"/>
        <w:outlineLvl w:val="9"/>
        <w:rPr>
          <w:rFonts w:hint="eastAsia" w:ascii="微软雅黑" w:hAnsi="微软雅黑" w:eastAsia="微软雅黑" w:cs="微软雅黑"/>
          <w:b/>
          <w:bCs/>
          <w:color w:val="auto"/>
          <w:sz w:val="28"/>
          <w:szCs w:val="28"/>
          <w:highlight w:val="none"/>
          <w:lang w:eastAsia="zh-CN"/>
        </w:rPr>
      </w:pPr>
      <w:bookmarkStart w:id="2637" w:name="_Toc18169"/>
      <w:bookmarkStart w:id="2638" w:name="_Toc29132"/>
      <w:bookmarkStart w:id="2639" w:name="_Toc2787"/>
      <w:r>
        <w:rPr>
          <w:rFonts w:hint="eastAsia" w:ascii="微软雅黑" w:hAnsi="微软雅黑" w:eastAsia="微软雅黑" w:cs="微软雅黑"/>
          <w:b/>
          <w:bCs/>
          <w:color w:val="auto"/>
          <w:kern w:val="2"/>
          <w:sz w:val="28"/>
          <w:szCs w:val="28"/>
          <w:highlight w:val="none"/>
          <w:lang w:val="en-US" w:eastAsia="zh-CN" w:bidi="ar-SA"/>
        </w:rPr>
        <w:t>新疆共建恒业信息咨询有限责任公司</w:t>
      </w:r>
      <w:r>
        <w:rPr>
          <w:rFonts w:hint="eastAsia" w:ascii="微软雅黑" w:hAnsi="微软雅黑" w:eastAsia="微软雅黑" w:cs="微软雅黑"/>
          <w:b/>
          <w:bCs/>
          <w:color w:val="auto"/>
          <w:sz w:val="28"/>
          <w:szCs w:val="28"/>
          <w:highlight w:val="none"/>
          <w:lang w:eastAsia="zh-CN"/>
        </w:rPr>
        <w:t>关于叶城县中等职业技术学校教官服务的采购公开招标公告</w:t>
      </w:r>
    </w:p>
    <w:p w14:paraId="5685F02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项目概况</w:t>
      </w:r>
    </w:p>
    <w:p w14:paraId="59C8A0D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500" w:lineRule="exact"/>
        <w:ind w:left="0" w:firstLine="480" w:firstLineChars="200"/>
        <w:jc w:val="lef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u w:val="single"/>
          <w:lang w:eastAsia="zh-CN"/>
        </w:rPr>
        <w:t>关于叶城县中等职业技术学校教官服务的采购</w:t>
      </w:r>
      <w:r>
        <w:rPr>
          <w:rFonts w:hint="eastAsia" w:ascii="微软雅黑" w:hAnsi="微软雅黑" w:eastAsia="微软雅黑" w:cs="微软雅黑"/>
          <w:color w:val="auto"/>
          <w:sz w:val="24"/>
          <w:szCs w:val="24"/>
          <w:highlight w:val="none"/>
        </w:rPr>
        <w:t>的潜在供应商应在</w:t>
      </w:r>
      <w:r>
        <w:rPr>
          <w:rFonts w:hint="eastAsia" w:ascii="微软雅黑" w:hAnsi="微软雅黑" w:eastAsia="微软雅黑" w:cs="微软雅黑"/>
          <w:color w:val="auto"/>
          <w:sz w:val="24"/>
          <w:szCs w:val="24"/>
          <w:highlight w:val="none"/>
          <w:u w:val="single"/>
          <w:lang w:val="en-US" w:eastAsia="zh-CN"/>
        </w:rPr>
        <w:t>政采云平台（https://login.zcygov.cn/user-login/#/login）</w:t>
      </w:r>
      <w:r>
        <w:rPr>
          <w:rFonts w:hint="eastAsia" w:ascii="微软雅黑" w:hAnsi="微软雅黑" w:eastAsia="微软雅黑" w:cs="微软雅黑"/>
          <w:color w:val="auto"/>
          <w:sz w:val="24"/>
          <w:szCs w:val="24"/>
          <w:highlight w:val="none"/>
        </w:rPr>
        <w:t>获取招标文件，并于</w:t>
      </w:r>
      <w:r>
        <w:rPr>
          <w:rFonts w:hint="eastAsia" w:ascii="微软雅黑" w:hAnsi="微软雅黑" w:eastAsia="微软雅黑" w:cs="微软雅黑"/>
          <w:color w:val="auto"/>
          <w:sz w:val="24"/>
          <w:szCs w:val="24"/>
          <w:highlight w:val="none"/>
          <w:u w:val="single"/>
          <w:lang w:eastAsia="zh-CN"/>
        </w:rPr>
        <w:t>202</w:t>
      </w:r>
      <w:r>
        <w:rPr>
          <w:rFonts w:hint="eastAsia" w:ascii="微软雅黑" w:hAnsi="微软雅黑" w:eastAsia="微软雅黑" w:cs="微软雅黑"/>
          <w:color w:val="auto"/>
          <w:sz w:val="24"/>
          <w:szCs w:val="24"/>
          <w:highlight w:val="none"/>
          <w:u w:val="single"/>
          <w:lang w:val="en-US" w:eastAsia="zh-CN"/>
        </w:rPr>
        <w:t>6</w:t>
      </w:r>
      <w:r>
        <w:rPr>
          <w:rFonts w:hint="eastAsia" w:ascii="微软雅黑" w:hAnsi="微软雅黑" w:eastAsia="微软雅黑" w:cs="微软雅黑"/>
          <w:color w:val="auto"/>
          <w:sz w:val="24"/>
          <w:szCs w:val="24"/>
          <w:highlight w:val="none"/>
          <w:u w:val="single"/>
          <w:lang w:eastAsia="zh-CN"/>
        </w:rPr>
        <w:t>年</w:t>
      </w:r>
      <w:r>
        <w:rPr>
          <w:rFonts w:hint="eastAsia" w:ascii="微软雅黑" w:hAnsi="微软雅黑" w:eastAsia="微软雅黑" w:cs="微软雅黑"/>
          <w:color w:val="auto"/>
          <w:sz w:val="24"/>
          <w:szCs w:val="24"/>
          <w:highlight w:val="none"/>
          <w:u w:val="single"/>
          <w:lang w:val="en-US" w:eastAsia="zh-CN"/>
        </w:rPr>
        <w:t>04月16</w:t>
      </w:r>
      <w:r>
        <w:rPr>
          <w:rFonts w:hint="eastAsia" w:ascii="微软雅黑" w:hAnsi="微软雅黑" w:eastAsia="微软雅黑" w:cs="微软雅黑"/>
          <w:color w:val="auto"/>
          <w:sz w:val="24"/>
          <w:szCs w:val="24"/>
          <w:highlight w:val="none"/>
          <w:u w:val="single"/>
          <w:lang w:eastAsia="zh-CN"/>
        </w:rPr>
        <w:t>日</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30</w:t>
      </w:r>
      <w:r>
        <w:rPr>
          <w:rFonts w:hint="eastAsia" w:ascii="微软雅黑" w:hAnsi="微软雅黑" w:eastAsia="微软雅黑" w:cs="微软雅黑"/>
          <w:color w:val="auto"/>
          <w:sz w:val="24"/>
          <w:szCs w:val="24"/>
          <w:highlight w:val="none"/>
          <w:u w:val="single"/>
        </w:rPr>
        <w:t>（北京时间）</w:t>
      </w:r>
      <w:r>
        <w:rPr>
          <w:rFonts w:hint="eastAsia" w:ascii="微软雅黑" w:hAnsi="微软雅黑" w:eastAsia="微软雅黑" w:cs="微软雅黑"/>
          <w:bCs/>
          <w:color w:val="auto"/>
          <w:sz w:val="24"/>
          <w:szCs w:val="24"/>
          <w:highlight w:val="none"/>
        </w:rPr>
        <w:t>前递交投标文件</w:t>
      </w:r>
      <w:r>
        <w:rPr>
          <w:rFonts w:hint="eastAsia" w:ascii="微软雅黑" w:hAnsi="微软雅黑" w:eastAsia="微软雅黑" w:cs="微软雅黑"/>
          <w:color w:val="auto"/>
          <w:sz w:val="24"/>
          <w:szCs w:val="24"/>
          <w:highlight w:val="none"/>
        </w:rPr>
        <w:t>。</w:t>
      </w:r>
      <w:bookmarkStart w:id="2640" w:name="_Toc28217"/>
      <w:bookmarkStart w:id="2641" w:name="_Toc28359079"/>
      <w:bookmarkStart w:id="2642" w:name="_Toc35393621"/>
      <w:bookmarkStart w:id="2643" w:name="_Toc28359002"/>
      <w:bookmarkStart w:id="2644" w:name="_Toc35393790"/>
      <w:bookmarkStart w:id="2645" w:name="_Hlk24379207"/>
    </w:p>
    <w:p w14:paraId="4562575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bCs w:val="0"/>
          <w:color w:val="auto"/>
          <w:sz w:val="24"/>
          <w:szCs w:val="24"/>
          <w:highlight w:val="none"/>
        </w:rPr>
      </w:pPr>
      <w:bookmarkStart w:id="2646" w:name="_Toc28253"/>
      <w:bookmarkStart w:id="2647" w:name="_Toc20970"/>
      <w:r>
        <w:rPr>
          <w:rFonts w:hint="eastAsia" w:ascii="微软雅黑" w:hAnsi="微软雅黑" w:eastAsia="微软雅黑" w:cs="微软雅黑"/>
          <w:b/>
          <w:bCs w:val="0"/>
          <w:color w:val="auto"/>
          <w:sz w:val="24"/>
          <w:szCs w:val="24"/>
          <w:highlight w:val="none"/>
        </w:rPr>
        <w:t>一、</w:t>
      </w:r>
      <w:bookmarkEnd w:id="2640"/>
      <w:bookmarkEnd w:id="2641"/>
      <w:bookmarkEnd w:id="2642"/>
      <w:bookmarkEnd w:id="2643"/>
      <w:bookmarkEnd w:id="2644"/>
      <w:r>
        <w:rPr>
          <w:rFonts w:hint="eastAsia" w:ascii="微软雅黑" w:hAnsi="微软雅黑" w:eastAsia="微软雅黑" w:cs="微软雅黑"/>
          <w:b/>
          <w:bCs w:val="0"/>
          <w:color w:val="auto"/>
          <w:sz w:val="24"/>
          <w:szCs w:val="24"/>
          <w:highlight w:val="none"/>
        </w:rPr>
        <w:t>项目基本情况</w:t>
      </w:r>
      <w:bookmarkEnd w:id="2646"/>
      <w:bookmarkEnd w:id="2647"/>
    </w:p>
    <w:p w14:paraId="225F066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1.项目编号：26GJ-(GK)012</w:t>
      </w:r>
    </w:p>
    <w:p w14:paraId="7F7BDFE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2.项目名称：</w:t>
      </w:r>
      <w:bookmarkEnd w:id="2645"/>
      <w:r>
        <w:rPr>
          <w:rFonts w:hint="eastAsia" w:ascii="微软雅黑" w:hAnsi="微软雅黑" w:eastAsia="微软雅黑" w:cs="微软雅黑"/>
          <w:color w:val="auto"/>
          <w:sz w:val="24"/>
          <w:szCs w:val="24"/>
          <w:highlight w:val="none"/>
          <w:lang w:val="en-US" w:eastAsia="zh-CN"/>
        </w:rPr>
        <w:t>关于叶城县中等职业技术学校教官服务的采购</w:t>
      </w:r>
    </w:p>
    <w:p w14:paraId="22E7B66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3.采购方式：公开招标</w:t>
      </w:r>
    </w:p>
    <w:p w14:paraId="0438DDE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4.预算金额（元）：2700000.00</w:t>
      </w:r>
    </w:p>
    <w:p w14:paraId="751D15F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5.最高限价（元）：2700000.00</w:t>
      </w:r>
    </w:p>
    <w:p w14:paraId="489FF7C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6.采购需求：</w:t>
      </w:r>
    </w:p>
    <w:p w14:paraId="3D0DA8D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标项名称：关于叶城县中等职业技术学校教官服务的采购</w:t>
      </w:r>
    </w:p>
    <w:p w14:paraId="31670C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0A385A4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预算金额（元）：2700000.00</w:t>
      </w:r>
    </w:p>
    <w:p w14:paraId="0455B12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简要规格描述或项目基本概况介绍、用途：教官管理服务采购。（服务需求详见招标文件）</w:t>
      </w:r>
    </w:p>
    <w:p w14:paraId="2333B1F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p w14:paraId="24BC976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7.合同履约期限：详见招标文件</w:t>
      </w:r>
    </w:p>
    <w:p w14:paraId="68DABB2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8.本项目(否)接受联合体投标。</w:t>
      </w:r>
    </w:p>
    <w:p w14:paraId="500F10D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color w:val="auto"/>
          <w:sz w:val="24"/>
          <w:szCs w:val="24"/>
          <w:highlight w:val="none"/>
        </w:rPr>
      </w:pPr>
      <w:bookmarkStart w:id="2648" w:name="_Toc19260"/>
      <w:bookmarkStart w:id="2649" w:name="_Toc35393622"/>
      <w:bookmarkStart w:id="2650" w:name="_Toc13688"/>
      <w:bookmarkStart w:id="2651" w:name="_Toc28359003"/>
      <w:bookmarkStart w:id="2652" w:name="_Toc28359080"/>
      <w:bookmarkStart w:id="2653" w:name="_Toc29506"/>
      <w:bookmarkStart w:id="2654" w:name="_Toc1145"/>
      <w:bookmarkStart w:id="2655" w:name="_Toc35393791"/>
      <w:r>
        <w:rPr>
          <w:rFonts w:hint="eastAsia" w:ascii="微软雅黑" w:hAnsi="微软雅黑" w:eastAsia="微软雅黑" w:cs="微软雅黑"/>
          <w:b/>
          <w:color w:val="auto"/>
          <w:sz w:val="24"/>
          <w:szCs w:val="24"/>
          <w:highlight w:val="none"/>
        </w:rPr>
        <w:t>二、</w:t>
      </w:r>
      <w:r>
        <w:rPr>
          <w:rFonts w:hint="eastAsia" w:ascii="微软雅黑" w:hAnsi="微软雅黑" w:eastAsia="微软雅黑" w:cs="微软雅黑"/>
          <w:b/>
          <w:color w:val="auto"/>
          <w:sz w:val="24"/>
          <w:szCs w:val="24"/>
          <w:highlight w:val="none"/>
          <w:lang w:val="en-US" w:eastAsia="zh-CN"/>
        </w:rPr>
        <w:t>申请人的</w:t>
      </w:r>
      <w:r>
        <w:rPr>
          <w:rFonts w:hint="eastAsia" w:ascii="微软雅黑" w:hAnsi="微软雅黑" w:eastAsia="微软雅黑" w:cs="微软雅黑"/>
          <w:b/>
          <w:color w:val="auto"/>
          <w:sz w:val="24"/>
          <w:szCs w:val="24"/>
          <w:highlight w:val="none"/>
        </w:rPr>
        <w:t>资格要求：</w:t>
      </w:r>
      <w:bookmarkEnd w:id="2648"/>
      <w:bookmarkEnd w:id="2649"/>
      <w:bookmarkEnd w:id="2650"/>
      <w:bookmarkEnd w:id="2651"/>
      <w:bookmarkEnd w:id="2652"/>
      <w:bookmarkEnd w:id="2653"/>
      <w:bookmarkEnd w:id="2654"/>
      <w:bookmarkEnd w:id="2655"/>
    </w:p>
    <w:p w14:paraId="12F55A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1.满足《中华人民共和国政府采购法》第二十二条规定：</w:t>
      </w:r>
    </w:p>
    <w:p w14:paraId="55FDD55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b w:val="0"/>
          <w:bCs w:val="0"/>
          <w:color w:val="auto"/>
          <w:sz w:val="24"/>
          <w:szCs w:val="24"/>
          <w:highlight w:val="none"/>
          <w:lang w:val="en-US" w:eastAsia="zh-CN"/>
        </w:rPr>
      </w:pPr>
      <w:bookmarkStart w:id="2656" w:name="_Toc35393792"/>
      <w:bookmarkStart w:id="2657" w:name="_Toc32226"/>
      <w:bookmarkStart w:id="2658" w:name="_Toc28359081"/>
      <w:bookmarkStart w:id="2659" w:name="_Toc35393623"/>
      <w:bookmarkStart w:id="2660" w:name="_Toc28359004"/>
      <w:bookmarkStart w:id="2661" w:name="_Toc27678"/>
      <w:r>
        <w:rPr>
          <w:rFonts w:hint="eastAsia" w:ascii="微软雅黑" w:hAnsi="微软雅黑" w:eastAsia="微软雅黑" w:cs="微软雅黑"/>
          <w:b w:val="0"/>
          <w:bCs w:val="0"/>
          <w:color w:val="auto"/>
          <w:sz w:val="24"/>
          <w:szCs w:val="24"/>
          <w:highlight w:val="none"/>
          <w:lang w:val="en-US" w:eastAsia="en-US"/>
        </w:rPr>
        <w:t>2.落实政府采购政策需满足的资格要求</w:t>
      </w:r>
      <w:r>
        <w:rPr>
          <w:rFonts w:hint="eastAsia" w:ascii="微软雅黑" w:hAnsi="微软雅黑" w:eastAsia="微软雅黑" w:cs="微软雅黑"/>
          <w:b w:val="0"/>
          <w:bCs w:val="0"/>
          <w:color w:val="auto"/>
          <w:sz w:val="24"/>
          <w:szCs w:val="24"/>
          <w:highlight w:val="none"/>
          <w:lang w:val="en-US" w:eastAsia="zh-CN"/>
        </w:rPr>
        <w:t>：</w:t>
      </w:r>
      <w:r>
        <w:rPr>
          <w:rFonts w:hint="eastAsia" w:ascii="微软雅黑" w:hAnsi="微软雅黑" w:eastAsia="微软雅黑" w:cs="微软雅黑"/>
          <w:b w:val="0"/>
          <w:bCs w:val="0"/>
          <w:color w:val="auto"/>
          <w:sz w:val="24"/>
          <w:szCs w:val="24"/>
          <w:highlight w:val="none"/>
          <w:lang w:val="en-US" w:eastAsia="en-US"/>
        </w:rPr>
        <w:t>本项目专门面向中小企业</w:t>
      </w:r>
      <w:r>
        <w:rPr>
          <w:rFonts w:hint="eastAsia" w:ascii="微软雅黑" w:hAnsi="微软雅黑" w:eastAsia="微软雅黑" w:cs="微软雅黑"/>
          <w:b w:val="0"/>
          <w:bCs w:val="0"/>
          <w:color w:val="auto"/>
          <w:sz w:val="24"/>
          <w:szCs w:val="24"/>
          <w:highlight w:val="none"/>
          <w:lang w:val="en-US" w:eastAsia="zh-CN"/>
        </w:rPr>
        <w:t>。</w:t>
      </w:r>
    </w:p>
    <w:p w14:paraId="53BE44D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3.本项目的特定资格要求：</w:t>
      </w:r>
      <w:r>
        <w:rPr>
          <w:rFonts w:hint="eastAsia" w:ascii="微软雅黑" w:hAnsi="微软雅黑" w:eastAsia="微软雅黑" w:cs="微软雅黑"/>
          <w:b w:val="0"/>
          <w:bCs w:val="0"/>
          <w:color w:val="auto"/>
          <w:sz w:val="24"/>
          <w:szCs w:val="24"/>
          <w:highlight w:val="none"/>
          <w:lang w:val="en-US" w:eastAsia="en-US"/>
        </w:rPr>
        <w:t>供应商须具有《劳务派遣经营许可证》或《人力资源服务许可证》</w:t>
      </w:r>
      <w:r>
        <w:rPr>
          <w:rFonts w:hint="eastAsia" w:ascii="微软雅黑" w:hAnsi="微软雅黑" w:eastAsia="微软雅黑" w:cs="微软雅黑"/>
          <w:b w:val="0"/>
          <w:bCs w:val="0"/>
          <w:color w:val="auto"/>
          <w:sz w:val="24"/>
          <w:szCs w:val="24"/>
          <w:highlight w:val="none"/>
          <w:lang w:val="en-US" w:eastAsia="zh-CN"/>
        </w:rPr>
        <w:t>。</w:t>
      </w:r>
    </w:p>
    <w:p w14:paraId="15217A1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三、获取招标文件</w:t>
      </w:r>
      <w:bookmarkEnd w:id="2656"/>
      <w:bookmarkEnd w:id="2657"/>
      <w:bookmarkEnd w:id="2658"/>
      <w:bookmarkEnd w:id="2659"/>
      <w:bookmarkEnd w:id="2660"/>
      <w:bookmarkEnd w:id="2661"/>
    </w:p>
    <w:p w14:paraId="500163C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lang w:val="en-US" w:eastAsia="zh-CN"/>
        </w:rPr>
        <w:t>2026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03</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27</w:t>
      </w:r>
      <w:r>
        <w:rPr>
          <w:rFonts w:hint="eastAsia" w:ascii="微软雅黑" w:hAnsi="微软雅黑" w:eastAsia="微软雅黑" w:cs="微软雅黑"/>
          <w:color w:val="auto"/>
          <w:sz w:val="24"/>
          <w:szCs w:val="24"/>
          <w:highlight w:val="none"/>
          <w:lang w:eastAsia="zh-CN"/>
        </w:rPr>
        <w:t>日至</w:t>
      </w:r>
      <w:r>
        <w:rPr>
          <w:rFonts w:hint="eastAsia" w:ascii="微软雅黑" w:hAnsi="微软雅黑" w:eastAsia="微软雅黑" w:cs="微软雅黑"/>
          <w:color w:val="auto"/>
          <w:sz w:val="24"/>
          <w:szCs w:val="24"/>
          <w:highlight w:val="none"/>
          <w:lang w:val="en-US" w:eastAsia="zh-CN"/>
        </w:rPr>
        <w:t>2026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04</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03</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rPr>
        <w:t>，每天上午</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:00至14:00，下午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（北京时间，法定节假日除外）</w:t>
      </w:r>
    </w:p>
    <w:p w14:paraId="3E4902F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地点：政采云平台线上</w:t>
      </w:r>
    </w:p>
    <w:p w14:paraId="7E9F502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FFE54F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rPr>
        <w:t>售价（元）：0元</w:t>
      </w:r>
    </w:p>
    <w:p w14:paraId="0020A11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bCs w:val="0"/>
          <w:color w:val="auto"/>
          <w:sz w:val="24"/>
          <w:szCs w:val="24"/>
          <w:highlight w:val="none"/>
          <w:u w:val="none"/>
        </w:rPr>
      </w:pPr>
      <w:bookmarkStart w:id="2662" w:name="_Toc28359005"/>
      <w:bookmarkStart w:id="2663" w:name="_Toc28359082"/>
      <w:bookmarkStart w:id="2664" w:name="_Toc9047"/>
      <w:bookmarkStart w:id="2665" w:name="_Toc35393793"/>
      <w:bookmarkStart w:id="2666" w:name="_Toc952"/>
      <w:bookmarkStart w:id="2667" w:name="_Toc2532"/>
      <w:bookmarkStart w:id="2668" w:name="_Toc35393624"/>
      <w:bookmarkStart w:id="2669" w:name="_Toc2422"/>
      <w:r>
        <w:rPr>
          <w:rFonts w:hint="eastAsia" w:ascii="微软雅黑" w:hAnsi="微软雅黑" w:eastAsia="微软雅黑" w:cs="微软雅黑"/>
          <w:b/>
          <w:bCs w:val="0"/>
          <w:color w:val="auto"/>
          <w:sz w:val="24"/>
          <w:szCs w:val="24"/>
          <w:highlight w:val="none"/>
          <w:u w:val="none"/>
        </w:rPr>
        <w:t>四、提交投标文件</w:t>
      </w:r>
      <w:bookmarkEnd w:id="2662"/>
      <w:bookmarkEnd w:id="2663"/>
      <w:r>
        <w:rPr>
          <w:rFonts w:hint="eastAsia" w:ascii="微软雅黑" w:hAnsi="微软雅黑" w:eastAsia="微软雅黑" w:cs="微软雅黑"/>
          <w:b/>
          <w:bCs w:val="0"/>
          <w:color w:val="auto"/>
          <w:sz w:val="24"/>
          <w:szCs w:val="24"/>
          <w:highlight w:val="none"/>
          <w:u w:val="none"/>
        </w:rPr>
        <w:t>截止时间、开标时间和地点</w:t>
      </w:r>
      <w:bookmarkEnd w:id="2664"/>
      <w:bookmarkEnd w:id="2665"/>
      <w:bookmarkEnd w:id="2666"/>
      <w:bookmarkEnd w:id="2667"/>
      <w:bookmarkEnd w:id="2668"/>
      <w:bookmarkEnd w:id="2669"/>
    </w:p>
    <w:p w14:paraId="175F363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bCs/>
          <w:color w:val="auto"/>
          <w:sz w:val="24"/>
          <w:szCs w:val="24"/>
          <w:highlight w:val="none"/>
          <w:u w:val="none"/>
        </w:rPr>
      </w:pPr>
      <w:r>
        <w:rPr>
          <w:rFonts w:hint="eastAsia" w:ascii="微软雅黑" w:hAnsi="微软雅黑" w:eastAsia="微软雅黑" w:cs="微软雅黑"/>
          <w:color w:val="auto"/>
          <w:sz w:val="24"/>
          <w:szCs w:val="24"/>
          <w:highlight w:val="none"/>
          <w:u w:val="none"/>
          <w:lang w:eastAsia="zh-CN"/>
        </w:rPr>
        <w:t>提交投标文件截止</w:t>
      </w:r>
      <w:r>
        <w:rPr>
          <w:rFonts w:hint="eastAsia" w:ascii="微软雅黑" w:hAnsi="微软雅黑" w:eastAsia="微软雅黑" w:cs="微软雅黑"/>
          <w:color w:val="auto"/>
          <w:sz w:val="24"/>
          <w:szCs w:val="24"/>
          <w:highlight w:val="none"/>
          <w:u w:val="none"/>
        </w:rPr>
        <w:t>时间：</w:t>
      </w:r>
      <w:bookmarkStart w:id="2670" w:name="_Toc35393794"/>
      <w:bookmarkStart w:id="2671" w:name="_Toc28359007"/>
      <w:bookmarkStart w:id="2672" w:name="_Toc28359084"/>
      <w:bookmarkStart w:id="2673" w:name="_Toc35393625"/>
      <w:r>
        <w:rPr>
          <w:rFonts w:hint="eastAsia" w:ascii="微软雅黑" w:hAnsi="微软雅黑" w:eastAsia="微软雅黑" w:cs="微软雅黑"/>
          <w:color w:val="auto"/>
          <w:sz w:val="24"/>
          <w:szCs w:val="24"/>
          <w:highlight w:val="none"/>
          <w:u w:val="none"/>
        </w:rPr>
        <w:t>2026年</w:t>
      </w:r>
      <w:r>
        <w:rPr>
          <w:rFonts w:hint="eastAsia" w:ascii="微软雅黑" w:hAnsi="微软雅黑" w:eastAsia="微软雅黑" w:cs="微软雅黑"/>
          <w:color w:val="auto"/>
          <w:sz w:val="24"/>
          <w:szCs w:val="24"/>
          <w:highlight w:val="none"/>
          <w:u w:val="none"/>
          <w:lang w:val="en-US" w:eastAsia="zh-CN"/>
        </w:rPr>
        <w:t>04</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16</w:t>
      </w:r>
      <w:r>
        <w:rPr>
          <w:rFonts w:hint="eastAsia" w:ascii="微软雅黑" w:hAnsi="微软雅黑" w:eastAsia="微软雅黑" w:cs="微软雅黑"/>
          <w:color w:val="auto"/>
          <w:sz w:val="24"/>
          <w:szCs w:val="24"/>
          <w:highlight w:val="none"/>
          <w:u w:val="none"/>
        </w:rPr>
        <w:t>日</w:t>
      </w:r>
      <w:r>
        <w:rPr>
          <w:rFonts w:hint="eastAsia" w:ascii="微软雅黑" w:hAnsi="微软雅黑" w:eastAsia="微软雅黑" w:cs="微软雅黑"/>
          <w:color w:val="auto"/>
          <w:sz w:val="24"/>
          <w:szCs w:val="24"/>
          <w:highlight w:val="none"/>
          <w:u w:val="none"/>
          <w:lang w:val="en-US" w:eastAsia="zh-CN"/>
        </w:rPr>
        <w:t>10</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30</w:t>
      </w:r>
      <w:r>
        <w:rPr>
          <w:rFonts w:hint="eastAsia" w:ascii="微软雅黑" w:hAnsi="微软雅黑" w:eastAsia="微软雅黑" w:cs="微软雅黑"/>
          <w:color w:val="auto"/>
          <w:sz w:val="24"/>
          <w:szCs w:val="24"/>
          <w:highlight w:val="none"/>
          <w:u w:val="none"/>
        </w:rPr>
        <w:t>（北京时间</w:t>
      </w:r>
      <w:r>
        <w:rPr>
          <w:rFonts w:hint="eastAsia" w:ascii="微软雅黑" w:hAnsi="微软雅黑" w:eastAsia="微软雅黑" w:cs="微软雅黑"/>
          <w:bCs/>
          <w:color w:val="auto"/>
          <w:sz w:val="24"/>
          <w:szCs w:val="24"/>
          <w:highlight w:val="none"/>
          <w:u w:val="none"/>
        </w:rPr>
        <w:t>）</w:t>
      </w:r>
    </w:p>
    <w:p w14:paraId="6B77AA6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eastAsia="zh-CN"/>
        </w:rPr>
        <w:t>投标</w:t>
      </w:r>
      <w:r>
        <w:rPr>
          <w:rFonts w:hint="eastAsia" w:ascii="微软雅黑" w:hAnsi="微软雅黑" w:eastAsia="微软雅黑" w:cs="微软雅黑"/>
          <w:color w:val="auto"/>
          <w:sz w:val="24"/>
          <w:szCs w:val="24"/>
          <w:highlight w:val="none"/>
          <w:u w:val="none"/>
        </w:rPr>
        <w:t>地点：请登录政采云投标客户端投标</w:t>
      </w:r>
    </w:p>
    <w:p w14:paraId="6E5EC68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开标时间：</w:t>
      </w:r>
      <w:r>
        <w:rPr>
          <w:rFonts w:hint="eastAsia" w:ascii="微软雅黑" w:hAnsi="微软雅黑" w:eastAsia="微软雅黑" w:cs="微软雅黑"/>
          <w:color w:val="auto"/>
          <w:sz w:val="24"/>
          <w:szCs w:val="24"/>
          <w:highlight w:val="none"/>
          <w:u w:val="none"/>
        </w:rPr>
        <w:t>2026年</w:t>
      </w:r>
      <w:r>
        <w:rPr>
          <w:rFonts w:hint="eastAsia" w:ascii="微软雅黑" w:hAnsi="微软雅黑" w:eastAsia="微软雅黑" w:cs="微软雅黑"/>
          <w:color w:val="auto"/>
          <w:sz w:val="24"/>
          <w:szCs w:val="24"/>
          <w:highlight w:val="none"/>
          <w:u w:val="none"/>
          <w:lang w:val="en-US" w:eastAsia="zh-CN"/>
        </w:rPr>
        <w:t>04</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16</w:t>
      </w:r>
      <w:r>
        <w:rPr>
          <w:rFonts w:hint="eastAsia" w:ascii="微软雅黑" w:hAnsi="微软雅黑" w:eastAsia="微软雅黑" w:cs="微软雅黑"/>
          <w:color w:val="auto"/>
          <w:sz w:val="24"/>
          <w:szCs w:val="24"/>
          <w:highlight w:val="none"/>
          <w:u w:val="none"/>
        </w:rPr>
        <w:t>日</w:t>
      </w:r>
      <w:r>
        <w:rPr>
          <w:rFonts w:hint="eastAsia" w:ascii="微软雅黑" w:hAnsi="微软雅黑" w:eastAsia="微软雅黑" w:cs="微软雅黑"/>
          <w:color w:val="auto"/>
          <w:sz w:val="24"/>
          <w:szCs w:val="24"/>
          <w:highlight w:val="none"/>
          <w:u w:val="none"/>
          <w:lang w:val="en-US" w:eastAsia="zh-CN"/>
        </w:rPr>
        <w:t>10</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30</w:t>
      </w:r>
      <w:r>
        <w:rPr>
          <w:rFonts w:hint="eastAsia" w:ascii="微软雅黑" w:hAnsi="微软雅黑" w:eastAsia="微软雅黑" w:cs="微软雅黑"/>
          <w:color w:val="auto"/>
          <w:sz w:val="24"/>
          <w:szCs w:val="24"/>
          <w:highlight w:val="none"/>
          <w:u w:val="none"/>
        </w:rPr>
        <w:t>（北京时间</w:t>
      </w:r>
      <w:r>
        <w:rPr>
          <w:rFonts w:hint="eastAsia" w:ascii="微软雅黑" w:hAnsi="微软雅黑" w:eastAsia="微软雅黑" w:cs="微软雅黑"/>
          <w:bCs/>
          <w:color w:val="auto"/>
          <w:sz w:val="24"/>
          <w:szCs w:val="24"/>
          <w:highlight w:val="none"/>
          <w:u w:val="none"/>
        </w:rPr>
        <w:t>）</w:t>
      </w:r>
    </w:p>
    <w:p w14:paraId="2188A5B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开标地点：</w:t>
      </w:r>
      <w:bookmarkStart w:id="2674" w:name="_Toc30400"/>
      <w:bookmarkStart w:id="2675" w:name="_Toc20863"/>
      <w:bookmarkStart w:id="2676" w:name="_Toc32108"/>
      <w:bookmarkStart w:id="2677" w:name="_Toc23672"/>
      <w:r>
        <w:rPr>
          <w:rFonts w:hint="eastAsia" w:ascii="微软雅黑" w:hAnsi="微软雅黑" w:eastAsia="微软雅黑" w:cs="微软雅黑"/>
          <w:color w:val="auto"/>
          <w:sz w:val="24"/>
          <w:szCs w:val="24"/>
          <w:highlight w:val="none"/>
          <w:u w:val="none"/>
          <w:lang w:eastAsia="zh-CN"/>
        </w:rPr>
        <w:t>供应商登录政采云平台https://www.zcygov.cn/，进入“项目采购-开标评标-右边选择对应项目点击“进入项目”进入开标大厅。</w:t>
      </w:r>
    </w:p>
    <w:p w14:paraId="390CD8D6">
      <w:pPr>
        <w:keepNext w:val="0"/>
        <w:keepLines w:val="0"/>
        <w:pageBreakBefore w:val="0"/>
        <w:widowControl w:val="0"/>
        <w:tabs>
          <w:tab w:val="left" w:pos="5594"/>
        </w:tabs>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bCs w:val="0"/>
          <w:color w:val="auto"/>
          <w:sz w:val="24"/>
          <w:szCs w:val="24"/>
          <w:highlight w:val="none"/>
          <w:u w:val="none"/>
          <w:lang w:eastAsia="zh-CN"/>
        </w:rPr>
      </w:pPr>
      <w:r>
        <w:rPr>
          <w:rFonts w:hint="eastAsia" w:ascii="微软雅黑" w:hAnsi="微软雅黑" w:eastAsia="微软雅黑" w:cs="微软雅黑"/>
          <w:b/>
          <w:bCs w:val="0"/>
          <w:color w:val="auto"/>
          <w:sz w:val="24"/>
          <w:szCs w:val="24"/>
          <w:highlight w:val="none"/>
          <w:u w:val="none"/>
        </w:rPr>
        <w:t>五、公告期限</w:t>
      </w:r>
      <w:bookmarkEnd w:id="2670"/>
      <w:bookmarkEnd w:id="2671"/>
      <w:bookmarkEnd w:id="2672"/>
      <w:bookmarkEnd w:id="2673"/>
      <w:bookmarkEnd w:id="2674"/>
      <w:bookmarkEnd w:id="2675"/>
      <w:bookmarkEnd w:id="2676"/>
      <w:bookmarkEnd w:id="2677"/>
      <w:r>
        <w:rPr>
          <w:rFonts w:hint="eastAsia" w:ascii="微软雅黑" w:hAnsi="微软雅黑" w:eastAsia="微软雅黑" w:cs="微软雅黑"/>
          <w:b/>
          <w:bCs w:val="0"/>
          <w:color w:val="auto"/>
          <w:sz w:val="24"/>
          <w:szCs w:val="24"/>
          <w:highlight w:val="none"/>
          <w:u w:val="none"/>
          <w:lang w:eastAsia="zh-CN"/>
        </w:rPr>
        <w:tab/>
      </w:r>
    </w:p>
    <w:p w14:paraId="27CE49C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14:paraId="3F857F8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六、其它补充事宜</w:t>
      </w:r>
    </w:p>
    <w:p w14:paraId="683AFD14">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6EA29DDB">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636C6F4E">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54F76F67">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52B0DA65">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3806C328">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6.投标保证金缴纳及确认时间：凡拟参加本次招标项目的供应商，必须在开标前将投标保证金汇入指定账户。投标保证金汇款凭证上用途栏应注明:招标项目名称+标项+投标保证金。否则，届时其投标将被拒绝。</w:t>
      </w:r>
    </w:p>
    <w:p w14:paraId="16576079">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6AE2B7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left"/>
        <w:textAlignment w:val="auto"/>
        <w:outlineLvl w:val="9"/>
        <w:rPr>
          <w:rFonts w:hint="eastAsia" w:ascii="微软雅黑" w:hAnsi="微软雅黑" w:eastAsia="微软雅黑" w:cs="微软雅黑"/>
          <w:b/>
          <w:bCs w:val="0"/>
          <w:color w:val="auto"/>
          <w:sz w:val="24"/>
          <w:szCs w:val="24"/>
          <w:highlight w:val="none"/>
        </w:rPr>
      </w:pPr>
      <w:bookmarkStart w:id="2678" w:name="_Toc35393626"/>
      <w:bookmarkStart w:id="2679" w:name="_Toc35393795"/>
      <w:bookmarkStart w:id="2680" w:name="_Toc647"/>
      <w:bookmarkStart w:id="2681" w:name="_Toc13675"/>
      <w:bookmarkStart w:id="2682" w:name="_Toc18258"/>
      <w:bookmarkStart w:id="2683" w:name="_Toc999"/>
      <w:r>
        <w:rPr>
          <w:rFonts w:hint="eastAsia" w:ascii="微软雅黑" w:hAnsi="微软雅黑" w:eastAsia="微软雅黑" w:cs="微软雅黑"/>
          <w:b/>
          <w:bCs w:val="0"/>
          <w:color w:val="auto"/>
          <w:sz w:val="24"/>
          <w:szCs w:val="24"/>
          <w:highlight w:val="none"/>
          <w:lang w:val="en-US" w:eastAsia="zh-CN"/>
        </w:rPr>
        <w:t>七</w:t>
      </w:r>
      <w:r>
        <w:rPr>
          <w:rFonts w:hint="eastAsia" w:ascii="微软雅黑" w:hAnsi="微软雅黑" w:eastAsia="微软雅黑" w:cs="微软雅黑"/>
          <w:b/>
          <w:bCs w:val="0"/>
          <w:color w:val="auto"/>
          <w:sz w:val="24"/>
          <w:szCs w:val="24"/>
          <w:highlight w:val="none"/>
        </w:rPr>
        <w:t>、</w:t>
      </w:r>
      <w:bookmarkEnd w:id="2678"/>
      <w:bookmarkEnd w:id="2679"/>
      <w:bookmarkStart w:id="2684" w:name="_Toc35393627"/>
      <w:bookmarkStart w:id="2685" w:name="_Toc28359085"/>
      <w:bookmarkStart w:id="2686" w:name="_Toc35393796"/>
      <w:bookmarkStart w:id="2687" w:name="_Toc28359008"/>
      <w:r>
        <w:rPr>
          <w:rFonts w:hint="eastAsia" w:ascii="微软雅黑" w:hAnsi="微软雅黑" w:eastAsia="微软雅黑" w:cs="微软雅黑"/>
          <w:b/>
          <w:bCs w:val="0"/>
          <w:color w:val="auto"/>
          <w:sz w:val="24"/>
          <w:szCs w:val="24"/>
          <w:highlight w:val="none"/>
        </w:rPr>
        <w:t>对本次采购提出询问，请按以下方式联系。</w:t>
      </w:r>
      <w:bookmarkEnd w:id="2680"/>
      <w:bookmarkEnd w:id="2681"/>
      <w:bookmarkEnd w:id="2682"/>
      <w:bookmarkEnd w:id="2683"/>
      <w:bookmarkEnd w:id="2684"/>
      <w:bookmarkEnd w:id="2685"/>
      <w:bookmarkEnd w:id="2686"/>
      <w:bookmarkEnd w:id="2687"/>
    </w:p>
    <w:p w14:paraId="6207274E">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1.采购人信息</w:t>
      </w:r>
    </w:p>
    <w:p w14:paraId="3A85932E">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名 称：叶城县中等职业技术学校 </w:t>
      </w:r>
    </w:p>
    <w:p w14:paraId="0E7086D0">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地 址：叶城县中等职业技术学校 </w:t>
      </w:r>
    </w:p>
    <w:p w14:paraId="7C592F76">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联系方式：李兵 18399615098</w:t>
      </w:r>
    </w:p>
    <w:p w14:paraId="16E81EA0">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2.采购代理机构信息</w:t>
      </w:r>
    </w:p>
    <w:p w14:paraId="6745D17E">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名 称：</w:t>
      </w:r>
      <w:r>
        <w:rPr>
          <w:rFonts w:hint="eastAsia" w:ascii="微软雅黑" w:hAnsi="微软雅黑" w:eastAsia="微软雅黑" w:cs="微软雅黑"/>
          <w:color w:val="auto"/>
          <w:kern w:val="0"/>
          <w:sz w:val="24"/>
          <w:szCs w:val="24"/>
          <w:highlight w:val="none"/>
          <w:lang w:eastAsia="zh-CN"/>
        </w:rPr>
        <w:t>新疆共建恒业信息咨询有限责任公司</w:t>
      </w:r>
    </w:p>
    <w:p w14:paraId="757FF545">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地 址：</w:t>
      </w:r>
      <w:r>
        <w:rPr>
          <w:rFonts w:hint="eastAsia" w:ascii="微软雅黑" w:hAnsi="微软雅黑" w:eastAsia="微软雅黑" w:cs="微软雅黑"/>
          <w:color w:val="auto"/>
          <w:kern w:val="0"/>
          <w:sz w:val="24"/>
          <w:szCs w:val="24"/>
          <w:highlight w:val="none"/>
          <w:lang w:eastAsia="zh-CN"/>
        </w:rPr>
        <w:t xml:space="preserve">喀什经济开发区深喀大道陕西大厦12楼1208室 </w:t>
      </w:r>
    </w:p>
    <w:p w14:paraId="44AD102D">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联系方式：刘晶晶 </w:t>
      </w:r>
      <w:r>
        <w:rPr>
          <w:rFonts w:hint="eastAsia" w:ascii="微软雅黑" w:hAnsi="微软雅黑" w:eastAsia="微软雅黑" w:cs="微软雅黑"/>
          <w:color w:val="auto"/>
          <w:kern w:val="0"/>
          <w:sz w:val="24"/>
          <w:szCs w:val="24"/>
          <w:highlight w:val="none"/>
          <w:lang w:eastAsia="zh-CN"/>
        </w:rPr>
        <w:t>18209987338</w:t>
      </w:r>
      <w:r>
        <w:rPr>
          <w:rFonts w:hint="eastAsia" w:ascii="微软雅黑" w:hAnsi="微软雅黑" w:eastAsia="微软雅黑" w:cs="微软雅黑"/>
          <w:color w:val="auto"/>
          <w:kern w:val="0"/>
          <w:sz w:val="24"/>
          <w:szCs w:val="24"/>
          <w:highlight w:val="none"/>
        </w:rPr>
        <w:t xml:space="preserve"> </w:t>
      </w:r>
    </w:p>
    <w:p w14:paraId="31E4D165">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3.项目联系方式</w:t>
      </w:r>
    </w:p>
    <w:p w14:paraId="57DA3C11">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项目联系人：刘晶晶</w:t>
      </w:r>
    </w:p>
    <w:p w14:paraId="3160E21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电 话：18209987338</w:t>
      </w:r>
    </w:p>
    <w:p w14:paraId="7C23CEE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right"/>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新疆共建恒业信息咨询有限责任公司</w:t>
      </w:r>
    </w:p>
    <w:p w14:paraId="5CCB5BB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right"/>
        <w:textAlignment w:val="auto"/>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03</w:t>
      </w:r>
      <w:r>
        <w:rPr>
          <w:rFonts w:hint="eastAsia" w:ascii="微软雅黑" w:hAnsi="微软雅黑" w:eastAsia="微软雅黑" w:cs="微软雅黑"/>
          <w:color w:val="auto"/>
          <w:sz w:val="24"/>
          <w:szCs w:val="24"/>
          <w:highlight w:val="none"/>
          <w:u w:val="none"/>
          <w:lang w:eastAsia="zh-CN"/>
        </w:rPr>
        <w:t>月</w:t>
      </w:r>
      <w:r>
        <w:rPr>
          <w:rFonts w:hint="eastAsia" w:ascii="微软雅黑" w:hAnsi="微软雅黑" w:eastAsia="微软雅黑" w:cs="微软雅黑"/>
          <w:color w:val="auto"/>
          <w:sz w:val="24"/>
          <w:szCs w:val="24"/>
          <w:highlight w:val="none"/>
          <w:u w:val="none"/>
          <w:lang w:val="en-US" w:eastAsia="zh-CN"/>
        </w:rPr>
        <w:t>26</w:t>
      </w:r>
      <w:r>
        <w:rPr>
          <w:rFonts w:hint="eastAsia" w:ascii="微软雅黑" w:hAnsi="微软雅黑" w:eastAsia="微软雅黑" w:cs="微软雅黑"/>
          <w:color w:val="auto"/>
          <w:sz w:val="24"/>
          <w:szCs w:val="24"/>
          <w:highlight w:val="none"/>
          <w:u w:val="none"/>
          <w:lang w:eastAsia="zh-CN"/>
        </w:rPr>
        <w:t>日</w:t>
      </w:r>
    </w:p>
    <w:p w14:paraId="385A95E7">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p>
    <w:p w14:paraId="1DC8393B">
      <w:pPr>
        <w:rPr>
          <w:highlight w:val="none"/>
        </w:rPr>
      </w:pPr>
    </w:p>
    <w:p w14:paraId="57854DE1">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p>
    <w:p w14:paraId="5FBFC92B">
      <w:pPr>
        <w:rPr>
          <w:highlight w:val="none"/>
        </w:rPr>
      </w:pPr>
    </w:p>
    <w:p w14:paraId="7810D357">
      <w:pPr>
        <w:rPr>
          <w:rFonts w:hint="eastAsia" w:ascii="微软雅黑" w:hAnsi="微软雅黑" w:eastAsia="微软雅黑" w:cs="微软雅黑"/>
          <w:b/>
          <w:bCs/>
          <w:color w:val="auto"/>
          <w:kern w:val="0"/>
          <w:sz w:val="32"/>
          <w:szCs w:val="32"/>
          <w:highlight w:val="none"/>
          <w:lang w:val="en-US" w:eastAsia="zh-CN" w:bidi="ar-SA"/>
        </w:rPr>
      </w:pPr>
      <w:r>
        <w:rPr>
          <w:rFonts w:hint="eastAsia" w:ascii="微软雅黑" w:hAnsi="微软雅黑" w:eastAsia="微软雅黑" w:cs="微软雅黑"/>
          <w:b/>
          <w:bCs/>
          <w:color w:val="auto"/>
          <w:kern w:val="0"/>
          <w:sz w:val="32"/>
          <w:szCs w:val="32"/>
          <w:highlight w:val="none"/>
          <w:lang w:val="en-US" w:eastAsia="zh-CN" w:bidi="ar-SA"/>
        </w:rPr>
        <w:br w:type="page"/>
      </w:r>
    </w:p>
    <w:p w14:paraId="24AB2322">
      <w:pPr>
        <w:pStyle w:val="7"/>
        <w:ind w:firstLine="0"/>
        <w:jc w:val="center"/>
        <w:outlineLvl w:val="0"/>
        <w:rPr>
          <w:rFonts w:hint="eastAsia" w:ascii="微软雅黑" w:hAnsi="微软雅黑" w:eastAsia="微软雅黑" w:cs="微软雅黑"/>
          <w:b/>
          <w:bCs/>
          <w:color w:val="auto"/>
          <w:sz w:val="32"/>
          <w:szCs w:val="32"/>
          <w:highlight w:val="none"/>
        </w:rPr>
      </w:pPr>
      <w:bookmarkStart w:id="2688" w:name="_Toc31071"/>
      <w:r>
        <w:rPr>
          <w:rFonts w:hint="eastAsia" w:ascii="微软雅黑" w:hAnsi="微软雅黑" w:eastAsia="微软雅黑" w:cs="微软雅黑"/>
          <w:b/>
          <w:bCs/>
          <w:color w:val="auto"/>
          <w:sz w:val="32"/>
          <w:szCs w:val="32"/>
          <w:highlight w:val="none"/>
          <w:lang w:val="en-US" w:eastAsia="zh-CN"/>
        </w:rPr>
        <w:t>第4章  供应商须知资料表</w:t>
      </w:r>
      <w:bookmarkEnd w:id="2630"/>
      <w:bookmarkEnd w:id="2631"/>
      <w:bookmarkEnd w:id="2632"/>
      <w:bookmarkEnd w:id="2633"/>
      <w:bookmarkEnd w:id="2634"/>
      <w:bookmarkEnd w:id="2635"/>
      <w:bookmarkEnd w:id="2636"/>
      <w:bookmarkEnd w:id="2637"/>
      <w:bookmarkEnd w:id="2638"/>
      <w:bookmarkEnd w:id="2639"/>
      <w:bookmarkEnd w:id="2688"/>
    </w:p>
    <w:p w14:paraId="583B99D2">
      <w:pPr>
        <w:spacing w:line="400" w:lineRule="exact"/>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本表是本招标项目的具体资料，是对供应商须知的具体补充和修改，如有矛盾，应以本资料表为准。</w:t>
      </w:r>
    </w:p>
    <w:tbl>
      <w:tblPr>
        <w:tblStyle w:val="29"/>
        <w:tblW w:w="9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57"/>
        <w:gridCol w:w="8847"/>
      </w:tblGrid>
      <w:tr w14:paraId="1CEB3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657" w:type="dxa"/>
            <w:vAlign w:val="center"/>
          </w:tcPr>
          <w:p w14:paraId="2788155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847" w:type="dxa"/>
            <w:vAlign w:val="center"/>
          </w:tcPr>
          <w:p w14:paraId="2A614D08">
            <w:pPr>
              <w:keepNext w:val="0"/>
              <w:keepLines w:val="0"/>
              <w:pageBreakBefore w:val="0"/>
              <w:kinsoku/>
              <w:wordWrap/>
              <w:overflowPunct/>
              <w:topLinePunct w:val="0"/>
              <w:autoSpaceDE/>
              <w:autoSpaceDN/>
              <w:bidi w:val="0"/>
              <w:adjustRightInd/>
              <w:snapToGrid/>
              <w:spacing w:line="340" w:lineRule="exact"/>
              <w:ind w:left="1080" w:leftChars="257" w:hanging="54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内      容</w:t>
            </w:r>
          </w:p>
        </w:tc>
      </w:tr>
      <w:tr w14:paraId="1CAEC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657" w:type="dxa"/>
            <w:vAlign w:val="center"/>
          </w:tcPr>
          <w:p w14:paraId="3616CE68">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847" w:type="dxa"/>
            <w:vAlign w:val="center"/>
          </w:tcPr>
          <w:p w14:paraId="06A766EA">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w:t>
            </w:r>
            <w:r>
              <w:rPr>
                <w:rFonts w:hint="eastAsia" w:ascii="微软雅黑" w:hAnsi="微软雅黑" w:eastAsia="微软雅黑" w:cs="微软雅黑"/>
                <w:color w:val="auto"/>
                <w:sz w:val="24"/>
                <w:szCs w:val="24"/>
                <w:highlight w:val="none"/>
                <w:u w:val="single"/>
                <w:lang w:eastAsia="zh-CN"/>
              </w:rPr>
              <w:t>叶城县中等职业技术学校</w:t>
            </w:r>
          </w:p>
          <w:p w14:paraId="66AC2EE3">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lang w:val="en-US" w:eastAsia="zh-CN"/>
              </w:rPr>
              <w:t>地址：</w:t>
            </w:r>
            <w:r>
              <w:rPr>
                <w:rFonts w:hint="eastAsia" w:ascii="微软雅黑" w:hAnsi="微软雅黑" w:eastAsia="微软雅黑" w:cs="微软雅黑"/>
                <w:color w:val="auto"/>
                <w:sz w:val="24"/>
                <w:szCs w:val="24"/>
                <w:highlight w:val="none"/>
                <w:u w:val="single"/>
                <w:lang w:val="en-US" w:eastAsia="zh-CN"/>
              </w:rPr>
              <w:t>叶城县中等职业技术学校</w:t>
            </w:r>
          </w:p>
          <w:p w14:paraId="33F687B0">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u w:val="single"/>
                <w:lang w:eastAsia="zh-CN"/>
              </w:rPr>
              <w:t xml:space="preserve">李兵 </w:t>
            </w:r>
            <w:r>
              <w:rPr>
                <w:rFonts w:hint="eastAsia" w:ascii="微软雅黑" w:hAnsi="微软雅黑" w:eastAsia="微软雅黑" w:cs="微软雅黑"/>
                <w:color w:val="auto"/>
                <w:sz w:val="24"/>
                <w:szCs w:val="24"/>
                <w:highlight w:val="none"/>
              </w:rPr>
              <w:t xml:space="preserve">     联系电话：</w:t>
            </w:r>
            <w:r>
              <w:rPr>
                <w:rFonts w:hint="eastAsia" w:ascii="微软雅黑" w:hAnsi="微软雅黑" w:eastAsia="微软雅黑" w:cs="微软雅黑"/>
                <w:color w:val="auto"/>
                <w:sz w:val="24"/>
                <w:szCs w:val="24"/>
                <w:highlight w:val="none"/>
                <w:u w:val="single"/>
                <w:lang w:eastAsia="zh-CN"/>
              </w:rPr>
              <w:t xml:space="preserve">18399615098 </w:t>
            </w:r>
          </w:p>
        </w:tc>
      </w:tr>
      <w:tr w14:paraId="2729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657" w:type="dxa"/>
            <w:vAlign w:val="center"/>
          </w:tcPr>
          <w:p w14:paraId="2350A7BF">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847" w:type="dxa"/>
            <w:vAlign w:val="center"/>
          </w:tcPr>
          <w:p w14:paraId="1538A708">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u w:val="single"/>
                <w:lang w:eastAsia="zh-CN"/>
              </w:rPr>
              <w:t>新疆共建恒业信息咨询有限责任公司</w:t>
            </w:r>
            <w:r>
              <w:rPr>
                <w:rFonts w:hint="eastAsia" w:ascii="微软雅黑" w:hAnsi="微软雅黑" w:eastAsia="微软雅黑" w:cs="微软雅黑"/>
                <w:color w:val="auto"/>
                <w:sz w:val="24"/>
                <w:szCs w:val="24"/>
                <w:highlight w:val="none"/>
                <w:u w:val="single"/>
              </w:rPr>
              <w:t xml:space="preserve">  </w:t>
            </w:r>
          </w:p>
          <w:p w14:paraId="6151DF3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lang w:eastAsia="zh-CN"/>
              </w:rPr>
              <w:t>喀什经济开发区深喀大道陕西大厦12楼120</w:t>
            </w:r>
            <w:r>
              <w:rPr>
                <w:rFonts w:hint="eastAsia" w:ascii="微软雅黑" w:hAnsi="微软雅黑" w:eastAsia="微软雅黑" w:cs="微软雅黑"/>
                <w:color w:val="auto"/>
                <w:sz w:val="24"/>
                <w:szCs w:val="24"/>
                <w:highlight w:val="none"/>
                <w:u w:val="single"/>
                <w:lang w:val="en-US" w:eastAsia="zh-CN"/>
              </w:rPr>
              <w:t>8</w:t>
            </w:r>
            <w:r>
              <w:rPr>
                <w:rFonts w:hint="eastAsia" w:ascii="微软雅黑" w:hAnsi="微软雅黑" w:eastAsia="微软雅黑" w:cs="微软雅黑"/>
                <w:color w:val="auto"/>
                <w:sz w:val="24"/>
                <w:szCs w:val="24"/>
                <w:highlight w:val="none"/>
                <w:u w:val="single"/>
                <w:lang w:eastAsia="zh-CN"/>
              </w:rPr>
              <w:t>室</w:t>
            </w:r>
          </w:p>
          <w:p w14:paraId="026DD064">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业务联系人：</w:t>
            </w:r>
            <w:r>
              <w:rPr>
                <w:rFonts w:hint="eastAsia" w:ascii="微软雅黑" w:hAnsi="微软雅黑" w:eastAsia="微软雅黑" w:cs="微软雅黑"/>
                <w:color w:val="auto"/>
                <w:sz w:val="24"/>
                <w:szCs w:val="24"/>
                <w:highlight w:val="none"/>
                <w:u w:val="single"/>
                <w:lang w:eastAsia="zh-CN"/>
              </w:rPr>
              <w:t>刘晶晶</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联系电话：</w:t>
            </w:r>
            <w:r>
              <w:rPr>
                <w:rFonts w:hint="eastAsia" w:ascii="微软雅黑" w:hAnsi="微软雅黑" w:eastAsia="微软雅黑" w:cs="微软雅黑"/>
                <w:color w:val="auto"/>
                <w:sz w:val="24"/>
                <w:szCs w:val="24"/>
                <w:highlight w:val="none"/>
                <w:u w:val="single"/>
                <w:lang w:eastAsia="zh-CN"/>
              </w:rPr>
              <w:t>18209987338</w:t>
            </w:r>
          </w:p>
        </w:tc>
      </w:tr>
      <w:tr w14:paraId="1F264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657" w:type="dxa"/>
            <w:vAlign w:val="center"/>
          </w:tcPr>
          <w:p w14:paraId="7AC7BC0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w:t>
            </w:r>
          </w:p>
        </w:tc>
        <w:tc>
          <w:tcPr>
            <w:tcW w:w="8847" w:type="dxa"/>
            <w:vAlign w:val="center"/>
          </w:tcPr>
          <w:p w14:paraId="34F37F42">
            <w:pPr>
              <w:keepNext w:val="0"/>
              <w:keepLines w:val="0"/>
              <w:pageBreakBefore w:val="0"/>
              <w:widowControl/>
              <w:shd w:val="clear"/>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合格供应商的其他资</w:t>
            </w:r>
            <w:r>
              <w:rPr>
                <w:rFonts w:hint="eastAsia" w:ascii="微软雅黑" w:hAnsi="微软雅黑" w:eastAsia="微软雅黑" w:cs="微软雅黑"/>
                <w:b w:val="0"/>
                <w:bCs w:val="0"/>
                <w:color w:val="auto"/>
                <w:sz w:val="24"/>
                <w:szCs w:val="24"/>
                <w:highlight w:val="none"/>
              </w:rPr>
              <w:t>格要求：</w:t>
            </w:r>
            <w:r>
              <w:rPr>
                <w:rFonts w:hint="eastAsia" w:ascii="微软雅黑" w:hAnsi="微软雅黑" w:eastAsia="微软雅黑" w:cs="微软雅黑"/>
                <w:b w:val="0"/>
                <w:bCs w:val="0"/>
                <w:color w:val="auto"/>
                <w:sz w:val="24"/>
                <w:szCs w:val="24"/>
                <w:highlight w:val="none"/>
                <w:lang w:val="en-US" w:eastAsia="zh-CN"/>
              </w:rPr>
              <w:t>（须将以下资格证明材料附在投标文件中）</w:t>
            </w:r>
          </w:p>
          <w:p w14:paraId="72F25CEE">
            <w:pPr>
              <w:keepNext w:val="0"/>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具有有效的营业执照；</w:t>
            </w:r>
          </w:p>
          <w:p w14:paraId="5203E9CC">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（2）</w:t>
            </w:r>
            <w:r>
              <w:rPr>
                <w:rFonts w:hint="eastAsia" w:ascii="微软雅黑" w:hAnsi="微软雅黑" w:eastAsia="微软雅黑" w:cs="微软雅黑"/>
                <w:b/>
                <w:bCs/>
                <w:color w:val="auto"/>
                <w:sz w:val="24"/>
                <w:szCs w:val="24"/>
                <w:highlight w:val="none"/>
                <w:lang w:val="en-US" w:eastAsia="zh-CN"/>
              </w:rPr>
              <w:t>法定代表人本人投标需提供法定代表人身份证及法定代表人资格证明书;授权委托人投标需提供法定代表人授权委托书、法定代表人身份证复印件及被授权委托人身份证；</w:t>
            </w:r>
          </w:p>
          <w:p w14:paraId="6FE07680">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（3）</w:t>
            </w:r>
            <w:r>
              <w:rPr>
                <w:rFonts w:hint="eastAsia" w:ascii="微软雅黑" w:hAnsi="微软雅黑" w:eastAsia="微软雅黑" w:cs="微软雅黑"/>
                <w:b/>
                <w:bCs/>
                <w:color w:val="auto"/>
                <w:sz w:val="24"/>
                <w:szCs w:val="24"/>
                <w:highlight w:val="none"/>
                <w:lang w:val="en-US" w:eastAsia="zh-CN"/>
              </w:rPr>
              <w:t>提供近两年内任意一年的财务审计报告（成立未满十二个月的新公司可提供近三个月内任意一个月的银行资信证明）；</w:t>
            </w:r>
          </w:p>
          <w:p w14:paraId="33F34510">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（4）</w:t>
            </w:r>
            <w:r>
              <w:rPr>
                <w:rFonts w:hint="eastAsia" w:ascii="微软雅黑" w:hAnsi="微软雅黑" w:eastAsia="微软雅黑" w:cs="微软雅黑"/>
                <w:b/>
                <w:bCs/>
                <w:color w:val="auto"/>
                <w:sz w:val="24"/>
                <w:szCs w:val="24"/>
                <w:highlight w:val="none"/>
                <w:lang w:val="en-US" w:eastAsia="zh-CN"/>
              </w:rPr>
              <w:t>依法缴纳近六个月内任意一个月的社会保险证明</w:t>
            </w:r>
            <w:r>
              <w:rPr>
                <w:rFonts w:hint="eastAsia" w:ascii="微软雅黑" w:hAnsi="微软雅黑" w:eastAsia="微软雅黑" w:cs="微软雅黑"/>
                <w:b/>
                <w:bCs/>
                <w:i w:val="0"/>
                <w:caps w:val="0"/>
                <w:color w:val="auto"/>
                <w:spacing w:val="0"/>
                <w:w w:val="100"/>
                <w:sz w:val="24"/>
                <w:szCs w:val="24"/>
                <w:highlight w:val="none"/>
                <w:lang w:val="en-US" w:eastAsia="zh-CN"/>
              </w:rPr>
              <w:t>；</w:t>
            </w:r>
          </w:p>
          <w:p w14:paraId="3C849EB1">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（5）依法缴纳近六个月内任意一个月的税收证明；</w:t>
            </w:r>
          </w:p>
          <w:p w14:paraId="540E8DFE">
            <w:pPr>
              <w:keepNext w:val="0"/>
              <w:keepLines w:val="0"/>
              <w:pageBreakBefore w:val="0"/>
              <w:widowControl/>
              <w:kinsoku/>
              <w:wordWrap w:val="0"/>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660AC99A">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（7）参加政府采购活动前三年内在经营活动中没有重大违法记录的书面声明；</w:t>
            </w:r>
          </w:p>
          <w:p w14:paraId="525430E1">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（8）缴纳投标保证金的有效凭证；</w:t>
            </w:r>
          </w:p>
          <w:p w14:paraId="6CD3E187">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（9）</w:t>
            </w:r>
            <w:r>
              <w:rPr>
                <w:rFonts w:hint="eastAsia" w:ascii="微软雅黑" w:hAnsi="微软雅黑" w:eastAsia="微软雅黑" w:cs="微软雅黑"/>
                <w:b/>
                <w:bCs/>
                <w:i w:val="0"/>
                <w:caps w:val="0"/>
                <w:color w:val="auto"/>
                <w:spacing w:val="0"/>
                <w:w w:val="100"/>
                <w:sz w:val="24"/>
                <w:szCs w:val="24"/>
                <w:highlight w:val="none"/>
                <w:lang w:val="en-US" w:eastAsia="en-US"/>
              </w:rPr>
              <w:t>供应商须具有《劳务派遣经营许可证》或《人力资源服务许可证》</w:t>
            </w:r>
            <w:r>
              <w:rPr>
                <w:rFonts w:hint="eastAsia" w:ascii="微软雅黑" w:hAnsi="微软雅黑" w:eastAsia="微软雅黑" w:cs="微软雅黑"/>
                <w:b/>
                <w:bCs/>
                <w:i w:val="0"/>
                <w:caps w:val="0"/>
                <w:color w:val="auto"/>
                <w:spacing w:val="0"/>
                <w:w w:val="100"/>
                <w:sz w:val="24"/>
                <w:szCs w:val="24"/>
                <w:highlight w:val="none"/>
                <w:lang w:val="en-US" w:eastAsia="zh-CN"/>
              </w:rPr>
              <w:t>。</w:t>
            </w:r>
          </w:p>
          <w:p w14:paraId="369ED10E">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各供应商应注意以下事项：</w:t>
            </w:r>
          </w:p>
          <w:p w14:paraId="011F151E">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rPr>
              <w:t>①本项目要求各投标供应商提供“</w:t>
            </w:r>
            <w:r>
              <w:rPr>
                <w:rFonts w:hint="eastAsia" w:ascii="微软雅黑" w:hAnsi="微软雅黑" w:eastAsia="微软雅黑" w:cs="微软雅黑"/>
                <w:b w:val="0"/>
                <w:bCs w:val="0"/>
                <w:i w:val="0"/>
                <w:caps w:val="0"/>
                <w:color w:val="auto"/>
                <w:spacing w:val="0"/>
                <w:w w:val="100"/>
                <w:sz w:val="24"/>
                <w:szCs w:val="24"/>
                <w:highlight w:val="none"/>
                <w:lang w:eastAsia="zh-CN"/>
              </w:rPr>
              <w:t>依法缴纳近六个月内任意一个月的税收证明</w:t>
            </w:r>
            <w:r>
              <w:rPr>
                <w:rFonts w:hint="eastAsia" w:ascii="微软雅黑" w:hAnsi="微软雅黑" w:eastAsia="微软雅黑" w:cs="微软雅黑"/>
                <w:b w:val="0"/>
                <w:bCs w:val="0"/>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w:t>
            </w:r>
          </w:p>
          <w:p w14:paraId="5258C9F5">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rPr>
              <w:t>②税务局代收的社保缴费证明不可作为本项目的完税证明（“税种”不可为养老保险、医疗保险、失业保险、工伤保险和生育保险）。</w:t>
            </w:r>
          </w:p>
        </w:tc>
      </w:tr>
      <w:tr w14:paraId="6D84F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7" w:type="dxa"/>
            <w:vAlign w:val="center"/>
          </w:tcPr>
          <w:p w14:paraId="543421D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 xml:space="preserve">1.3.5   </w:t>
            </w:r>
          </w:p>
        </w:tc>
        <w:tc>
          <w:tcPr>
            <w:tcW w:w="8847" w:type="dxa"/>
            <w:vAlign w:val="center"/>
          </w:tcPr>
          <w:p w14:paraId="1317B69B">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rPr>
              <w:t>是否允许采购进口产品</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u w:val="single"/>
                <w:lang w:val="en-US" w:eastAsia="zh-CN"/>
              </w:rPr>
              <w:t xml:space="preserve">  否  </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是、否）</w:t>
            </w:r>
          </w:p>
        </w:tc>
      </w:tr>
      <w:tr w14:paraId="40E92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57" w:type="dxa"/>
            <w:vAlign w:val="center"/>
          </w:tcPr>
          <w:p w14:paraId="54524540">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8847" w:type="dxa"/>
            <w:vAlign w:val="center"/>
          </w:tcPr>
          <w:p w14:paraId="060F8908">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是否为专门面向中小企业采购：</w:t>
            </w:r>
            <w:r>
              <w:rPr>
                <w:rFonts w:hint="eastAsia" w:ascii="微软雅黑" w:hAnsi="微软雅黑" w:eastAsia="微软雅黑" w:cs="微软雅黑"/>
                <w:color w:val="auto"/>
                <w:sz w:val="24"/>
                <w:szCs w:val="24"/>
                <w:highlight w:val="none"/>
                <w:u w:val="single"/>
                <w:lang w:eastAsia="zh-CN"/>
              </w:rPr>
              <w:t>是</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eastAsia="zh-CN"/>
              </w:rPr>
              <w:t>（是、否）</w:t>
            </w:r>
          </w:p>
        </w:tc>
      </w:tr>
      <w:tr w14:paraId="60FF1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7" w:type="dxa"/>
            <w:vAlign w:val="center"/>
          </w:tcPr>
          <w:p w14:paraId="762BB97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8847" w:type="dxa"/>
            <w:vAlign w:val="center"/>
          </w:tcPr>
          <w:p w14:paraId="0DFDE0C4">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val="0"/>
                <w:iCs/>
                <w:color w:val="auto"/>
                <w:sz w:val="24"/>
                <w:szCs w:val="24"/>
                <w:highlight w:val="none"/>
              </w:rPr>
              <w:t>（是、否）</w:t>
            </w:r>
          </w:p>
        </w:tc>
      </w:tr>
      <w:tr w14:paraId="38651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7" w:type="dxa"/>
            <w:vAlign w:val="center"/>
          </w:tcPr>
          <w:p w14:paraId="04C6F32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w:t>
            </w:r>
          </w:p>
        </w:tc>
        <w:tc>
          <w:tcPr>
            <w:tcW w:w="8847" w:type="dxa"/>
            <w:vAlign w:val="center"/>
          </w:tcPr>
          <w:p w14:paraId="595A698B">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联合体的其他资格要求：无</w:t>
            </w:r>
          </w:p>
        </w:tc>
      </w:tr>
      <w:tr w14:paraId="1B124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57" w:type="dxa"/>
            <w:vAlign w:val="center"/>
          </w:tcPr>
          <w:p w14:paraId="5C2B0240">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8847" w:type="dxa"/>
            <w:vAlign w:val="center"/>
          </w:tcPr>
          <w:p w14:paraId="463FB50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预算金额：2700000.00元</w:t>
            </w:r>
          </w:p>
          <w:p w14:paraId="4277B81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投标最高限价：2700000.00元</w:t>
            </w:r>
          </w:p>
          <w:p w14:paraId="3D51CFF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val="0"/>
                <w:color w:val="auto"/>
                <w:kern w:val="2"/>
                <w:sz w:val="24"/>
                <w:szCs w:val="24"/>
                <w:highlight w:val="none"/>
                <w:lang w:val="en-US" w:eastAsia="zh-CN" w:bidi="ar-SA"/>
              </w:rPr>
              <w:t>报价不可超投标最高限价，否则投标无效。</w:t>
            </w:r>
          </w:p>
        </w:tc>
      </w:tr>
      <w:tr w14:paraId="3DD4A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657" w:type="dxa"/>
            <w:vAlign w:val="center"/>
          </w:tcPr>
          <w:p w14:paraId="6C08E6C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8847" w:type="dxa"/>
            <w:shd w:val="clear" w:color="auto" w:fill="auto"/>
            <w:vAlign w:val="center"/>
          </w:tcPr>
          <w:p w14:paraId="17D691A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bCs/>
                <w:color w:val="auto"/>
                <w:sz w:val="24"/>
                <w:szCs w:val="24"/>
                <w:highlight w:val="none"/>
              </w:rPr>
              <w:t>投标保证金</w:t>
            </w:r>
            <w:r>
              <w:rPr>
                <w:rFonts w:hint="eastAsia" w:ascii="微软雅黑" w:hAnsi="微软雅黑" w:eastAsia="微软雅黑" w:cs="微软雅黑"/>
                <w:b/>
                <w:bCs/>
                <w:color w:val="auto"/>
                <w:sz w:val="24"/>
                <w:szCs w:val="24"/>
                <w:highlight w:val="none"/>
                <w:lang w:val="en-US" w:eastAsia="zh-CN"/>
              </w:rPr>
              <w:t>形式</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☑保函  ☑电汇  ☑支票  ☑对公转账  ☑汇票  ☑本票</w:t>
            </w:r>
            <w:r>
              <w:rPr>
                <w:rFonts w:hint="eastAsia" w:ascii="微软雅黑" w:hAnsi="微软雅黑" w:eastAsia="微软雅黑" w:cs="微软雅黑"/>
                <w:b/>
                <w:bCs/>
                <w:color w:val="auto"/>
                <w:sz w:val="24"/>
                <w:szCs w:val="24"/>
                <w:highlight w:val="non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rPr>
              <w:t xml:space="preserve"> </w:t>
            </w:r>
          </w:p>
          <w:p w14:paraId="06DF1EF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b/>
                <w:bCs/>
                <w:color w:val="auto"/>
                <w:sz w:val="24"/>
                <w:szCs w:val="24"/>
                <w:highlight w:val="none"/>
              </w:rPr>
              <w:t>投标保证金数额：</w:t>
            </w:r>
            <w:r>
              <w:rPr>
                <w:rFonts w:hint="eastAsia" w:ascii="微软雅黑" w:hAnsi="微软雅黑" w:eastAsia="微软雅黑" w:cs="微软雅黑"/>
                <w:b/>
                <w:bCs/>
                <w:color w:val="auto"/>
                <w:sz w:val="24"/>
                <w:szCs w:val="24"/>
                <w:highlight w:val="none"/>
                <w:u w:val="single"/>
                <w:lang w:val="en-US" w:eastAsia="zh-CN"/>
              </w:rPr>
              <w:t>54000.00元（大写:伍万肆仟元整）</w:t>
            </w:r>
            <w:r>
              <w:rPr>
                <w:rFonts w:hint="eastAsia" w:ascii="微软雅黑" w:hAnsi="微软雅黑" w:eastAsia="微软雅黑" w:cs="微软雅黑"/>
                <w:b/>
                <w:bCs/>
                <w:color w:val="auto"/>
                <w:sz w:val="24"/>
                <w:szCs w:val="24"/>
                <w:highlight w:val="none"/>
                <w:u w:val="single"/>
              </w:rPr>
              <w:t>（按照</w:t>
            </w:r>
            <w:r>
              <w:rPr>
                <w:rFonts w:hint="eastAsia" w:ascii="微软雅黑" w:hAnsi="微软雅黑" w:eastAsia="微软雅黑" w:cs="微软雅黑"/>
                <w:b/>
                <w:bCs/>
                <w:color w:val="auto"/>
                <w:sz w:val="24"/>
                <w:szCs w:val="24"/>
                <w:highlight w:val="none"/>
                <w:u w:val="single"/>
                <w:lang w:val="en-US" w:eastAsia="zh-CN"/>
              </w:rPr>
              <w:t>预算</w:t>
            </w:r>
            <w:r>
              <w:rPr>
                <w:rFonts w:hint="eastAsia" w:ascii="微软雅黑" w:hAnsi="微软雅黑" w:eastAsia="微软雅黑" w:cs="微软雅黑"/>
                <w:b/>
                <w:bCs/>
                <w:color w:val="auto"/>
                <w:sz w:val="24"/>
                <w:szCs w:val="24"/>
                <w:highlight w:val="none"/>
                <w:u w:val="single"/>
              </w:rPr>
              <w:t>金额2%以内的整数计算）</w:t>
            </w:r>
          </w:p>
          <w:p w14:paraId="1ED3420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投标保证金收款单位名称：新疆共建恒业信息咨询有限责任公司</w:t>
            </w:r>
          </w:p>
          <w:p w14:paraId="498159C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开 户 行：乌鲁木齐银行喀什分行（营业部）</w:t>
            </w:r>
          </w:p>
          <w:p w14:paraId="2A34258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账    号：0000020080110025191371（电汇时请在汇款备注栏注明项目名称及</w:t>
            </w:r>
            <w:r>
              <w:rPr>
                <w:rFonts w:hint="eastAsia" w:ascii="微软雅黑" w:hAnsi="微软雅黑" w:eastAsia="微软雅黑" w:cs="微软雅黑"/>
                <w:b/>
                <w:bCs/>
                <w:color w:val="auto"/>
                <w:sz w:val="24"/>
                <w:szCs w:val="24"/>
                <w:highlight w:val="none"/>
                <w:lang w:eastAsia="zh-CN"/>
              </w:rPr>
              <w:t>标项</w:t>
            </w:r>
            <w:r>
              <w:rPr>
                <w:rFonts w:hint="eastAsia" w:ascii="微软雅黑" w:hAnsi="微软雅黑" w:eastAsia="微软雅黑" w:cs="微软雅黑"/>
                <w:b/>
                <w:bCs/>
                <w:color w:val="auto"/>
                <w:sz w:val="24"/>
                <w:szCs w:val="24"/>
                <w:highlight w:val="none"/>
              </w:rPr>
              <w:t>（如有），并注明是投标保证金</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否则视为无效投标保证金。</w:t>
            </w:r>
            <w:r>
              <w:rPr>
                <w:rFonts w:hint="eastAsia" w:ascii="微软雅黑" w:hAnsi="微软雅黑" w:eastAsia="微软雅黑" w:cs="微软雅黑"/>
                <w:b/>
                <w:bCs/>
                <w:color w:val="auto"/>
                <w:sz w:val="24"/>
                <w:szCs w:val="24"/>
                <w:highlight w:val="none"/>
              </w:rPr>
              <w:t>）     </w:t>
            </w:r>
          </w:p>
          <w:p w14:paraId="5DFA816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行    号：313894000405</w:t>
            </w:r>
          </w:p>
          <w:p w14:paraId="70EF129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财务室联系方式：18209987338</w:t>
            </w:r>
          </w:p>
          <w:p w14:paraId="611F993B">
            <w:pPr>
              <w:spacing w:line="340" w:lineRule="exact"/>
              <w:jc w:val="left"/>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A:缴纳投标保证金要求：</w:t>
            </w:r>
          </w:p>
          <w:p w14:paraId="36D1FE44">
            <w:pPr>
              <w:spacing w:line="340" w:lineRule="exact"/>
              <w:jc w:val="left"/>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（1）投标保证金必须在开标前提交到代理机构账户中。不接受现金及任何个人、分公司汇款。供应商向银行办理保证金汇（转）款时，应在用途栏（备注栏）注明项目名称及</w:t>
            </w:r>
            <w:r>
              <w:rPr>
                <w:rFonts w:hint="eastAsia" w:ascii="微软雅黑" w:hAnsi="微软雅黑" w:eastAsia="微软雅黑" w:cs="微软雅黑"/>
                <w:b/>
                <w:bCs/>
                <w:sz w:val="24"/>
                <w:szCs w:val="24"/>
                <w:highlight w:val="none"/>
                <w:lang w:eastAsia="zh-CN"/>
              </w:rPr>
              <w:t>标项</w:t>
            </w:r>
            <w:r>
              <w:rPr>
                <w:rFonts w:hint="eastAsia" w:ascii="微软雅黑" w:hAnsi="微软雅黑" w:eastAsia="微软雅黑" w:cs="微软雅黑"/>
                <w:b/>
                <w:bCs/>
                <w:sz w:val="24"/>
                <w:szCs w:val="24"/>
                <w:highlight w:val="none"/>
              </w:rPr>
              <w:t>（如有），并注明是投标保证金字样，如填写字数有要求可简写项目名称与</w:t>
            </w:r>
            <w:r>
              <w:rPr>
                <w:rFonts w:hint="eastAsia" w:ascii="微软雅黑" w:hAnsi="微软雅黑" w:eastAsia="微软雅黑" w:cs="微软雅黑"/>
                <w:b/>
                <w:bCs/>
                <w:sz w:val="24"/>
                <w:szCs w:val="24"/>
                <w:highlight w:val="none"/>
                <w:lang w:eastAsia="zh-CN"/>
              </w:rPr>
              <w:t>标项</w:t>
            </w:r>
            <w:r>
              <w:rPr>
                <w:rFonts w:hint="eastAsia" w:ascii="微软雅黑" w:hAnsi="微软雅黑" w:eastAsia="微软雅黑" w:cs="微软雅黑"/>
                <w:b/>
                <w:bCs/>
                <w:sz w:val="24"/>
                <w:szCs w:val="24"/>
                <w:highlight w:val="none"/>
              </w:rPr>
              <w:t>（如有），由于未按要求注明信息而导致的一切后果由供应商自行承担。</w:t>
            </w:r>
          </w:p>
          <w:p w14:paraId="2936CB48">
            <w:pPr>
              <w:spacing w:line="340" w:lineRule="exact"/>
              <w:jc w:val="left"/>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B：退投标保证金：</w:t>
            </w:r>
          </w:p>
          <w:p w14:paraId="0ED50D80">
            <w:pPr>
              <w:spacing w:line="340" w:lineRule="exact"/>
              <w:jc w:val="left"/>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（1）根据中华人民共和国财政部令第87号--《政府采购货物和</w:t>
            </w:r>
            <w:r>
              <w:rPr>
                <w:rFonts w:hint="eastAsia" w:ascii="微软雅黑" w:hAnsi="微软雅黑" w:eastAsia="微软雅黑" w:cs="微软雅黑"/>
                <w:b/>
                <w:bCs/>
                <w:sz w:val="24"/>
                <w:szCs w:val="24"/>
                <w:highlight w:val="none"/>
                <w:lang w:val="en-US" w:eastAsia="zh-CN"/>
              </w:rPr>
              <w:t>服务</w:t>
            </w:r>
            <w:r>
              <w:rPr>
                <w:rFonts w:hint="eastAsia" w:ascii="微软雅黑" w:hAnsi="微软雅黑" w:eastAsia="微软雅黑" w:cs="微软雅黑"/>
                <w:b/>
                <w:bCs/>
                <w:sz w:val="24"/>
                <w:szCs w:val="24"/>
                <w:highlight w:val="none"/>
              </w:rPr>
              <w:t>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供应商的投标保证金，自采购合同签订之日起5个工作日内退还中标供应商的投标保证金。</w:t>
            </w:r>
          </w:p>
          <w:p w14:paraId="59F0EF1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sz w:val="24"/>
                <w:szCs w:val="24"/>
                <w:highlight w:val="none"/>
              </w:rPr>
              <w:t>（2）</w:t>
            </w:r>
            <w:r>
              <w:rPr>
                <w:rFonts w:hint="eastAsia" w:ascii="微软雅黑" w:hAnsi="微软雅黑" w:eastAsia="微软雅黑" w:cs="微软雅黑"/>
                <w:sz w:val="24"/>
                <w:szCs w:val="24"/>
                <w:highlight w:val="none"/>
              </w:rPr>
              <w:fldChar w:fldCharType="begin"/>
            </w:r>
            <w:r>
              <w:rPr>
                <w:rFonts w:hint="eastAsia" w:ascii="微软雅黑" w:hAnsi="微软雅黑" w:eastAsia="微软雅黑" w:cs="微软雅黑"/>
                <w:sz w:val="24"/>
                <w:szCs w:val="24"/>
                <w:highlight w:val="none"/>
              </w:rPr>
              <w:instrText xml:space="preserve"> HYPERLINK "mailto:中标供应商的投标保证金在与采购单位签订合同后，把合同扫描件发送至邮箱3465165565@qq.com后，当日或次日即原账户退回。" </w:instrText>
            </w:r>
            <w:r>
              <w:rPr>
                <w:rFonts w:hint="eastAsia" w:ascii="微软雅黑" w:hAnsi="微软雅黑" w:eastAsia="微软雅黑" w:cs="微软雅黑"/>
                <w:sz w:val="24"/>
                <w:szCs w:val="24"/>
                <w:highlight w:val="none"/>
              </w:rPr>
              <w:fldChar w:fldCharType="separate"/>
            </w:r>
            <w:r>
              <w:rPr>
                <w:rFonts w:hint="eastAsia" w:ascii="微软雅黑" w:hAnsi="微软雅黑" w:eastAsia="微软雅黑" w:cs="微软雅黑"/>
                <w:b/>
                <w:bCs/>
                <w:sz w:val="24"/>
                <w:szCs w:val="24"/>
                <w:highlight w:val="none"/>
              </w:rPr>
              <w:t>中标供应商的投标保证金在与采购单位签订合同后，把合同扫描件发送至邮箱3465165565@qq.com后，当日或次日即原账户退回。</w:t>
            </w:r>
            <w:r>
              <w:rPr>
                <w:rFonts w:hint="eastAsia" w:ascii="微软雅黑" w:hAnsi="微软雅黑" w:eastAsia="微软雅黑" w:cs="微软雅黑"/>
                <w:b/>
                <w:bCs/>
                <w:sz w:val="24"/>
                <w:szCs w:val="24"/>
                <w:highlight w:val="none"/>
              </w:rPr>
              <w:fldChar w:fldCharType="end"/>
            </w:r>
          </w:p>
        </w:tc>
      </w:tr>
      <w:tr w14:paraId="7F531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657" w:type="dxa"/>
            <w:vAlign w:val="center"/>
          </w:tcPr>
          <w:p w14:paraId="20F33530">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13.1</w:t>
            </w:r>
          </w:p>
        </w:tc>
        <w:tc>
          <w:tcPr>
            <w:tcW w:w="8847" w:type="dxa"/>
            <w:shd w:val="clear" w:color="auto" w:fill="auto"/>
            <w:vAlign w:val="center"/>
          </w:tcPr>
          <w:p w14:paraId="2DF6159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u w:val="single"/>
                <w:lang w:val="en-US" w:eastAsia="zh-CN" w:bidi="ar-SA"/>
              </w:rPr>
            </w:pPr>
            <w:r>
              <w:rPr>
                <w:rFonts w:hint="eastAsia" w:ascii="微软雅黑" w:hAnsi="微软雅黑" w:eastAsia="微软雅黑" w:cs="微软雅黑"/>
                <w:color w:val="auto"/>
                <w:sz w:val="24"/>
                <w:szCs w:val="24"/>
                <w:highlight w:val="none"/>
              </w:rPr>
              <w:t>投标有效期：</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日历日</w:t>
            </w:r>
          </w:p>
        </w:tc>
      </w:tr>
      <w:tr w14:paraId="0F8DA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7" w:type="dxa"/>
            <w:vAlign w:val="center"/>
          </w:tcPr>
          <w:p w14:paraId="035CC21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14.1</w:t>
            </w:r>
          </w:p>
        </w:tc>
        <w:tc>
          <w:tcPr>
            <w:tcW w:w="8847" w:type="dxa"/>
            <w:vAlign w:val="center"/>
          </w:tcPr>
          <w:p w14:paraId="187F2A73">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5B15F3F">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（2）本项目实行网上投标，采用电子投标文件(供应商须使用CA加密设备通过政采云电子投标客户端制作投标文件)。若供应商参与投标，自行承担投标一切费用。</w:t>
            </w:r>
          </w:p>
          <w:p w14:paraId="6C67601C">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4E8DBF14">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微软雅黑" w:hAnsi="微软雅黑" w:eastAsia="微软雅黑" w:cs="微软雅黑"/>
                <w:b w:val="0"/>
                <w:bCs w:val="0"/>
                <w:color w:val="auto"/>
                <w:sz w:val="24"/>
                <w:szCs w:val="24"/>
                <w:highlight w:val="none"/>
                <w:lang w:eastAsia="zh-CN"/>
              </w:rPr>
              <w:t>95763</w:t>
            </w:r>
            <w:r>
              <w:rPr>
                <w:rFonts w:hint="eastAsia" w:ascii="微软雅黑" w:hAnsi="微软雅黑" w:eastAsia="微软雅黑" w:cs="微软雅黑"/>
                <w:b w:val="0"/>
                <w:bCs w:val="0"/>
                <w:color w:val="auto"/>
                <w:sz w:val="24"/>
                <w:szCs w:val="24"/>
                <w:highlight w:val="none"/>
              </w:rPr>
              <w:t>进行咨询。</w:t>
            </w:r>
          </w:p>
          <w:p w14:paraId="23762F02">
            <w:pPr>
              <w:keepNext w:val="0"/>
              <w:keepLines w:val="0"/>
              <w:pageBreakBefore w:val="0"/>
              <w:widowControl w:val="0"/>
              <w:kinsoku/>
              <w:wordWrap w:val="0"/>
              <w:overflowPunct/>
              <w:topLinePunct w:val="0"/>
              <w:autoSpaceDE/>
              <w:autoSpaceDN/>
              <w:bidi w:val="0"/>
              <w:adjustRightInd/>
              <w:snapToGrid/>
              <w:spacing w:line="340" w:lineRule="exact"/>
              <w:jc w:val="lef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（5）供应商在开标时须使用制作加密电子投标文件所使用的CA锁及电脑，电脑须提前配置好浏览器（建议使用360浏览器或谷歌浏览器），以便开标时解锁。</w:t>
            </w:r>
          </w:p>
          <w:p w14:paraId="04E97877">
            <w:pPr>
              <w:keepNext w:val="0"/>
              <w:keepLines w:val="0"/>
              <w:pageBreakBefore w:val="0"/>
              <w:widowControl w:val="0"/>
              <w:kinsoku/>
              <w:wordWrap w:val="0"/>
              <w:overflowPunct/>
              <w:topLinePunct w:val="0"/>
              <w:autoSpaceDE/>
              <w:autoSpaceDN/>
              <w:bidi w:val="0"/>
              <w:adjustRightInd/>
              <w:snapToGrid/>
              <w:spacing w:line="340" w:lineRule="exact"/>
              <w:jc w:val="lef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（6）投标保证金缴纳及确认时间：凡拟参加本次招标项目的供应商，必须在开标前将投标保证金汇入指定账户。投标保证金汇款凭证上用途栏应注明:招标项目名称+</w:t>
            </w:r>
            <w:r>
              <w:rPr>
                <w:rFonts w:hint="eastAsia" w:ascii="微软雅黑" w:hAnsi="微软雅黑" w:eastAsia="微软雅黑" w:cs="微软雅黑"/>
                <w:b w:val="0"/>
                <w:bCs w:val="0"/>
                <w:color w:val="auto"/>
                <w:sz w:val="24"/>
                <w:szCs w:val="24"/>
                <w:highlight w:val="none"/>
                <w:lang w:eastAsia="zh-CN"/>
              </w:rPr>
              <w:t>标项</w:t>
            </w:r>
            <w:r>
              <w:rPr>
                <w:rFonts w:hint="eastAsia" w:ascii="微软雅黑" w:hAnsi="微软雅黑" w:eastAsia="微软雅黑" w:cs="微软雅黑"/>
                <w:b w:val="0"/>
                <w:bCs w:val="0"/>
                <w:color w:val="auto"/>
                <w:sz w:val="24"/>
                <w:szCs w:val="24"/>
                <w:highlight w:val="none"/>
              </w:rPr>
              <w:t>（如有）+投标保证金。否则，届时其投标将被拒绝。</w:t>
            </w:r>
          </w:p>
          <w:p w14:paraId="4B23FCE2">
            <w:pPr>
              <w:keepNext w:val="0"/>
              <w:keepLines w:val="0"/>
              <w:pageBreakBefore w:val="0"/>
              <w:widowControl w:val="0"/>
              <w:kinsoku/>
              <w:wordWrap w:val="0"/>
              <w:overflowPunct/>
              <w:topLinePunct w:val="0"/>
              <w:autoSpaceDE/>
              <w:autoSpaceDN/>
              <w:bidi w:val="0"/>
              <w:adjustRightInd/>
              <w:snapToGrid/>
              <w:spacing w:line="340" w:lineRule="exact"/>
              <w:jc w:val="lef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0CE99D0">
            <w:pPr>
              <w:pStyle w:val="22"/>
              <w:keepNext w:val="0"/>
              <w:keepLines w:val="0"/>
              <w:pageBreakBefore w:val="0"/>
              <w:widowControl w:val="0"/>
              <w:kinsoku/>
              <w:wordWrap w:val="0"/>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jmbs）</w:t>
            </w:r>
          </w:p>
          <w:p w14:paraId="0E6235A8">
            <w:pPr>
              <w:pStyle w:val="2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（9）各供应商应完整地按招标文件提供的投标文件格式及要求编写投标文件，根据平台关联点上传对应佐证资料。</w:t>
            </w:r>
          </w:p>
          <w:p w14:paraId="26337836">
            <w:pPr>
              <w:pStyle w:val="2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（10）解密时长为30分钟，超出解密时长，作无效投标处理。</w:t>
            </w:r>
          </w:p>
        </w:tc>
      </w:tr>
      <w:tr w14:paraId="39D70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1" w:hRule="atLeast"/>
          <w:jc w:val="center"/>
        </w:trPr>
        <w:tc>
          <w:tcPr>
            <w:tcW w:w="657" w:type="dxa"/>
            <w:vAlign w:val="center"/>
          </w:tcPr>
          <w:p w14:paraId="613BEB9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847" w:type="dxa"/>
            <w:vAlign w:val="center"/>
          </w:tcPr>
          <w:p w14:paraId="642B29FE">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投标截止时间：</w:t>
            </w:r>
            <w:r>
              <w:rPr>
                <w:rFonts w:hint="eastAsia" w:ascii="微软雅黑" w:hAnsi="微软雅黑" w:eastAsia="微软雅黑" w:cs="微软雅黑"/>
                <w:b/>
                <w:bCs/>
                <w:color w:val="auto"/>
                <w:sz w:val="24"/>
                <w:szCs w:val="24"/>
                <w:highlight w:val="none"/>
                <w:lang w:val="en-US" w:eastAsia="zh-CN"/>
              </w:rPr>
              <w:t>2026年04月16日10:30（北京时间）</w:t>
            </w:r>
          </w:p>
          <w:p w14:paraId="6D25770E">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投标地点：</w:t>
            </w:r>
            <w:r>
              <w:rPr>
                <w:rFonts w:hint="eastAsia" w:ascii="微软雅黑" w:hAnsi="微软雅黑" w:eastAsia="微软雅黑" w:cs="微软雅黑"/>
                <w:b/>
                <w:bCs/>
                <w:color w:val="auto"/>
                <w:sz w:val="24"/>
                <w:szCs w:val="24"/>
                <w:highlight w:val="none"/>
                <w:lang w:val="en-US" w:eastAsia="zh-CN"/>
              </w:rPr>
              <w:t>请登录政采云投标客户端投标</w:t>
            </w:r>
          </w:p>
        </w:tc>
      </w:tr>
      <w:tr w14:paraId="4006C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657" w:type="dxa"/>
            <w:vAlign w:val="center"/>
          </w:tcPr>
          <w:p w14:paraId="40D78B5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847" w:type="dxa"/>
            <w:vAlign w:val="center"/>
          </w:tcPr>
          <w:p w14:paraId="7F8BE575">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b/>
                <w:bCs/>
                <w:color w:val="auto"/>
                <w:sz w:val="24"/>
                <w:szCs w:val="24"/>
                <w:highlight w:val="none"/>
                <w:lang w:val="en-US" w:eastAsia="zh-CN"/>
              </w:rPr>
              <w:t>2026年04月16日</w:t>
            </w:r>
            <w:r>
              <w:rPr>
                <w:rFonts w:hint="eastAsia" w:ascii="微软雅黑" w:hAnsi="微软雅黑" w:eastAsia="微软雅黑" w:cs="微软雅黑"/>
                <w:b/>
                <w:bCs/>
                <w:color w:val="auto"/>
                <w:sz w:val="24"/>
                <w:szCs w:val="24"/>
                <w:highlight w:val="none"/>
              </w:rPr>
              <w:t>10:30</w:t>
            </w:r>
            <w:r>
              <w:rPr>
                <w:rFonts w:hint="eastAsia" w:ascii="微软雅黑" w:hAnsi="微软雅黑" w:eastAsia="微软雅黑" w:cs="微软雅黑"/>
                <w:b/>
                <w:bCs/>
                <w:color w:val="auto"/>
                <w:sz w:val="24"/>
                <w:szCs w:val="24"/>
                <w:highlight w:val="none"/>
                <w:lang w:val="en-US" w:eastAsia="zh-CN"/>
              </w:rPr>
              <w:t>（北京时间）</w:t>
            </w:r>
          </w:p>
          <w:p w14:paraId="1F14BE44">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w:t>
            </w:r>
            <w:r>
              <w:rPr>
                <w:rFonts w:hint="eastAsia" w:ascii="微软雅黑" w:hAnsi="微软雅黑" w:eastAsia="微软雅黑" w:cs="微软雅黑"/>
                <w:b/>
                <w:bCs/>
                <w:color w:val="auto"/>
                <w:sz w:val="24"/>
                <w:szCs w:val="24"/>
                <w:highlight w:val="none"/>
                <w:lang w:eastAsia="zh-CN"/>
              </w:rPr>
              <w:t>供应商登录政采云平台https://www.zcygov.cn/，进入“项目采购-开标评标-右边选择对应项目点击“进入项目”进入开标大厅。</w:t>
            </w:r>
          </w:p>
        </w:tc>
      </w:tr>
      <w:tr w14:paraId="2171C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7" w:type="dxa"/>
            <w:vAlign w:val="center"/>
          </w:tcPr>
          <w:p w14:paraId="29273DB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847" w:type="dxa"/>
            <w:vAlign w:val="center"/>
          </w:tcPr>
          <w:p w14:paraId="6A0A490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i/>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14:paraId="0EE55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7" w:type="dxa"/>
            <w:vAlign w:val="center"/>
          </w:tcPr>
          <w:p w14:paraId="16090658">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23.3</w:t>
            </w:r>
          </w:p>
        </w:tc>
        <w:tc>
          <w:tcPr>
            <w:tcW w:w="8847" w:type="dxa"/>
            <w:vAlign w:val="center"/>
          </w:tcPr>
          <w:p w14:paraId="0ACA82FF">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w:t>
            </w:r>
            <w:r>
              <w:rPr>
                <w:rFonts w:hint="eastAsia" w:ascii="微软雅黑" w:hAnsi="微软雅黑" w:eastAsia="微软雅黑" w:cs="微软雅黑"/>
                <w:color w:val="auto"/>
                <w:sz w:val="24"/>
                <w:szCs w:val="24"/>
                <w:highlight w:val="none"/>
              </w:rPr>
              <w:t>所属行业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b/>
                <w:bCs/>
                <w:color w:val="auto"/>
                <w:sz w:val="24"/>
                <w:szCs w:val="24"/>
                <w:highlight w:val="none"/>
                <w:u w:val="single"/>
                <w:lang w:val="en-US" w:eastAsia="zh-CN"/>
              </w:rPr>
              <w:t>租赁和商务服务业</w:t>
            </w:r>
            <w:r>
              <w:rPr>
                <w:rFonts w:hint="eastAsia" w:ascii="微软雅黑" w:hAnsi="微软雅黑" w:eastAsia="微软雅黑" w:cs="微软雅黑"/>
                <w:color w:val="auto"/>
                <w:sz w:val="24"/>
                <w:szCs w:val="24"/>
                <w:highlight w:val="none"/>
                <w:u w:val="single"/>
                <w:lang w:val="en-US" w:eastAsia="zh-CN"/>
              </w:rPr>
              <w:t xml:space="preserve"> </w:t>
            </w:r>
          </w:p>
        </w:tc>
      </w:tr>
      <w:tr w14:paraId="77D76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7" w:type="dxa"/>
            <w:vAlign w:val="center"/>
          </w:tcPr>
          <w:p w14:paraId="7A28F5A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847" w:type="dxa"/>
            <w:vAlign w:val="center"/>
          </w:tcPr>
          <w:p w14:paraId="5A03D68F">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推荐中标候选供应商的数量：</w:t>
            </w:r>
            <w:r>
              <w:rPr>
                <w:rFonts w:hint="eastAsia" w:ascii="微软雅黑" w:hAnsi="微软雅黑" w:eastAsia="微软雅黑" w:cs="微软雅黑"/>
                <w:color w:val="auto"/>
                <w:sz w:val="24"/>
                <w:szCs w:val="24"/>
                <w:highlight w:val="none"/>
                <w:u w:val="single"/>
              </w:rPr>
              <w:t>　  3 　　</w:t>
            </w:r>
          </w:p>
        </w:tc>
      </w:tr>
      <w:tr w14:paraId="6D972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7" w:type="dxa"/>
            <w:vAlign w:val="center"/>
          </w:tcPr>
          <w:p w14:paraId="517EDB2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847" w:type="dxa"/>
            <w:vAlign w:val="center"/>
          </w:tcPr>
          <w:p w14:paraId="24A93D2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是否委托评标委员会直接确定中标人：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否</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 xml:space="preserve"> （是、否）</w:t>
            </w:r>
          </w:p>
        </w:tc>
      </w:tr>
      <w:tr w14:paraId="02ACE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7" w:type="dxa"/>
            <w:vAlign w:val="center"/>
          </w:tcPr>
          <w:p w14:paraId="2EDB35C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8847" w:type="dxa"/>
            <w:vAlign w:val="center"/>
          </w:tcPr>
          <w:p w14:paraId="2B6E95C4">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b/>
                <w:bCs/>
                <w:color w:val="auto"/>
                <w:sz w:val="24"/>
                <w:szCs w:val="24"/>
                <w:highlight w:val="none"/>
                <w:u w:val="single"/>
              </w:rPr>
              <w:t>%</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（不得超过政府采购合同金额的10%）</w:t>
            </w:r>
          </w:p>
          <w:p w14:paraId="2B6612C9">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银行转账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支票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汇票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本票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保函</w:t>
            </w:r>
          </w:p>
          <w:p w14:paraId="6A72060E">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提交履约保证金的时间：签订合同前打入甲方指定账户</w:t>
            </w:r>
            <w:r>
              <w:rPr>
                <w:rFonts w:hint="eastAsia" w:ascii="微软雅黑" w:hAnsi="微软雅黑" w:eastAsia="微软雅黑" w:cs="微软雅黑"/>
                <w:color w:val="auto"/>
                <w:sz w:val="24"/>
                <w:szCs w:val="24"/>
                <w:highlight w:val="none"/>
                <w:lang w:val="en-US" w:eastAsia="zh-CN"/>
              </w:rPr>
              <w:t xml:space="preserve"> </w:t>
            </w:r>
          </w:p>
          <w:p w14:paraId="2763FF9F">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注：</w:t>
            </w:r>
            <w:r>
              <w:rPr>
                <w:rFonts w:hint="eastAsia" w:ascii="微软雅黑" w:hAnsi="微软雅黑" w:eastAsia="微软雅黑" w:cs="微软雅黑"/>
                <w:color w:val="auto"/>
                <w:sz w:val="24"/>
                <w:szCs w:val="24"/>
                <w:highlight w:val="none"/>
                <w:lang w:val="zh-CN"/>
              </w:rPr>
              <w:t>双方可以通过协商另行约定其他退还时间和方式及用途。</w:t>
            </w:r>
          </w:p>
        </w:tc>
      </w:tr>
      <w:tr w14:paraId="0C272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657" w:type="dxa"/>
            <w:vAlign w:val="center"/>
          </w:tcPr>
          <w:p w14:paraId="71C36BC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8847" w:type="dxa"/>
            <w:vAlign w:val="center"/>
          </w:tcPr>
          <w:p w14:paraId="73B1FC0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招标代理服务费：根据(发改价格[2015]299 号文件)，计价格〔2002〕1980 号文件为参考，以中标价为计算基数，下浮1.5%收取代理服务费。（由中标供应商领取中标通知书时一次性支付）</w:t>
            </w:r>
          </w:p>
          <w:p w14:paraId="20FC40D5">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14:paraId="106A7AD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r w14:paraId="18D5A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657" w:type="dxa"/>
            <w:vAlign w:val="center"/>
          </w:tcPr>
          <w:p w14:paraId="5832A2AF">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8847" w:type="dxa"/>
            <w:vAlign w:val="center"/>
          </w:tcPr>
          <w:p w14:paraId="083BD0BB">
            <w:pPr>
              <w:keepNext w:val="0"/>
              <w:keepLines w:val="0"/>
              <w:pageBreakBefore w:val="0"/>
              <w:kinsoku/>
              <w:wordWrap/>
              <w:overflowPunct/>
              <w:topLinePunct w:val="0"/>
              <w:autoSpaceDE/>
              <w:autoSpaceDN/>
              <w:bidi w:val="0"/>
              <w:adjustRightInd/>
              <w:snapToGrid/>
              <w:spacing w:line="340" w:lineRule="exact"/>
              <w:ind w:firstLine="240" w:firstLineChars="1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color w:val="auto"/>
                <w:sz w:val="24"/>
                <w:szCs w:val="24"/>
                <w:highlight w:val="none"/>
              </w:rPr>
              <w:t>（</w:t>
            </w:r>
            <w:r>
              <w:rPr>
                <w:rFonts w:hint="eastAsia" w:ascii="微软雅黑" w:hAnsi="微软雅黑" w:eastAsia="微软雅黑" w:cs="微软雅黑"/>
                <w:color w:val="auto"/>
                <w:sz w:val="24"/>
                <w:szCs w:val="24"/>
                <w:highlight w:val="none"/>
              </w:rPr>
              <w:t>是、否）</w:t>
            </w:r>
          </w:p>
        </w:tc>
      </w:tr>
      <w:tr w14:paraId="2D614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657" w:type="dxa"/>
            <w:vAlign w:val="center"/>
          </w:tcPr>
          <w:p w14:paraId="40A8231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bookmarkStart w:id="2689" w:name="_Toc15092"/>
            <w:bookmarkStart w:id="2690" w:name="_Toc512937852"/>
            <w:bookmarkStart w:id="2691" w:name="_Toc27821"/>
            <w:bookmarkStart w:id="2692" w:name="_Toc18118"/>
            <w:bookmarkStart w:id="2693" w:name="_Toc27053"/>
            <w:r>
              <w:rPr>
                <w:rFonts w:hint="eastAsia" w:ascii="微软雅黑" w:hAnsi="微软雅黑" w:eastAsia="微软雅黑" w:cs="微软雅黑"/>
                <w:b/>
                <w:bCs/>
                <w:color w:val="auto"/>
                <w:sz w:val="24"/>
                <w:szCs w:val="24"/>
                <w:highlight w:val="none"/>
                <w:lang w:val="en-US" w:eastAsia="zh-CN"/>
              </w:rPr>
              <w:t>注意事项</w:t>
            </w:r>
          </w:p>
        </w:tc>
        <w:tc>
          <w:tcPr>
            <w:tcW w:w="8847" w:type="dxa"/>
            <w:vAlign w:val="center"/>
          </w:tcPr>
          <w:p w14:paraId="2FC7896A">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各供应商应当认真阅读以下条款，否则后果自行承担：</w:t>
            </w:r>
          </w:p>
          <w:p w14:paraId="5E0E769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（1）参加本项目所有供应商应当提供真实有效佐证资料，不得存在弄虚作假骗取中标行为，一经发现将取消中标资格并列入黑名单。</w:t>
            </w:r>
          </w:p>
          <w:p w14:paraId="11D1DE4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（2）供应商上传投标文件时，为确保文件的可读性，提供的内容须清晰可见，若因投标文件不清晰造成的后果，由投标供应商自行承担。</w:t>
            </w:r>
          </w:p>
          <w:p w14:paraId="4F3FB844">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3）各投标供应商不得恶意低价竞标。投标供应商应充分考虑报价合理性，投标报价应包含本项目所需服务费、人工费、保险费、社保（根据国家标准按实际基数缴纳）、税金、餐费、劳保费、体检费等全部相关费用。</w:t>
            </w:r>
          </w:p>
          <w:p w14:paraId="051A3311">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4）在评标过程中，评标委员会认为供应商的报价明显低于其他通过符合性审查供应商的报价，视为有可能影响产品质量或者不能诚信履约的，应当要求该异常报价的供应商在规定时间内（30分钟内）提供书面说明以及价格构成相关印证资料（收据、发票、合同明细、协议、详细的成本核算说明等）并由其法定代表人签字确认并且加盖供应商公章，否则视为无效。若未在规定时间内提供完整有效证明资料或提供的资料不能证明其报价合理性的，评标委员会应当将其作无效投标处理。</w:t>
            </w:r>
          </w:p>
          <w:p w14:paraId="4762C57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5）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2E04F57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（6）据财政部《关于推动解决政府采购异常低价问题的通知》（财库〔2026〕2 号），为规范本项目评审，防范履约风险，现将异常低价审查要求明确如下：</w:t>
            </w:r>
          </w:p>
          <w:p w14:paraId="287FD13B">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1.报价低于其他合格投标报价算术平均值的 50%；</w:t>
            </w:r>
          </w:p>
          <w:p w14:paraId="6119BE19">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2.低于次低报价的 50%；</w:t>
            </w:r>
          </w:p>
          <w:p w14:paraId="183E5B5F">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3.低于最高限价的 45%。</w:t>
            </w:r>
          </w:p>
          <w:p w14:paraId="7E162AF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bCs/>
                <w:color w:val="auto"/>
                <w:sz w:val="24"/>
                <w:szCs w:val="24"/>
                <w:highlight w:val="none"/>
                <w:lang w:val="en-US" w:eastAsia="zh-CN"/>
              </w:rPr>
              <w:t>4.协商小组会也可依专业判断主动启动审查。被审查投标人须在收到通知后30 分钟内，提交详尽的书面说明及成本构成、技术方案等证明材料。协商小组会将结合市场行情进行综合判断。若投标人未能说明、说明不实或材料无法证明其报价合理性，该投标将被视为无效投标，不进入后续评审。</w:t>
            </w:r>
          </w:p>
        </w:tc>
      </w:tr>
    </w:tbl>
    <w:p w14:paraId="6A3924AD">
      <w:pPr>
        <w:rPr>
          <w:rFonts w:hint="eastAsia" w:ascii="微软雅黑" w:hAnsi="微软雅黑" w:eastAsia="微软雅黑" w:cs="微软雅黑"/>
          <w:b/>
          <w:bCs/>
          <w:color w:val="auto"/>
          <w:kern w:val="0"/>
          <w:sz w:val="32"/>
          <w:szCs w:val="32"/>
          <w:highlight w:val="none"/>
          <w:lang w:val="en-US" w:eastAsia="zh-CN" w:bidi="ar-SA"/>
        </w:rPr>
      </w:pPr>
      <w:r>
        <w:rPr>
          <w:rFonts w:hint="eastAsia" w:ascii="微软雅黑" w:hAnsi="微软雅黑" w:eastAsia="微软雅黑" w:cs="微软雅黑"/>
          <w:b/>
          <w:bCs/>
          <w:color w:val="auto"/>
          <w:kern w:val="0"/>
          <w:sz w:val="32"/>
          <w:szCs w:val="32"/>
          <w:highlight w:val="none"/>
          <w:lang w:val="en-US" w:eastAsia="zh-CN" w:bidi="ar-SA"/>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2689"/>
    <w:bookmarkEnd w:id="2690"/>
    <w:bookmarkEnd w:id="2691"/>
    <w:bookmarkEnd w:id="2692"/>
    <w:bookmarkEnd w:id="2693"/>
    <w:p w14:paraId="2E2C11CD">
      <w:pPr>
        <w:pStyle w:val="7"/>
        <w:numPr>
          <w:ilvl w:val="0"/>
          <w:numId w:val="6"/>
        </w:numPr>
        <w:ind w:firstLine="0"/>
        <w:jc w:val="center"/>
        <w:outlineLvl w:val="0"/>
        <w:rPr>
          <w:rFonts w:hint="eastAsia" w:ascii="微软雅黑" w:hAnsi="微软雅黑" w:eastAsia="微软雅黑" w:cs="微软雅黑"/>
          <w:b/>
          <w:bCs/>
          <w:color w:val="auto"/>
          <w:sz w:val="44"/>
          <w:szCs w:val="44"/>
          <w:highlight w:val="none"/>
          <w:lang w:val="en-US" w:eastAsia="zh-CN"/>
        </w:rPr>
      </w:pPr>
      <w:bookmarkStart w:id="2694" w:name="_Toc27838"/>
      <w:bookmarkStart w:id="2695" w:name="_Toc9628"/>
      <w:bookmarkStart w:id="2696" w:name="_Toc27806"/>
      <w:bookmarkStart w:id="2697" w:name="_Toc31651"/>
      <w:bookmarkStart w:id="2698" w:name="_Toc30304"/>
      <w:bookmarkStart w:id="2699" w:name="_Toc21856"/>
      <w:bookmarkStart w:id="2700" w:name="_Toc11259"/>
      <w:r>
        <w:rPr>
          <w:rFonts w:hint="eastAsia" w:ascii="微软雅黑" w:hAnsi="微软雅黑" w:eastAsia="微软雅黑" w:cs="微软雅黑"/>
          <w:b/>
          <w:bCs/>
          <w:color w:val="auto"/>
          <w:sz w:val="44"/>
          <w:szCs w:val="44"/>
          <w:highlight w:val="none"/>
          <w:lang w:val="en-US" w:eastAsia="zh-CN"/>
        </w:rPr>
        <w:t xml:space="preserve"> </w:t>
      </w:r>
      <w:bookmarkStart w:id="2701" w:name="_Toc9954"/>
      <w:r>
        <w:rPr>
          <w:rFonts w:hint="eastAsia" w:ascii="微软雅黑" w:hAnsi="微软雅黑" w:eastAsia="微软雅黑" w:cs="微软雅黑"/>
          <w:b/>
          <w:bCs/>
          <w:color w:val="auto"/>
          <w:sz w:val="44"/>
          <w:szCs w:val="44"/>
          <w:highlight w:val="none"/>
          <w:lang w:val="en-US" w:eastAsia="zh-CN"/>
        </w:rPr>
        <w:t>服务内容及项目要求</w:t>
      </w:r>
      <w:bookmarkEnd w:id="2694"/>
      <w:bookmarkEnd w:id="2701"/>
      <w:bookmarkStart w:id="2702" w:name="_Toc9091"/>
    </w:p>
    <w:bookmarkEnd w:id="2695"/>
    <w:bookmarkEnd w:id="2696"/>
    <w:bookmarkEnd w:id="2702"/>
    <w:p w14:paraId="501F37F5">
      <w:pPr>
        <w:keepNext w:val="0"/>
        <w:keepLines w:val="0"/>
        <w:pageBreakBefore w:val="0"/>
        <w:widowControl w:val="0"/>
        <w:numPr>
          <w:ilvl w:val="0"/>
          <w:numId w:val="7"/>
        </w:numPr>
        <w:kinsoku/>
        <w:wordWrap/>
        <w:autoSpaceDE/>
        <w:autoSpaceDN/>
        <w:bidi w:val="0"/>
        <w:adjustRightInd/>
        <w:snapToGrid/>
        <w:spacing w:line="500" w:lineRule="exact"/>
        <w:ind w:left="0"/>
        <w:textAlignment w:val="auto"/>
        <w:rPr>
          <w:rFonts w:hint="eastAsia" w:ascii="方正仿宋简体" w:hAnsi="方正仿宋简体" w:eastAsia="方正仿宋简体" w:cs="方正仿宋简体"/>
          <w:b/>
          <w:bCs/>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服务内容</w:t>
      </w:r>
    </w:p>
    <w:p w14:paraId="444EF603">
      <w:pPr>
        <w:keepNext w:val="0"/>
        <w:keepLines w:val="0"/>
        <w:pageBreakBefore w:val="0"/>
        <w:widowControl w:val="0"/>
        <w:numPr>
          <w:ilvl w:val="0"/>
          <w:numId w:val="0"/>
        </w:numPr>
        <w:kinsoku/>
        <w:wordWrap/>
        <w:autoSpaceDE/>
        <w:autoSpaceDN/>
        <w:bidi w:val="0"/>
        <w:adjustRightInd/>
        <w:snapToGrid/>
        <w:spacing w:line="500" w:lineRule="exact"/>
        <w:textAlignment w:val="auto"/>
        <w:rPr>
          <w:rFonts w:hint="eastAsia" w:ascii="方正仿宋简体" w:hAnsi="方正仿宋简体" w:eastAsia="方正仿宋简体" w:cs="方正仿宋简体"/>
          <w:b/>
          <w:bCs/>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（一）费用报价</w:t>
      </w:r>
    </w:p>
    <w:p w14:paraId="09A25CB3">
      <w:pPr>
        <w:keepNext w:val="0"/>
        <w:keepLines w:val="0"/>
        <w:pageBreakBefore w:val="0"/>
        <w:widowControl w:val="0"/>
        <w:numPr>
          <w:ilvl w:val="0"/>
          <w:numId w:val="0"/>
        </w:numPr>
        <w:kinsoku/>
        <w:wordWrap/>
        <w:autoSpaceDE/>
        <w:autoSpaceDN/>
        <w:bidi w:val="0"/>
        <w:adjustRightInd/>
        <w:snapToGrid/>
        <w:spacing w:line="500" w:lineRule="exact"/>
        <w:ind w:left="0"/>
        <w:textAlignment w:val="auto"/>
        <w:rPr>
          <w:rFonts w:hint="eastAsia"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本项目是政府采购中的采购服务项目，学校只与中标公司结算项目资金，不与其中的教官有任何费用结算，学校不再承担中标后教官管理服务产生的任何费用。中标公司保障在校服务教官的薪资、服装、保险、餐饮等所有费用。</w:t>
      </w:r>
    </w:p>
    <w:p w14:paraId="388E7774">
      <w:pPr>
        <w:keepNext w:val="0"/>
        <w:keepLines w:val="0"/>
        <w:pageBreakBefore w:val="0"/>
        <w:widowControl w:val="0"/>
        <w:numPr>
          <w:ilvl w:val="0"/>
          <w:numId w:val="0"/>
        </w:numPr>
        <w:kinsoku/>
        <w:wordWrap/>
        <w:autoSpaceDE/>
        <w:autoSpaceDN/>
        <w:bidi w:val="0"/>
        <w:adjustRightInd/>
        <w:snapToGrid/>
        <w:spacing w:line="500" w:lineRule="exact"/>
        <w:ind w:leftChars="0"/>
        <w:textAlignment w:val="auto"/>
        <w:rPr>
          <w:rFonts w:hint="eastAsia"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（二）本教官管理服务项目中，具体教官人数不低于42人，服务时间12个月</w:t>
      </w:r>
      <w:r>
        <w:rPr>
          <w:rFonts w:hint="eastAsia" w:ascii="方正仿宋简体" w:hAnsi="方正仿宋简体" w:eastAsia="方正仿宋简体" w:cs="方正仿宋简体"/>
          <w:sz w:val="28"/>
          <w:szCs w:val="28"/>
          <w:highlight w:val="none"/>
          <w:vertAlign w:val="baseline"/>
          <w:lang w:val="en-US" w:eastAsia="zh-CN"/>
        </w:rPr>
        <w:t>。</w:t>
      </w:r>
    </w:p>
    <w:p w14:paraId="13735EEC">
      <w:pPr>
        <w:keepNext w:val="0"/>
        <w:keepLines w:val="0"/>
        <w:pageBreakBefore w:val="0"/>
        <w:widowControl w:val="0"/>
        <w:numPr>
          <w:ilvl w:val="0"/>
          <w:numId w:val="0"/>
        </w:numPr>
        <w:kinsoku/>
        <w:wordWrap/>
        <w:autoSpaceDE/>
        <w:autoSpaceDN/>
        <w:bidi w:val="0"/>
        <w:adjustRightInd/>
        <w:snapToGrid/>
        <w:spacing w:line="500" w:lineRule="exact"/>
        <w:textAlignment w:val="auto"/>
        <w:rPr>
          <w:rFonts w:hint="default" w:ascii="方正仿宋简体" w:hAnsi="方正仿宋简体" w:eastAsia="方正仿宋简体" w:cs="方正仿宋简体"/>
          <w:b/>
          <w:bCs/>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（三）教官条件要求：</w:t>
      </w:r>
    </w:p>
    <w:p w14:paraId="5A7A6F69">
      <w:pPr>
        <w:keepNext w:val="0"/>
        <w:keepLines w:val="0"/>
        <w:pageBreakBefore w:val="0"/>
        <w:widowControl w:val="0"/>
        <w:numPr>
          <w:ilvl w:val="0"/>
          <w:numId w:val="8"/>
        </w:numPr>
        <w:kinsoku/>
        <w:wordWrap/>
        <w:autoSpaceDE/>
        <w:autoSpaceDN/>
        <w:bidi w:val="0"/>
        <w:adjustRightInd/>
        <w:snapToGrid/>
        <w:spacing w:line="500" w:lineRule="exact"/>
        <w:ind w:left="0"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退役军人、警校毕业人员、师范生、退役运动员（运动员符合《运动员技术等级标准》）；</w:t>
      </w:r>
    </w:p>
    <w:p w14:paraId="38741AEA">
      <w:pPr>
        <w:keepNext w:val="0"/>
        <w:keepLines w:val="0"/>
        <w:pageBreakBefore w:val="0"/>
        <w:widowControl w:val="0"/>
        <w:numPr>
          <w:ilvl w:val="0"/>
          <w:numId w:val="8"/>
        </w:numPr>
        <w:kinsoku/>
        <w:wordWrap/>
        <w:autoSpaceDE/>
        <w:autoSpaceDN/>
        <w:bidi w:val="0"/>
        <w:adjustRightInd/>
        <w:snapToGrid/>
        <w:spacing w:line="500" w:lineRule="exact"/>
        <w:ind w:left="0"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年龄在20岁至40岁之间，男女人数中标后甲方选定，普通话流利、清晰；</w:t>
      </w:r>
    </w:p>
    <w:p w14:paraId="1A5ACA7A">
      <w:pPr>
        <w:keepNext w:val="0"/>
        <w:keepLines w:val="0"/>
        <w:pageBreakBefore w:val="0"/>
        <w:widowControl w:val="0"/>
        <w:numPr>
          <w:ilvl w:val="0"/>
          <w:numId w:val="8"/>
        </w:numPr>
        <w:kinsoku/>
        <w:wordWrap/>
        <w:autoSpaceDE/>
        <w:autoSpaceDN/>
        <w:bidi w:val="0"/>
        <w:adjustRightInd/>
        <w:snapToGrid/>
        <w:spacing w:line="500" w:lineRule="exact"/>
        <w:ind w:left="0"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退役军人和退役运动员学历要求高中及以上学历；其余人员要求中专及以上学历；</w:t>
      </w:r>
    </w:p>
    <w:p w14:paraId="119DB3A2">
      <w:pPr>
        <w:keepNext w:val="0"/>
        <w:keepLines w:val="0"/>
        <w:pageBreakBefore w:val="0"/>
        <w:widowControl w:val="0"/>
        <w:numPr>
          <w:ilvl w:val="0"/>
          <w:numId w:val="8"/>
        </w:numPr>
        <w:kinsoku/>
        <w:wordWrap/>
        <w:autoSpaceDE/>
        <w:autoSpaceDN/>
        <w:bidi w:val="0"/>
        <w:adjustRightInd/>
        <w:snapToGrid/>
        <w:spacing w:line="500" w:lineRule="exact"/>
        <w:ind w:left="0"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中标公司向学校提供向学校服务教官的健康证、政审表（无法提供的，双方采用其他形式政审）、退伍证、毕业证、运动员等级证书；</w:t>
      </w:r>
    </w:p>
    <w:p w14:paraId="448FED6B">
      <w:pPr>
        <w:keepNext w:val="0"/>
        <w:keepLines w:val="0"/>
        <w:pageBreakBefore w:val="0"/>
        <w:widowControl w:val="0"/>
        <w:numPr>
          <w:ilvl w:val="0"/>
          <w:numId w:val="0"/>
        </w:numPr>
        <w:kinsoku/>
        <w:wordWrap/>
        <w:autoSpaceDE/>
        <w:autoSpaceDN/>
        <w:bidi w:val="0"/>
        <w:adjustRightInd/>
        <w:snapToGrid/>
        <w:spacing w:line="500" w:lineRule="exact"/>
        <w:ind w:left="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5.1、</w:t>
      </w:r>
      <w:r>
        <w:rPr>
          <w:rFonts w:hint="default" w:ascii="方正仿宋简体" w:hAnsi="方正仿宋简体" w:eastAsia="方正仿宋简体" w:cs="方正仿宋简体"/>
          <w:sz w:val="28"/>
          <w:szCs w:val="28"/>
          <w:highlight w:val="none"/>
          <w:vertAlign w:val="baseline"/>
          <w:lang w:val="en-US" w:eastAsia="zh-CN"/>
        </w:rPr>
        <w:t>具有较高的思想政治素质，牢固树立政治意识、大局意识、核心意识、看齐意识，在思想上政治上行动上同以</w:t>
      </w:r>
      <w:r>
        <w:rPr>
          <w:rFonts w:hint="eastAsia" w:ascii="方正仿宋简体" w:hAnsi="方正仿宋简体" w:eastAsia="方正仿宋简体" w:cs="方正仿宋简体"/>
          <w:sz w:val="28"/>
          <w:szCs w:val="28"/>
          <w:highlight w:val="none"/>
          <w:vertAlign w:val="baseline"/>
          <w:lang w:val="en-US" w:eastAsia="zh-CN"/>
        </w:rPr>
        <w:t>***</w:t>
      </w:r>
      <w:r>
        <w:rPr>
          <w:rFonts w:hint="default" w:ascii="方正仿宋简体" w:hAnsi="方正仿宋简体" w:eastAsia="方正仿宋简体" w:cs="方正仿宋简体"/>
          <w:sz w:val="28"/>
          <w:szCs w:val="28"/>
          <w:highlight w:val="none"/>
          <w:vertAlign w:val="baseline"/>
          <w:lang w:val="en-US" w:eastAsia="zh-CN"/>
        </w:rPr>
        <w:t>同志为核心的党中央保持高度一致。</w:t>
      </w:r>
    </w:p>
    <w:p w14:paraId="079FAA3E">
      <w:pPr>
        <w:keepNext w:val="0"/>
        <w:keepLines w:val="0"/>
        <w:pageBreakBefore w:val="0"/>
        <w:widowControl w:val="0"/>
        <w:numPr>
          <w:ilvl w:val="0"/>
          <w:numId w:val="0"/>
        </w:numPr>
        <w:kinsoku/>
        <w:wordWrap/>
        <w:autoSpaceDE/>
        <w:autoSpaceDN/>
        <w:bidi w:val="0"/>
        <w:adjustRightInd/>
        <w:snapToGrid/>
        <w:spacing w:line="500" w:lineRule="exact"/>
        <w:ind w:left="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5.2、</w:t>
      </w:r>
      <w:r>
        <w:rPr>
          <w:rFonts w:hint="default" w:ascii="方正仿宋简体" w:hAnsi="方正仿宋简体" w:eastAsia="方正仿宋简体" w:cs="方正仿宋简体"/>
          <w:sz w:val="28"/>
          <w:szCs w:val="28"/>
          <w:highlight w:val="none"/>
          <w:vertAlign w:val="baseline"/>
          <w:lang w:val="en-US" w:eastAsia="zh-CN"/>
        </w:rPr>
        <w:t>具有胜任岗位职责所必需的专业知识、职业素养和实践经验，熟悉职业学校教育工作和相关政策法规，掌握学生健康成长规律。</w:t>
      </w:r>
    </w:p>
    <w:p w14:paraId="798316FD">
      <w:pPr>
        <w:keepNext w:val="0"/>
        <w:keepLines w:val="0"/>
        <w:pageBreakBefore w:val="0"/>
        <w:widowControl w:val="0"/>
        <w:numPr>
          <w:ilvl w:val="0"/>
          <w:numId w:val="0"/>
        </w:numPr>
        <w:kinsoku/>
        <w:wordWrap/>
        <w:autoSpaceDE/>
        <w:autoSpaceDN/>
        <w:bidi w:val="0"/>
        <w:adjustRightInd/>
        <w:snapToGrid/>
        <w:spacing w:line="500" w:lineRule="exact"/>
        <w:ind w:left="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5.3、</w:t>
      </w:r>
      <w:r>
        <w:rPr>
          <w:rFonts w:hint="default" w:ascii="方正仿宋简体" w:hAnsi="方正仿宋简体" w:eastAsia="方正仿宋简体" w:cs="方正仿宋简体"/>
          <w:sz w:val="28"/>
          <w:szCs w:val="28"/>
          <w:highlight w:val="none"/>
          <w:vertAlign w:val="baseline"/>
          <w:lang w:val="en-US" w:eastAsia="zh-CN"/>
        </w:rPr>
        <w:t>具有较强的事业心和责任感、爱岗敬业、乐于奉献、富有教育情怀，能够全身心投入工作。</w:t>
      </w:r>
    </w:p>
    <w:p w14:paraId="652E7E7F">
      <w:pPr>
        <w:keepNext w:val="0"/>
        <w:keepLines w:val="0"/>
        <w:pageBreakBefore w:val="0"/>
        <w:widowControl w:val="0"/>
        <w:numPr>
          <w:ilvl w:val="0"/>
          <w:numId w:val="0"/>
        </w:numPr>
        <w:kinsoku/>
        <w:wordWrap/>
        <w:autoSpaceDE/>
        <w:autoSpaceDN/>
        <w:bidi w:val="0"/>
        <w:adjustRightInd/>
        <w:snapToGrid/>
        <w:spacing w:line="500" w:lineRule="exact"/>
        <w:ind w:left="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 xml:space="preserve">5.4、身心健康，无遗传病史，无传染病等，具有正常履职所需要的身体、心理素质和能力 </w:t>
      </w:r>
      <w:r>
        <w:rPr>
          <w:rFonts w:hint="default" w:ascii="方正仿宋简体" w:hAnsi="方正仿宋简体" w:eastAsia="方正仿宋简体" w:cs="方正仿宋简体"/>
          <w:sz w:val="28"/>
          <w:szCs w:val="28"/>
          <w:highlight w:val="none"/>
          <w:vertAlign w:val="baseline"/>
          <w:lang w:val="en-US" w:eastAsia="zh-CN"/>
        </w:rPr>
        <w:t>。</w:t>
      </w:r>
    </w:p>
    <w:p w14:paraId="6DB768F3">
      <w:pPr>
        <w:keepNext w:val="0"/>
        <w:keepLines w:val="0"/>
        <w:pageBreakBefore w:val="0"/>
        <w:widowControl w:val="0"/>
        <w:numPr>
          <w:ilvl w:val="0"/>
          <w:numId w:val="0"/>
        </w:numPr>
        <w:kinsoku/>
        <w:wordWrap/>
        <w:autoSpaceDE/>
        <w:autoSpaceDN/>
        <w:bidi w:val="0"/>
        <w:adjustRightInd/>
        <w:snapToGrid/>
        <w:spacing w:line="500" w:lineRule="exact"/>
        <w:ind w:left="0"/>
        <w:textAlignment w:val="auto"/>
        <w:rPr>
          <w:rFonts w:hint="eastAsia" w:ascii="方正仿宋简体" w:hAnsi="方正仿宋简体" w:eastAsia="方正仿宋简体" w:cs="方正仿宋简体"/>
          <w:b/>
          <w:bCs/>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（四）承诺书</w:t>
      </w:r>
    </w:p>
    <w:p w14:paraId="6C1C5AA6">
      <w:pPr>
        <w:keepNext w:val="0"/>
        <w:keepLines w:val="0"/>
        <w:pageBreakBefore w:val="0"/>
        <w:widowControl w:val="0"/>
        <w:numPr>
          <w:ilvl w:val="0"/>
          <w:numId w:val="0"/>
        </w:numPr>
        <w:kinsoku/>
        <w:wordWrap/>
        <w:autoSpaceDE/>
        <w:autoSpaceDN/>
        <w:bidi w:val="0"/>
        <w:adjustRightInd/>
        <w:snapToGrid/>
        <w:spacing w:line="500" w:lineRule="exact"/>
        <w:ind w:left="0" w:leftChars="0"/>
        <w:textAlignment w:val="auto"/>
        <w:rPr>
          <w:rFonts w:hint="eastAsia"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kern w:val="2"/>
          <w:sz w:val="28"/>
          <w:szCs w:val="28"/>
          <w:highlight w:val="none"/>
          <w:vertAlign w:val="baseline"/>
          <w:lang w:val="en-US" w:eastAsia="zh-CN" w:bidi="ar-SA"/>
        </w:rPr>
        <w:t>1、</w:t>
      </w:r>
      <w:r>
        <w:rPr>
          <w:rFonts w:hint="eastAsia" w:ascii="方正仿宋简体" w:hAnsi="方正仿宋简体" w:eastAsia="方正仿宋简体" w:cs="方正仿宋简体"/>
          <w:sz w:val="28"/>
          <w:szCs w:val="28"/>
          <w:highlight w:val="none"/>
          <w:vertAlign w:val="baseline"/>
          <w:lang w:val="en-US" w:eastAsia="zh-CN"/>
        </w:rPr>
        <w:t>公司承诺不拖欠员工（教官）工资，按时发放工资。</w:t>
      </w:r>
    </w:p>
    <w:p w14:paraId="4C57D4D8">
      <w:pPr>
        <w:keepNext w:val="0"/>
        <w:keepLines w:val="0"/>
        <w:pageBreakBefore w:val="0"/>
        <w:widowControl w:val="0"/>
        <w:numPr>
          <w:ilvl w:val="0"/>
          <w:numId w:val="0"/>
        </w:numPr>
        <w:kinsoku/>
        <w:wordWrap/>
        <w:autoSpaceDE/>
        <w:autoSpaceDN/>
        <w:bidi w:val="0"/>
        <w:adjustRightInd/>
        <w:snapToGrid/>
        <w:spacing w:line="500" w:lineRule="exact"/>
        <w:ind w:left="0"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default" w:ascii="方正仿宋简体" w:hAnsi="方正仿宋简体" w:eastAsia="方正仿宋简体" w:cs="方正仿宋简体"/>
          <w:kern w:val="2"/>
          <w:sz w:val="28"/>
          <w:szCs w:val="28"/>
          <w:highlight w:val="none"/>
          <w:vertAlign w:val="baseline"/>
          <w:lang w:val="en-US" w:eastAsia="zh-CN" w:bidi="ar-SA"/>
        </w:rPr>
        <w:t>2、</w:t>
      </w:r>
      <w:r>
        <w:rPr>
          <w:rFonts w:hint="default" w:ascii="方正仿宋简体" w:hAnsi="方正仿宋简体" w:eastAsia="方正仿宋简体" w:cs="方正仿宋简体"/>
          <w:sz w:val="28"/>
          <w:szCs w:val="28"/>
          <w:highlight w:val="none"/>
          <w:vertAlign w:val="baseline"/>
          <w:lang w:val="en-US" w:eastAsia="zh-CN"/>
        </w:rPr>
        <w:t>协助学校职能部门做好学生的</w:t>
      </w:r>
      <w:r>
        <w:rPr>
          <w:rFonts w:hint="eastAsia" w:ascii="方正仿宋简体" w:hAnsi="方正仿宋简体" w:eastAsia="方正仿宋简体" w:cs="方正仿宋简体"/>
          <w:sz w:val="28"/>
          <w:szCs w:val="28"/>
          <w:highlight w:val="none"/>
          <w:vertAlign w:val="baseline"/>
          <w:lang w:val="en-US" w:eastAsia="zh-CN"/>
        </w:rPr>
        <w:t>日常</w:t>
      </w:r>
      <w:r>
        <w:rPr>
          <w:rFonts w:hint="default" w:ascii="方正仿宋简体" w:hAnsi="方正仿宋简体" w:eastAsia="方正仿宋简体" w:cs="方正仿宋简体"/>
          <w:sz w:val="28"/>
          <w:szCs w:val="28"/>
          <w:highlight w:val="none"/>
          <w:vertAlign w:val="baseline"/>
          <w:lang w:val="en-US" w:eastAsia="zh-CN"/>
        </w:rPr>
        <w:t>管理工作的承诺</w:t>
      </w:r>
      <w:r>
        <w:rPr>
          <w:rFonts w:hint="eastAsia" w:ascii="方正仿宋简体" w:hAnsi="方正仿宋简体" w:eastAsia="方正仿宋简体" w:cs="方正仿宋简体"/>
          <w:sz w:val="28"/>
          <w:szCs w:val="28"/>
          <w:highlight w:val="none"/>
          <w:vertAlign w:val="baseline"/>
          <w:lang w:val="en-US" w:eastAsia="zh-CN"/>
        </w:rPr>
        <w:t>。</w:t>
      </w:r>
    </w:p>
    <w:p w14:paraId="0363326F">
      <w:pPr>
        <w:keepNext w:val="0"/>
        <w:keepLines w:val="0"/>
        <w:pageBreakBefore w:val="0"/>
        <w:widowControl w:val="0"/>
        <w:numPr>
          <w:ilvl w:val="0"/>
          <w:numId w:val="0"/>
        </w:numPr>
        <w:kinsoku/>
        <w:wordWrap/>
        <w:autoSpaceDE/>
        <w:autoSpaceDN/>
        <w:bidi w:val="0"/>
        <w:adjustRightInd/>
        <w:snapToGrid/>
        <w:spacing w:line="500" w:lineRule="exact"/>
        <w:ind w:left="0"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default" w:ascii="方正仿宋简体" w:hAnsi="方正仿宋简体" w:eastAsia="方正仿宋简体" w:cs="方正仿宋简体"/>
          <w:kern w:val="2"/>
          <w:sz w:val="28"/>
          <w:szCs w:val="28"/>
          <w:highlight w:val="none"/>
          <w:vertAlign w:val="baseline"/>
          <w:lang w:val="en-US" w:eastAsia="zh-CN" w:bidi="ar-SA"/>
        </w:rPr>
        <w:t>3、</w:t>
      </w:r>
      <w:r>
        <w:rPr>
          <w:rFonts w:hint="eastAsia" w:ascii="方正仿宋简体" w:hAnsi="方正仿宋简体" w:eastAsia="方正仿宋简体" w:cs="方正仿宋简体"/>
          <w:sz w:val="28"/>
          <w:szCs w:val="28"/>
          <w:highlight w:val="none"/>
          <w:vertAlign w:val="baseline"/>
          <w:lang w:val="en-US" w:eastAsia="zh-CN"/>
        </w:rPr>
        <w:t>教官</w:t>
      </w:r>
      <w:r>
        <w:rPr>
          <w:rFonts w:hint="default" w:ascii="方正仿宋简体" w:hAnsi="方正仿宋简体" w:eastAsia="方正仿宋简体" w:cs="方正仿宋简体"/>
          <w:sz w:val="28"/>
          <w:szCs w:val="28"/>
          <w:highlight w:val="none"/>
          <w:vertAlign w:val="baseline"/>
          <w:lang w:val="en-US" w:eastAsia="zh-CN"/>
        </w:rPr>
        <w:t>在服务期间意外伤害、工伤 人事纠纷由中标</w:t>
      </w:r>
      <w:r>
        <w:rPr>
          <w:rFonts w:hint="eastAsia" w:ascii="方正仿宋简体" w:hAnsi="方正仿宋简体" w:eastAsia="方正仿宋简体" w:cs="方正仿宋简体"/>
          <w:sz w:val="28"/>
          <w:szCs w:val="28"/>
          <w:highlight w:val="none"/>
          <w:vertAlign w:val="baseline"/>
          <w:lang w:val="en-US" w:eastAsia="zh-CN"/>
        </w:rPr>
        <w:t>公司</w:t>
      </w:r>
      <w:r>
        <w:rPr>
          <w:rFonts w:hint="default" w:ascii="方正仿宋简体" w:hAnsi="方正仿宋简体" w:eastAsia="方正仿宋简体" w:cs="方正仿宋简体"/>
          <w:sz w:val="28"/>
          <w:szCs w:val="28"/>
          <w:highlight w:val="none"/>
          <w:vertAlign w:val="baseline"/>
          <w:lang w:val="en-US" w:eastAsia="zh-CN"/>
        </w:rPr>
        <w:t>负责</w:t>
      </w:r>
      <w:r>
        <w:rPr>
          <w:rFonts w:hint="eastAsia" w:ascii="方正仿宋简体" w:hAnsi="方正仿宋简体" w:eastAsia="方正仿宋简体" w:cs="方正仿宋简体"/>
          <w:sz w:val="28"/>
          <w:szCs w:val="28"/>
          <w:highlight w:val="none"/>
          <w:vertAlign w:val="baseline"/>
          <w:lang w:val="en-US" w:eastAsia="zh-CN"/>
        </w:rPr>
        <w:t>。</w:t>
      </w:r>
    </w:p>
    <w:p w14:paraId="650313C5">
      <w:pPr>
        <w:keepNext w:val="0"/>
        <w:keepLines w:val="0"/>
        <w:pageBreakBefore w:val="0"/>
        <w:widowControl w:val="0"/>
        <w:numPr>
          <w:ilvl w:val="0"/>
          <w:numId w:val="0"/>
        </w:numPr>
        <w:kinsoku/>
        <w:wordWrap/>
        <w:autoSpaceDE/>
        <w:autoSpaceDN/>
        <w:bidi w:val="0"/>
        <w:adjustRightInd/>
        <w:snapToGrid/>
        <w:spacing w:line="500" w:lineRule="exact"/>
        <w:ind w:left="0"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default" w:ascii="方正仿宋简体" w:hAnsi="方正仿宋简体" w:eastAsia="方正仿宋简体" w:cs="方正仿宋简体"/>
          <w:kern w:val="2"/>
          <w:sz w:val="28"/>
          <w:szCs w:val="28"/>
          <w:highlight w:val="none"/>
          <w:vertAlign w:val="baseline"/>
          <w:lang w:val="en-US" w:eastAsia="zh-CN" w:bidi="ar-SA"/>
        </w:rPr>
        <w:t>4、</w:t>
      </w:r>
      <w:r>
        <w:rPr>
          <w:rFonts w:hint="eastAsia" w:ascii="方正仿宋简体" w:hAnsi="方正仿宋简体" w:eastAsia="方正仿宋简体" w:cs="方正仿宋简体"/>
          <w:sz w:val="28"/>
          <w:szCs w:val="28"/>
          <w:highlight w:val="none"/>
          <w:vertAlign w:val="baseline"/>
          <w:lang w:val="en-US" w:eastAsia="zh-CN"/>
        </w:rPr>
        <w:t>在校服务教官服从学校管理的承诺。</w:t>
      </w:r>
    </w:p>
    <w:p w14:paraId="16FEEAD5">
      <w:pPr>
        <w:keepNext w:val="0"/>
        <w:keepLines w:val="0"/>
        <w:pageBreakBefore w:val="0"/>
        <w:widowControl w:val="0"/>
        <w:numPr>
          <w:ilvl w:val="0"/>
          <w:numId w:val="0"/>
        </w:numPr>
        <w:kinsoku/>
        <w:wordWrap/>
        <w:autoSpaceDE/>
        <w:autoSpaceDN/>
        <w:bidi w:val="0"/>
        <w:adjustRightInd/>
        <w:snapToGrid/>
        <w:spacing w:line="500" w:lineRule="exact"/>
        <w:ind w:left="0"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default" w:ascii="方正仿宋简体" w:hAnsi="方正仿宋简体" w:eastAsia="方正仿宋简体" w:cs="方正仿宋简体"/>
          <w:kern w:val="2"/>
          <w:sz w:val="28"/>
          <w:szCs w:val="28"/>
          <w:highlight w:val="none"/>
          <w:vertAlign w:val="baseline"/>
          <w:lang w:val="en-US" w:eastAsia="zh-CN" w:bidi="ar-SA"/>
        </w:rPr>
        <w:t>5、</w:t>
      </w:r>
      <w:r>
        <w:rPr>
          <w:rFonts w:hint="eastAsia" w:ascii="方正仿宋简体" w:hAnsi="方正仿宋简体" w:eastAsia="方正仿宋简体" w:cs="方正仿宋简体"/>
          <w:sz w:val="28"/>
          <w:szCs w:val="28"/>
          <w:highlight w:val="none"/>
          <w:vertAlign w:val="baseline"/>
          <w:lang w:val="en-US" w:eastAsia="zh-CN"/>
        </w:rPr>
        <w:t>教官不体罚学生或变相体罚学生，不与学生发生不正当关系的承诺。</w:t>
      </w:r>
    </w:p>
    <w:p w14:paraId="39C69507">
      <w:pPr>
        <w:keepNext w:val="0"/>
        <w:keepLines w:val="0"/>
        <w:pageBreakBefore w:val="0"/>
        <w:widowControl w:val="0"/>
        <w:numPr>
          <w:ilvl w:val="0"/>
          <w:numId w:val="0"/>
        </w:numPr>
        <w:kinsoku/>
        <w:wordWrap/>
        <w:autoSpaceDE/>
        <w:autoSpaceDN/>
        <w:bidi w:val="0"/>
        <w:adjustRightInd/>
        <w:snapToGrid/>
        <w:spacing w:line="500" w:lineRule="exact"/>
        <w:ind w:leftChars="0"/>
        <w:textAlignment w:val="auto"/>
        <w:rPr>
          <w:rFonts w:hint="eastAsia"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（五）教官管理的工作安排由学校分配</w:t>
      </w:r>
    </w:p>
    <w:p w14:paraId="6467463B">
      <w:pPr>
        <w:keepNext w:val="0"/>
        <w:keepLines w:val="0"/>
        <w:pageBreakBefore w:val="0"/>
        <w:widowControl w:val="0"/>
        <w:numPr>
          <w:ilvl w:val="0"/>
          <w:numId w:val="0"/>
        </w:numPr>
        <w:kinsoku/>
        <w:wordWrap/>
        <w:autoSpaceDE/>
        <w:autoSpaceDN/>
        <w:bidi w:val="0"/>
        <w:adjustRightInd/>
        <w:snapToGrid/>
        <w:spacing w:line="500" w:lineRule="exact"/>
        <w:ind w:left="0" w:leftChars="0" w:firstLine="560" w:firstLineChars="200"/>
        <w:textAlignment w:val="auto"/>
        <w:rPr>
          <w:rFonts w:hint="eastAsia"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sz w:val="28"/>
          <w:szCs w:val="28"/>
          <w:highlight w:val="none"/>
          <w:vertAlign w:val="baseline"/>
          <w:lang w:val="en-US" w:eastAsia="zh-CN"/>
        </w:rPr>
        <w:t>教官12个月驻校服务，主要承担的工作有：学生军训、国防教育、日常教学中值周（纪律负责）、夜间陪宿、学生内务整理培训、校园巡逻、安检、组织学生就餐等。具体事项由学校安排，学校依据学校教师的工作量安排。</w:t>
      </w:r>
    </w:p>
    <w:p w14:paraId="4EB7D8D7">
      <w:pPr>
        <w:pStyle w:val="10"/>
        <w:numPr>
          <w:ilvl w:val="0"/>
          <w:numId w:val="7"/>
        </w:numPr>
        <w:ind w:left="0" w:leftChars="0" w:firstLine="0" w:firstLineChars="0"/>
        <w:rPr>
          <w:rFonts w:hint="eastAsia" w:ascii="方正仿宋简体" w:hAnsi="方正仿宋简体" w:eastAsia="方正仿宋简体" w:cs="方正仿宋简体"/>
          <w:b/>
          <w:bCs/>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项目要求</w:t>
      </w:r>
    </w:p>
    <w:p w14:paraId="62B8A158">
      <w:pPr>
        <w:keepNext w:val="0"/>
        <w:keepLines w:val="0"/>
        <w:pageBreakBefore w:val="0"/>
        <w:widowControl w:val="0"/>
        <w:numPr>
          <w:ilvl w:val="0"/>
          <w:numId w:val="9"/>
        </w:numPr>
        <w:kinsoku/>
        <w:wordWrap/>
        <w:autoSpaceDE/>
        <w:autoSpaceDN/>
        <w:bidi w:val="0"/>
        <w:adjustRightInd/>
        <w:snapToGrid/>
        <w:spacing w:line="500" w:lineRule="exact"/>
        <w:ind w:leftChars="0"/>
        <w:textAlignment w:val="auto"/>
        <w:rPr>
          <w:rFonts w:hint="eastAsia" w:ascii="方正仿宋简体" w:hAnsi="方正仿宋简体" w:eastAsia="方正仿宋简体" w:cs="方正仿宋简体"/>
          <w:b w:val="0"/>
          <w:bCs w:val="0"/>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付款方式：</w:t>
      </w:r>
      <w:r>
        <w:rPr>
          <w:rFonts w:hint="eastAsia" w:ascii="方正仿宋简体" w:hAnsi="方正仿宋简体" w:eastAsia="方正仿宋简体" w:cs="方正仿宋简体"/>
          <w:b w:val="0"/>
          <w:bCs w:val="0"/>
          <w:sz w:val="28"/>
          <w:szCs w:val="28"/>
          <w:highlight w:val="none"/>
          <w:vertAlign w:val="baseline"/>
          <w:lang w:val="en-US" w:eastAsia="zh-CN"/>
        </w:rPr>
        <w:t>一次性支付。（具体以最终甲方合同约定为准）</w:t>
      </w:r>
    </w:p>
    <w:p w14:paraId="74090D6E">
      <w:pPr>
        <w:keepNext w:val="0"/>
        <w:keepLines w:val="0"/>
        <w:pageBreakBefore w:val="0"/>
        <w:widowControl w:val="0"/>
        <w:numPr>
          <w:ilvl w:val="0"/>
          <w:numId w:val="9"/>
        </w:numPr>
        <w:kinsoku/>
        <w:wordWrap/>
        <w:autoSpaceDE/>
        <w:autoSpaceDN/>
        <w:bidi w:val="0"/>
        <w:adjustRightInd/>
        <w:snapToGrid/>
        <w:spacing w:line="500" w:lineRule="exact"/>
        <w:ind w:leftChars="0"/>
        <w:textAlignment w:val="auto"/>
        <w:rPr>
          <w:rFonts w:hint="eastAsia" w:ascii="方正仿宋简体" w:hAnsi="方正仿宋简体" w:eastAsia="方正仿宋简体" w:cs="方正仿宋简体"/>
          <w:b w:val="0"/>
          <w:bCs w:val="0"/>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服务地点：</w:t>
      </w:r>
      <w:r>
        <w:rPr>
          <w:rFonts w:hint="eastAsia" w:ascii="方正仿宋简体" w:hAnsi="方正仿宋简体" w:eastAsia="方正仿宋简体" w:cs="方正仿宋简体"/>
          <w:b w:val="0"/>
          <w:bCs w:val="0"/>
          <w:sz w:val="28"/>
          <w:szCs w:val="28"/>
          <w:highlight w:val="none"/>
          <w:vertAlign w:val="baseline"/>
          <w:lang w:val="en-US" w:eastAsia="zh-CN"/>
        </w:rPr>
        <w:t>甲方指定地点。</w:t>
      </w:r>
    </w:p>
    <w:p w14:paraId="12A99E5F">
      <w:pPr>
        <w:keepNext w:val="0"/>
        <w:keepLines w:val="0"/>
        <w:pageBreakBefore w:val="0"/>
        <w:widowControl w:val="0"/>
        <w:numPr>
          <w:ilvl w:val="0"/>
          <w:numId w:val="0"/>
        </w:numPr>
        <w:kinsoku/>
        <w:wordWrap/>
        <w:autoSpaceDE/>
        <w:autoSpaceDN/>
        <w:bidi w:val="0"/>
        <w:adjustRightInd/>
        <w:snapToGrid/>
        <w:spacing w:line="500" w:lineRule="exact"/>
        <w:ind w:leftChars="0"/>
        <w:textAlignment w:val="auto"/>
        <w:rPr>
          <w:rFonts w:hint="default" w:ascii="方正仿宋简体" w:hAnsi="方正仿宋简体" w:eastAsia="方正仿宋简体" w:cs="方正仿宋简体"/>
          <w:sz w:val="28"/>
          <w:szCs w:val="28"/>
          <w:highlight w:val="none"/>
          <w:vertAlign w:val="baseline"/>
          <w:lang w:val="en-US" w:eastAsia="zh-CN"/>
        </w:rPr>
      </w:pPr>
      <w:r>
        <w:rPr>
          <w:rFonts w:hint="eastAsia" w:ascii="方正仿宋简体" w:hAnsi="方正仿宋简体" w:eastAsia="方正仿宋简体" w:cs="方正仿宋简体"/>
          <w:b/>
          <w:bCs/>
          <w:sz w:val="28"/>
          <w:szCs w:val="28"/>
          <w:highlight w:val="none"/>
          <w:vertAlign w:val="baseline"/>
          <w:lang w:val="en-US" w:eastAsia="zh-CN"/>
        </w:rPr>
        <w:t>（三）投标商在此需求基础上出具实施方案</w:t>
      </w:r>
      <w:r>
        <w:rPr>
          <w:rFonts w:hint="eastAsia" w:ascii="方正仿宋简体" w:hAnsi="方正仿宋简体" w:eastAsia="方正仿宋简体" w:cs="方正仿宋简体"/>
          <w:sz w:val="28"/>
          <w:szCs w:val="28"/>
          <w:highlight w:val="none"/>
          <w:vertAlign w:val="baseline"/>
          <w:lang w:val="en-US" w:eastAsia="zh-CN"/>
        </w:rPr>
        <w:t>。</w:t>
      </w:r>
    </w:p>
    <w:p w14:paraId="102E7DBB">
      <w:pPr>
        <w:pStyle w:val="10"/>
        <w:keepNext w:val="0"/>
        <w:keepLines w:val="0"/>
        <w:pageBreakBefore w:val="0"/>
        <w:widowControl w:val="0"/>
        <w:numPr>
          <w:ilvl w:val="0"/>
          <w:numId w:val="0"/>
        </w:numPr>
        <w:kinsoku/>
        <w:wordWrap/>
        <w:overflowPunct w:val="0"/>
        <w:topLinePunct/>
        <w:autoSpaceDE/>
        <w:autoSpaceDN/>
        <w:bidi w:val="0"/>
        <w:adjustRightInd/>
        <w:snapToGrid/>
        <w:spacing w:before="0" w:line="500" w:lineRule="exact"/>
        <w:ind w:left="0" w:leftChars="0" w:firstLine="284" w:firstLineChars="0"/>
        <w:textAlignment w:val="auto"/>
        <w:outlineLvl w:val="9"/>
        <w:rPr>
          <w:rFonts w:hint="eastAsia" w:ascii="微软雅黑" w:hAnsi="微软雅黑" w:eastAsia="微软雅黑" w:cs="微软雅黑"/>
          <w:b w:val="0"/>
          <w:bCs w:val="0"/>
          <w:sz w:val="22"/>
          <w:szCs w:val="22"/>
          <w:highlight w:val="none"/>
          <w:lang w:val="en-US" w:eastAsia="zh-CN"/>
        </w:rPr>
      </w:pPr>
      <w:r>
        <w:rPr>
          <w:rFonts w:hint="eastAsia" w:ascii="方正仿宋简体" w:hAnsi="方正仿宋简体" w:eastAsia="方正仿宋简体" w:cs="方正仿宋简体"/>
          <w:sz w:val="28"/>
          <w:szCs w:val="28"/>
          <w:highlight w:val="none"/>
          <w:vertAlign w:val="baseline"/>
          <w:lang w:val="en-US" w:eastAsia="zh-CN"/>
        </w:rPr>
        <w:t>方案包含但不限于，1.教官管理工作的基本原则；2教官管理工作基本要求；3.教官管理一日工作流程；4.教官管理队伍管理办法；5.突发事件应急预案；中标商的实施方案需再次和甲方协商通过后定案。</w:t>
      </w:r>
    </w:p>
    <w:p w14:paraId="10E259FD">
      <w:pPr>
        <w:keepNext w:val="0"/>
        <w:keepLines w:val="0"/>
        <w:pageBreakBefore w:val="0"/>
        <w:widowControl w:val="0"/>
        <w:numPr>
          <w:ilvl w:val="0"/>
          <w:numId w:val="9"/>
        </w:numPr>
        <w:kinsoku/>
        <w:wordWrap/>
        <w:autoSpaceDE/>
        <w:autoSpaceDN/>
        <w:bidi w:val="0"/>
        <w:adjustRightInd/>
        <w:snapToGrid/>
        <w:spacing w:line="500" w:lineRule="exact"/>
        <w:ind w:leftChars="0"/>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br w:type="page"/>
      </w:r>
    </w:p>
    <w:p w14:paraId="2528F27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微软雅黑" w:hAnsi="微软雅黑" w:eastAsia="微软雅黑" w:cs="微软雅黑"/>
          <w:b/>
          <w:bCs/>
          <w:color w:val="auto"/>
          <w:sz w:val="32"/>
          <w:szCs w:val="32"/>
          <w:highlight w:val="none"/>
          <w:lang w:val="en-US" w:eastAsia="zh-CN"/>
        </w:rPr>
      </w:pPr>
      <w:bookmarkStart w:id="2703" w:name="_Toc8866"/>
      <w:r>
        <w:rPr>
          <w:rFonts w:hint="eastAsia" w:ascii="微软雅黑" w:hAnsi="微软雅黑" w:eastAsia="微软雅黑" w:cs="微软雅黑"/>
          <w:b/>
          <w:bCs/>
          <w:color w:val="auto"/>
          <w:sz w:val="32"/>
          <w:szCs w:val="32"/>
          <w:highlight w:val="none"/>
          <w:lang w:val="en-US" w:eastAsia="zh-CN"/>
        </w:rPr>
        <w:t>第6章  评标方法和标准</w:t>
      </w:r>
      <w:bookmarkEnd w:id="14"/>
      <w:bookmarkEnd w:id="15"/>
      <w:bookmarkEnd w:id="16"/>
      <w:bookmarkEnd w:id="17"/>
      <w:bookmarkEnd w:id="18"/>
      <w:bookmarkEnd w:id="19"/>
      <w:bookmarkEnd w:id="20"/>
      <w:bookmarkEnd w:id="2697"/>
      <w:bookmarkEnd w:id="2698"/>
      <w:bookmarkEnd w:id="2699"/>
      <w:bookmarkEnd w:id="2700"/>
      <w:bookmarkEnd w:id="2703"/>
    </w:p>
    <w:p w14:paraId="4B68A77A">
      <w:pPr>
        <w:pStyle w:val="10"/>
        <w:keepNext w:val="0"/>
        <w:keepLines w:val="0"/>
        <w:pageBreakBefore w:val="0"/>
        <w:tabs>
          <w:tab w:val="clear" w:pos="567"/>
        </w:tabs>
        <w:kinsoku/>
        <w:wordWrap/>
        <w:overflowPunct/>
        <w:topLinePunct w:val="0"/>
        <w:autoSpaceDE/>
        <w:autoSpaceDN/>
        <w:bidi w:val="0"/>
        <w:adjustRightInd/>
        <w:spacing w:before="0" w:line="400" w:lineRule="exact"/>
        <w:ind w:firstLine="540" w:firstLineChars="225"/>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开标及评标”、“六 确定中标”及本章的规定评标。</w:t>
      </w:r>
    </w:p>
    <w:p w14:paraId="16C90B4E">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1.投标无效的情形：</w:t>
      </w:r>
    </w:p>
    <w:p w14:paraId="1D0BB77F">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（1）单位负责人为同一人或者存在直接控股、管理关系的不同供应商，其相关投标将被认定为投标无效。</w:t>
      </w:r>
    </w:p>
    <w:p w14:paraId="7C128C11">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（2）供应商报价超过招标文件规定的预算金额或者分项、分包最高限价的，其投标将被认定为投标无效。</w:t>
      </w:r>
    </w:p>
    <w:p w14:paraId="799B1BAC">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1E8C401B">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）供应商应当对所投分</w:t>
      </w:r>
      <w:r>
        <w:rPr>
          <w:rFonts w:hint="eastAsia" w:ascii="微软雅黑" w:hAnsi="微软雅黑" w:eastAsia="微软雅黑" w:cs="微软雅黑"/>
          <w:color w:val="auto"/>
          <w:sz w:val="24"/>
          <w:highlight w:val="none"/>
          <w:lang w:eastAsia="zh-CN"/>
        </w:rPr>
        <w:t>标项</w:t>
      </w:r>
      <w:r>
        <w:rPr>
          <w:rFonts w:hint="eastAsia" w:ascii="微软雅黑" w:hAnsi="微软雅黑" w:eastAsia="微软雅黑" w:cs="微软雅黑"/>
          <w:color w:val="auto"/>
          <w:sz w:val="24"/>
          <w:highlight w:val="none"/>
        </w:rPr>
        <w:t>投标文件中“服务内容及项目要求”所列的所有内容进行投标，如仅响应某一</w:t>
      </w:r>
      <w:r>
        <w:rPr>
          <w:rFonts w:hint="eastAsia" w:ascii="微软雅黑" w:hAnsi="微软雅黑" w:eastAsia="微软雅黑" w:cs="微软雅黑"/>
          <w:color w:val="auto"/>
          <w:sz w:val="24"/>
          <w:highlight w:val="none"/>
          <w:lang w:val="en-US" w:eastAsia="zh-CN"/>
        </w:rPr>
        <w:t>标项</w:t>
      </w:r>
      <w:r>
        <w:rPr>
          <w:rFonts w:hint="eastAsia" w:ascii="微软雅黑" w:hAnsi="微软雅黑" w:eastAsia="微软雅黑" w:cs="微软雅黑"/>
          <w:color w:val="auto"/>
          <w:sz w:val="24"/>
          <w:highlight w:val="none"/>
        </w:rPr>
        <w:t>中的部分内容，其该</w:t>
      </w:r>
      <w:r>
        <w:rPr>
          <w:rFonts w:hint="eastAsia" w:ascii="微软雅黑" w:hAnsi="微软雅黑" w:eastAsia="微软雅黑" w:cs="微软雅黑"/>
          <w:color w:val="auto"/>
          <w:sz w:val="24"/>
          <w:highlight w:val="none"/>
          <w:lang w:val="en-US" w:eastAsia="zh-CN"/>
        </w:rPr>
        <w:t>标项</w:t>
      </w:r>
      <w:r>
        <w:rPr>
          <w:rFonts w:hint="eastAsia" w:ascii="微软雅黑" w:hAnsi="微软雅黑" w:eastAsia="微软雅黑" w:cs="微软雅黑"/>
          <w:color w:val="auto"/>
          <w:sz w:val="24"/>
          <w:highlight w:val="none"/>
        </w:rPr>
        <w:t>投标将被认定为投标无效。</w:t>
      </w:r>
    </w:p>
    <w:p w14:paraId="2681C977">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）供应商未按本须知第12.1和12.3条规定提交投标保证金的，其投标资格将被认定为投标无效。</w:t>
      </w:r>
    </w:p>
    <w:p w14:paraId="53A86D01">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主体部分的赠与行为，其投标将被认定为投标无效。</w:t>
      </w:r>
    </w:p>
    <w:p w14:paraId="58928B7C">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）供应商所报的各分项投标单价在合同履行过程中是固定不变的，不得以任何理由予以变更。任何包含价格调整要求的投标，其投标将被认定为投标无效。</w:t>
      </w:r>
    </w:p>
    <w:p w14:paraId="12F70D56">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）投标应在供应商须知资料表中规定时间内保持有效。投标有效期不满足要求的投标，其投标将被认定为投标无效。</w:t>
      </w:r>
    </w:p>
    <w:p w14:paraId="06FFDBC6">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）采购代理机构将在开标前1个工作日至投标截止后1小时的期间内查询供应商的信用记录。供应商存在不良信用记录的，其投标将被认定为投标无效。</w:t>
      </w:r>
    </w:p>
    <w:p w14:paraId="79FA0F0B">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6FF60DA6">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69C645DF">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12</w:t>
      </w:r>
      <w:r>
        <w:rPr>
          <w:rFonts w:hint="eastAsia" w:ascii="微软雅黑" w:hAnsi="微软雅黑" w:eastAsia="微软雅黑" w:cs="微软雅黑"/>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018E449B">
      <w:pPr>
        <w:keepNext w:val="0"/>
        <w:keepLines w:val="0"/>
        <w:pageBreakBefore w:val="0"/>
        <w:widowControl/>
        <w:kinsoku/>
        <w:wordWrap/>
        <w:overflowPunct/>
        <w:topLinePunct w:val="0"/>
        <w:autoSpaceDE/>
        <w:autoSpaceDN/>
        <w:bidi w:val="0"/>
        <w:adjustRightInd/>
        <w:spacing w:line="400" w:lineRule="exact"/>
        <w:jc w:val="left"/>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kern w:val="2"/>
          <w:sz w:val="24"/>
          <w:szCs w:val="24"/>
          <w:highlight w:val="none"/>
          <w:u w:val="none"/>
          <w:lang w:val="en-US" w:eastAsia="zh-CN" w:bidi="ar-SA"/>
        </w:rPr>
        <w:t>本项目专门面向中小企业采购。根据财政部关于进一步加大政府采购支持中小企业力度的通知》财库〔2022〕19号、《政府采购促进中小企业发展管理办法》（财库[2020]46号）、《财政部司法部关于政府采购支持</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b/>
          <w:bCs/>
          <w:color w:val="auto"/>
          <w:kern w:val="2"/>
          <w:sz w:val="24"/>
          <w:szCs w:val="24"/>
          <w:highlight w:val="none"/>
          <w:u w:val="none"/>
          <w:lang w:val="en-US" w:eastAsia="zh-CN" w:bidi="ar-SA"/>
        </w:rPr>
        <w:t>企业发展有关问 题 的通知》（财库〔2014〕68号）、《三部门联合发布关于促进残疾人就业政府采购政策的通知》（财库〔2017〕141号）的规定，其中小型、微型及小微企业在投标文件中提交了《中小企业声明函》、《残疾人福利性单位声明函》或省级以上</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b/>
          <w:bCs/>
          <w:color w:val="auto"/>
          <w:kern w:val="2"/>
          <w:sz w:val="24"/>
          <w:szCs w:val="24"/>
          <w:highlight w:val="none"/>
          <w:u w:val="none"/>
          <w:lang w:val="en-US" w:eastAsia="zh-CN" w:bidi="ar-SA"/>
        </w:rPr>
        <w:t>管理局、戒毒管理局（含新疆生产建设兵团）出具的属于</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b/>
          <w:bCs/>
          <w:color w:val="auto"/>
          <w:kern w:val="2"/>
          <w:sz w:val="24"/>
          <w:szCs w:val="24"/>
          <w:highlight w:val="none"/>
          <w:u w:val="none"/>
          <w:lang w:val="en-US" w:eastAsia="zh-CN" w:bidi="ar-SA"/>
        </w:rPr>
        <w:t>企业的证明文件的供应商</w:t>
      </w:r>
      <w:r>
        <w:rPr>
          <w:rFonts w:hint="eastAsia" w:ascii="微软雅黑" w:hAnsi="微软雅黑" w:eastAsia="微软雅黑" w:cs="微软雅黑"/>
          <w:b/>
          <w:bCs/>
          <w:color w:val="auto"/>
          <w:sz w:val="24"/>
          <w:highlight w:val="none"/>
          <w:lang w:val="en-US" w:eastAsia="zh-CN"/>
        </w:rPr>
        <w:t>。对于同时属于小型、微型及小微企业、</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b/>
          <w:bCs/>
          <w:color w:val="auto"/>
          <w:sz w:val="24"/>
          <w:highlight w:val="none"/>
          <w:lang w:val="en-US" w:eastAsia="zh-CN"/>
        </w:rPr>
        <w:t>企业或残疾人福利性单位的，不重复进行报价扣除。</w:t>
      </w:r>
    </w:p>
    <w:p w14:paraId="145EBD1F">
      <w:pPr>
        <w:keepNext w:val="0"/>
        <w:keepLines w:val="0"/>
        <w:pageBreakBefore w:val="0"/>
        <w:widowControl/>
        <w:kinsoku/>
        <w:wordWrap/>
        <w:overflowPunct/>
        <w:topLinePunct w:val="0"/>
        <w:autoSpaceDE/>
        <w:autoSpaceDN/>
        <w:bidi w:val="0"/>
        <w:adjustRightInd/>
        <w:spacing w:line="400" w:lineRule="exact"/>
        <w:jc w:val="lef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3.联合协议中约定</w:t>
      </w:r>
      <w:r>
        <w:rPr>
          <w:rFonts w:hint="eastAsia" w:ascii="微软雅黑" w:hAnsi="微软雅黑" w:eastAsia="微软雅黑" w:cs="微软雅黑"/>
          <w:color w:val="auto"/>
          <w:sz w:val="24"/>
          <w:highlight w:val="none"/>
        </w:rPr>
        <w:t>，小型、微型企业和</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color w:val="auto"/>
          <w:sz w:val="24"/>
          <w:highlight w:val="none"/>
        </w:rPr>
        <w:t>企业的协议合同金额占到联合体协议合同总金额30%以上的，可给予联合体</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4</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rPr>
        <w:t>的价格扣除。</w:t>
      </w:r>
      <w:r>
        <w:rPr>
          <w:rFonts w:hint="eastAsia" w:ascii="微软雅黑" w:hAnsi="微软雅黑" w:eastAsia="微软雅黑" w:cs="微软雅黑"/>
          <w:b/>
          <w:bCs/>
          <w:color w:val="auto"/>
          <w:sz w:val="24"/>
          <w:highlight w:val="none"/>
        </w:rPr>
        <w:t>（本项目不适用）</w:t>
      </w:r>
    </w:p>
    <w:p w14:paraId="4F35D3B2">
      <w:pPr>
        <w:keepNext w:val="0"/>
        <w:keepLines w:val="0"/>
        <w:pageBreakBefore w:val="0"/>
        <w:widowControl/>
        <w:kinsoku/>
        <w:wordWrap/>
        <w:overflowPunct/>
        <w:topLinePunct w:val="0"/>
        <w:autoSpaceDE/>
        <w:autoSpaceDN/>
        <w:bidi w:val="0"/>
        <w:adjustRightInd/>
        <w:spacing w:line="400" w:lineRule="exact"/>
        <w:ind w:firstLine="480" w:firstLineChars="200"/>
        <w:jc w:val="lef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联合体各方均为小型、微型企业和</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color w:val="auto"/>
          <w:sz w:val="24"/>
          <w:highlight w:val="none"/>
        </w:rPr>
        <w:t>企业的，联合体视同为小型、微型企业和</w:t>
      </w:r>
      <w:r>
        <w:rPr>
          <w:rFonts w:hint="eastAsia" w:ascii="方正仿宋简体" w:hAnsi="方正仿宋简体" w:eastAsia="方正仿宋简体" w:cs="方正仿宋简体"/>
          <w:sz w:val="28"/>
          <w:szCs w:val="28"/>
          <w:highlight w:val="none"/>
          <w:vertAlign w:val="baseline"/>
          <w:lang w:val="en-US" w:eastAsia="zh-CN"/>
        </w:rPr>
        <w:t>**</w:t>
      </w:r>
      <w:r>
        <w:rPr>
          <w:rFonts w:hint="eastAsia" w:ascii="微软雅黑" w:hAnsi="微软雅黑" w:eastAsia="微软雅黑" w:cs="微软雅黑"/>
          <w:color w:val="auto"/>
          <w:sz w:val="24"/>
          <w:highlight w:val="none"/>
        </w:rPr>
        <w:t>企业。</w:t>
      </w:r>
    </w:p>
    <w:p w14:paraId="61DB4F23">
      <w:pPr>
        <w:pStyle w:val="10"/>
        <w:keepNext w:val="0"/>
        <w:keepLines w:val="0"/>
        <w:pageBreakBefore w:val="0"/>
        <w:tabs>
          <w:tab w:val="clear" w:pos="567"/>
        </w:tabs>
        <w:kinsoku/>
        <w:wordWrap/>
        <w:overflowPunct/>
        <w:topLinePunct w:val="0"/>
        <w:autoSpaceDE/>
        <w:autoSpaceDN/>
        <w:bidi w:val="0"/>
        <w:adjustRightInd/>
        <w:spacing w:before="0" w:line="400" w:lineRule="exact"/>
        <w:outlineLvl w:val="9"/>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4.供应商</w:t>
      </w:r>
      <w:r>
        <w:rPr>
          <w:rFonts w:hint="eastAsia" w:ascii="微软雅黑" w:hAnsi="微软雅黑" w:eastAsia="微软雅黑" w:cs="微软雅黑"/>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微软雅黑" w:hAnsi="微软雅黑" w:eastAsia="微软雅黑" w:cs="微软雅黑"/>
          <w:color w:val="auto"/>
          <w:highlight w:val="none"/>
        </w:rPr>
        <w:t>。</w:t>
      </w:r>
    </w:p>
    <w:p w14:paraId="207E8D38">
      <w:pPr>
        <w:pStyle w:val="10"/>
        <w:keepNext w:val="0"/>
        <w:keepLines w:val="0"/>
        <w:pageBreakBefore w:val="0"/>
        <w:tabs>
          <w:tab w:val="clear" w:pos="567"/>
        </w:tabs>
        <w:kinsoku/>
        <w:wordWrap/>
        <w:overflowPunct/>
        <w:topLinePunct w:val="0"/>
        <w:autoSpaceDE/>
        <w:autoSpaceDN/>
        <w:bidi w:val="0"/>
        <w:adjustRightInd/>
        <w:spacing w:before="0" w:line="400" w:lineRule="exact"/>
        <w:outlineLvl w:val="9"/>
        <w:rPr>
          <w:rFonts w:hint="eastAsia" w:ascii="微软雅黑" w:hAnsi="微软雅黑" w:eastAsia="微软雅黑" w:cs="微软雅黑"/>
          <w:color w:val="auto"/>
          <w:highlight w:val="none"/>
          <w:u w:val="single"/>
        </w:rPr>
      </w:pPr>
      <w:r>
        <w:rPr>
          <w:rFonts w:hint="eastAsia" w:ascii="微软雅黑" w:hAnsi="微软雅黑" w:eastAsia="微软雅黑" w:cs="微软雅黑"/>
          <w:b/>
          <w:bCs/>
          <w:color w:val="auto"/>
          <w:highlight w:val="none"/>
        </w:rPr>
        <w:t>5.对创新产</w:t>
      </w:r>
      <w:r>
        <w:rPr>
          <w:rFonts w:hint="eastAsia" w:ascii="微软雅黑" w:hAnsi="微软雅黑" w:eastAsia="微软雅黑" w:cs="微软雅黑"/>
          <w:color w:val="auto"/>
          <w:highlight w:val="none"/>
        </w:rPr>
        <w:t>品或创新性企业的优惠措施为：</w:t>
      </w:r>
      <w:r>
        <w:rPr>
          <w:rFonts w:hint="eastAsia" w:ascii="微软雅黑" w:hAnsi="微软雅黑" w:eastAsia="微软雅黑" w:cs="微软雅黑"/>
          <w:color w:val="auto"/>
          <w:highlight w:val="none"/>
          <w:u w:val="single"/>
        </w:rPr>
        <w:t xml:space="preserve">     /      </w:t>
      </w:r>
    </w:p>
    <w:p w14:paraId="0A7D2F07">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6.开标：</w:t>
      </w:r>
    </w:p>
    <w:p w14:paraId="4E93C53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lang w:eastAsia="zh-CN"/>
        </w:rPr>
        <w:t>供应商按照须知资料表中规定的开标时间和地点，在规定时间内上传投标文件。</w:t>
      </w:r>
    </w:p>
    <w:p w14:paraId="3CD321E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lang w:eastAsia="zh-CN"/>
        </w:rPr>
        <w:t xml:space="preserve">，将被认定为无效投标。请供应商提前调试好CA锁，确定在操作时能正常使用。  </w:t>
      </w:r>
    </w:p>
    <w:p w14:paraId="5BBFAAFC">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在开标记录时，代理机构开启签字时段，须供应商使用CA锁在政采云平台进行签字确认报价。</w:t>
      </w:r>
    </w:p>
    <w:p w14:paraId="6E058A33">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lang w:eastAsia="zh-CN"/>
        </w:rPr>
        <w:t>采购人登录政采云平台对供应商的资格证明材料进行审查。</w:t>
      </w:r>
    </w:p>
    <w:p w14:paraId="3190431E">
      <w:pPr>
        <w:pStyle w:val="22"/>
        <w:keepNext w:val="0"/>
        <w:keepLines w:val="0"/>
        <w:pageBreakBefore w:val="0"/>
        <w:kinsoku/>
        <w:wordWrap/>
        <w:overflowPunct/>
        <w:topLinePunct w:val="0"/>
        <w:autoSpaceDE/>
        <w:autoSpaceDN/>
        <w:bidi w:val="0"/>
        <w:adjustRightInd/>
        <w:spacing w:line="400" w:lineRule="exact"/>
        <w:outlineLvl w:val="9"/>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7.评标：</w:t>
      </w:r>
    </w:p>
    <w:p w14:paraId="51BDF348">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w:t>
      </w:r>
      <w:r>
        <w:rPr>
          <w:rFonts w:hint="eastAsia" w:ascii="微软雅黑" w:hAnsi="微软雅黑" w:eastAsia="微软雅黑" w:cs="微软雅黑"/>
          <w:color w:val="auto"/>
          <w:sz w:val="24"/>
          <w:highlight w:val="none"/>
          <w:lang w:val="en-US" w:eastAsia="zh-CN"/>
        </w:rPr>
        <w:t>依法</w:t>
      </w:r>
      <w:r>
        <w:rPr>
          <w:rFonts w:hint="eastAsia" w:ascii="微软雅黑" w:hAnsi="微软雅黑" w:eastAsia="微软雅黑" w:cs="微软雅黑"/>
          <w:color w:val="auto"/>
          <w:sz w:val="24"/>
          <w:highlight w:val="none"/>
          <w:lang w:eastAsia="zh-CN"/>
        </w:rPr>
        <w:t>组建评标委员会，负责评标工作。本项目评标委员会由</w:t>
      </w:r>
      <w:r>
        <w:rPr>
          <w:rFonts w:hint="eastAsia" w:ascii="微软雅黑" w:hAnsi="微软雅黑" w:eastAsia="微软雅黑" w:cs="微软雅黑"/>
          <w:b/>
          <w:bCs/>
          <w:color w:val="auto"/>
          <w:sz w:val="24"/>
          <w:highlight w:val="none"/>
          <w:lang w:eastAsia="zh-CN"/>
        </w:rPr>
        <w:t>5人</w:t>
      </w:r>
      <w:r>
        <w:rPr>
          <w:rFonts w:hint="eastAsia" w:ascii="微软雅黑" w:hAnsi="微软雅黑" w:eastAsia="微软雅黑" w:cs="微软雅黑"/>
          <w:color w:val="auto"/>
          <w:sz w:val="24"/>
          <w:highlight w:val="none"/>
          <w:lang w:eastAsia="zh-CN"/>
        </w:rPr>
        <w:t>组成。</w:t>
      </w:r>
    </w:p>
    <w:p w14:paraId="4589F66E">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（2）评标前，工作人员收取所有参会人员的手机，主持人宣读评标纪律。</w:t>
      </w:r>
    </w:p>
    <w:p w14:paraId="6D5E13F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对采购单位的纪律要求：采购单位不得泄露招投标活动中应当**的情况和资料，不得与供应商串通损害国家利益、社会公共利益或者他人合法权益</w:t>
      </w:r>
    </w:p>
    <w:p w14:paraId="5A13126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14:paraId="549DDB5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对评标专家的评标纪律及注意事项：</w:t>
      </w:r>
    </w:p>
    <w:p w14:paraId="5C33C37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①与本次评标工作无关的人员不得进入评标现场；</w:t>
      </w:r>
    </w:p>
    <w:p w14:paraId="3ED808E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②在评标过程中评标委员会以外人员不得干预或影响正常评标工作，不得明示或暗示其倾向性、引导性言论；</w:t>
      </w:r>
    </w:p>
    <w:p w14:paraId="73EAA1B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14:paraId="1E6069D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2182BDE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502DDF4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16C226F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⑦评标专家与供应商有下列利害关系之一的人员，应当回避</w:t>
      </w:r>
    </w:p>
    <w:p w14:paraId="129BCD2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参加采购活动前3年内与供应商存在劳动关系；</w:t>
      </w:r>
    </w:p>
    <w:p w14:paraId="7C46604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参加采购活动前3年内担任供应商的董事、监事；</w:t>
      </w:r>
    </w:p>
    <w:p w14:paraId="48D4C23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参加采购活动前3年内是供应商的控股股东或者实际控制人；</w:t>
      </w:r>
    </w:p>
    <w:p w14:paraId="0CC7520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与供应商的法定代表人或者负责人有夫妻、直系血亲、三代以内旁系血亲或者近姻亲关系。</w:t>
      </w:r>
    </w:p>
    <w:p w14:paraId="05418550">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14:paraId="28BBC508">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签字。供应商的澄清、说明或者补正不得超出投标文件的范围或者改变投标文件的实质性内容。</w:t>
      </w:r>
    </w:p>
    <w:p w14:paraId="0353E213">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7585E85D">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14:paraId="754DAEFA">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注：现场所有参会人员均要对开标内容进行**。</w:t>
      </w:r>
    </w:p>
    <w:p w14:paraId="52C2793E">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8.答疑澄清：</w:t>
      </w:r>
    </w:p>
    <w:p w14:paraId="21BF4C63">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14:paraId="31E620F5">
      <w:pPr>
        <w:pStyle w:val="22"/>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（2）供应商的澄清、说明或者补正应当采用书面形式，并加盖公章，或者由法定代表人签字。供应商的澄清、说明或者补正不得超出投标文件的范围或者改变投标文件的实质性内容。</w:t>
      </w:r>
    </w:p>
    <w:p w14:paraId="7B4FCA69">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9.定标：</w:t>
      </w:r>
    </w:p>
    <w:p w14:paraId="52F4152C">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（1）采购代理机构应当在评标结束后2个工作日内将评标报告送采购人。</w:t>
      </w:r>
    </w:p>
    <w:p w14:paraId="77C48E00">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14:paraId="7FDFAC02">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15B1E156">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非单一产品采购项目，采购人应当根据采购项目技术构成、产品价格比重等合理确定核心产品，并在招标文件中载明。多家供应商提供的核心产品品牌相同的，按前款规定处理。</w:t>
      </w:r>
    </w:p>
    <w:p w14:paraId="72DE2B16">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21ADFE7B">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bookmarkStart w:id="2704" w:name="_Toc7467"/>
      <w:bookmarkStart w:id="2705" w:name="_Toc1327"/>
      <w:bookmarkStart w:id="2706" w:name="_Toc10419"/>
      <w:bookmarkStart w:id="2707" w:name="_Toc9835"/>
      <w:bookmarkStart w:id="2708" w:name="_Toc5478"/>
      <w:bookmarkStart w:id="2709" w:name="_Toc5776"/>
      <w:bookmarkStart w:id="2710" w:name="_Toc21866"/>
      <w:bookmarkStart w:id="2711" w:name="_Toc23103"/>
      <w:bookmarkStart w:id="2712" w:name="_Toc9116"/>
      <w:bookmarkStart w:id="2713" w:name="_Toc5986"/>
      <w:bookmarkStart w:id="2714" w:name="_Toc29085"/>
      <w:bookmarkStart w:id="2715" w:name="_Toc25901"/>
      <w:bookmarkStart w:id="2716" w:name="_Toc19412"/>
      <w:bookmarkStart w:id="2717" w:name="_Toc5578"/>
      <w:bookmarkStart w:id="2718" w:name="_Toc6128"/>
      <w:bookmarkStart w:id="2719" w:name="_Toc13096"/>
      <w:bookmarkStart w:id="2720" w:name="_Toc21578"/>
      <w:bookmarkStart w:id="2721" w:name="_Toc28782"/>
      <w:bookmarkStart w:id="2722" w:name="_Toc30954"/>
    </w:p>
    <w:p w14:paraId="3DC51632">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p>
    <w:p w14:paraId="74A8BA31">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p>
    <w:p w14:paraId="395B2BFB">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p>
    <w:p w14:paraId="1D7D5B4F">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br w:type="page"/>
      </w:r>
    </w:p>
    <w:p w14:paraId="0258932F">
      <w:pPr>
        <w:pStyle w:val="2"/>
        <w:outlineLvl w:val="1"/>
        <w:rPr>
          <w:rFonts w:hint="eastAsia" w:ascii="微软雅黑" w:hAnsi="微软雅黑" w:eastAsia="微软雅黑" w:cs="微软雅黑"/>
          <w:color w:val="auto"/>
          <w:highlight w:val="none"/>
          <w:lang w:eastAsia="zh-CN"/>
        </w:rPr>
      </w:pPr>
      <w:bookmarkStart w:id="2723" w:name="_Toc18363"/>
      <w:r>
        <w:rPr>
          <w:rFonts w:hint="eastAsia" w:ascii="微软雅黑" w:hAnsi="微软雅黑" w:eastAsia="微软雅黑" w:cs="微软雅黑"/>
          <w:color w:val="auto"/>
          <w:highlight w:val="none"/>
        </w:rPr>
        <w:t>初步评审—资格性审查表</w:t>
      </w:r>
      <w:bookmarkEnd w:id="2723"/>
    </w:p>
    <w:tbl>
      <w:tblPr>
        <w:tblStyle w:val="29"/>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7340"/>
        <w:gridCol w:w="680"/>
        <w:gridCol w:w="680"/>
        <w:gridCol w:w="684"/>
      </w:tblGrid>
      <w:tr w14:paraId="66F3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579" w:type="dxa"/>
            <w:vMerge w:val="restart"/>
            <w:vAlign w:val="center"/>
          </w:tcPr>
          <w:p w14:paraId="635A9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序号</w:t>
            </w:r>
          </w:p>
        </w:tc>
        <w:tc>
          <w:tcPr>
            <w:tcW w:w="7340" w:type="dxa"/>
            <w:vMerge w:val="restart"/>
            <w:vAlign w:val="center"/>
          </w:tcPr>
          <w:p w14:paraId="2D5B22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评审内容</w:t>
            </w:r>
          </w:p>
        </w:tc>
        <w:tc>
          <w:tcPr>
            <w:tcW w:w="2044" w:type="dxa"/>
            <w:gridSpan w:val="3"/>
            <w:vAlign w:val="center"/>
          </w:tcPr>
          <w:p w14:paraId="597F3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供应商</w:t>
            </w:r>
          </w:p>
        </w:tc>
      </w:tr>
      <w:tr w14:paraId="3FD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79" w:type="dxa"/>
            <w:vMerge w:val="continue"/>
            <w:vAlign w:val="center"/>
          </w:tcPr>
          <w:p w14:paraId="69C9A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sz w:val="21"/>
                <w:szCs w:val="21"/>
                <w:highlight w:val="none"/>
              </w:rPr>
            </w:pPr>
          </w:p>
        </w:tc>
        <w:tc>
          <w:tcPr>
            <w:tcW w:w="7340" w:type="dxa"/>
            <w:vMerge w:val="continue"/>
            <w:vAlign w:val="center"/>
          </w:tcPr>
          <w:p w14:paraId="0DA04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sz w:val="21"/>
                <w:szCs w:val="21"/>
                <w:highlight w:val="none"/>
              </w:rPr>
            </w:pPr>
          </w:p>
        </w:tc>
        <w:tc>
          <w:tcPr>
            <w:tcW w:w="680" w:type="dxa"/>
            <w:vAlign w:val="center"/>
          </w:tcPr>
          <w:p w14:paraId="0D144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是否合格</w:t>
            </w:r>
          </w:p>
        </w:tc>
        <w:tc>
          <w:tcPr>
            <w:tcW w:w="680" w:type="dxa"/>
            <w:vAlign w:val="center"/>
          </w:tcPr>
          <w:p w14:paraId="15608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是否合格</w:t>
            </w:r>
          </w:p>
        </w:tc>
        <w:tc>
          <w:tcPr>
            <w:tcW w:w="684" w:type="dxa"/>
            <w:vAlign w:val="center"/>
          </w:tcPr>
          <w:p w14:paraId="731557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是否合格</w:t>
            </w:r>
          </w:p>
        </w:tc>
      </w:tr>
      <w:tr w14:paraId="471F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79" w:type="dxa"/>
            <w:vAlign w:val="center"/>
          </w:tcPr>
          <w:p w14:paraId="2C249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1</w:t>
            </w:r>
          </w:p>
        </w:tc>
        <w:tc>
          <w:tcPr>
            <w:tcW w:w="7340" w:type="dxa"/>
            <w:vAlign w:val="center"/>
          </w:tcPr>
          <w:p w14:paraId="2703C2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lang w:val="en-US" w:eastAsia="zh-CN"/>
              </w:rPr>
              <w:t>具有有效的营业执照</w:t>
            </w:r>
            <w:r>
              <w:rPr>
                <w:rFonts w:hint="eastAsia" w:ascii="微软雅黑" w:hAnsi="微软雅黑" w:eastAsia="微软雅黑" w:cs="微软雅黑"/>
                <w:color w:val="auto"/>
                <w:spacing w:val="-2"/>
                <w:sz w:val="21"/>
                <w:szCs w:val="21"/>
                <w:highlight w:val="none"/>
              </w:rPr>
              <w:t>；</w:t>
            </w:r>
          </w:p>
        </w:tc>
        <w:tc>
          <w:tcPr>
            <w:tcW w:w="680" w:type="dxa"/>
          </w:tcPr>
          <w:p w14:paraId="7180E1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112E5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3C7C5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03A5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79" w:type="dxa"/>
            <w:vAlign w:val="center"/>
          </w:tcPr>
          <w:p w14:paraId="01BB5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rPr>
              <w:t>2</w:t>
            </w:r>
          </w:p>
        </w:tc>
        <w:tc>
          <w:tcPr>
            <w:tcW w:w="7340" w:type="dxa"/>
            <w:shd w:val="clear" w:color="auto" w:fill="auto"/>
            <w:vAlign w:val="center"/>
          </w:tcPr>
          <w:p w14:paraId="0C630D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kern w:val="2"/>
                <w:sz w:val="21"/>
                <w:szCs w:val="21"/>
                <w:highlight w:val="none"/>
                <w:lang w:val="en-US" w:eastAsia="zh-CN" w:bidi="ar-SA"/>
              </w:rPr>
              <w:t>法定代表人本人投标需提供法定代表人身份证及法定代表人资格证明书;授权委托人投标需提供法定代表人授权委托书、法定代表人身份证复印件及被授权委托人身份证；</w:t>
            </w:r>
          </w:p>
        </w:tc>
        <w:tc>
          <w:tcPr>
            <w:tcW w:w="680" w:type="dxa"/>
          </w:tcPr>
          <w:p w14:paraId="2E1E7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4A1EA9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0CE3D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608E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79" w:type="dxa"/>
            <w:vAlign w:val="center"/>
          </w:tcPr>
          <w:p w14:paraId="23C59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3</w:t>
            </w:r>
          </w:p>
        </w:tc>
        <w:tc>
          <w:tcPr>
            <w:tcW w:w="7340" w:type="dxa"/>
            <w:shd w:val="clear" w:color="auto" w:fill="auto"/>
            <w:vAlign w:val="center"/>
          </w:tcPr>
          <w:p w14:paraId="1C2889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eastAsia="zh-CN"/>
              </w:rPr>
              <w:t>提供近两年内任意一年的财务审计报告（成立未满十二个月的新公司可提供近三个月内任意一个月的银行资信证明）</w:t>
            </w:r>
            <w:r>
              <w:rPr>
                <w:rFonts w:hint="eastAsia" w:ascii="微软雅黑" w:hAnsi="微软雅黑" w:eastAsia="微软雅黑" w:cs="微软雅黑"/>
                <w:color w:val="auto"/>
                <w:spacing w:val="-2"/>
                <w:sz w:val="21"/>
                <w:szCs w:val="21"/>
                <w:highlight w:val="none"/>
              </w:rPr>
              <w:t>；</w:t>
            </w:r>
          </w:p>
        </w:tc>
        <w:tc>
          <w:tcPr>
            <w:tcW w:w="680" w:type="dxa"/>
          </w:tcPr>
          <w:p w14:paraId="66415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69591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1B7E65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28BA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79" w:type="dxa"/>
            <w:vAlign w:val="center"/>
          </w:tcPr>
          <w:p w14:paraId="08FFE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4</w:t>
            </w:r>
          </w:p>
        </w:tc>
        <w:tc>
          <w:tcPr>
            <w:tcW w:w="7340" w:type="dxa"/>
            <w:shd w:val="clear" w:color="auto" w:fill="auto"/>
            <w:vAlign w:val="center"/>
          </w:tcPr>
          <w:p w14:paraId="2D7F2A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eastAsia="zh-CN"/>
              </w:rPr>
              <w:t>依法缴纳近六个月内任意一个月的社会保险证明</w:t>
            </w:r>
            <w:r>
              <w:rPr>
                <w:rFonts w:hint="eastAsia" w:ascii="微软雅黑" w:hAnsi="微软雅黑" w:eastAsia="微软雅黑" w:cs="微软雅黑"/>
                <w:color w:val="auto"/>
                <w:spacing w:val="-2"/>
                <w:sz w:val="21"/>
                <w:szCs w:val="21"/>
                <w:highlight w:val="none"/>
              </w:rPr>
              <w:t>；</w:t>
            </w:r>
          </w:p>
        </w:tc>
        <w:tc>
          <w:tcPr>
            <w:tcW w:w="680" w:type="dxa"/>
          </w:tcPr>
          <w:p w14:paraId="729D2B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1510D1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07E08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0979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9" w:type="dxa"/>
            <w:vAlign w:val="center"/>
          </w:tcPr>
          <w:p w14:paraId="2D89F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5</w:t>
            </w:r>
          </w:p>
        </w:tc>
        <w:tc>
          <w:tcPr>
            <w:tcW w:w="7340" w:type="dxa"/>
            <w:shd w:val="clear" w:color="auto" w:fill="auto"/>
            <w:vAlign w:val="center"/>
          </w:tcPr>
          <w:p w14:paraId="452615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eastAsia="zh-CN"/>
              </w:rPr>
              <w:t>依法缴纳近六个月内任意一个月的税收证明</w:t>
            </w:r>
            <w:r>
              <w:rPr>
                <w:rFonts w:hint="eastAsia" w:ascii="微软雅黑" w:hAnsi="微软雅黑" w:eastAsia="微软雅黑" w:cs="微软雅黑"/>
                <w:color w:val="auto"/>
                <w:spacing w:val="-2"/>
                <w:sz w:val="21"/>
                <w:szCs w:val="21"/>
                <w:highlight w:val="none"/>
              </w:rPr>
              <w:t>；</w:t>
            </w:r>
          </w:p>
        </w:tc>
        <w:tc>
          <w:tcPr>
            <w:tcW w:w="680" w:type="dxa"/>
          </w:tcPr>
          <w:p w14:paraId="0AE9F7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0B6498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086A72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329D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79" w:type="dxa"/>
            <w:vAlign w:val="center"/>
          </w:tcPr>
          <w:p w14:paraId="1DF1E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6</w:t>
            </w:r>
          </w:p>
        </w:tc>
        <w:tc>
          <w:tcPr>
            <w:tcW w:w="7340" w:type="dxa"/>
            <w:shd w:val="clear" w:color="auto" w:fill="auto"/>
            <w:vAlign w:val="center"/>
          </w:tcPr>
          <w:p w14:paraId="493D352D">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tc>
        <w:tc>
          <w:tcPr>
            <w:tcW w:w="680" w:type="dxa"/>
          </w:tcPr>
          <w:p w14:paraId="2672B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36A42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58BCD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0987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79" w:type="dxa"/>
            <w:vAlign w:val="center"/>
          </w:tcPr>
          <w:p w14:paraId="7679A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7</w:t>
            </w:r>
          </w:p>
        </w:tc>
        <w:tc>
          <w:tcPr>
            <w:tcW w:w="7340" w:type="dxa"/>
            <w:shd w:val="clear" w:color="auto" w:fill="auto"/>
            <w:vAlign w:val="center"/>
          </w:tcPr>
          <w:p w14:paraId="03235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eastAsia="zh-CN"/>
              </w:rPr>
              <w:t>参加政府采购活动前三年内在经营活动中没有重大违法记录的书面声明</w:t>
            </w:r>
            <w:r>
              <w:rPr>
                <w:rFonts w:hint="eastAsia" w:ascii="微软雅黑" w:hAnsi="微软雅黑" w:eastAsia="微软雅黑" w:cs="微软雅黑"/>
                <w:color w:val="auto"/>
                <w:spacing w:val="-2"/>
                <w:sz w:val="21"/>
                <w:szCs w:val="21"/>
                <w:highlight w:val="none"/>
              </w:rPr>
              <w:t>；</w:t>
            </w:r>
          </w:p>
        </w:tc>
        <w:tc>
          <w:tcPr>
            <w:tcW w:w="680" w:type="dxa"/>
          </w:tcPr>
          <w:p w14:paraId="3FB191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2DB43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15C82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451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79" w:type="dxa"/>
            <w:vAlign w:val="center"/>
          </w:tcPr>
          <w:p w14:paraId="0F7673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8</w:t>
            </w:r>
          </w:p>
        </w:tc>
        <w:tc>
          <w:tcPr>
            <w:tcW w:w="7340" w:type="dxa"/>
            <w:shd w:val="clear" w:color="auto" w:fill="auto"/>
            <w:vAlign w:val="center"/>
          </w:tcPr>
          <w:p w14:paraId="1CC3EF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rPr>
              <w:t>缴纳投标保证金的有效凭证。</w:t>
            </w:r>
          </w:p>
        </w:tc>
        <w:tc>
          <w:tcPr>
            <w:tcW w:w="680" w:type="dxa"/>
          </w:tcPr>
          <w:p w14:paraId="7C7F2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4FE2B8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6E3A4D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086A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79" w:type="dxa"/>
            <w:vAlign w:val="center"/>
          </w:tcPr>
          <w:p w14:paraId="2FC07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lang w:val="en-US" w:eastAsia="zh-CN"/>
              </w:rPr>
              <w:t>9</w:t>
            </w:r>
          </w:p>
        </w:tc>
        <w:tc>
          <w:tcPr>
            <w:tcW w:w="7340" w:type="dxa"/>
            <w:shd w:val="clear" w:color="auto" w:fill="auto"/>
            <w:vAlign w:val="center"/>
          </w:tcPr>
          <w:p w14:paraId="6BFDD0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spacing w:val="-2"/>
                <w:sz w:val="21"/>
                <w:szCs w:val="21"/>
                <w:highlight w:val="none"/>
                <w:lang w:eastAsia="zh-CN"/>
              </w:rPr>
            </w:pPr>
            <w:r>
              <w:rPr>
                <w:rFonts w:hint="eastAsia" w:ascii="微软雅黑" w:hAnsi="微软雅黑" w:eastAsia="微软雅黑" w:cs="微软雅黑"/>
                <w:color w:val="auto"/>
                <w:spacing w:val="-2"/>
                <w:sz w:val="21"/>
                <w:szCs w:val="21"/>
                <w:highlight w:val="none"/>
              </w:rPr>
              <w:t>供应商须具有《劳务派遣经营许可证》或《人力资源服务许可证》</w:t>
            </w:r>
            <w:r>
              <w:rPr>
                <w:rFonts w:hint="eastAsia" w:ascii="微软雅黑" w:hAnsi="微软雅黑" w:eastAsia="微软雅黑" w:cs="微软雅黑"/>
                <w:color w:val="auto"/>
                <w:spacing w:val="-2"/>
                <w:sz w:val="21"/>
                <w:szCs w:val="21"/>
                <w:highlight w:val="none"/>
                <w:lang w:eastAsia="zh-CN"/>
              </w:rPr>
              <w:t>。</w:t>
            </w:r>
          </w:p>
        </w:tc>
        <w:tc>
          <w:tcPr>
            <w:tcW w:w="680" w:type="dxa"/>
          </w:tcPr>
          <w:p w14:paraId="1A6C32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185AE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61FAC0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r w14:paraId="7CB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19" w:type="dxa"/>
            <w:gridSpan w:val="2"/>
            <w:vAlign w:val="center"/>
          </w:tcPr>
          <w:p w14:paraId="70ECD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结论</w:t>
            </w:r>
          </w:p>
        </w:tc>
        <w:tc>
          <w:tcPr>
            <w:tcW w:w="680" w:type="dxa"/>
          </w:tcPr>
          <w:p w14:paraId="2BB8D6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0" w:type="dxa"/>
          </w:tcPr>
          <w:p w14:paraId="5C1F0E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c>
          <w:tcPr>
            <w:tcW w:w="684" w:type="dxa"/>
          </w:tcPr>
          <w:p w14:paraId="3EB36D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1"/>
                <w:szCs w:val="21"/>
                <w:highlight w:val="none"/>
              </w:rPr>
            </w:pPr>
          </w:p>
        </w:tc>
      </w:tr>
    </w:tbl>
    <w:p w14:paraId="7486755E">
      <w:pPr>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供应商必须将上述内容上传至对应关联节点，未通过资格性审查的供应商不进入评标；通过资格性审查的供应商少于三家的，不得评标。</w:t>
      </w:r>
    </w:p>
    <w:p w14:paraId="3F2CBB51">
      <w:pPr>
        <w:pStyle w:val="22"/>
        <w:rPr>
          <w:rFonts w:hint="eastAsia" w:ascii="微软雅黑" w:hAnsi="微软雅黑" w:eastAsia="微软雅黑" w:cs="微软雅黑"/>
          <w:b/>
          <w:bCs/>
          <w:color w:val="auto"/>
          <w:szCs w:val="21"/>
          <w:highlight w:val="none"/>
        </w:rPr>
      </w:pPr>
    </w:p>
    <w:p w14:paraId="7228AD4C">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p w14:paraId="3A14B06C">
      <w:pPr>
        <w:pStyle w:val="2"/>
        <w:rPr>
          <w:rFonts w:hint="eastAsia" w:ascii="微软雅黑" w:hAnsi="微软雅黑" w:eastAsia="微软雅黑" w:cs="微软雅黑"/>
          <w:color w:val="auto"/>
          <w:highlight w:val="none"/>
        </w:rPr>
      </w:pPr>
      <w:bookmarkStart w:id="2724" w:name="_Toc24532"/>
      <w:r>
        <w:rPr>
          <w:rFonts w:hint="eastAsia" w:ascii="微软雅黑" w:hAnsi="微软雅黑" w:eastAsia="微软雅黑" w:cs="微软雅黑"/>
          <w:color w:val="auto"/>
          <w:highlight w:val="none"/>
        </w:rPr>
        <w:t>初步评审—符合性审查表</w:t>
      </w:r>
      <w:bookmarkEnd w:id="2724"/>
    </w:p>
    <w:tbl>
      <w:tblPr>
        <w:tblStyle w:val="29"/>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387"/>
        <w:gridCol w:w="925"/>
      </w:tblGrid>
      <w:tr w14:paraId="1F2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38" w:type="dxa"/>
            <w:gridSpan w:val="2"/>
            <w:vAlign w:val="center"/>
          </w:tcPr>
          <w:p w14:paraId="22CDFAF5">
            <w:pPr>
              <w:spacing w:line="400" w:lineRule="exact"/>
              <w:jc w:val="center"/>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评审内容</w:t>
            </w:r>
          </w:p>
        </w:tc>
        <w:tc>
          <w:tcPr>
            <w:tcW w:w="925" w:type="dxa"/>
            <w:vAlign w:val="center"/>
          </w:tcPr>
          <w:p w14:paraId="4758ADBE">
            <w:pPr>
              <w:spacing w:line="400" w:lineRule="exact"/>
              <w:jc w:val="center"/>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b/>
                <w:color w:val="auto"/>
                <w:sz w:val="21"/>
                <w:szCs w:val="21"/>
                <w:highlight w:val="none"/>
              </w:rPr>
              <w:t>评审意见</w:t>
            </w:r>
          </w:p>
        </w:tc>
      </w:tr>
      <w:tr w14:paraId="6BAB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1" w:type="dxa"/>
            <w:vAlign w:val="center"/>
          </w:tcPr>
          <w:p w14:paraId="3381CF27">
            <w:pPr>
              <w:spacing w:line="40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8387" w:type="dxa"/>
            <w:vAlign w:val="center"/>
          </w:tcPr>
          <w:p w14:paraId="75D6867F">
            <w:pPr>
              <w:spacing w:line="400" w:lineRule="exact"/>
              <w:jc w:val="center"/>
              <w:rPr>
                <w:rFonts w:hint="eastAsia" w:ascii="微软雅黑" w:hAnsi="微软雅黑" w:eastAsia="微软雅黑" w:cs="微软雅黑"/>
                <w:color w:val="auto"/>
                <w:spacing w:val="-2"/>
                <w:sz w:val="21"/>
                <w:szCs w:val="21"/>
                <w:highlight w:val="none"/>
              </w:rPr>
            </w:pPr>
          </w:p>
        </w:tc>
        <w:tc>
          <w:tcPr>
            <w:tcW w:w="925" w:type="dxa"/>
            <w:vAlign w:val="center"/>
          </w:tcPr>
          <w:p w14:paraId="49F78550">
            <w:pPr>
              <w:spacing w:line="400" w:lineRule="exact"/>
              <w:jc w:val="center"/>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是否合格</w:t>
            </w:r>
          </w:p>
        </w:tc>
      </w:tr>
      <w:tr w14:paraId="0956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1" w:type="dxa"/>
            <w:vAlign w:val="center"/>
          </w:tcPr>
          <w:p w14:paraId="126C29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1</w:t>
            </w:r>
          </w:p>
        </w:tc>
        <w:tc>
          <w:tcPr>
            <w:tcW w:w="8387" w:type="dxa"/>
            <w:vAlign w:val="center"/>
          </w:tcPr>
          <w:p w14:paraId="78EB51C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各供应商投标报价未高于预算金额；</w:t>
            </w:r>
          </w:p>
        </w:tc>
        <w:tc>
          <w:tcPr>
            <w:tcW w:w="925" w:type="dxa"/>
            <w:vAlign w:val="center"/>
          </w:tcPr>
          <w:p w14:paraId="51D03CF5">
            <w:pPr>
              <w:spacing w:line="400" w:lineRule="exact"/>
              <w:jc w:val="center"/>
              <w:rPr>
                <w:rFonts w:hint="eastAsia" w:ascii="微软雅黑" w:hAnsi="微软雅黑" w:eastAsia="微软雅黑" w:cs="微软雅黑"/>
                <w:color w:val="auto"/>
                <w:spacing w:val="-2"/>
                <w:sz w:val="21"/>
                <w:szCs w:val="21"/>
                <w:highlight w:val="none"/>
              </w:rPr>
            </w:pPr>
          </w:p>
        </w:tc>
      </w:tr>
      <w:tr w14:paraId="63E6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1" w:type="dxa"/>
            <w:vAlign w:val="center"/>
          </w:tcPr>
          <w:p w14:paraId="30CD7E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2</w:t>
            </w:r>
          </w:p>
        </w:tc>
        <w:tc>
          <w:tcPr>
            <w:tcW w:w="8387" w:type="dxa"/>
            <w:vAlign w:val="center"/>
          </w:tcPr>
          <w:p w14:paraId="632D309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评标委员会认为供应商的报价无明显低于其他通过</w:t>
            </w:r>
            <w:r>
              <w:rPr>
                <w:rFonts w:hint="eastAsia" w:ascii="微软雅黑" w:hAnsi="微软雅黑" w:eastAsia="微软雅黑" w:cs="微软雅黑"/>
                <w:color w:val="auto"/>
                <w:spacing w:val="-2"/>
                <w:sz w:val="21"/>
                <w:szCs w:val="21"/>
                <w:highlight w:val="none"/>
                <w:lang w:val="en-US" w:eastAsia="zh-CN"/>
              </w:rPr>
              <w:t>符合</w:t>
            </w:r>
            <w:r>
              <w:rPr>
                <w:rFonts w:hint="eastAsia" w:ascii="微软雅黑" w:hAnsi="微软雅黑" w:eastAsia="微软雅黑" w:cs="微软雅黑"/>
                <w:color w:val="auto"/>
                <w:spacing w:val="-2"/>
                <w:sz w:val="21"/>
                <w:szCs w:val="21"/>
                <w:highlight w:val="none"/>
              </w:rPr>
              <w:t>性审查供应商的报价的，供应商的报价不存在异常一致并成规律性的，其报价合理；</w:t>
            </w:r>
          </w:p>
        </w:tc>
        <w:tc>
          <w:tcPr>
            <w:tcW w:w="925" w:type="dxa"/>
            <w:vAlign w:val="center"/>
          </w:tcPr>
          <w:p w14:paraId="45DAF65E">
            <w:pPr>
              <w:spacing w:line="400" w:lineRule="exact"/>
              <w:jc w:val="center"/>
              <w:rPr>
                <w:rFonts w:hint="eastAsia" w:ascii="微软雅黑" w:hAnsi="微软雅黑" w:eastAsia="微软雅黑" w:cs="微软雅黑"/>
                <w:color w:val="auto"/>
                <w:spacing w:val="-2"/>
                <w:sz w:val="21"/>
                <w:szCs w:val="21"/>
                <w:highlight w:val="none"/>
              </w:rPr>
            </w:pPr>
          </w:p>
        </w:tc>
      </w:tr>
      <w:tr w14:paraId="780A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1" w:type="dxa"/>
            <w:vAlign w:val="center"/>
          </w:tcPr>
          <w:p w14:paraId="28E459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rPr>
              <w:t>3</w:t>
            </w:r>
          </w:p>
        </w:tc>
        <w:tc>
          <w:tcPr>
            <w:tcW w:w="8387" w:type="dxa"/>
            <w:vAlign w:val="center"/>
          </w:tcPr>
          <w:p w14:paraId="78A65B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rPr>
              <w:t>投标文件按照招标文件的规定编制、标记及签署盖章的，法定代表人</w:t>
            </w:r>
            <w:r>
              <w:rPr>
                <w:rFonts w:hint="eastAsia" w:ascii="微软雅黑" w:hAnsi="微软雅黑" w:eastAsia="微软雅黑" w:cs="微软雅黑"/>
                <w:color w:val="auto"/>
                <w:spacing w:val="-2"/>
                <w:sz w:val="21"/>
                <w:szCs w:val="21"/>
                <w:highlight w:val="none"/>
                <w:lang w:val="en-US" w:eastAsia="zh-CN"/>
              </w:rPr>
              <w:t>签</w:t>
            </w:r>
            <w:r>
              <w:rPr>
                <w:rFonts w:hint="eastAsia" w:ascii="微软雅黑" w:hAnsi="微软雅黑" w:eastAsia="微软雅黑" w:cs="微软雅黑"/>
                <w:color w:val="auto"/>
                <w:spacing w:val="-2"/>
                <w:sz w:val="21"/>
                <w:szCs w:val="21"/>
                <w:highlight w:val="none"/>
              </w:rPr>
              <w:t>章</w:t>
            </w:r>
            <w:r>
              <w:rPr>
                <w:rFonts w:hint="eastAsia" w:ascii="微软雅黑" w:hAnsi="微软雅黑" w:eastAsia="微软雅黑" w:cs="微软雅黑"/>
                <w:color w:val="auto"/>
                <w:spacing w:val="-2"/>
                <w:sz w:val="21"/>
                <w:szCs w:val="21"/>
                <w:highlight w:val="none"/>
                <w:lang w:eastAsia="zh-CN"/>
              </w:rPr>
              <w:t>；</w:t>
            </w:r>
          </w:p>
        </w:tc>
        <w:tc>
          <w:tcPr>
            <w:tcW w:w="925" w:type="dxa"/>
            <w:vAlign w:val="center"/>
          </w:tcPr>
          <w:p w14:paraId="71FEAD55">
            <w:pPr>
              <w:spacing w:line="400" w:lineRule="exact"/>
              <w:jc w:val="center"/>
              <w:rPr>
                <w:rFonts w:hint="eastAsia" w:ascii="微软雅黑" w:hAnsi="微软雅黑" w:eastAsia="微软雅黑" w:cs="微软雅黑"/>
                <w:color w:val="auto"/>
                <w:spacing w:val="-2"/>
                <w:sz w:val="21"/>
                <w:szCs w:val="21"/>
                <w:highlight w:val="none"/>
              </w:rPr>
            </w:pPr>
          </w:p>
        </w:tc>
      </w:tr>
      <w:tr w14:paraId="1A3D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51" w:type="dxa"/>
            <w:vAlign w:val="center"/>
          </w:tcPr>
          <w:p w14:paraId="4B79B6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rPr>
              <w:t>4</w:t>
            </w:r>
          </w:p>
        </w:tc>
        <w:tc>
          <w:tcPr>
            <w:tcW w:w="8387" w:type="dxa"/>
            <w:vAlign w:val="center"/>
          </w:tcPr>
          <w:p w14:paraId="3B68C4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按招标文件规定的格式填写，内容</w:t>
            </w:r>
            <w:r>
              <w:rPr>
                <w:rFonts w:hint="eastAsia" w:ascii="微软雅黑" w:hAnsi="微软雅黑" w:eastAsia="微软雅黑" w:cs="微软雅黑"/>
                <w:color w:val="auto"/>
                <w:spacing w:val="-2"/>
                <w:sz w:val="21"/>
                <w:szCs w:val="21"/>
                <w:highlight w:val="none"/>
                <w:lang w:val="en-US" w:eastAsia="zh-CN"/>
              </w:rPr>
              <w:t>全面、关键字迹清晰</w:t>
            </w:r>
            <w:r>
              <w:rPr>
                <w:rFonts w:hint="eastAsia" w:ascii="微软雅黑" w:hAnsi="微软雅黑" w:eastAsia="微软雅黑" w:cs="微软雅黑"/>
                <w:color w:val="auto"/>
                <w:spacing w:val="-2"/>
                <w:sz w:val="21"/>
                <w:szCs w:val="21"/>
                <w:highlight w:val="none"/>
              </w:rPr>
              <w:t>；</w:t>
            </w:r>
          </w:p>
        </w:tc>
        <w:tc>
          <w:tcPr>
            <w:tcW w:w="925" w:type="dxa"/>
            <w:vAlign w:val="center"/>
          </w:tcPr>
          <w:p w14:paraId="529AF066">
            <w:pPr>
              <w:spacing w:line="400" w:lineRule="exact"/>
              <w:jc w:val="center"/>
              <w:rPr>
                <w:rFonts w:hint="eastAsia" w:ascii="微软雅黑" w:hAnsi="微软雅黑" w:eastAsia="微软雅黑" w:cs="微软雅黑"/>
                <w:color w:val="auto"/>
                <w:sz w:val="21"/>
                <w:szCs w:val="21"/>
                <w:highlight w:val="none"/>
              </w:rPr>
            </w:pPr>
          </w:p>
        </w:tc>
      </w:tr>
      <w:tr w14:paraId="4656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1" w:type="dxa"/>
            <w:vAlign w:val="center"/>
          </w:tcPr>
          <w:p w14:paraId="1B5E98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rPr>
              <w:t>5</w:t>
            </w:r>
          </w:p>
        </w:tc>
        <w:tc>
          <w:tcPr>
            <w:tcW w:w="8387" w:type="dxa"/>
            <w:vAlign w:val="center"/>
          </w:tcPr>
          <w:p w14:paraId="13A7EDB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lang w:val="en-US" w:eastAsia="zh-CN"/>
              </w:rPr>
              <w:t>符合招标文件中规定的实质性要求；</w:t>
            </w:r>
            <w:r>
              <w:rPr>
                <w:rFonts w:hint="eastAsia" w:ascii="微软雅黑" w:hAnsi="微软雅黑" w:eastAsia="微软雅黑" w:cs="微软雅黑"/>
                <w:b/>
                <w:bCs/>
                <w:color w:val="auto"/>
                <w:spacing w:val="-2"/>
                <w:sz w:val="21"/>
                <w:szCs w:val="21"/>
                <w:highlight w:val="none"/>
                <w:lang w:val="en-US" w:eastAsia="zh-CN"/>
              </w:rPr>
              <w:t>（服务时间、服务地点等）</w:t>
            </w:r>
          </w:p>
        </w:tc>
        <w:tc>
          <w:tcPr>
            <w:tcW w:w="925" w:type="dxa"/>
            <w:vAlign w:val="center"/>
          </w:tcPr>
          <w:p w14:paraId="73BE87BD">
            <w:pPr>
              <w:spacing w:line="400" w:lineRule="exact"/>
              <w:jc w:val="center"/>
              <w:rPr>
                <w:rFonts w:hint="eastAsia" w:ascii="微软雅黑" w:hAnsi="微软雅黑" w:eastAsia="微软雅黑" w:cs="微软雅黑"/>
                <w:color w:val="auto"/>
                <w:spacing w:val="-2"/>
                <w:sz w:val="21"/>
                <w:szCs w:val="21"/>
                <w:highlight w:val="none"/>
              </w:rPr>
            </w:pPr>
          </w:p>
        </w:tc>
      </w:tr>
      <w:tr w14:paraId="04D9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1" w:type="dxa"/>
            <w:vAlign w:val="center"/>
          </w:tcPr>
          <w:p w14:paraId="614302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rPr>
              <w:t>6</w:t>
            </w:r>
          </w:p>
        </w:tc>
        <w:tc>
          <w:tcPr>
            <w:tcW w:w="8387" w:type="dxa"/>
            <w:vAlign w:val="center"/>
          </w:tcPr>
          <w:p w14:paraId="1BA62E9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rPr>
              <w:t>没有采购人不能接受的附加条件的；</w:t>
            </w:r>
          </w:p>
        </w:tc>
        <w:tc>
          <w:tcPr>
            <w:tcW w:w="925" w:type="dxa"/>
            <w:vAlign w:val="center"/>
          </w:tcPr>
          <w:p w14:paraId="214B0C5B">
            <w:pPr>
              <w:spacing w:line="400" w:lineRule="exact"/>
              <w:jc w:val="center"/>
              <w:rPr>
                <w:rFonts w:hint="eastAsia" w:ascii="微软雅黑" w:hAnsi="微软雅黑" w:eastAsia="微软雅黑" w:cs="微软雅黑"/>
                <w:color w:val="auto"/>
                <w:spacing w:val="-2"/>
                <w:sz w:val="21"/>
                <w:szCs w:val="21"/>
                <w:highlight w:val="none"/>
              </w:rPr>
            </w:pPr>
          </w:p>
        </w:tc>
      </w:tr>
      <w:tr w14:paraId="7419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1" w:type="dxa"/>
            <w:vAlign w:val="center"/>
          </w:tcPr>
          <w:p w14:paraId="7270FA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rPr>
              <w:t>7</w:t>
            </w:r>
          </w:p>
        </w:tc>
        <w:tc>
          <w:tcPr>
            <w:tcW w:w="8387" w:type="dxa"/>
            <w:vAlign w:val="center"/>
          </w:tcPr>
          <w:p w14:paraId="201AC9E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rPr>
              <w:t>不同供应商的投标文件没有错漏一致的情况；</w:t>
            </w:r>
          </w:p>
        </w:tc>
        <w:tc>
          <w:tcPr>
            <w:tcW w:w="925" w:type="dxa"/>
            <w:vAlign w:val="center"/>
          </w:tcPr>
          <w:p w14:paraId="49AAA941">
            <w:pPr>
              <w:spacing w:line="400" w:lineRule="exact"/>
              <w:jc w:val="center"/>
              <w:rPr>
                <w:rFonts w:hint="eastAsia" w:ascii="微软雅黑" w:hAnsi="微软雅黑" w:eastAsia="微软雅黑" w:cs="微软雅黑"/>
                <w:color w:val="auto"/>
                <w:spacing w:val="-2"/>
                <w:sz w:val="21"/>
                <w:szCs w:val="21"/>
                <w:highlight w:val="none"/>
              </w:rPr>
            </w:pPr>
          </w:p>
        </w:tc>
      </w:tr>
      <w:tr w14:paraId="1902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51" w:type="dxa"/>
            <w:vAlign w:val="center"/>
          </w:tcPr>
          <w:p w14:paraId="3DA2EB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rPr>
              <w:t>8</w:t>
            </w:r>
          </w:p>
        </w:tc>
        <w:tc>
          <w:tcPr>
            <w:tcW w:w="8387" w:type="dxa"/>
            <w:vAlign w:val="center"/>
          </w:tcPr>
          <w:p w14:paraId="7E2578B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rPr>
              <w:t>供应商附有详细地址、联系人、电话标明的</w:t>
            </w:r>
            <w:r>
              <w:rPr>
                <w:rFonts w:hint="eastAsia" w:ascii="微软雅黑" w:hAnsi="微软雅黑" w:eastAsia="微软雅黑" w:cs="微软雅黑"/>
                <w:color w:val="auto"/>
                <w:spacing w:val="-2"/>
                <w:sz w:val="21"/>
                <w:szCs w:val="21"/>
                <w:highlight w:val="none"/>
                <w:lang w:eastAsia="zh-CN"/>
              </w:rPr>
              <w:t>；</w:t>
            </w:r>
          </w:p>
        </w:tc>
        <w:tc>
          <w:tcPr>
            <w:tcW w:w="925" w:type="dxa"/>
            <w:vAlign w:val="center"/>
          </w:tcPr>
          <w:p w14:paraId="2965F454">
            <w:pPr>
              <w:spacing w:line="400" w:lineRule="exact"/>
              <w:jc w:val="center"/>
              <w:rPr>
                <w:rFonts w:hint="eastAsia" w:ascii="微软雅黑" w:hAnsi="微软雅黑" w:eastAsia="微软雅黑" w:cs="微软雅黑"/>
                <w:color w:val="auto"/>
                <w:spacing w:val="-2"/>
                <w:sz w:val="21"/>
                <w:szCs w:val="21"/>
                <w:highlight w:val="none"/>
              </w:rPr>
            </w:pPr>
          </w:p>
        </w:tc>
      </w:tr>
      <w:tr w14:paraId="650E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51" w:type="dxa"/>
            <w:vAlign w:val="center"/>
          </w:tcPr>
          <w:p w14:paraId="466464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lang w:val="en-US" w:eastAsia="zh-CN"/>
              </w:rPr>
              <w:t>9</w:t>
            </w:r>
          </w:p>
        </w:tc>
        <w:tc>
          <w:tcPr>
            <w:tcW w:w="8387" w:type="dxa"/>
            <w:vAlign w:val="center"/>
          </w:tcPr>
          <w:p w14:paraId="208265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不存在法律、法规和招标文件规定的其他无效情形。</w:t>
            </w:r>
          </w:p>
        </w:tc>
        <w:tc>
          <w:tcPr>
            <w:tcW w:w="925" w:type="dxa"/>
            <w:vAlign w:val="center"/>
          </w:tcPr>
          <w:p w14:paraId="61E0AA23">
            <w:pPr>
              <w:spacing w:line="400" w:lineRule="exact"/>
              <w:jc w:val="center"/>
              <w:rPr>
                <w:rFonts w:hint="eastAsia" w:ascii="微软雅黑" w:hAnsi="微软雅黑" w:eastAsia="微软雅黑" w:cs="微软雅黑"/>
                <w:color w:val="auto"/>
                <w:spacing w:val="-2"/>
                <w:sz w:val="21"/>
                <w:szCs w:val="21"/>
                <w:highlight w:val="none"/>
              </w:rPr>
            </w:pPr>
          </w:p>
        </w:tc>
      </w:tr>
      <w:tr w14:paraId="0112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38" w:type="dxa"/>
            <w:gridSpan w:val="2"/>
            <w:vAlign w:val="center"/>
          </w:tcPr>
          <w:p w14:paraId="2FA3DE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结论：通过评审打“√”，未通过评审打“×”</w:t>
            </w:r>
          </w:p>
        </w:tc>
        <w:tc>
          <w:tcPr>
            <w:tcW w:w="925" w:type="dxa"/>
            <w:vAlign w:val="center"/>
          </w:tcPr>
          <w:p w14:paraId="47443111">
            <w:pPr>
              <w:spacing w:line="400" w:lineRule="exact"/>
              <w:ind w:firstLine="370" w:firstLineChars="180"/>
              <w:jc w:val="center"/>
              <w:rPr>
                <w:rFonts w:hint="eastAsia" w:ascii="微软雅黑" w:hAnsi="微软雅黑" w:eastAsia="微软雅黑" w:cs="微软雅黑"/>
                <w:color w:val="auto"/>
                <w:spacing w:val="-2"/>
                <w:sz w:val="21"/>
                <w:szCs w:val="21"/>
                <w:highlight w:val="none"/>
              </w:rPr>
            </w:pPr>
          </w:p>
        </w:tc>
      </w:tr>
    </w:tbl>
    <w:p w14:paraId="3463FAF4">
      <w:pPr>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供应商必须将上述内容上传至对应关联节点，未通过符合性审查的供应商不进入评标；通过符合性审查的供应商少于三家的，不得评标。</w:t>
      </w:r>
    </w:p>
    <w:p w14:paraId="4D7960EC">
      <w:pPr>
        <w:pStyle w:val="22"/>
        <w:rPr>
          <w:rFonts w:hint="eastAsia" w:ascii="微软雅黑" w:hAnsi="微软雅黑" w:eastAsia="微软雅黑" w:cs="微软雅黑"/>
          <w:highlight w:val="none"/>
        </w:rPr>
      </w:pPr>
    </w:p>
    <w:p w14:paraId="4BDD90AB">
      <w:pPr>
        <w:pStyle w:val="8"/>
        <w:ind w:left="0" w:leftChars="0" w:firstLine="0" w:firstLineChars="0"/>
        <w:outlineLvl w:val="9"/>
        <w:rPr>
          <w:rFonts w:hint="eastAsia" w:ascii="微软雅黑" w:hAnsi="微软雅黑" w:eastAsia="微软雅黑" w:cs="微软雅黑"/>
          <w:color w:val="auto"/>
          <w:highlight w:val="none"/>
        </w:rPr>
      </w:pPr>
    </w:p>
    <w:p w14:paraId="31E0C278">
      <w:pPr>
        <w:outlineLvl w:val="9"/>
        <w:rPr>
          <w:rFonts w:hint="eastAsia" w:ascii="微软雅黑" w:hAnsi="微软雅黑" w:eastAsia="微软雅黑" w:cs="微软雅黑"/>
          <w:color w:val="auto"/>
          <w:highlight w:val="none"/>
        </w:rPr>
      </w:pPr>
    </w:p>
    <w:p w14:paraId="7C001860">
      <w:pPr>
        <w:pStyle w:val="12"/>
        <w:outlineLvl w:val="9"/>
        <w:rPr>
          <w:rFonts w:hint="eastAsia" w:ascii="微软雅黑" w:hAnsi="微软雅黑" w:eastAsia="微软雅黑" w:cs="微软雅黑"/>
          <w:color w:val="auto"/>
          <w:highlight w:val="none"/>
        </w:rPr>
      </w:pPr>
    </w:p>
    <w:p w14:paraId="7D23EBBE">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bookmarkStart w:id="2725" w:name="_Toc5375"/>
      <w:bookmarkStart w:id="2726" w:name="_Toc21392"/>
      <w:bookmarkStart w:id="2727" w:name="_Toc21350"/>
      <w:bookmarkStart w:id="2728" w:name="_Toc29006"/>
      <w:bookmarkStart w:id="2729" w:name="_Toc26924"/>
      <w:bookmarkStart w:id="2730" w:name="_Toc4034"/>
      <w:bookmarkStart w:id="2731" w:name="_Toc4748"/>
      <w:bookmarkStart w:id="2732" w:name="_Toc20505"/>
      <w:bookmarkStart w:id="2733" w:name="_Toc31737"/>
      <w:bookmarkStart w:id="2734" w:name="_Toc19967"/>
      <w:bookmarkStart w:id="2735" w:name="_Toc359"/>
      <w:bookmarkStart w:id="2736" w:name="_Toc3812"/>
      <w:bookmarkStart w:id="2737" w:name="_Toc31042"/>
      <w:bookmarkStart w:id="2738" w:name="_Toc11449"/>
      <w:bookmarkStart w:id="2739" w:name="_Toc17586"/>
      <w:bookmarkStart w:id="2740" w:name="_Toc507399904"/>
    </w:p>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p w14:paraId="10445626">
      <w:pPr>
        <w:widowControl/>
        <w:jc w:val="center"/>
        <w:outlineLvl w:val="1"/>
        <w:rPr>
          <w:rFonts w:hint="eastAsia" w:ascii="微软雅黑" w:hAnsi="微软雅黑" w:eastAsia="微软雅黑" w:cs="微软雅黑"/>
          <w:b/>
          <w:i w:val="0"/>
          <w:color w:val="auto"/>
          <w:spacing w:val="0"/>
          <w:w w:val="100"/>
          <w:sz w:val="28"/>
          <w:szCs w:val="28"/>
          <w:highlight w:val="none"/>
        </w:rPr>
      </w:pPr>
      <w:r>
        <w:rPr>
          <w:rFonts w:hint="eastAsia" w:ascii="微软雅黑" w:hAnsi="微软雅黑" w:eastAsia="微软雅黑" w:cs="微软雅黑"/>
          <w:b/>
          <w:color w:val="auto"/>
          <w:kern w:val="0"/>
          <w:sz w:val="30"/>
          <w:szCs w:val="20"/>
          <w:highlight w:val="none"/>
          <w:lang w:val="en-US" w:eastAsia="zh-CN" w:bidi="ar-SA"/>
        </w:rPr>
        <w:t xml:space="preserve"> </w:t>
      </w:r>
      <w:bookmarkStart w:id="2741" w:name="_Toc20492"/>
      <w:r>
        <w:rPr>
          <w:rFonts w:hint="eastAsia" w:ascii="微软雅黑" w:hAnsi="微软雅黑" w:eastAsia="微软雅黑" w:cs="微软雅黑"/>
          <w:b/>
          <w:i w:val="0"/>
          <w:color w:val="auto"/>
          <w:spacing w:val="0"/>
          <w:w w:val="100"/>
          <w:sz w:val="28"/>
          <w:szCs w:val="28"/>
          <w:highlight w:val="none"/>
        </w:rPr>
        <w:t>综合评分表</w:t>
      </w:r>
      <w:bookmarkEnd w:id="2741"/>
    </w:p>
    <w:tbl>
      <w:tblPr>
        <w:tblStyle w:val="29"/>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45"/>
        <w:gridCol w:w="6601"/>
        <w:gridCol w:w="1495"/>
      </w:tblGrid>
      <w:tr w14:paraId="18B5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154" w:type="dxa"/>
            <w:noWrap w:val="0"/>
            <w:vAlign w:val="center"/>
          </w:tcPr>
          <w:p w14:paraId="11D313B9">
            <w:pPr>
              <w:keepNext w:val="0"/>
              <w:keepLines w:val="0"/>
              <w:pageBreakBefore w:val="0"/>
              <w:kinsoku/>
              <w:wordWrap/>
              <w:overflowPunct/>
              <w:topLinePunct w:val="0"/>
              <w:autoSpaceDE/>
              <w:autoSpaceDN/>
              <w:bidi w:val="0"/>
              <w:adjustRightInd/>
              <w:spacing w:line="240" w:lineRule="auto"/>
              <w:ind w:firstLine="28"/>
              <w:jc w:val="center"/>
              <w:rPr>
                <w:rFonts w:hint="eastAsia" w:ascii="微软雅黑" w:hAnsi="微软雅黑" w:eastAsia="微软雅黑" w:cs="微软雅黑"/>
                <w:b/>
                <w:bCs w:val="0"/>
                <w:color w:val="auto"/>
                <w:sz w:val="21"/>
                <w:szCs w:val="21"/>
                <w:highlight w:val="none"/>
              </w:rPr>
            </w:pPr>
            <w:r>
              <w:rPr>
                <w:rFonts w:hint="eastAsia" w:ascii="微软雅黑" w:hAnsi="微软雅黑" w:eastAsia="微软雅黑" w:cs="微软雅黑"/>
                <w:b/>
                <w:bCs w:val="0"/>
                <w:color w:val="auto"/>
                <w:sz w:val="21"/>
                <w:szCs w:val="21"/>
                <w:highlight w:val="none"/>
              </w:rPr>
              <w:t>评分因素</w:t>
            </w:r>
          </w:p>
        </w:tc>
        <w:tc>
          <w:tcPr>
            <w:tcW w:w="645" w:type="dxa"/>
            <w:noWrap w:val="0"/>
            <w:vAlign w:val="center"/>
          </w:tcPr>
          <w:p w14:paraId="054D5729">
            <w:pPr>
              <w:keepNext w:val="0"/>
              <w:keepLines w:val="0"/>
              <w:pageBreakBefore w:val="0"/>
              <w:widowControl/>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rPr>
            </w:pPr>
            <w:r>
              <w:rPr>
                <w:rFonts w:hint="eastAsia" w:ascii="微软雅黑" w:hAnsi="微软雅黑" w:eastAsia="微软雅黑" w:cs="微软雅黑"/>
                <w:b/>
                <w:bCs w:val="0"/>
                <w:color w:val="auto"/>
                <w:kern w:val="0"/>
                <w:sz w:val="21"/>
                <w:szCs w:val="21"/>
                <w:highlight w:val="none"/>
              </w:rPr>
              <w:t>分值</w:t>
            </w:r>
          </w:p>
        </w:tc>
        <w:tc>
          <w:tcPr>
            <w:tcW w:w="6601" w:type="dxa"/>
            <w:noWrap w:val="0"/>
            <w:vAlign w:val="center"/>
          </w:tcPr>
          <w:p w14:paraId="671DFFEC">
            <w:pPr>
              <w:keepNext w:val="0"/>
              <w:keepLines w:val="0"/>
              <w:pageBreakBefore w:val="0"/>
              <w:widowControl/>
              <w:kinsoku/>
              <w:wordWrap/>
              <w:overflowPunct/>
              <w:topLinePunct w:val="0"/>
              <w:autoSpaceDE/>
              <w:autoSpaceDN/>
              <w:bidi w:val="0"/>
              <w:adjustRightInd/>
              <w:spacing w:line="240" w:lineRule="auto"/>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评分因素及权重、评分标准</w:t>
            </w:r>
          </w:p>
          <w:p w14:paraId="1B5499F0">
            <w:pPr>
              <w:keepNext w:val="0"/>
              <w:keepLines w:val="0"/>
              <w:pageBreakBefore w:val="0"/>
              <w:widowControl/>
              <w:kinsoku/>
              <w:wordWrap/>
              <w:overflowPunct/>
              <w:topLinePunct w:val="0"/>
              <w:autoSpaceDE/>
              <w:autoSpaceDN/>
              <w:bidi w:val="0"/>
              <w:adjustRightInd/>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bCs/>
                <w:color w:val="auto"/>
                <w:kern w:val="0"/>
                <w:sz w:val="21"/>
                <w:szCs w:val="21"/>
                <w:highlight w:val="none"/>
              </w:rPr>
              <w:t>价格：</w:t>
            </w:r>
            <w:r>
              <w:rPr>
                <w:rFonts w:hint="eastAsia" w:ascii="微软雅黑" w:hAnsi="微软雅黑" w:eastAsia="微软雅黑" w:cs="微软雅黑"/>
                <w:b/>
                <w:bCs/>
                <w:color w:val="auto"/>
                <w:kern w:val="0"/>
                <w:sz w:val="21"/>
                <w:szCs w:val="21"/>
                <w:highlight w:val="none"/>
                <w:lang w:val="en-US" w:eastAsia="zh-CN"/>
              </w:rPr>
              <w:t>10</w:t>
            </w:r>
            <w:r>
              <w:rPr>
                <w:rFonts w:hint="eastAsia" w:ascii="微软雅黑" w:hAnsi="微软雅黑" w:eastAsia="微软雅黑" w:cs="微软雅黑"/>
                <w:b/>
                <w:bCs/>
                <w:color w:val="auto"/>
                <w:kern w:val="0"/>
                <w:sz w:val="21"/>
                <w:szCs w:val="21"/>
                <w:highlight w:val="none"/>
              </w:rPr>
              <w:t xml:space="preserve">分   </w:t>
            </w:r>
            <w:r>
              <w:rPr>
                <w:rFonts w:hint="eastAsia" w:ascii="微软雅黑" w:hAnsi="微软雅黑" w:eastAsia="微软雅黑" w:cs="微软雅黑"/>
                <w:b/>
                <w:bCs/>
                <w:color w:val="auto"/>
                <w:kern w:val="0"/>
                <w:sz w:val="21"/>
                <w:szCs w:val="21"/>
                <w:highlight w:val="none"/>
                <w:lang w:val="en-US" w:eastAsia="zh-CN"/>
              </w:rPr>
              <w:t xml:space="preserve"> </w:t>
            </w:r>
            <w:r>
              <w:rPr>
                <w:rFonts w:hint="eastAsia" w:ascii="微软雅黑" w:hAnsi="微软雅黑" w:eastAsia="微软雅黑" w:cs="微软雅黑"/>
                <w:b/>
                <w:bCs/>
                <w:color w:val="auto"/>
                <w:kern w:val="0"/>
                <w:sz w:val="21"/>
                <w:szCs w:val="21"/>
                <w:highlight w:val="none"/>
              </w:rPr>
              <w:t>商务</w:t>
            </w:r>
            <w:r>
              <w:rPr>
                <w:rFonts w:hint="eastAsia" w:ascii="微软雅黑" w:hAnsi="微软雅黑" w:eastAsia="微软雅黑" w:cs="微软雅黑"/>
                <w:b/>
                <w:bCs/>
                <w:color w:val="auto"/>
                <w:kern w:val="0"/>
                <w:sz w:val="21"/>
                <w:szCs w:val="21"/>
                <w:highlight w:val="none"/>
                <w:lang w:val="en-US" w:eastAsia="zh-CN"/>
              </w:rPr>
              <w:t>:22</w:t>
            </w:r>
            <w:r>
              <w:rPr>
                <w:rFonts w:hint="eastAsia" w:ascii="微软雅黑" w:hAnsi="微软雅黑" w:eastAsia="微软雅黑" w:cs="微软雅黑"/>
                <w:b/>
                <w:bCs/>
                <w:color w:val="auto"/>
                <w:kern w:val="0"/>
                <w:sz w:val="21"/>
                <w:szCs w:val="21"/>
                <w:highlight w:val="none"/>
              </w:rPr>
              <w:t xml:space="preserve">分   </w:t>
            </w:r>
            <w:r>
              <w:rPr>
                <w:rFonts w:hint="eastAsia" w:ascii="微软雅黑" w:hAnsi="微软雅黑" w:eastAsia="微软雅黑" w:cs="微软雅黑"/>
                <w:b/>
                <w:bCs/>
                <w:color w:val="auto"/>
                <w:kern w:val="0"/>
                <w:sz w:val="21"/>
                <w:szCs w:val="21"/>
                <w:highlight w:val="none"/>
                <w:lang w:val="en-US" w:eastAsia="zh-CN"/>
              </w:rPr>
              <w:t xml:space="preserve"> </w:t>
            </w:r>
            <w:r>
              <w:rPr>
                <w:rFonts w:hint="eastAsia" w:ascii="微软雅黑" w:hAnsi="微软雅黑" w:eastAsia="微软雅黑" w:cs="微软雅黑"/>
                <w:b/>
                <w:bCs/>
                <w:color w:val="auto"/>
                <w:kern w:val="0"/>
                <w:sz w:val="21"/>
                <w:szCs w:val="21"/>
                <w:highlight w:val="none"/>
              </w:rPr>
              <w:t>技术：</w:t>
            </w:r>
            <w:r>
              <w:rPr>
                <w:rFonts w:hint="eastAsia" w:ascii="微软雅黑" w:hAnsi="微软雅黑" w:eastAsia="微软雅黑" w:cs="微软雅黑"/>
                <w:b/>
                <w:bCs/>
                <w:color w:val="auto"/>
                <w:kern w:val="0"/>
                <w:sz w:val="21"/>
                <w:szCs w:val="21"/>
                <w:highlight w:val="none"/>
                <w:lang w:val="en-US" w:eastAsia="zh-CN"/>
              </w:rPr>
              <w:t>68</w:t>
            </w:r>
            <w:r>
              <w:rPr>
                <w:rFonts w:hint="eastAsia" w:ascii="微软雅黑" w:hAnsi="微软雅黑" w:eastAsia="微软雅黑" w:cs="微软雅黑"/>
                <w:b/>
                <w:bCs/>
                <w:color w:val="auto"/>
                <w:kern w:val="0"/>
                <w:sz w:val="21"/>
                <w:szCs w:val="21"/>
                <w:highlight w:val="none"/>
              </w:rPr>
              <w:t xml:space="preserve">分              </w:t>
            </w:r>
          </w:p>
        </w:tc>
        <w:tc>
          <w:tcPr>
            <w:tcW w:w="1495" w:type="dxa"/>
            <w:noWrap w:val="0"/>
            <w:vAlign w:val="center"/>
          </w:tcPr>
          <w:p w14:paraId="1657CD79">
            <w:pPr>
              <w:pStyle w:val="46"/>
              <w:keepNext w:val="0"/>
              <w:keepLines w:val="0"/>
              <w:pageBreakBefore w:val="0"/>
              <w:kinsoku/>
              <w:wordWrap/>
              <w:overflowPunct/>
              <w:topLinePunct w:val="0"/>
              <w:autoSpaceDE/>
              <w:autoSpaceDN/>
              <w:bidi w:val="0"/>
              <w:adjustRightInd/>
              <w:spacing w:before="0" w:after="0"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说明</w:t>
            </w:r>
          </w:p>
        </w:tc>
      </w:tr>
      <w:tr w14:paraId="354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1154" w:type="dxa"/>
            <w:noWrap w:val="0"/>
            <w:vAlign w:val="center"/>
          </w:tcPr>
          <w:p w14:paraId="1D238944">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价格评分标准（10分）</w:t>
            </w:r>
          </w:p>
        </w:tc>
        <w:tc>
          <w:tcPr>
            <w:tcW w:w="645" w:type="dxa"/>
            <w:noWrap w:val="0"/>
            <w:vAlign w:val="center"/>
          </w:tcPr>
          <w:p w14:paraId="65734693">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10</w:t>
            </w:r>
          </w:p>
        </w:tc>
        <w:tc>
          <w:tcPr>
            <w:tcW w:w="6601" w:type="dxa"/>
            <w:noWrap w:val="0"/>
            <w:vAlign w:val="center"/>
          </w:tcPr>
          <w:p w14:paraId="0367599B">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投标报价：</w:t>
            </w:r>
            <w:r>
              <w:rPr>
                <w:rFonts w:hint="eastAsia" w:ascii="微软雅黑" w:hAnsi="微软雅黑" w:eastAsia="微软雅黑" w:cs="微软雅黑"/>
                <w:b w:val="0"/>
                <w:bCs w:val="0"/>
                <w:color w:val="auto"/>
                <w:sz w:val="21"/>
                <w:szCs w:val="21"/>
                <w:highlight w:val="none"/>
                <w:lang w:val="en-US" w:eastAsia="zh-CN"/>
              </w:rPr>
              <w:t>完全满足招标文件参数的投标报价中的最低价为评标基准价，按照下列公式计算每个供应商的价格得分。投标报价得分＝（基准价/投标报价）×价格权重×100。</w:t>
            </w:r>
          </w:p>
        </w:tc>
        <w:tc>
          <w:tcPr>
            <w:tcW w:w="1495" w:type="dxa"/>
            <w:noWrap w:val="0"/>
            <w:vAlign w:val="center"/>
          </w:tcPr>
          <w:p w14:paraId="2D51F71E">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auto"/>
                <w:sz w:val="21"/>
                <w:szCs w:val="21"/>
                <w:highlight w:val="none"/>
              </w:rPr>
              <w:t>投标报价超过采购预算价的按废标处理</w:t>
            </w:r>
          </w:p>
        </w:tc>
      </w:tr>
      <w:tr w14:paraId="17ED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1154" w:type="dxa"/>
            <w:vMerge w:val="restart"/>
            <w:noWrap w:val="0"/>
            <w:vAlign w:val="center"/>
          </w:tcPr>
          <w:p w14:paraId="7C226FE1">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商务评分标准（22分）</w:t>
            </w:r>
          </w:p>
        </w:tc>
        <w:tc>
          <w:tcPr>
            <w:tcW w:w="645" w:type="dxa"/>
            <w:noWrap w:val="0"/>
            <w:vAlign w:val="center"/>
          </w:tcPr>
          <w:p w14:paraId="60546B3E">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4</w:t>
            </w:r>
          </w:p>
        </w:tc>
        <w:tc>
          <w:tcPr>
            <w:tcW w:w="6601" w:type="dxa"/>
            <w:noWrap w:val="0"/>
            <w:vAlign w:val="center"/>
          </w:tcPr>
          <w:p w14:paraId="64B85B32">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业绩：</w:t>
            </w:r>
            <w:r>
              <w:rPr>
                <w:rFonts w:hint="eastAsia" w:ascii="微软雅黑" w:hAnsi="微软雅黑" w:eastAsia="微软雅黑" w:cs="微软雅黑"/>
                <w:b w:val="0"/>
                <w:bCs w:val="0"/>
                <w:color w:val="auto"/>
                <w:sz w:val="21"/>
                <w:szCs w:val="21"/>
                <w:highlight w:val="none"/>
                <w:lang w:val="en-US" w:eastAsia="zh-CN"/>
              </w:rPr>
              <w:t>供</w:t>
            </w:r>
            <w:r>
              <w:rPr>
                <w:rFonts w:hint="eastAsia" w:ascii="微软雅黑" w:hAnsi="微软雅黑" w:eastAsia="微软雅黑" w:cs="微软雅黑"/>
                <w:color w:val="auto"/>
                <w:sz w:val="21"/>
                <w:szCs w:val="21"/>
                <w:highlight w:val="none"/>
                <w:lang w:val="en-US" w:eastAsia="zh-CN"/>
              </w:rPr>
              <w:t>应商提供近三年内类似业绩证明材料（中标/成交通知书和合同），每提供一个得2分，最高得4分，未提供的不得分。</w:t>
            </w:r>
          </w:p>
          <w:p w14:paraId="53540FB8">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注：近三年是指2023年3月至今，以合同签订的时间为准；响应文件内须提供业绩中标/成交通知书和合同的扫描件，所提供的业绩证明材料不完整的不得分；同一合同不重复计算得分，分包转包合同无效。</w:t>
            </w:r>
          </w:p>
        </w:tc>
        <w:tc>
          <w:tcPr>
            <w:tcW w:w="1495" w:type="dxa"/>
            <w:vMerge w:val="restart"/>
            <w:noWrap w:val="0"/>
            <w:vAlign w:val="center"/>
          </w:tcPr>
          <w:p w14:paraId="4F2052AC">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auto"/>
                <w:sz w:val="21"/>
                <w:szCs w:val="21"/>
                <w:highlight w:val="none"/>
              </w:rPr>
              <w:t>根据需求提供必要的证明资料</w:t>
            </w:r>
          </w:p>
        </w:tc>
      </w:tr>
      <w:tr w14:paraId="53AB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1154" w:type="dxa"/>
            <w:vMerge w:val="continue"/>
            <w:noWrap w:val="0"/>
            <w:vAlign w:val="center"/>
          </w:tcPr>
          <w:p w14:paraId="01AF355B">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val="0"/>
                <w:color w:val="auto"/>
                <w:sz w:val="21"/>
                <w:szCs w:val="21"/>
                <w:highlight w:val="none"/>
              </w:rPr>
            </w:pPr>
          </w:p>
        </w:tc>
        <w:tc>
          <w:tcPr>
            <w:tcW w:w="645" w:type="dxa"/>
            <w:noWrap w:val="0"/>
            <w:vAlign w:val="center"/>
          </w:tcPr>
          <w:p w14:paraId="1850666F">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10</w:t>
            </w:r>
          </w:p>
        </w:tc>
        <w:tc>
          <w:tcPr>
            <w:tcW w:w="6601" w:type="dxa"/>
            <w:noWrap w:val="0"/>
            <w:vAlign w:val="center"/>
          </w:tcPr>
          <w:p w14:paraId="3DDCD3FB">
            <w:pPr>
              <w:pStyle w:val="10"/>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军事化管理相关证书证明：</w:t>
            </w:r>
            <w:r>
              <w:rPr>
                <w:rFonts w:hint="eastAsia" w:ascii="微软雅黑" w:hAnsi="微软雅黑" w:eastAsia="微软雅黑" w:cs="微软雅黑"/>
                <w:b w:val="0"/>
                <w:bCs w:val="0"/>
                <w:color w:val="auto"/>
                <w:sz w:val="21"/>
                <w:szCs w:val="21"/>
                <w:highlight w:val="none"/>
                <w:lang w:val="en-US" w:eastAsia="zh-CN"/>
              </w:rPr>
              <w:t>参与本项目服务的教官持有军事化管理相关证书证明的每有1人加2分，最高10分，没有不得分。</w:t>
            </w:r>
          </w:p>
          <w:p w14:paraId="6138E203">
            <w:pPr>
              <w:pStyle w:val="10"/>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kern w:val="2"/>
                <w:sz w:val="21"/>
                <w:szCs w:val="21"/>
                <w:highlight w:val="none"/>
                <w:lang w:val="en-US" w:eastAsia="zh-CN" w:bidi="ar-SA"/>
              </w:rPr>
              <w:t>注：需提供军事化管理相关证书证明复印件。</w:t>
            </w:r>
          </w:p>
        </w:tc>
        <w:tc>
          <w:tcPr>
            <w:tcW w:w="1495" w:type="dxa"/>
            <w:vMerge w:val="continue"/>
            <w:noWrap w:val="0"/>
            <w:vAlign w:val="center"/>
          </w:tcPr>
          <w:p w14:paraId="732DF3F9">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rPr>
            </w:pPr>
          </w:p>
        </w:tc>
      </w:tr>
      <w:tr w14:paraId="6C6D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54" w:type="dxa"/>
            <w:vMerge w:val="continue"/>
            <w:noWrap w:val="0"/>
            <w:vAlign w:val="center"/>
          </w:tcPr>
          <w:p w14:paraId="2FFB6280">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val="0"/>
                <w:color w:val="auto"/>
                <w:sz w:val="21"/>
                <w:szCs w:val="21"/>
                <w:highlight w:val="none"/>
              </w:rPr>
            </w:pPr>
          </w:p>
        </w:tc>
        <w:tc>
          <w:tcPr>
            <w:tcW w:w="645" w:type="dxa"/>
            <w:noWrap w:val="0"/>
            <w:vAlign w:val="center"/>
          </w:tcPr>
          <w:p w14:paraId="15802A51">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8</w:t>
            </w:r>
          </w:p>
        </w:tc>
        <w:tc>
          <w:tcPr>
            <w:tcW w:w="6601" w:type="dxa"/>
            <w:noWrap w:val="0"/>
            <w:vAlign w:val="center"/>
          </w:tcPr>
          <w:p w14:paraId="0DF6EFF6">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人员配备</w:t>
            </w:r>
            <w:r>
              <w:rPr>
                <w:rFonts w:hint="eastAsia" w:ascii="微软雅黑" w:hAnsi="微软雅黑" w:eastAsia="微软雅黑" w:cs="微软雅黑"/>
                <w:color w:val="auto"/>
                <w:sz w:val="21"/>
                <w:szCs w:val="21"/>
                <w:highlight w:val="none"/>
                <w:lang w:val="en-US" w:eastAsia="zh-CN"/>
              </w:rPr>
              <w:t>：教官人数在不少于42人的基础上，每增加1人得2分，此项最高得8分。</w:t>
            </w:r>
          </w:p>
          <w:p w14:paraId="6C75DD4E">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注：投标人须提供专业人员的健康证、退伍证或毕业证或运动员等级证书或教官证相关证书证明材料并加盖公章，材料未提供或提供不全的不得分。</w:t>
            </w:r>
          </w:p>
        </w:tc>
        <w:tc>
          <w:tcPr>
            <w:tcW w:w="1495" w:type="dxa"/>
            <w:vMerge w:val="continue"/>
            <w:noWrap w:val="0"/>
            <w:vAlign w:val="center"/>
          </w:tcPr>
          <w:p w14:paraId="7AE8CBDB">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rPr>
            </w:pPr>
          </w:p>
        </w:tc>
      </w:tr>
      <w:tr w14:paraId="39B7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54" w:type="dxa"/>
            <w:vMerge w:val="restart"/>
            <w:noWrap w:val="0"/>
            <w:vAlign w:val="center"/>
          </w:tcPr>
          <w:p w14:paraId="7FEB3461">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p>
          <w:p w14:paraId="54A1D70D">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技术评分标准（68分）</w:t>
            </w:r>
          </w:p>
        </w:tc>
        <w:tc>
          <w:tcPr>
            <w:tcW w:w="645" w:type="dxa"/>
            <w:noWrap w:val="0"/>
            <w:vAlign w:val="center"/>
          </w:tcPr>
          <w:p w14:paraId="132FA75C">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15</w:t>
            </w:r>
          </w:p>
        </w:tc>
        <w:tc>
          <w:tcPr>
            <w:tcW w:w="6601" w:type="dxa"/>
            <w:noWrap w:val="0"/>
            <w:vAlign w:val="center"/>
          </w:tcPr>
          <w:p w14:paraId="6062119F">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kern w:val="2"/>
                <w:sz w:val="21"/>
                <w:szCs w:val="21"/>
                <w:highlight w:val="none"/>
                <w:lang w:val="en-US" w:eastAsia="zh-CN" w:bidi="ar"/>
              </w:rPr>
            </w:pPr>
            <w:r>
              <w:rPr>
                <w:rFonts w:hint="eastAsia" w:ascii="微软雅黑" w:hAnsi="微软雅黑" w:eastAsia="微软雅黑" w:cs="微软雅黑"/>
                <w:b/>
                <w:bCs/>
                <w:color w:val="auto"/>
                <w:sz w:val="21"/>
                <w:szCs w:val="21"/>
                <w:highlight w:val="none"/>
                <w:lang w:val="en-US" w:eastAsia="zh-CN"/>
              </w:rPr>
              <w:t>项目实施方案：</w:t>
            </w:r>
            <w:r>
              <w:rPr>
                <w:rFonts w:hint="eastAsia" w:ascii="微软雅黑" w:hAnsi="微软雅黑" w:eastAsia="微软雅黑" w:cs="微软雅黑"/>
                <w:b w:val="0"/>
                <w:bCs w:val="0"/>
                <w:color w:val="auto"/>
                <w:sz w:val="21"/>
                <w:szCs w:val="21"/>
                <w:highlight w:val="none"/>
                <w:lang w:val="en-US" w:eastAsia="zh-CN"/>
              </w:rPr>
              <w:t>根据招标文件的服务内容制定项目实施方案，包含：</w:t>
            </w:r>
            <w:r>
              <w:rPr>
                <w:rFonts w:hint="eastAsia" w:ascii="微软雅黑" w:hAnsi="微软雅黑" w:eastAsia="微软雅黑" w:cs="微软雅黑"/>
                <w:color w:val="auto"/>
                <w:sz w:val="21"/>
                <w:szCs w:val="21"/>
                <w:highlight w:val="none"/>
                <w:lang w:val="en-US" w:eastAsia="zh-CN"/>
              </w:rPr>
              <w:t>①教官管理工作的基本原则；②教官管理工作基本要求；③教官管理一日工作流程；④教官管理队伍管理办法；⑤教官的考核、学生反馈、学校评价三维机制方案；</w:t>
            </w:r>
            <w:r>
              <w:rPr>
                <w:rFonts w:hint="eastAsia" w:ascii="微软雅黑" w:hAnsi="微软雅黑" w:eastAsia="微软雅黑" w:cs="微软雅黑"/>
                <w:b/>
                <w:bCs/>
                <w:color w:val="auto"/>
                <w:kern w:val="2"/>
                <w:sz w:val="21"/>
                <w:szCs w:val="21"/>
                <w:highlight w:val="none"/>
                <w:lang w:val="en-US" w:eastAsia="zh-CN" w:bidi="ar"/>
              </w:rPr>
              <w:t>以上5项内容完整且完全满足项目要求得15分，每缺失一项内容扣3分，每项内容中阐述错误缺陷、凭空编造描述不符合项目基本要求扣1.5分，扣完为止。</w:t>
            </w:r>
          </w:p>
          <w:p w14:paraId="5AD7EE58">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kern w:val="2"/>
                <w:sz w:val="21"/>
                <w:szCs w:val="21"/>
                <w:highlight w:val="none"/>
                <w:lang w:val="en-US" w:eastAsia="zh-CN" w:bidi="ar"/>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495" w:type="dxa"/>
            <w:vMerge w:val="restart"/>
            <w:noWrap w:val="0"/>
            <w:vAlign w:val="center"/>
          </w:tcPr>
          <w:p w14:paraId="73C6EF85">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auto"/>
                <w:sz w:val="21"/>
                <w:szCs w:val="21"/>
                <w:highlight w:val="none"/>
              </w:rPr>
              <w:t>根据需求提供必要的证明资料</w:t>
            </w:r>
          </w:p>
        </w:tc>
      </w:tr>
      <w:tr w14:paraId="3292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54" w:type="dxa"/>
            <w:vMerge w:val="continue"/>
            <w:noWrap w:val="0"/>
            <w:vAlign w:val="center"/>
          </w:tcPr>
          <w:p w14:paraId="4F50BA15">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p>
        </w:tc>
        <w:tc>
          <w:tcPr>
            <w:tcW w:w="645" w:type="dxa"/>
            <w:noWrap w:val="0"/>
            <w:vAlign w:val="center"/>
          </w:tcPr>
          <w:p w14:paraId="79DF9CCB">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4</w:t>
            </w:r>
          </w:p>
        </w:tc>
        <w:tc>
          <w:tcPr>
            <w:tcW w:w="6601" w:type="dxa"/>
            <w:noWrap w:val="0"/>
            <w:vAlign w:val="center"/>
          </w:tcPr>
          <w:p w14:paraId="0E0ED984">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服务团队稳定性：①</w:t>
            </w:r>
            <w:r>
              <w:rPr>
                <w:rFonts w:hint="eastAsia" w:ascii="微软雅黑" w:hAnsi="微软雅黑" w:eastAsia="微软雅黑" w:cs="微软雅黑"/>
                <w:color w:val="auto"/>
                <w:sz w:val="21"/>
                <w:szCs w:val="21"/>
                <w:highlight w:val="none"/>
                <w:lang w:val="en-US" w:eastAsia="zh-CN"/>
              </w:rPr>
              <w:t>承诺服务时间内教官更换率≤10%得4分；②承诺更换率10%-20%得2分；③承诺超过20%不得分。</w:t>
            </w:r>
          </w:p>
        </w:tc>
        <w:tc>
          <w:tcPr>
            <w:tcW w:w="1495" w:type="dxa"/>
            <w:vMerge w:val="continue"/>
            <w:noWrap w:val="0"/>
            <w:vAlign w:val="center"/>
          </w:tcPr>
          <w:p w14:paraId="2F7C333F">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rPr>
            </w:pPr>
          </w:p>
        </w:tc>
      </w:tr>
      <w:tr w14:paraId="4391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54" w:type="dxa"/>
            <w:vMerge w:val="continue"/>
            <w:noWrap w:val="0"/>
            <w:vAlign w:val="center"/>
          </w:tcPr>
          <w:p w14:paraId="6EFFCDDE">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p>
        </w:tc>
        <w:tc>
          <w:tcPr>
            <w:tcW w:w="645" w:type="dxa"/>
            <w:noWrap w:val="0"/>
            <w:vAlign w:val="center"/>
          </w:tcPr>
          <w:p w14:paraId="6B38A3EA">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8</w:t>
            </w:r>
          </w:p>
        </w:tc>
        <w:tc>
          <w:tcPr>
            <w:tcW w:w="6601" w:type="dxa"/>
            <w:noWrap w:val="0"/>
            <w:vAlign w:val="center"/>
          </w:tcPr>
          <w:p w14:paraId="6DEED24E">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kern w:val="2"/>
                <w:sz w:val="21"/>
                <w:szCs w:val="21"/>
                <w:highlight w:val="none"/>
                <w:lang w:val="en-US" w:eastAsia="zh-CN" w:bidi="ar"/>
              </w:rPr>
            </w:pPr>
            <w:r>
              <w:rPr>
                <w:rFonts w:hint="eastAsia" w:ascii="微软雅黑" w:hAnsi="微软雅黑" w:eastAsia="微软雅黑" w:cs="微软雅黑"/>
                <w:b/>
                <w:bCs/>
                <w:color w:val="auto"/>
                <w:sz w:val="21"/>
                <w:szCs w:val="21"/>
                <w:highlight w:val="none"/>
                <w:lang w:val="en-US" w:eastAsia="zh-CN"/>
              </w:rPr>
              <w:t>人员培训：</w:t>
            </w:r>
            <w:r>
              <w:rPr>
                <w:rFonts w:hint="eastAsia" w:ascii="微软雅黑" w:hAnsi="微软雅黑" w:eastAsia="微软雅黑" w:cs="微软雅黑"/>
                <w:color w:val="auto"/>
                <w:sz w:val="21"/>
                <w:szCs w:val="21"/>
                <w:highlight w:val="none"/>
                <w:lang w:val="en-US" w:eastAsia="zh-CN"/>
              </w:rPr>
              <w:t>针对教官制定培训方案，包含：①岗前培训；②在岗培训；③纪律培训；④应急培训；</w:t>
            </w:r>
            <w:r>
              <w:rPr>
                <w:rFonts w:hint="eastAsia" w:ascii="微软雅黑" w:hAnsi="微软雅黑" w:eastAsia="微软雅黑" w:cs="微软雅黑"/>
                <w:b/>
                <w:bCs/>
                <w:color w:val="auto"/>
                <w:kern w:val="2"/>
                <w:sz w:val="21"/>
                <w:szCs w:val="21"/>
                <w:highlight w:val="none"/>
                <w:lang w:val="en-US" w:eastAsia="zh-CN" w:bidi="ar"/>
              </w:rPr>
              <w:t>以上4项内容完整且完全满足项目要求得8分，每缺失一项内容扣2分，每项内容中阐述错误缺陷、凭空编造描述不符合项目基本要求扣0.5分，扣完为止。</w:t>
            </w:r>
          </w:p>
          <w:p w14:paraId="6829E6BD">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kern w:val="2"/>
                <w:sz w:val="21"/>
                <w:szCs w:val="21"/>
                <w:highlight w:val="none"/>
                <w:lang w:val="en-US" w:eastAsia="zh-CN" w:bidi="ar"/>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495" w:type="dxa"/>
            <w:vMerge w:val="continue"/>
            <w:noWrap w:val="0"/>
            <w:vAlign w:val="center"/>
          </w:tcPr>
          <w:p w14:paraId="41726959">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rPr>
            </w:pPr>
          </w:p>
        </w:tc>
      </w:tr>
      <w:tr w14:paraId="0E39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54" w:type="dxa"/>
            <w:vMerge w:val="continue"/>
            <w:noWrap w:val="0"/>
            <w:vAlign w:val="center"/>
          </w:tcPr>
          <w:p w14:paraId="438E811E">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p>
        </w:tc>
        <w:tc>
          <w:tcPr>
            <w:tcW w:w="645" w:type="dxa"/>
            <w:noWrap w:val="0"/>
            <w:vAlign w:val="center"/>
          </w:tcPr>
          <w:p w14:paraId="0BD1FBBA">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12</w:t>
            </w:r>
          </w:p>
        </w:tc>
        <w:tc>
          <w:tcPr>
            <w:tcW w:w="6601" w:type="dxa"/>
            <w:noWrap w:val="0"/>
            <w:vAlign w:val="center"/>
          </w:tcPr>
          <w:p w14:paraId="3ABB58D8">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kern w:val="2"/>
                <w:sz w:val="21"/>
                <w:szCs w:val="21"/>
                <w:highlight w:val="none"/>
                <w:lang w:val="en-US" w:eastAsia="zh-CN" w:bidi="ar"/>
              </w:rPr>
            </w:pPr>
            <w:r>
              <w:rPr>
                <w:rFonts w:hint="eastAsia" w:ascii="微软雅黑" w:hAnsi="微软雅黑" w:eastAsia="微软雅黑" w:cs="微软雅黑"/>
                <w:b/>
                <w:bCs/>
                <w:color w:val="auto"/>
                <w:sz w:val="21"/>
                <w:szCs w:val="21"/>
                <w:highlight w:val="none"/>
                <w:lang w:val="en-US" w:eastAsia="zh-CN"/>
              </w:rPr>
              <w:t>教官及学生管理：</w:t>
            </w:r>
            <w:r>
              <w:rPr>
                <w:rFonts w:hint="eastAsia" w:ascii="微软雅黑" w:hAnsi="微软雅黑" w:eastAsia="微软雅黑" w:cs="微软雅黑"/>
                <w:b w:val="0"/>
                <w:bCs w:val="0"/>
                <w:color w:val="auto"/>
                <w:sz w:val="21"/>
                <w:szCs w:val="21"/>
                <w:highlight w:val="none"/>
                <w:lang w:val="en-US" w:eastAsia="zh-CN"/>
              </w:rPr>
              <w:t>编制的«教官每日工作程序»总体程序，包含：①住宿管理；②思想教育管理；③早操管理；④卫生管理；</w:t>
            </w:r>
            <w:r>
              <w:rPr>
                <w:rFonts w:hint="eastAsia" w:ascii="微软雅黑" w:hAnsi="微软雅黑" w:eastAsia="微软雅黑" w:cs="微软雅黑"/>
                <w:b/>
                <w:bCs/>
                <w:color w:val="auto"/>
                <w:kern w:val="2"/>
                <w:sz w:val="21"/>
                <w:szCs w:val="21"/>
                <w:highlight w:val="none"/>
                <w:lang w:val="en-US" w:eastAsia="zh-CN" w:bidi="ar"/>
              </w:rPr>
              <w:t>以上4项内容完整且完全满足项目要求得12分，每缺失一项内容扣3分，每项内容中阐述错误缺陷、凭空编造描述不符合项目基本要求扣1.5分，扣完为止。</w:t>
            </w:r>
          </w:p>
          <w:p w14:paraId="17DB5133">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kern w:val="2"/>
                <w:sz w:val="21"/>
                <w:szCs w:val="21"/>
                <w:highlight w:val="none"/>
                <w:lang w:val="en-US" w:eastAsia="zh-CN" w:bidi="ar"/>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495" w:type="dxa"/>
            <w:vMerge w:val="continue"/>
            <w:noWrap w:val="0"/>
            <w:vAlign w:val="center"/>
          </w:tcPr>
          <w:p w14:paraId="27FB50C0">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rPr>
            </w:pPr>
          </w:p>
        </w:tc>
      </w:tr>
      <w:tr w14:paraId="7FF3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54" w:type="dxa"/>
            <w:vMerge w:val="continue"/>
            <w:noWrap w:val="0"/>
            <w:vAlign w:val="center"/>
          </w:tcPr>
          <w:p w14:paraId="60E2E7B7">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val="0"/>
                <w:color w:val="auto"/>
                <w:sz w:val="21"/>
                <w:szCs w:val="21"/>
                <w:highlight w:val="none"/>
              </w:rPr>
            </w:pPr>
          </w:p>
        </w:tc>
        <w:tc>
          <w:tcPr>
            <w:tcW w:w="645" w:type="dxa"/>
            <w:noWrap w:val="0"/>
            <w:vAlign w:val="center"/>
          </w:tcPr>
          <w:p w14:paraId="3CCADA05">
            <w:pPr>
              <w:keepNext w:val="0"/>
              <w:keepLines w:val="0"/>
              <w:pageBreakBefore w:val="0"/>
              <w:kinsoku/>
              <w:wordWrap/>
              <w:overflowPunct/>
              <w:topLinePunct w:val="0"/>
              <w:autoSpaceDE/>
              <w:autoSpaceDN/>
              <w:bidi w:val="0"/>
              <w:adjustRightInd/>
              <w:spacing w:line="240" w:lineRule="auto"/>
              <w:jc w:val="center"/>
              <w:rPr>
                <w:rFonts w:hint="eastAsia"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5</w:t>
            </w:r>
          </w:p>
        </w:tc>
        <w:tc>
          <w:tcPr>
            <w:tcW w:w="6601" w:type="dxa"/>
            <w:noWrap w:val="0"/>
            <w:vAlign w:val="center"/>
          </w:tcPr>
          <w:p w14:paraId="78522BA4">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管理组织服务水平：</w:t>
            </w:r>
            <w:r>
              <w:rPr>
                <w:rFonts w:hint="eastAsia" w:ascii="微软雅黑" w:hAnsi="微软雅黑" w:eastAsia="微软雅黑" w:cs="微软雅黑"/>
                <w:b w:val="0"/>
                <w:bCs w:val="0"/>
                <w:color w:val="auto"/>
                <w:sz w:val="21"/>
                <w:szCs w:val="21"/>
                <w:highlight w:val="none"/>
                <w:lang w:val="en-US" w:eastAsia="zh-CN"/>
              </w:rPr>
              <w:t>根据人员配置符合招标文件的需求情况和派遣人员专业能力素质的情况，可提供服务教官的健康证、退伍证、毕业证、运动员等级证书佐证等资料进行综合评审，管理组织及团队人员能力，管理模式切合实较强得5分；管理组织及团队人员能力较一般得3分，管理组织及团队人员能力较差1分。</w:t>
            </w:r>
          </w:p>
        </w:tc>
        <w:tc>
          <w:tcPr>
            <w:tcW w:w="1495" w:type="dxa"/>
            <w:vMerge w:val="continue"/>
            <w:noWrap w:val="0"/>
            <w:vAlign w:val="center"/>
          </w:tcPr>
          <w:p w14:paraId="1305D507">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rPr>
            </w:pPr>
          </w:p>
        </w:tc>
      </w:tr>
      <w:tr w14:paraId="7568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54" w:type="dxa"/>
            <w:vMerge w:val="continue"/>
            <w:noWrap w:val="0"/>
            <w:vAlign w:val="center"/>
          </w:tcPr>
          <w:p w14:paraId="34CE1F2C">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val="0"/>
                <w:color w:val="auto"/>
                <w:sz w:val="21"/>
                <w:szCs w:val="21"/>
                <w:highlight w:val="none"/>
              </w:rPr>
            </w:pPr>
          </w:p>
        </w:tc>
        <w:tc>
          <w:tcPr>
            <w:tcW w:w="645" w:type="dxa"/>
            <w:noWrap w:val="0"/>
            <w:vAlign w:val="center"/>
          </w:tcPr>
          <w:p w14:paraId="5E5269B7">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12</w:t>
            </w:r>
          </w:p>
        </w:tc>
        <w:tc>
          <w:tcPr>
            <w:tcW w:w="6601" w:type="dxa"/>
            <w:noWrap w:val="0"/>
            <w:vAlign w:val="center"/>
          </w:tcPr>
          <w:p w14:paraId="48B94F34">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kern w:val="2"/>
                <w:sz w:val="21"/>
                <w:szCs w:val="21"/>
                <w:highlight w:val="none"/>
                <w:lang w:val="en-US" w:eastAsia="zh-CN" w:bidi="ar"/>
              </w:rPr>
            </w:pPr>
            <w:r>
              <w:rPr>
                <w:rFonts w:hint="eastAsia" w:ascii="微软雅黑" w:hAnsi="微软雅黑" w:eastAsia="微软雅黑" w:cs="微软雅黑"/>
                <w:b/>
                <w:bCs/>
                <w:color w:val="auto"/>
                <w:sz w:val="21"/>
                <w:szCs w:val="21"/>
                <w:highlight w:val="none"/>
                <w:lang w:val="en-US" w:eastAsia="zh-CN"/>
              </w:rPr>
              <w:t>安全与突发事件应急预案：</w:t>
            </w:r>
            <w:r>
              <w:rPr>
                <w:rFonts w:hint="eastAsia" w:ascii="微软雅黑" w:hAnsi="微软雅黑" w:eastAsia="微软雅黑" w:cs="微软雅黑"/>
                <w:b w:val="0"/>
                <w:bCs w:val="0"/>
                <w:color w:val="auto"/>
                <w:sz w:val="21"/>
                <w:szCs w:val="21"/>
                <w:highlight w:val="none"/>
                <w:lang w:val="en-US" w:eastAsia="zh-CN"/>
              </w:rPr>
              <w:t>根据招标文件的服务内容，制定安全应急管理预案和风险防控预案方案，包含：①日常夜检管理制度；②突发打架斗殴等事件处置流程；③学生宿舍管理人员消防安全教育、消防器材使用培训方案；④校园巡逻、安检，宿舍楼开展消防、地震及其他突发事件应急演练方案；</w:t>
            </w:r>
            <w:r>
              <w:rPr>
                <w:rFonts w:hint="eastAsia" w:ascii="微软雅黑" w:hAnsi="微软雅黑" w:eastAsia="微软雅黑" w:cs="微软雅黑"/>
                <w:b/>
                <w:bCs/>
                <w:color w:val="auto"/>
                <w:kern w:val="2"/>
                <w:sz w:val="21"/>
                <w:szCs w:val="21"/>
                <w:highlight w:val="none"/>
                <w:lang w:val="en-US" w:eastAsia="zh-CN" w:bidi="ar"/>
              </w:rPr>
              <w:t>以上4项内容完整且完全满足项目要求得12分，每缺失一项内容扣3分，每项内容中阐述错误缺陷、凭空编造描述不符合项目基本要求扣1.5分，扣完为止。</w:t>
            </w:r>
          </w:p>
          <w:p w14:paraId="73A0155C">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kern w:val="2"/>
                <w:sz w:val="21"/>
                <w:szCs w:val="21"/>
                <w:highlight w:val="none"/>
                <w:lang w:val="en-US" w:eastAsia="zh-CN" w:bidi="ar"/>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495" w:type="dxa"/>
            <w:vMerge w:val="continue"/>
            <w:noWrap w:val="0"/>
            <w:vAlign w:val="center"/>
          </w:tcPr>
          <w:p w14:paraId="07DF5350">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rPr>
            </w:pPr>
          </w:p>
        </w:tc>
      </w:tr>
      <w:tr w14:paraId="333D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54" w:type="dxa"/>
            <w:vMerge w:val="continue"/>
            <w:noWrap w:val="0"/>
            <w:vAlign w:val="center"/>
          </w:tcPr>
          <w:p w14:paraId="1B43A489">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val="0"/>
                <w:color w:val="auto"/>
                <w:sz w:val="21"/>
                <w:szCs w:val="21"/>
                <w:highlight w:val="none"/>
              </w:rPr>
            </w:pPr>
          </w:p>
        </w:tc>
        <w:tc>
          <w:tcPr>
            <w:tcW w:w="645" w:type="dxa"/>
            <w:noWrap w:val="0"/>
            <w:vAlign w:val="center"/>
          </w:tcPr>
          <w:p w14:paraId="1E18AF20">
            <w:pPr>
              <w:keepNext w:val="0"/>
              <w:keepLines w:val="0"/>
              <w:pageBreakBefore w:val="0"/>
              <w:kinsoku/>
              <w:wordWrap/>
              <w:overflowPunct/>
              <w:topLinePunct w:val="0"/>
              <w:autoSpaceDE/>
              <w:autoSpaceDN/>
              <w:bidi w:val="0"/>
              <w:adjustRightInd/>
              <w:spacing w:line="240" w:lineRule="auto"/>
              <w:jc w:val="center"/>
              <w:rPr>
                <w:rFonts w:hint="default" w:ascii="微软雅黑" w:hAnsi="微软雅黑" w:eastAsia="微软雅黑" w:cs="微软雅黑"/>
                <w:b/>
                <w:bCs w:val="0"/>
                <w:color w:val="auto"/>
                <w:sz w:val="21"/>
                <w:szCs w:val="21"/>
                <w:highlight w:val="none"/>
                <w:lang w:val="en-US" w:eastAsia="zh-CN"/>
              </w:rPr>
            </w:pPr>
            <w:r>
              <w:rPr>
                <w:rFonts w:hint="eastAsia" w:ascii="微软雅黑" w:hAnsi="微软雅黑" w:eastAsia="微软雅黑" w:cs="微软雅黑"/>
                <w:b/>
                <w:bCs w:val="0"/>
                <w:color w:val="auto"/>
                <w:sz w:val="21"/>
                <w:szCs w:val="21"/>
                <w:highlight w:val="none"/>
                <w:lang w:val="en-US" w:eastAsia="zh-CN"/>
              </w:rPr>
              <w:t>12</w:t>
            </w:r>
          </w:p>
        </w:tc>
        <w:tc>
          <w:tcPr>
            <w:tcW w:w="6601" w:type="dxa"/>
            <w:noWrap w:val="0"/>
            <w:vAlign w:val="center"/>
          </w:tcPr>
          <w:p w14:paraId="1923AE8F">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bCs/>
                <w:color w:val="auto"/>
                <w:kern w:val="2"/>
                <w:sz w:val="21"/>
                <w:szCs w:val="21"/>
                <w:highlight w:val="none"/>
                <w:lang w:val="en-US" w:eastAsia="zh-CN" w:bidi="ar"/>
              </w:rPr>
            </w:pPr>
            <w:r>
              <w:rPr>
                <w:rFonts w:hint="eastAsia" w:ascii="微软雅黑" w:hAnsi="微软雅黑" w:eastAsia="微软雅黑" w:cs="微软雅黑"/>
                <w:b/>
                <w:bCs/>
                <w:color w:val="auto"/>
                <w:sz w:val="21"/>
                <w:szCs w:val="21"/>
                <w:highlight w:val="none"/>
                <w:lang w:val="en-US" w:eastAsia="zh-CN"/>
              </w:rPr>
              <w:t>服务措施：</w:t>
            </w:r>
            <w:r>
              <w:rPr>
                <w:rFonts w:hint="eastAsia" w:ascii="微软雅黑" w:hAnsi="微软雅黑" w:eastAsia="微软雅黑" w:cs="微软雅黑"/>
                <w:b w:val="0"/>
                <w:bCs w:val="0"/>
                <w:color w:val="auto"/>
                <w:sz w:val="21"/>
                <w:szCs w:val="21"/>
                <w:highlight w:val="none"/>
                <w:lang w:val="en-US" w:eastAsia="zh-CN"/>
              </w:rPr>
              <w:t>根据招标文件的服务内容，制定后续服务措施，包含：①人员安全保障措施；②人员调整措施；③人力、劳动保障措施；④服务计划及承诺；</w:t>
            </w:r>
            <w:r>
              <w:rPr>
                <w:rFonts w:hint="eastAsia" w:ascii="微软雅黑" w:hAnsi="微软雅黑" w:eastAsia="微软雅黑" w:cs="微软雅黑"/>
                <w:b/>
                <w:bCs/>
                <w:color w:val="auto"/>
                <w:kern w:val="2"/>
                <w:sz w:val="21"/>
                <w:szCs w:val="21"/>
                <w:highlight w:val="none"/>
                <w:lang w:val="en-US" w:eastAsia="zh-CN" w:bidi="ar"/>
              </w:rPr>
              <w:t>以上4项内容完整且完全满足项目要求得12分，每缺失一项内容扣3分，每项内容中阐述错误缺陷、凭空编造描述不符合项目基本要求扣1.5分，扣完为止。</w:t>
            </w:r>
          </w:p>
          <w:p w14:paraId="77CC62FD">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kern w:val="2"/>
                <w:sz w:val="21"/>
                <w:szCs w:val="21"/>
                <w:highlight w:val="none"/>
                <w:lang w:val="en-US" w:eastAsia="zh-CN" w:bidi="ar"/>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495" w:type="dxa"/>
            <w:vMerge w:val="continue"/>
            <w:noWrap w:val="0"/>
            <w:vAlign w:val="center"/>
          </w:tcPr>
          <w:p w14:paraId="4782A830">
            <w:pPr>
              <w:keepNext w:val="0"/>
              <w:keepLines w:val="0"/>
              <w:pageBreakBefore w:val="0"/>
              <w:kinsoku/>
              <w:wordWrap/>
              <w:overflowPunct/>
              <w:topLinePunct w:val="0"/>
              <w:autoSpaceDE/>
              <w:autoSpaceDN/>
              <w:bidi w:val="0"/>
              <w:adjustRightInd/>
              <w:spacing w:line="240" w:lineRule="auto"/>
              <w:rPr>
                <w:rFonts w:hint="eastAsia" w:ascii="微软雅黑" w:hAnsi="微软雅黑" w:eastAsia="微软雅黑" w:cs="微软雅黑"/>
                <w:color w:val="auto"/>
                <w:sz w:val="21"/>
                <w:szCs w:val="21"/>
                <w:highlight w:val="none"/>
              </w:rPr>
            </w:pPr>
          </w:p>
        </w:tc>
      </w:tr>
    </w:tbl>
    <w:p w14:paraId="650DF5C3">
      <w:pPr>
        <w:spacing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24"/>
          <w:szCs w:val="24"/>
          <w:highlight w:val="none"/>
        </w:rPr>
        <w:br w:type="page"/>
      </w:r>
    </w:p>
    <w:p w14:paraId="18A048D6">
      <w:pPr>
        <w:spacing w:line="240" w:lineRule="atLeast"/>
        <w:jc w:val="center"/>
        <w:rPr>
          <w:rFonts w:hint="eastAsia" w:ascii="微软雅黑" w:hAnsi="微软雅黑" w:eastAsia="微软雅黑" w:cs="微软雅黑"/>
          <w:b/>
          <w:color w:val="auto"/>
          <w:sz w:val="44"/>
          <w:szCs w:val="44"/>
          <w:highlight w:val="none"/>
        </w:rPr>
      </w:pPr>
    </w:p>
    <w:p w14:paraId="79E60A78">
      <w:pPr>
        <w:spacing w:line="240" w:lineRule="atLeast"/>
        <w:jc w:val="center"/>
        <w:rPr>
          <w:rFonts w:hint="eastAsia" w:ascii="微软雅黑" w:hAnsi="微软雅黑" w:eastAsia="微软雅黑" w:cs="微软雅黑"/>
          <w:b/>
          <w:color w:val="auto"/>
          <w:sz w:val="44"/>
          <w:szCs w:val="44"/>
          <w:highlight w:val="none"/>
        </w:rPr>
      </w:pPr>
    </w:p>
    <w:p w14:paraId="0F7DD642">
      <w:pPr>
        <w:spacing w:line="240" w:lineRule="atLeast"/>
        <w:jc w:val="center"/>
        <w:rPr>
          <w:rFonts w:hint="eastAsia" w:ascii="微软雅黑" w:hAnsi="微软雅黑" w:eastAsia="微软雅黑" w:cs="微软雅黑"/>
          <w:b/>
          <w:color w:val="auto"/>
          <w:sz w:val="44"/>
          <w:szCs w:val="44"/>
          <w:highlight w:val="none"/>
        </w:rPr>
      </w:pPr>
    </w:p>
    <w:p w14:paraId="692C2AE2">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14:paraId="05FEF9A4">
      <w:pPr>
        <w:spacing w:line="240" w:lineRule="auto"/>
        <w:rPr>
          <w:rFonts w:hint="eastAsia" w:ascii="微软雅黑" w:hAnsi="微软雅黑" w:eastAsia="微软雅黑" w:cs="微软雅黑"/>
          <w:b/>
          <w:color w:val="auto"/>
          <w:sz w:val="44"/>
          <w:szCs w:val="44"/>
          <w:highlight w:val="none"/>
        </w:rPr>
      </w:pPr>
    </w:p>
    <w:p w14:paraId="69AFF0B5">
      <w:pPr>
        <w:spacing w:line="240" w:lineRule="auto"/>
        <w:jc w:val="center"/>
        <w:outlineLvl w:val="9"/>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rPr>
        <w:t>项目编号：</w:t>
      </w:r>
      <w:r>
        <w:rPr>
          <w:rFonts w:hint="eastAsia" w:ascii="微软雅黑" w:hAnsi="微软雅黑" w:eastAsia="微软雅黑" w:cs="微软雅黑"/>
          <w:b/>
          <w:color w:val="auto"/>
          <w:sz w:val="44"/>
          <w:szCs w:val="44"/>
          <w:highlight w:val="none"/>
          <w:lang w:eastAsia="zh-CN"/>
        </w:rPr>
        <w:t>26GJ-(GK)012</w:t>
      </w:r>
    </w:p>
    <w:p w14:paraId="19A1B960">
      <w:pPr>
        <w:spacing w:line="240" w:lineRule="auto"/>
        <w:rPr>
          <w:rFonts w:hint="eastAsia" w:ascii="微软雅黑" w:hAnsi="微软雅黑" w:eastAsia="微软雅黑" w:cs="微软雅黑"/>
          <w:b/>
          <w:color w:val="auto"/>
          <w:sz w:val="44"/>
          <w:szCs w:val="44"/>
          <w:highlight w:val="none"/>
        </w:rPr>
      </w:pPr>
    </w:p>
    <w:p w14:paraId="21A52111">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 xml:space="preserve">第 </w:t>
      </w:r>
      <w:r>
        <w:rPr>
          <w:rFonts w:hint="eastAsia" w:ascii="微软雅黑" w:hAnsi="微软雅黑" w:eastAsia="微软雅黑" w:cs="微软雅黑"/>
          <w:b/>
          <w:color w:val="auto"/>
          <w:sz w:val="44"/>
          <w:szCs w:val="44"/>
          <w:highlight w:val="none"/>
          <w:lang w:val="en-US" w:eastAsia="zh-CN"/>
        </w:rPr>
        <w:t>三</w:t>
      </w:r>
      <w:r>
        <w:rPr>
          <w:rFonts w:hint="eastAsia" w:ascii="微软雅黑" w:hAnsi="微软雅黑" w:eastAsia="微软雅黑" w:cs="微软雅黑"/>
          <w:b/>
          <w:color w:val="auto"/>
          <w:sz w:val="44"/>
          <w:szCs w:val="44"/>
          <w:highlight w:val="none"/>
        </w:rPr>
        <w:t xml:space="preserve"> 册</w:t>
      </w:r>
    </w:p>
    <w:p w14:paraId="4D16C4F7">
      <w:pPr>
        <w:spacing w:line="240" w:lineRule="atLeast"/>
        <w:jc w:val="center"/>
        <w:rPr>
          <w:rFonts w:hint="eastAsia" w:ascii="微软雅黑" w:hAnsi="微软雅黑" w:eastAsia="微软雅黑" w:cs="微软雅黑"/>
          <w:b/>
          <w:color w:val="auto"/>
          <w:sz w:val="32"/>
          <w:highlight w:val="none"/>
        </w:rPr>
      </w:pPr>
    </w:p>
    <w:p w14:paraId="4BCBE77F">
      <w:pPr>
        <w:spacing w:line="240" w:lineRule="atLeast"/>
        <w:ind w:left="1080" w:leftChars="257" w:hanging="540"/>
        <w:jc w:val="center"/>
        <w:rPr>
          <w:rFonts w:hint="eastAsia" w:ascii="微软雅黑" w:hAnsi="微软雅黑" w:eastAsia="微软雅黑" w:cs="微软雅黑"/>
          <w:b/>
          <w:color w:val="auto"/>
          <w:sz w:val="52"/>
          <w:highlight w:val="none"/>
        </w:rPr>
      </w:pPr>
    </w:p>
    <w:p w14:paraId="769A7C90">
      <w:pPr>
        <w:pStyle w:val="12"/>
        <w:rPr>
          <w:rFonts w:hint="eastAsia" w:ascii="微软雅黑" w:hAnsi="微软雅黑" w:eastAsia="微软雅黑" w:cs="微软雅黑"/>
          <w:b/>
          <w:color w:val="auto"/>
          <w:sz w:val="52"/>
          <w:highlight w:val="none"/>
        </w:rPr>
      </w:pPr>
    </w:p>
    <w:p w14:paraId="5D09BE32">
      <w:pPr>
        <w:rPr>
          <w:rFonts w:hint="eastAsia" w:ascii="微软雅黑" w:hAnsi="微软雅黑" w:eastAsia="微软雅黑" w:cs="微软雅黑"/>
          <w:color w:val="auto"/>
          <w:highlight w:val="none"/>
        </w:rPr>
      </w:pPr>
      <w:bookmarkStart w:id="2742" w:name="_Toc515647833"/>
      <w:bookmarkStart w:id="2743" w:name="_Toc23920"/>
      <w:bookmarkStart w:id="2744" w:name="_Toc28085"/>
      <w:bookmarkStart w:id="2745" w:name="_Toc6865"/>
      <w:bookmarkStart w:id="2746" w:name="_Toc4796"/>
      <w:r>
        <w:rPr>
          <w:rFonts w:hint="eastAsia" w:ascii="微软雅黑" w:hAnsi="微软雅黑" w:eastAsia="微软雅黑" w:cs="微软雅黑"/>
          <w:color w:val="auto"/>
          <w:highlight w:val="none"/>
        </w:rPr>
        <w:br w:type="page"/>
      </w:r>
    </w:p>
    <w:bookmarkEnd w:id="2740"/>
    <w:bookmarkEnd w:id="2742"/>
    <w:bookmarkEnd w:id="2743"/>
    <w:bookmarkEnd w:id="2744"/>
    <w:bookmarkEnd w:id="2745"/>
    <w:bookmarkEnd w:id="2746"/>
    <w:p w14:paraId="5D02FA2B">
      <w:pPr>
        <w:pStyle w:val="7"/>
        <w:ind w:firstLine="0"/>
        <w:jc w:val="center"/>
        <w:outlineLvl w:val="0"/>
        <w:rPr>
          <w:rFonts w:hint="eastAsia" w:ascii="微软雅黑" w:hAnsi="微软雅黑" w:eastAsia="微软雅黑" w:cs="微软雅黑"/>
          <w:b/>
          <w:bCs/>
          <w:color w:val="auto"/>
          <w:sz w:val="32"/>
          <w:szCs w:val="32"/>
          <w:highlight w:val="none"/>
          <w:lang w:val="en-US" w:eastAsia="zh-CN"/>
        </w:rPr>
      </w:pPr>
      <w:bookmarkStart w:id="2747" w:name="_Toc4781"/>
      <w:bookmarkStart w:id="2748" w:name="_Toc17904"/>
      <w:bookmarkStart w:id="2749" w:name="_Toc2878"/>
      <w:bookmarkStart w:id="2750" w:name="_Toc10696"/>
      <w:r>
        <w:rPr>
          <w:rFonts w:hint="eastAsia" w:ascii="微软雅黑" w:hAnsi="微软雅黑" w:eastAsia="微软雅黑" w:cs="微软雅黑"/>
          <w:b/>
          <w:bCs/>
          <w:color w:val="auto"/>
          <w:sz w:val="32"/>
          <w:szCs w:val="32"/>
          <w:highlight w:val="none"/>
          <w:lang w:val="en-US" w:eastAsia="zh-CN"/>
        </w:rPr>
        <w:t>第7章  政府采购合同</w:t>
      </w:r>
      <w:bookmarkEnd w:id="2747"/>
      <w:bookmarkEnd w:id="2748"/>
      <w:bookmarkEnd w:id="2749"/>
      <w:bookmarkEnd w:id="2750"/>
      <w:bookmarkStart w:id="2751" w:name="_Hlt487972895"/>
      <w:bookmarkEnd w:id="2751"/>
      <w:bookmarkStart w:id="2752" w:name="_Toc216513788"/>
      <w:bookmarkEnd w:id="2752"/>
      <w:bookmarkStart w:id="2753" w:name="_Toc487900382"/>
      <w:bookmarkEnd w:id="2753"/>
    </w:p>
    <w:p w14:paraId="4D28B013">
      <w:pPr>
        <w:spacing w:line="240" w:lineRule="atLeast"/>
        <w:outlineLvl w:val="9"/>
        <w:rPr>
          <w:rFonts w:hint="eastAsia" w:ascii="微软雅黑" w:hAnsi="微软雅黑" w:eastAsia="微软雅黑" w:cs="微软雅黑"/>
          <w:b/>
          <w:kern w:val="44"/>
          <w:sz w:val="28"/>
          <w:szCs w:val="28"/>
          <w:highlight w:val="none"/>
        </w:rPr>
      </w:pPr>
    </w:p>
    <w:p w14:paraId="04F24EF6">
      <w:pPr>
        <w:spacing w:line="400" w:lineRule="exact"/>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合同编号：</w:t>
      </w:r>
      <w:r>
        <w:rPr>
          <w:rFonts w:hint="eastAsia" w:ascii="微软雅黑" w:hAnsi="微软雅黑" w:eastAsia="微软雅黑" w:cs="微软雅黑"/>
          <w:color w:val="auto"/>
          <w:sz w:val="24"/>
          <w:highlight w:val="none"/>
          <w:u w:val="single"/>
        </w:rPr>
        <w:t xml:space="preserve">           </w:t>
      </w:r>
    </w:p>
    <w:p w14:paraId="0475722B">
      <w:pPr>
        <w:spacing w:line="400" w:lineRule="exact"/>
        <w:jc w:val="center"/>
        <w:outlineLvl w:val="9"/>
        <w:rPr>
          <w:rFonts w:hint="eastAsia" w:ascii="微软雅黑" w:hAnsi="微软雅黑" w:eastAsia="微软雅黑" w:cs="微软雅黑"/>
          <w:b/>
          <w:color w:val="auto"/>
          <w:sz w:val="28"/>
          <w:szCs w:val="28"/>
          <w:highlight w:val="none"/>
        </w:rPr>
      </w:pPr>
    </w:p>
    <w:p w14:paraId="4B33AD14">
      <w:pPr>
        <w:spacing w:line="500" w:lineRule="exact"/>
        <w:jc w:val="both"/>
        <w:outlineLvl w:val="9"/>
        <w:rPr>
          <w:rFonts w:hint="eastAsia" w:ascii="微软雅黑" w:hAnsi="微软雅黑" w:eastAsia="微软雅黑" w:cs="微软雅黑"/>
          <w:b/>
          <w:color w:val="auto"/>
          <w:sz w:val="28"/>
          <w:szCs w:val="28"/>
          <w:highlight w:val="none"/>
        </w:rPr>
      </w:pPr>
    </w:p>
    <w:p w14:paraId="0091578B">
      <w:pPr>
        <w:spacing w:line="500" w:lineRule="exact"/>
        <w:jc w:val="center"/>
        <w:outlineLvl w:val="9"/>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政府采购合同参考范本</w:t>
      </w:r>
    </w:p>
    <w:p w14:paraId="5B8C508A">
      <w:pPr>
        <w:spacing w:line="500" w:lineRule="exact"/>
        <w:jc w:val="center"/>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（服务类）</w:t>
      </w:r>
    </w:p>
    <w:p w14:paraId="3D385101">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A8B7EC5">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459DB46">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482CAA6E">
      <w:pPr>
        <w:widowControl w:val="0"/>
        <w:autoSpaceDE w:val="0"/>
        <w:autoSpaceDN w:val="0"/>
        <w:adjustRightInd w:val="0"/>
        <w:spacing w:line="400" w:lineRule="exact"/>
        <w:ind w:firstLine="0"/>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第一部分 合同书</w:t>
      </w:r>
    </w:p>
    <w:p w14:paraId="054804DF">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7F59456">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7399C3A1">
      <w:pPr>
        <w:spacing w:before="120" w:line="400" w:lineRule="exact"/>
        <w:outlineLvl w:val="9"/>
        <w:rPr>
          <w:rFonts w:hint="eastAsia" w:ascii="微软雅黑" w:hAnsi="微软雅黑" w:eastAsia="微软雅黑" w:cs="微软雅黑"/>
          <w:color w:val="auto"/>
          <w:sz w:val="24"/>
          <w:highlight w:val="none"/>
        </w:rPr>
      </w:pPr>
    </w:p>
    <w:p w14:paraId="05B156A7">
      <w:pPr>
        <w:spacing w:before="120" w:line="400" w:lineRule="exact"/>
        <w:ind w:left="96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14:paraId="1D82E305">
      <w:pPr>
        <w:widowControl w:val="0"/>
        <w:spacing w:before="120" w:line="400" w:lineRule="exact"/>
        <w:jc w:val="both"/>
        <w:outlineLvl w:val="9"/>
        <w:rPr>
          <w:rFonts w:hint="eastAsia" w:ascii="微软雅黑" w:hAnsi="微软雅黑" w:eastAsia="微软雅黑" w:cs="微软雅黑"/>
          <w:color w:val="auto"/>
          <w:kern w:val="2"/>
          <w:sz w:val="24"/>
          <w:szCs w:val="24"/>
          <w:highlight w:val="none"/>
          <w:lang w:val="en-US" w:eastAsia="zh-CN" w:bidi="ar-SA"/>
        </w:rPr>
      </w:pPr>
    </w:p>
    <w:p w14:paraId="6B2E5B6C">
      <w:pPr>
        <w:spacing w:line="400" w:lineRule="exact"/>
        <w:outlineLvl w:val="9"/>
        <w:rPr>
          <w:rFonts w:hint="eastAsia" w:ascii="微软雅黑" w:hAnsi="微软雅黑" w:eastAsia="微软雅黑" w:cs="微软雅黑"/>
          <w:color w:val="auto"/>
          <w:highlight w:val="none"/>
        </w:rPr>
      </w:pPr>
    </w:p>
    <w:p w14:paraId="04E4DCB7">
      <w:pPr>
        <w:spacing w:before="120" w:line="400" w:lineRule="exact"/>
        <w:ind w:left="96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甲方：</w:t>
      </w:r>
      <w:r>
        <w:rPr>
          <w:rFonts w:hint="eastAsia" w:ascii="微软雅黑" w:hAnsi="微软雅黑" w:eastAsia="微软雅黑" w:cs="微软雅黑"/>
          <w:color w:val="auto"/>
          <w:sz w:val="24"/>
          <w:highlight w:val="none"/>
          <w:u w:val="single"/>
        </w:rPr>
        <w:t xml:space="preserve">                                       </w:t>
      </w:r>
    </w:p>
    <w:p w14:paraId="555ECBBC">
      <w:pPr>
        <w:spacing w:before="120" w:line="400" w:lineRule="exact"/>
        <w:outlineLvl w:val="9"/>
        <w:rPr>
          <w:rFonts w:hint="eastAsia" w:ascii="微软雅黑" w:hAnsi="微软雅黑" w:eastAsia="微软雅黑" w:cs="微软雅黑"/>
          <w:color w:val="auto"/>
          <w:sz w:val="24"/>
          <w:highlight w:val="none"/>
        </w:rPr>
      </w:pPr>
    </w:p>
    <w:p w14:paraId="08C057BC">
      <w:pPr>
        <w:spacing w:before="120" w:line="400" w:lineRule="exact"/>
        <w:ind w:left="96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乙方：</w:t>
      </w:r>
      <w:r>
        <w:rPr>
          <w:rFonts w:hint="eastAsia" w:ascii="微软雅黑" w:hAnsi="微软雅黑" w:eastAsia="微软雅黑" w:cs="微软雅黑"/>
          <w:color w:val="auto"/>
          <w:sz w:val="24"/>
          <w:highlight w:val="none"/>
          <w:u w:val="single"/>
        </w:rPr>
        <w:t xml:space="preserve">                                       </w:t>
      </w:r>
    </w:p>
    <w:p w14:paraId="35095915">
      <w:pPr>
        <w:spacing w:before="120" w:line="400" w:lineRule="exact"/>
        <w:outlineLvl w:val="9"/>
        <w:rPr>
          <w:rFonts w:hint="eastAsia" w:ascii="微软雅黑" w:hAnsi="微软雅黑" w:eastAsia="微软雅黑" w:cs="微软雅黑"/>
          <w:color w:val="auto"/>
          <w:sz w:val="24"/>
          <w:highlight w:val="none"/>
        </w:rPr>
      </w:pPr>
    </w:p>
    <w:p w14:paraId="3FA48E49">
      <w:pPr>
        <w:spacing w:before="120" w:line="400" w:lineRule="exact"/>
        <w:ind w:firstLine="960" w:firstLineChars="4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签订地：</w:t>
      </w:r>
      <w:r>
        <w:rPr>
          <w:rFonts w:hint="eastAsia" w:ascii="微软雅黑" w:hAnsi="微软雅黑" w:eastAsia="微软雅黑" w:cs="微软雅黑"/>
          <w:color w:val="auto"/>
          <w:sz w:val="24"/>
          <w:highlight w:val="none"/>
          <w:u w:val="single"/>
        </w:rPr>
        <w:t xml:space="preserve">                                     </w:t>
      </w:r>
    </w:p>
    <w:p w14:paraId="5D1604F7">
      <w:pPr>
        <w:spacing w:before="120" w:line="400" w:lineRule="exact"/>
        <w:outlineLvl w:val="9"/>
        <w:rPr>
          <w:rFonts w:hint="eastAsia" w:ascii="微软雅黑" w:hAnsi="微软雅黑" w:eastAsia="微软雅黑" w:cs="微软雅黑"/>
          <w:color w:val="auto"/>
          <w:sz w:val="24"/>
          <w:highlight w:val="none"/>
        </w:rPr>
      </w:pPr>
    </w:p>
    <w:p w14:paraId="7769DDE3">
      <w:pPr>
        <w:spacing w:before="120" w:line="400" w:lineRule="exact"/>
        <w:ind w:firstLine="960" w:firstLineChars="4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p>
    <w:p w14:paraId="35E96688">
      <w:pPr>
        <w:autoSpaceDE w:val="0"/>
        <w:autoSpaceDN w:val="0"/>
        <w:adjustRightInd w:val="0"/>
        <w:spacing w:line="400" w:lineRule="exact"/>
        <w:ind w:firstLine="640"/>
        <w:jc w:val="center"/>
        <w:outlineLvl w:val="9"/>
        <w:rPr>
          <w:rFonts w:hint="eastAsia" w:ascii="微软雅黑" w:hAnsi="微软雅黑" w:eastAsia="微软雅黑" w:cs="微软雅黑"/>
          <w:color w:val="auto"/>
          <w:sz w:val="24"/>
          <w:highlight w:val="none"/>
        </w:rPr>
        <w:sectPr>
          <w:headerReference r:id="rId5" w:type="first"/>
          <w:footerReference r:id="rId8" w:type="first"/>
          <w:footerReference r:id="rId6" w:type="default"/>
          <w:headerReference r:id="rId4" w:type="even"/>
          <w:footerReference r:id="rId7" w:type="even"/>
          <w:pgSz w:w="11907" w:h="16840"/>
          <w:pgMar w:top="1474" w:right="1814" w:bottom="1474" w:left="1814" w:header="851" w:footer="851" w:gutter="0"/>
          <w:pgNumType w:fmt="decimal" w:start="1"/>
          <w:cols w:space="720" w:num="1"/>
          <w:docGrid w:linePitch="462" w:charSpace="0"/>
        </w:sectPr>
      </w:pPr>
    </w:p>
    <w:p w14:paraId="1FE46AF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年</w:t>
      </w: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月</w:t>
      </w: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日</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（采购人名称）   </w:t>
      </w:r>
      <w:r>
        <w:rPr>
          <w:rFonts w:hint="eastAsia" w:ascii="微软雅黑" w:hAnsi="微软雅黑" w:eastAsia="微软雅黑" w:cs="微软雅黑"/>
          <w:color w:val="auto"/>
          <w:sz w:val="24"/>
          <w:highlight w:val="none"/>
        </w:rPr>
        <w:t>以</w:t>
      </w:r>
      <w:r>
        <w:rPr>
          <w:rFonts w:hint="eastAsia" w:ascii="微软雅黑" w:hAnsi="微软雅黑" w:eastAsia="微软雅黑" w:cs="微软雅黑"/>
          <w:color w:val="auto"/>
          <w:sz w:val="24"/>
          <w:highlight w:val="none"/>
          <w:u w:val="single"/>
        </w:rPr>
        <w:t xml:space="preserve">   （政府采购方式）  </w:t>
      </w:r>
      <w:r>
        <w:rPr>
          <w:rFonts w:hint="eastAsia" w:ascii="微软雅黑" w:hAnsi="微软雅黑" w:eastAsia="微软雅黑" w:cs="微软雅黑"/>
          <w:color w:val="auto"/>
          <w:sz w:val="24"/>
          <w:highlight w:val="none"/>
        </w:rPr>
        <w:t>对</w:t>
      </w:r>
      <w:r>
        <w:rPr>
          <w:rFonts w:hint="eastAsia" w:ascii="微软雅黑" w:hAnsi="微软雅黑" w:eastAsia="微软雅黑" w:cs="微软雅黑"/>
          <w:color w:val="auto"/>
          <w:sz w:val="24"/>
          <w:highlight w:val="none"/>
          <w:u w:val="single"/>
        </w:rPr>
        <w:t xml:space="preserve">   （同前页项目名称）   </w:t>
      </w:r>
      <w:r>
        <w:rPr>
          <w:rFonts w:hint="eastAsia" w:ascii="微软雅黑" w:hAnsi="微软雅黑" w:eastAsia="微软雅黑" w:cs="微软雅黑"/>
          <w:color w:val="auto"/>
          <w:sz w:val="24"/>
          <w:highlight w:val="none"/>
        </w:rPr>
        <w:t>项目进行了采购。经</w:t>
      </w:r>
      <w:r>
        <w:rPr>
          <w:rFonts w:hint="eastAsia" w:ascii="微软雅黑" w:hAnsi="微软雅黑" w:eastAsia="微软雅黑" w:cs="微软雅黑"/>
          <w:color w:val="auto"/>
          <w:sz w:val="24"/>
          <w:highlight w:val="none"/>
          <w:u w:val="single"/>
        </w:rPr>
        <w:t xml:space="preserve">   （相关评定主体名称）   </w:t>
      </w:r>
      <w:r>
        <w:rPr>
          <w:rFonts w:hint="eastAsia" w:ascii="微软雅黑" w:hAnsi="微软雅黑" w:eastAsia="微软雅黑" w:cs="微软雅黑"/>
          <w:color w:val="auto"/>
          <w:sz w:val="24"/>
          <w:highlight w:val="none"/>
        </w:rPr>
        <w:t>评定，</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成交</w:t>
      </w:r>
      <w:r>
        <w:rPr>
          <w:rFonts w:hint="eastAsia" w:ascii="微软雅黑" w:hAnsi="微软雅黑" w:eastAsia="微软雅黑" w:cs="微软雅黑"/>
          <w:color w:val="auto"/>
          <w:sz w:val="24"/>
          <w:highlight w:val="none"/>
          <w:u w:val="single"/>
        </w:rPr>
        <w:t xml:space="preserve">供应商名称） </w:t>
      </w:r>
      <w:r>
        <w:rPr>
          <w:rFonts w:hint="eastAsia" w:ascii="微软雅黑" w:hAnsi="微软雅黑" w:eastAsia="微软雅黑" w:cs="微软雅黑"/>
          <w:color w:val="auto"/>
          <w:sz w:val="24"/>
          <w:highlight w:val="none"/>
        </w:rPr>
        <w:t>为该项目</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供应商。现于</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发出之日起三十日内，按照采购文件确定的事项签订本合同。</w:t>
      </w:r>
    </w:p>
    <w:p w14:paraId="3C2BB0D4">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根据《中华人民共和国民法典》、《中华人民共和国政府采购法》等相关法律法规之规定，按照平等、自愿、公平和诚实信用的原则，经</w:t>
      </w:r>
      <w:r>
        <w:rPr>
          <w:rFonts w:hint="eastAsia" w:ascii="微软雅黑" w:hAnsi="微软雅黑" w:eastAsia="微软雅黑" w:cs="微软雅黑"/>
          <w:color w:val="auto"/>
          <w:sz w:val="24"/>
          <w:highlight w:val="none"/>
          <w:u w:val="single"/>
        </w:rPr>
        <w:t xml:space="preserve">   （采购人名称）   </w:t>
      </w:r>
      <w:r>
        <w:rPr>
          <w:rFonts w:hint="eastAsia" w:ascii="微软雅黑" w:hAnsi="微软雅黑" w:eastAsia="微软雅黑" w:cs="微软雅黑"/>
          <w:color w:val="auto"/>
          <w:sz w:val="24"/>
          <w:highlight w:val="none"/>
          <w:lang w:val="zh-CN"/>
        </w:rPr>
        <w:t>(以下简称：甲方)和</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成交</w:t>
      </w:r>
      <w:r>
        <w:rPr>
          <w:rFonts w:hint="eastAsia" w:ascii="微软雅黑" w:hAnsi="微软雅黑" w:eastAsia="微软雅黑" w:cs="微软雅黑"/>
          <w:color w:val="auto"/>
          <w:sz w:val="24"/>
          <w:highlight w:val="none"/>
          <w:u w:val="single"/>
        </w:rPr>
        <w:t xml:space="preserve">供应商名称）   </w:t>
      </w:r>
      <w:r>
        <w:rPr>
          <w:rFonts w:hint="eastAsia" w:ascii="微软雅黑" w:hAnsi="微软雅黑" w:eastAsia="微软雅黑" w:cs="微软雅黑"/>
          <w:color w:val="auto"/>
          <w:sz w:val="24"/>
          <w:highlight w:val="none"/>
          <w:lang w:val="zh-CN"/>
        </w:rPr>
        <w:t>(以下简称：乙方)协商一致，约定以下合同</w:t>
      </w:r>
      <w:r>
        <w:rPr>
          <w:rFonts w:hint="eastAsia" w:ascii="微软雅黑" w:hAnsi="微软雅黑" w:eastAsia="微软雅黑" w:cs="微软雅黑"/>
          <w:color w:val="auto"/>
          <w:sz w:val="24"/>
          <w:highlight w:val="none"/>
        </w:rPr>
        <w:t>条款，以兹共同遵守、全面履行。</w:t>
      </w:r>
    </w:p>
    <w:p w14:paraId="41444EB8">
      <w:pPr>
        <w:spacing w:line="400" w:lineRule="exact"/>
        <w:ind w:firstLine="480" w:firstLineChars="200"/>
        <w:outlineLvl w:val="9"/>
        <w:rPr>
          <w:rFonts w:hint="eastAsia" w:ascii="微软雅黑" w:hAnsi="微软雅黑" w:eastAsia="微软雅黑" w:cs="微软雅黑"/>
          <w:color w:val="auto"/>
          <w:sz w:val="24"/>
          <w:highlight w:val="none"/>
        </w:rPr>
      </w:pPr>
      <w:bookmarkStart w:id="2754" w:name="_Toc11129"/>
      <w:bookmarkStart w:id="2755" w:name="_Toc30813"/>
      <w:bookmarkStart w:id="2756" w:name="_Toc22084"/>
      <w:bookmarkStart w:id="2757" w:name="_Toc12162"/>
      <w:bookmarkStart w:id="2758" w:name="_Toc22342"/>
      <w:bookmarkStart w:id="2759" w:name="_Toc28855"/>
      <w:bookmarkStart w:id="2760" w:name="_Toc30633"/>
      <w:bookmarkStart w:id="2761" w:name="_Toc13594"/>
      <w:bookmarkStart w:id="2762" w:name="_Toc19273"/>
      <w:bookmarkStart w:id="2763" w:name="_Toc1256"/>
      <w:bookmarkStart w:id="2764" w:name="_Toc21036"/>
      <w:bookmarkStart w:id="2765" w:name="_Toc1880"/>
      <w:bookmarkStart w:id="2766" w:name="_Toc18383"/>
      <w:bookmarkStart w:id="2767" w:name="_Toc22751"/>
      <w:bookmarkStart w:id="2768" w:name="_Toc5753"/>
      <w:bookmarkStart w:id="2769" w:name="_Toc23100"/>
      <w:bookmarkStart w:id="2770" w:name="_Toc20421"/>
      <w:bookmarkStart w:id="2771" w:name="_Toc11864"/>
      <w:bookmarkStart w:id="2772" w:name="_Toc8106"/>
      <w:bookmarkStart w:id="2773" w:name="_Toc28044"/>
      <w:bookmarkStart w:id="2774" w:name="_Toc3665"/>
      <w:bookmarkStart w:id="2775" w:name="_Toc15378"/>
      <w:bookmarkStart w:id="2776" w:name="_Toc32571"/>
      <w:bookmarkStart w:id="2777" w:name="_Toc32137"/>
      <w:bookmarkStart w:id="2778" w:name="_Toc20566"/>
      <w:bookmarkStart w:id="2779" w:name="_Toc20041"/>
      <w:r>
        <w:rPr>
          <w:rFonts w:hint="eastAsia" w:ascii="微软雅黑" w:hAnsi="微软雅黑" w:eastAsia="微软雅黑" w:cs="微软雅黑"/>
          <w:b/>
          <w:color w:val="auto"/>
          <w:sz w:val="24"/>
          <w:highlight w:val="none"/>
        </w:rPr>
        <w:t>1.1 合同组成部分</w:t>
      </w:r>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p>
    <w:p w14:paraId="74A59AE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8757FED">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 本合同及其补充合同、变更协议；</w:t>
      </w:r>
    </w:p>
    <w:p w14:paraId="6F60C09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1.1.2 </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w:t>
      </w:r>
    </w:p>
    <w:p w14:paraId="2508ADE8">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1.1.3 </w:t>
      </w:r>
      <w:r>
        <w:rPr>
          <w:rFonts w:hint="eastAsia" w:ascii="微软雅黑" w:hAnsi="微软雅黑" w:eastAsia="微软雅黑" w:cs="微软雅黑"/>
          <w:color w:val="auto"/>
          <w:sz w:val="24"/>
          <w:highlight w:val="none"/>
          <w:lang w:eastAsia="zh-CN"/>
        </w:rPr>
        <w:t>招标文件</w:t>
      </w:r>
      <w:r>
        <w:rPr>
          <w:rFonts w:hint="eastAsia" w:ascii="微软雅黑" w:hAnsi="微软雅黑" w:eastAsia="微软雅黑" w:cs="微软雅黑"/>
          <w:color w:val="auto"/>
          <w:sz w:val="24"/>
          <w:highlight w:val="none"/>
        </w:rPr>
        <w:t>（含澄清或者说明文件）；</w:t>
      </w:r>
    </w:p>
    <w:p w14:paraId="456250E3">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1.1.4 </w:t>
      </w:r>
      <w:r>
        <w:rPr>
          <w:rFonts w:hint="eastAsia" w:ascii="微软雅黑" w:hAnsi="微软雅黑" w:eastAsia="微软雅黑" w:cs="微软雅黑"/>
          <w:color w:val="auto"/>
          <w:sz w:val="24"/>
          <w:highlight w:val="none"/>
          <w:lang w:val="en-US" w:eastAsia="zh-CN"/>
        </w:rPr>
        <w:t>响应文件</w:t>
      </w:r>
      <w:r>
        <w:rPr>
          <w:rFonts w:hint="eastAsia" w:ascii="微软雅黑" w:hAnsi="微软雅黑" w:eastAsia="微软雅黑" w:cs="微软雅黑"/>
          <w:color w:val="auto"/>
          <w:sz w:val="24"/>
          <w:highlight w:val="none"/>
        </w:rPr>
        <w:t>（含澄清或者修改文件）；</w:t>
      </w:r>
    </w:p>
    <w:p w14:paraId="3662CCA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 其他相关采购文件。</w:t>
      </w:r>
    </w:p>
    <w:p w14:paraId="11EA5E0A">
      <w:pPr>
        <w:spacing w:line="400" w:lineRule="exact"/>
        <w:ind w:firstLine="480" w:firstLineChars="200"/>
        <w:outlineLvl w:val="9"/>
        <w:rPr>
          <w:rFonts w:hint="eastAsia" w:ascii="微软雅黑" w:hAnsi="微软雅黑" w:eastAsia="微软雅黑" w:cs="微软雅黑"/>
          <w:b/>
          <w:color w:val="auto"/>
          <w:sz w:val="24"/>
          <w:highlight w:val="none"/>
        </w:rPr>
      </w:pPr>
      <w:bookmarkStart w:id="2780" w:name="_Toc28832"/>
      <w:bookmarkStart w:id="2781" w:name="_Toc31498"/>
      <w:bookmarkStart w:id="2782" w:name="_Toc22185"/>
      <w:bookmarkStart w:id="2783" w:name="_Toc27391"/>
      <w:bookmarkStart w:id="2784" w:name="_Toc24493"/>
      <w:bookmarkStart w:id="2785" w:name="_Toc18585"/>
      <w:bookmarkStart w:id="2786" w:name="_Toc27911"/>
      <w:bookmarkStart w:id="2787" w:name="_Toc4708"/>
      <w:bookmarkStart w:id="2788" w:name="_Toc18571"/>
      <w:bookmarkStart w:id="2789" w:name="_Toc6313"/>
      <w:bookmarkStart w:id="2790" w:name="_Toc2918"/>
      <w:bookmarkStart w:id="2791" w:name="_Toc22587"/>
      <w:bookmarkStart w:id="2792" w:name="_Toc15104"/>
      <w:bookmarkStart w:id="2793" w:name="_Toc23275"/>
      <w:bookmarkStart w:id="2794" w:name="_Toc538"/>
      <w:bookmarkStart w:id="2795" w:name="_Toc21197"/>
      <w:bookmarkStart w:id="2796" w:name="_Toc5484"/>
      <w:bookmarkStart w:id="2797" w:name="_Toc11749"/>
      <w:bookmarkStart w:id="2798" w:name="_Toc25999"/>
      <w:bookmarkStart w:id="2799" w:name="_Toc12605"/>
      <w:bookmarkStart w:id="2800" w:name="_Toc6311"/>
      <w:bookmarkStart w:id="2801" w:name="_Toc26168"/>
      <w:bookmarkStart w:id="2802" w:name="_Toc1944"/>
      <w:bookmarkStart w:id="2803" w:name="_Toc15369"/>
      <w:bookmarkStart w:id="2804" w:name="_Toc1090"/>
      <w:bookmarkStart w:id="2805" w:name="_Toc28997"/>
      <w:bookmarkStart w:id="2806" w:name="_Toc6773"/>
      <w:r>
        <w:rPr>
          <w:rFonts w:hint="eastAsia" w:ascii="微软雅黑" w:hAnsi="微软雅黑" w:eastAsia="微软雅黑" w:cs="微软雅黑"/>
          <w:b/>
          <w:color w:val="auto"/>
          <w:sz w:val="24"/>
          <w:highlight w:val="none"/>
        </w:rPr>
        <w:t>1.2 标的</w:t>
      </w:r>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p>
    <w:p w14:paraId="798A904E">
      <w:pPr>
        <w:spacing w:line="400" w:lineRule="exact"/>
        <w:ind w:firstLine="480" w:firstLineChars="2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1.2.1 标的名称：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535BF4F5">
      <w:pPr>
        <w:spacing w:line="400" w:lineRule="exact"/>
        <w:ind w:firstLine="480" w:firstLineChars="2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1.2.2 标的数量：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05FE923D">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 标的质量：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7A605CCF">
      <w:pPr>
        <w:spacing w:line="400" w:lineRule="exact"/>
        <w:ind w:firstLine="480" w:firstLineChars="200"/>
        <w:outlineLvl w:val="9"/>
        <w:rPr>
          <w:rFonts w:hint="eastAsia" w:ascii="微软雅黑" w:hAnsi="微软雅黑" w:eastAsia="微软雅黑" w:cs="微软雅黑"/>
          <w:b/>
          <w:color w:val="auto"/>
          <w:sz w:val="24"/>
          <w:highlight w:val="none"/>
        </w:rPr>
      </w:pPr>
      <w:bookmarkStart w:id="2807" w:name="_Toc13918"/>
      <w:bookmarkStart w:id="2808" w:name="_Toc13512"/>
      <w:bookmarkStart w:id="2809" w:name="_Toc23026"/>
      <w:bookmarkStart w:id="2810" w:name="_Toc19725"/>
      <w:bookmarkStart w:id="2811" w:name="_Toc4932"/>
      <w:bookmarkStart w:id="2812" w:name="_Toc17666"/>
      <w:bookmarkStart w:id="2813" w:name="_Toc9723"/>
      <w:bookmarkStart w:id="2814" w:name="_Toc19849"/>
      <w:bookmarkStart w:id="2815" w:name="_Toc23906"/>
      <w:bookmarkStart w:id="2816" w:name="_Toc30991"/>
      <w:bookmarkStart w:id="2817" w:name="_Toc21124"/>
      <w:bookmarkStart w:id="2818" w:name="_Toc4929"/>
      <w:bookmarkStart w:id="2819" w:name="_Toc32314"/>
      <w:bookmarkStart w:id="2820" w:name="_Toc27077"/>
      <w:bookmarkStart w:id="2821" w:name="_Toc4687"/>
      <w:bookmarkStart w:id="2822" w:name="_Toc536"/>
      <w:bookmarkStart w:id="2823" w:name="_Toc30155"/>
      <w:bookmarkStart w:id="2824" w:name="_Toc5635"/>
      <w:bookmarkStart w:id="2825" w:name="_Toc17541"/>
      <w:bookmarkStart w:id="2826" w:name="_Toc13554"/>
      <w:bookmarkStart w:id="2827" w:name="_Toc2888"/>
      <w:bookmarkStart w:id="2828" w:name="_Toc21038"/>
      <w:bookmarkStart w:id="2829" w:name="_Toc3790"/>
      <w:bookmarkStart w:id="2830" w:name="_Toc20370"/>
      <w:bookmarkStart w:id="2831" w:name="_Toc28143"/>
      <w:r>
        <w:rPr>
          <w:rFonts w:hint="eastAsia" w:ascii="微软雅黑" w:hAnsi="微软雅黑" w:eastAsia="微软雅黑" w:cs="微软雅黑"/>
          <w:b/>
          <w:color w:val="auto"/>
          <w:sz w:val="24"/>
          <w:highlight w:val="none"/>
        </w:rPr>
        <w:t>1.3 价款</w:t>
      </w:r>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p>
    <w:p w14:paraId="3958C91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本合同总价为：￥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元（大写：</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元人民币）。</w:t>
      </w:r>
    </w:p>
    <w:p w14:paraId="5D44E228">
      <w:pPr>
        <w:spacing w:line="400" w:lineRule="exact"/>
        <w:ind w:firstLine="480" w:firstLineChars="2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分项价格：</w:t>
      </w:r>
    </w:p>
    <w:tbl>
      <w:tblPr>
        <w:tblStyle w:val="2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722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noWrap w:val="0"/>
            <w:vAlign w:val="center"/>
          </w:tcPr>
          <w:p w14:paraId="576749CD">
            <w:pPr>
              <w:widowControl w:val="0"/>
              <w:spacing w:line="400" w:lineRule="exact"/>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序号</w:t>
            </w:r>
          </w:p>
        </w:tc>
        <w:tc>
          <w:tcPr>
            <w:tcW w:w="3402" w:type="dxa"/>
            <w:noWrap w:val="0"/>
            <w:vAlign w:val="center"/>
          </w:tcPr>
          <w:p w14:paraId="1AFD3BED">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分项名称</w:t>
            </w:r>
          </w:p>
        </w:tc>
        <w:tc>
          <w:tcPr>
            <w:tcW w:w="2552" w:type="dxa"/>
            <w:noWrap w:val="0"/>
            <w:vAlign w:val="center"/>
          </w:tcPr>
          <w:p w14:paraId="4912F446">
            <w:pPr>
              <w:widowControl w:val="0"/>
              <w:spacing w:line="400" w:lineRule="exact"/>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分项价格</w:t>
            </w:r>
          </w:p>
        </w:tc>
      </w:tr>
      <w:tr w14:paraId="66AD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0218EF2">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1A44E20B">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32AC7524">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05F6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58A390F">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31A566CB">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4FD3F0AF">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61B1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D6D211D">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37D13CCE">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2E6C85D1">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751F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A946418">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7C7B789B">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76C20945">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2131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B064E1B">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总价</w:t>
            </w:r>
          </w:p>
        </w:tc>
        <w:tc>
          <w:tcPr>
            <w:tcW w:w="2552" w:type="dxa"/>
            <w:noWrap w:val="0"/>
            <w:vAlign w:val="center"/>
          </w:tcPr>
          <w:p w14:paraId="52431E88">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bl>
    <w:p w14:paraId="783B9BEE">
      <w:pPr>
        <w:spacing w:line="400" w:lineRule="exact"/>
        <w:ind w:firstLine="480" w:firstLineChars="200"/>
        <w:outlineLvl w:val="9"/>
        <w:rPr>
          <w:rFonts w:hint="eastAsia" w:ascii="微软雅黑" w:hAnsi="微软雅黑" w:eastAsia="微软雅黑" w:cs="微软雅黑"/>
          <w:b/>
          <w:color w:val="auto"/>
          <w:sz w:val="24"/>
          <w:highlight w:val="none"/>
        </w:rPr>
      </w:pPr>
      <w:bookmarkStart w:id="2832" w:name="_Toc19221"/>
      <w:bookmarkStart w:id="2833" w:name="_Toc19143"/>
      <w:bookmarkStart w:id="2834" w:name="_Toc25860"/>
      <w:bookmarkStart w:id="2835" w:name="_Toc29167"/>
      <w:bookmarkStart w:id="2836" w:name="_Toc23173"/>
      <w:bookmarkStart w:id="2837" w:name="_Toc2559"/>
      <w:bookmarkStart w:id="2838" w:name="_Toc8041"/>
      <w:bookmarkStart w:id="2839" w:name="_Toc29404"/>
      <w:bookmarkStart w:id="2840" w:name="_Toc28219"/>
      <w:bookmarkStart w:id="2841" w:name="_Toc14993"/>
      <w:bookmarkStart w:id="2842" w:name="_Toc25910"/>
      <w:bookmarkStart w:id="2843" w:name="_Toc1006"/>
      <w:bookmarkStart w:id="2844" w:name="_Toc30158"/>
      <w:bookmarkStart w:id="2845" w:name="_Toc16087"/>
      <w:bookmarkStart w:id="2846" w:name="_Toc18532"/>
      <w:bookmarkStart w:id="2847" w:name="_Toc17855"/>
      <w:bookmarkStart w:id="2848" w:name="_Toc21059"/>
      <w:bookmarkStart w:id="2849" w:name="_Toc19035"/>
      <w:bookmarkStart w:id="2850" w:name="_Toc3654"/>
      <w:bookmarkStart w:id="2851" w:name="_Toc6998"/>
      <w:bookmarkStart w:id="2852" w:name="_Toc30506"/>
      <w:bookmarkStart w:id="2853" w:name="_Toc22242"/>
      <w:bookmarkStart w:id="2854" w:name="_Toc32305"/>
      <w:bookmarkStart w:id="2855" w:name="_Toc24157"/>
      <w:bookmarkStart w:id="2856" w:name="_Toc12714"/>
      <w:bookmarkStart w:id="2857" w:name="_Toc26916"/>
      <w:bookmarkStart w:id="2858" w:name="_Toc7832"/>
      <w:r>
        <w:rPr>
          <w:rFonts w:hint="eastAsia" w:ascii="微软雅黑" w:hAnsi="微软雅黑" w:eastAsia="微软雅黑" w:cs="微软雅黑"/>
          <w:b/>
          <w:color w:val="auto"/>
          <w:sz w:val="24"/>
          <w:highlight w:val="none"/>
        </w:rPr>
        <w:t>1.4 付款方式和发票开具方式</w:t>
      </w:r>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p>
    <w:p w14:paraId="3A6172B1">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1.4.1付款方式：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1652491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发票开具方式：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6660025F">
      <w:pPr>
        <w:spacing w:line="400" w:lineRule="exact"/>
        <w:ind w:firstLine="480" w:firstLineChars="200"/>
        <w:outlineLvl w:val="9"/>
        <w:rPr>
          <w:rFonts w:hint="eastAsia" w:ascii="微软雅黑" w:hAnsi="微软雅黑" w:eastAsia="微软雅黑" w:cs="微软雅黑"/>
          <w:b/>
          <w:color w:val="auto"/>
          <w:sz w:val="24"/>
          <w:highlight w:val="none"/>
        </w:rPr>
      </w:pPr>
      <w:bookmarkStart w:id="2859" w:name="_Toc3251"/>
      <w:bookmarkStart w:id="2860" w:name="_Toc8772"/>
      <w:bookmarkStart w:id="2861" w:name="_Toc4760"/>
      <w:bookmarkStart w:id="2862" w:name="_Toc28204"/>
      <w:bookmarkStart w:id="2863" w:name="_Toc8177"/>
      <w:bookmarkStart w:id="2864" w:name="_Toc24718"/>
      <w:bookmarkStart w:id="2865" w:name="_Toc23903"/>
      <w:bookmarkStart w:id="2866" w:name="_Toc17889"/>
      <w:bookmarkStart w:id="2867" w:name="_Toc24838"/>
      <w:bookmarkStart w:id="2868" w:name="_Toc3007"/>
      <w:bookmarkStart w:id="2869" w:name="_Toc9191"/>
      <w:bookmarkStart w:id="2870" w:name="_Toc19186"/>
      <w:bookmarkStart w:id="2871" w:name="_Toc28212"/>
      <w:bookmarkStart w:id="2872" w:name="_Toc24233"/>
      <w:bookmarkStart w:id="2873" w:name="_Toc3625"/>
      <w:bookmarkStart w:id="2874" w:name="_Toc23367"/>
      <w:bookmarkStart w:id="2875" w:name="_Toc17088"/>
      <w:bookmarkStart w:id="2876" w:name="_Toc31421"/>
      <w:bookmarkStart w:id="2877" w:name="_Toc17456"/>
      <w:bookmarkStart w:id="2878" w:name="_Toc4301"/>
      <w:bookmarkStart w:id="2879" w:name="_Toc26429"/>
      <w:bookmarkStart w:id="2880" w:name="_Toc1804"/>
      <w:bookmarkStart w:id="2881" w:name="_Toc11108"/>
      <w:bookmarkStart w:id="2882" w:name="_Toc21606"/>
      <w:bookmarkStart w:id="2883" w:name="_Toc12261"/>
      <w:r>
        <w:rPr>
          <w:rFonts w:hint="eastAsia" w:ascii="微软雅黑" w:hAnsi="微软雅黑" w:eastAsia="微软雅黑" w:cs="微软雅黑"/>
          <w:b/>
          <w:color w:val="auto"/>
          <w:sz w:val="24"/>
          <w:highlight w:val="none"/>
        </w:rPr>
        <w:t>1.5 履行期限、地点和方式</w:t>
      </w:r>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p>
    <w:p w14:paraId="324EECC8">
      <w:pPr>
        <w:spacing w:line="400" w:lineRule="exact"/>
        <w:ind w:firstLine="480" w:firstLineChars="2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1.5.1 履行期限：</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55F6A67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履行地点：</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4FACDF61">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 履行方式：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54105E05">
      <w:pPr>
        <w:spacing w:line="400" w:lineRule="exact"/>
        <w:ind w:firstLine="480" w:firstLineChars="200"/>
        <w:outlineLvl w:val="9"/>
        <w:rPr>
          <w:rFonts w:hint="eastAsia" w:ascii="微软雅黑" w:hAnsi="微软雅黑" w:eastAsia="微软雅黑" w:cs="微软雅黑"/>
          <w:color w:val="auto"/>
          <w:sz w:val="24"/>
          <w:highlight w:val="none"/>
          <w:u w:val="single"/>
        </w:rPr>
      </w:pPr>
      <w:bookmarkStart w:id="2884" w:name="_Toc30025"/>
      <w:bookmarkStart w:id="2885" w:name="_Toc24662"/>
      <w:bookmarkStart w:id="2886" w:name="_Toc12514"/>
      <w:bookmarkStart w:id="2887" w:name="_Toc3691"/>
      <w:bookmarkStart w:id="2888" w:name="_Toc3079"/>
      <w:bookmarkStart w:id="2889" w:name="_Toc5745"/>
      <w:bookmarkStart w:id="2890" w:name="_Toc31155"/>
      <w:bookmarkStart w:id="2891" w:name="_Toc13897"/>
      <w:bookmarkStart w:id="2892" w:name="_Toc7929"/>
      <w:bookmarkStart w:id="2893" w:name="_Toc5418"/>
      <w:bookmarkStart w:id="2894" w:name="_Toc3290"/>
      <w:bookmarkStart w:id="2895" w:name="_Toc18474"/>
      <w:bookmarkStart w:id="2896" w:name="_Toc14977"/>
      <w:bookmarkStart w:id="2897" w:name="_Toc18326"/>
      <w:bookmarkStart w:id="2898" w:name="_Toc27990"/>
      <w:bookmarkStart w:id="2899" w:name="_Toc5863"/>
      <w:bookmarkStart w:id="2900" w:name="_Toc14138"/>
      <w:bookmarkStart w:id="2901" w:name="_Toc1409"/>
      <w:bookmarkStart w:id="2902" w:name="_Toc16708"/>
      <w:bookmarkStart w:id="2903" w:name="_Toc19118"/>
      <w:bookmarkStart w:id="2904" w:name="_Toc9188"/>
      <w:bookmarkStart w:id="2905" w:name="_Toc10490"/>
      <w:bookmarkStart w:id="2906" w:name="_Toc17878"/>
      <w:bookmarkStart w:id="2907" w:name="_Toc25461"/>
      <w:r>
        <w:rPr>
          <w:rFonts w:hint="eastAsia" w:ascii="微软雅黑" w:hAnsi="微软雅黑" w:eastAsia="微软雅黑" w:cs="微软雅黑"/>
          <w:b/>
          <w:color w:val="auto"/>
          <w:sz w:val="24"/>
          <w:highlight w:val="none"/>
        </w:rPr>
        <w:t>1.6 违约责任</w:t>
      </w:r>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p>
    <w:p w14:paraId="0C082F8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%计算，最高限额为本合同总价的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%；迟延履行的违约金计算数额达到前述最高限额之日起，甲方有权在要求乙方支付违约金的同时，书面通知乙方解除本合同；</w:t>
      </w:r>
    </w:p>
    <w:p w14:paraId="10A33FF5">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%计算，最高限额为本合同总价的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%；迟延付款的违约金计算数额达到前述最高限额之日起，乙方有权在要求甲方支付违约金的同时，书面通知甲方解除本合同；</w:t>
      </w:r>
    </w:p>
    <w:p w14:paraId="0EE69F52">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76B8939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AC7E79F">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921087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1.6.6 如果出现政府采购监督管理部门在处理投诉事项期间，书面通知甲方暂停采购活动的情形，或者询问或质疑事项可能影响</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结果的，导致甲方中止履行合同的情形，均不视为甲方违约。</w:t>
      </w:r>
    </w:p>
    <w:p w14:paraId="2B22B9AB">
      <w:pPr>
        <w:spacing w:line="400" w:lineRule="exact"/>
        <w:ind w:firstLine="480" w:firstLineChars="200"/>
        <w:outlineLvl w:val="9"/>
        <w:rPr>
          <w:rFonts w:hint="eastAsia" w:ascii="微软雅黑" w:hAnsi="微软雅黑" w:eastAsia="微软雅黑" w:cs="微软雅黑"/>
          <w:b/>
          <w:color w:val="auto"/>
          <w:sz w:val="24"/>
          <w:highlight w:val="none"/>
        </w:rPr>
      </w:pPr>
      <w:bookmarkStart w:id="2908" w:name="_Toc4490"/>
      <w:bookmarkStart w:id="2909" w:name="_Toc21818"/>
      <w:bookmarkStart w:id="2910" w:name="_Toc19829"/>
      <w:bookmarkStart w:id="2911" w:name="_Toc1790"/>
      <w:bookmarkStart w:id="2912" w:name="_Toc23069"/>
      <w:bookmarkStart w:id="2913" w:name="_Toc22322"/>
      <w:bookmarkStart w:id="2914" w:name="_Toc13634"/>
      <w:bookmarkStart w:id="2915" w:name="_Toc9782"/>
      <w:bookmarkStart w:id="2916" w:name="_Toc32454"/>
      <w:bookmarkStart w:id="2917" w:name="_Toc16127"/>
      <w:bookmarkStart w:id="2918" w:name="_Toc4563"/>
      <w:bookmarkStart w:id="2919" w:name="_Toc21069"/>
      <w:bookmarkStart w:id="2920" w:name="_Toc4448"/>
      <w:bookmarkStart w:id="2921" w:name="_Toc10884"/>
      <w:bookmarkStart w:id="2922" w:name="_Toc13319"/>
      <w:bookmarkStart w:id="2923" w:name="_Toc31557"/>
      <w:bookmarkStart w:id="2924" w:name="_Toc9497"/>
      <w:bookmarkStart w:id="2925" w:name="_Toc13358"/>
      <w:bookmarkStart w:id="2926" w:name="_Toc26807"/>
      <w:bookmarkStart w:id="2927" w:name="_Toc14940"/>
      <w:bookmarkStart w:id="2928" w:name="_Toc30921"/>
      <w:bookmarkStart w:id="2929" w:name="_Toc12954"/>
      <w:bookmarkStart w:id="2930" w:name="_Toc774"/>
      <w:bookmarkStart w:id="2931" w:name="_Toc23618"/>
      <w:bookmarkStart w:id="2932" w:name="_Toc18683"/>
      <w:bookmarkStart w:id="2933" w:name="_Toc3964"/>
      <w:bookmarkStart w:id="2934" w:name="_Toc30329"/>
      <w:r>
        <w:rPr>
          <w:rFonts w:hint="eastAsia" w:ascii="微软雅黑" w:hAnsi="微软雅黑" w:eastAsia="微软雅黑" w:cs="微软雅黑"/>
          <w:b/>
          <w:color w:val="auto"/>
          <w:sz w:val="24"/>
          <w:highlight w:val="none"/>
        </w:rPr>
        <w:t>1.7 合同争议的解决</w:t>
      </w:r>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p>
    <w:p w14:paraId="6C605778">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种方式解决：</w:t>
      </w:r>
    </w:p>
    <w:p w14:paraId="2CBAE6B0">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 将争议提交</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仲裁委员会依申请仲裁时其现行有效的仲裁规则裁决；</w:t>
      </w:r>
    </w:p>
    <w:p w14:paraId="08C4587C">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 向</w:t>
      </w:r>
      <w:r>
        <w:rPr>
          <w:rFonts w:hint="eastAsia" w:ascii="微软雅黑" w:hAnsi="微软雅黑" w:eastAsia="微软雅黑" w:cs="微软雅黑"/>
          <w:color w:val="auto"/>
          <w:sz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highlight w:val="none"/>
        </w:rPr>
        <w:t>人民法院起诉。</w:t>
      </w:r>
    </w:p>
    <w:p w14:paraId="6E3885F1">
      <w:pPr>
        <w:spacing w:line="400" w:lineRule="exact"/>
        <w:ind w:firstLine="480" w:firstLineChars="200"/>
        <w:outlineLvl w:val="9"/>
        <w:rPr>
          <w:rFonts w:hint="eastAsia" w:ascii="微软雅黑" w:hAnsi="微软雅黑" w:eastAsia="微软雅黑" w:cs="微软雅黑"/>
          <w:b/>
          <w:color w:val="auto"/>
          <w:sz w:val="24"/>
          <w:highlight w:val="none"/>
        </w:rPr>
      </w:pPr>
      <w:bookmarkStart w:id="2935" w:name="_Toc26227"/>
      <w:bookmarkStart w:id="2936" w:name="_Toc15827"/>
      <w:bookmarkStart w:id="2937" w:name="_Toc19219"/>
      <w:bookmarkStart w:id="2938" w:name="_Toc26100"/>
      <w:bookmarkStart w:id="2939" w:name="_Toc12078"/>
      <w:bookmarkStart w:id="2940" w:name="_Toc12273"/>
      <w:bookmarkStart w:id="2941" w:name="_Toc18071"/>
      <w:bookmarkStart w:id="2942" w:name="_Toc17508"/>
      <w:bookmarkStart w:id="2943" w:name="_Toc16417"/>
      <w:bookmarkStart w:id="2944" w:name="_Toc10526"/>
      <w:bookmarkStart w:id="2945" w:name="_Toc13173"/>
      <w:bookmarkStart w:id="2946" w:name="_Toc23967"/>
      <w:bookmarkStart w:id="2947" w:name="_Toc6707"/>
      <w:bookmarkStart w:id="2948" w:name="_Toc32067"/>
      <w:bookmarkStart w:id="2949" w:name="_Toc32664"/>
      <w:bookmarkStart w:id="2950" w:name="_Toc6379"/>
      <w:bookmarkStart w:id="2951" w:name="_Toc8898"/>
      <w:bookmarkStart w:id="2952" w:name="_Toc12948"/>
      <w:bookmarkStart w:id="2953" w:name="_Toc7654"/>
      <w:bookmarkStart w:id="2954" w:name="_Toc1686"/>
      <w:bookmarkStart w:id="2955" w:name="_Toc1472"/>
      <w:bookmarkStart w:id="2956" w:name="_Toc13186"/>
      <w:bookmarkStart w:id="2957" w:name="_Toc6048"/>
      <w:bookmarkStart w:id="2958" w:name="_Toc1048"/>
      <w:r>
        <w:rPr>
          <w:rFonts w:hint="eastAsia" w:ascii="微软雅黑" w:hAnsi="微软雅黑" w:eastAsia="微软雅黑" w:cs="微软雅黑"/>
          <w:b/>
          <w:color w:val="auto"/>
          <w:sz w:val="24"/>
          <w:highlight w:val="none"/>
        </w:rPr>
        <w:t>1.8 合同生效</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p>
    <w:p w14:paraId="35508329">
      <w:pPr>
        <w:spacing w:line="400" w:lineRule="exact"/>
        <w:ind w:firstLine="480" w:firstLineChars="200"/>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color w:val="auto"/>
          <w:sz w:val="24"/>
          <w:highlight w:val="none"/>
        </w:rPr>
        <w:t>本合同自双方当事人盖章或者签字时生效。</w:t>
      </w:r>
    </w:p>
    <w:p w14:paraId="34562D6D">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p>
    <w:p w14:paraId="419CF6C9">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b/>
          <w:color w:val="auto"/>
          <w:sz w:val="24"/>
          <w:highlight w:val="none"/>
          <w:lang w:val="zh-CN"/>
        </w:rPr>
        <w:t>甲方</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b/>
          <w:color w:val="auto"/>
          <w:sz w:val="24"/>
          <w:highlight w:val="none"/>
          <w:lang w:val="zh-CN"/>
        </w:rPr>
        <w:t xml:space="preserve">      乙方</w:t>
      </w:r>
      <w:r>
        <w:rPr>
          <w:rFonts w:hint="eastAsia" w:ascii="微软雅黑" w:hAnsi="微软雅黑" w:eastAsia="微软雅黑" w:cs="微软雅黑"/>
          <w:color w:val="auto"/>
          <w:sz w:val="24"/>
          <w:highlight w:val="none"/>
          <w:lang w:val="zh-CN"/>
        </w:rPr>
        <w:t>：</w:t>
      </w:r>
    </w:p>
    <w:p w14:paraId="081E5FE6">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统一社会信用代码：                        统一社会信用代码或身份证号码：</w:t>
      </w:r>
    </w:p>
    <w:p w14:paraId="54800064">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p>
    <w:p w14:paraId="266FBECA">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住所：                                   住所：</w:t>
      </w:r>
    </w:p>
    <w:p w14:paraId="0F734CF6">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法定代表人或                             法定代表人</w:t>
      </w:r>
    </w:p>
    <w:p w14:paraId="2ADFDABF">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授权代表（签字）：                        或授权代表（签字）: </w:t>
      </w:r>
    </w:p>
    <w:p w14:paraId="51C597D6">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联系人：                                 联系人：</w:t>
      </w:r>
    </w:p>
    <w:p w14:paraId="16FDFFF1">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约定送达地址：                           约定送达地址：</w:t>
      </w:r>
    </w:p>
    <w:p w14:paraId="01743B09">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邮政编码：                               邮政编码：</w:t>
      </w:r>
    </w:p>
    <w:p w14:paraId="0B2B76F7">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电话:                                    电话: </w:t>
      </w:r>
    </w:p>
    <w:p w14:paraId="769D56BA">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传真:                                    传真:</w:t>
      </w:r>
    </w:p>
    <w:p w14:paraId="5EA4EC71">
      <w:pPr>
        <w:autoSpaceDE w:val="0"/>
        <w:autoSpaceDN w:val="0"/>
        <w:adjustRightInd w:val="0"/>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电子邮箱：                               电子邮箱：</w:t>
      </w:r>
    </w:p>
    <w:p w14:paraId="2EA98202">
      <w:pPr>
        <w:autoSpaceDE w:val="0"/>
        <w:autoSpaceDN w:val="0"/>
        <w:adjustRightInd w:val="0"/>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开户银行：                               开户银行： </w:t>
      </w:r>
    </w:p>
    <w:p w14:paraId="569413E2">
      <w:pPr>
        <w:autoSpaceDE w:val="0"/>
        <w:autoSpaceDN w:val="0"/>
        <w:adjustRightInd w:val="0"/>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开户名称：                               开户名称： </w:t>
      </w:r>
    </w:p>
    <w:p w14:paraId="53965DDC">
      <w:pPr>
        <w:autoSpaceDE w:val="0"/>
        <w:autoSpaceDN w:val="0"/>
        <w:adjustRightInd w:val="0"/>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开户账号：</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color w:val="auto"/>
          <w:sz w:val="24"/>
          <w:highlight w:val="none"/>
        </w:rPr>
        <w:t>开户账号：</w:t>
      </w:r>
    </w:p>
    <w:p w14:paraId="59950B19">
      <w:pPr>
        <w:widowControl/>
        <w:spacing w:line="400" w:lineRule="exact"/>
        <w:jc w:val="left"/>
        <w:outlineLvl w:val="9"/>
        <w:rPr>
          <w:rFonts w:hint="eastAsia" w:ascii="微软雅黑" w:hAnsi="微软雅黑" w:eastAsia="微软雅黑" w:cs="微软雅黑"/>
          <w:b/>
          <w:color w:val="auto"/>
          <w:highlight w:val="none"/>
        </w:rPr>
      </w:pPr>
      <w:bookmarkStart w:id="2959" w:name="_Toc331685783"/>
    </w:p>
    <w:p w14:paraId="4085E4B7">
      <w:pPr>
        <w:widowControl/>
        <w:spacing w:line="400" w:lineRule="exact"/>
        <w:jc w:val="left"/>
        <w:outlineLvl w:val="9"/>
        <w:rPr>
          <w:rFonts w:hint="eastAsia" w:ascii="微软雅黑" w:hAnsi="微软雅黑" w:eastAsia="微软雅黑" w:cs="微软雅黑"/>
          <w:b/>
          <w:color w:val="auto"/>
          <w:highlight w:val="none"/>
        </w:rPr>
      </w:pPr>
    </w:p>
    <w:p w14:paraId="7415F5DC">
      <w:pPr>
        <w:widowControl/>
        <w:spacing w:line="400" w:lineRule="exact"/>
        <w:jc w:val="left"/>
        <w:outlineLvl w:val="9"/>
        <w:rPr>
          <w:rFonts w:hint="eastAsia" w:ascii="微软雅黑" w:hAnsi="微软雅黑" w:eastAsia="微软雅黑" w:cs="微软雅黑"/>
          <w:b/>
          <w:color w:val="auto"/>
          <w:kern w:val="0"/>
          <w:sz w:val="24"/>
          <w:highlight w:val="none"/>
        </w:rPr>
      </w:pPr>
    </w:p>
    <w:p w14:paraId="4740C9F4">
      <w:pPr>
        <w:widowControl/>
        <w:spacing w:line="400" w:lineRule="exact"/>
        <w:jc w:val="left"/>
        <w:outlineLvl w:val="9"/>
        <w:rPr>
          <w:rFonts w:hint="eastAsia" w:ascii="微软雅黑" w:hAnsi="微软雅黑" w:eastAsia="微软雅黑" w:cs="微软雅黑"/>
          <w:b/>
          <w:color w:val="auto"/>
          <w:kern w:val="0"/>
          <w:sz w:val="24"/>
          <w:highlight w:val="none"/>
        </w:rPr>
      </w:pPr>
    </w:p>
    <w:p w14:paraId="4605CFD8">
      <w:pPr>
        <w:widowControl/>
        <w:spacing w:line="400" w:lineRule="exact"/>
        <w:jc w:val="left"/>
        <w:outlineLvl w:val="9"/>
        <w:rPr>
          <w:rFonts w:hint="eastAsia" w:ascii="微软雅黑" w:hAnsi="微软雅黑" w:eastAsia="微软雅黑" w:cs="微软雅黑"/>
          <w:b/>
          <w:color w:val="auto"/>
          <w:kern w:val="0"/>
          <w:sz w:val="24"/>
          <w:highlight w:val="none"/>
        </w:rPr>
      </w:pPr>
    </w:p>
    <w:p w14:paraId="4AF8593D">
      <w:pPr>
        <w:widowControl/>
        <w:spacing w:line="400" w:lineRule="exact"/>
        <w:jc w:val="left"/>
        <w:outlineLvl w:val="9"/>
        <w:rPr>
          <w:rFonts w:hint="eastAsia" w:ascii="微软雅黑" w:hAnsi="微软雅黑" w:eastAsia="微软雅黑" w:cs="微软雅黑"/>
          <w:b/>
          <w:color w:val="auto"/>
          <w:kern w:val="0"/>
          <w:sz w:val="24"/>
          <w:highlight w:val="none"/>
        </w:rPr>
      </w:pPr>
    </w:p>
    <w:p w14:paraId="1B887CE2">
      <w:pPr>
        <w:widowControl/>
        <w:spacing w:line="400" w:lineRule="exact"/>
        <w:jc w:val="left"/>
        <w:outlineLvl w:val="9"/>
        <w:rPr>
          <w:rFonts w:hint="eastAsia" w:ascii="微软雅黑" w:hAnsi="微软雅黑" w:eastAsia="微软雅黑" w:cs="微软雅黑"/>
          <w:b/>
          <w:color w:val="auto"/>
          <w:kern w:val="0"/>
          <w:sz w:val="24"/>
          <w:highlight w:val="none"/>
        </w:rPr>
      </w:pPr>
    </w:p>
    <w:p w14:paraId="4F63278E">
      <w:pPr>
        <w:widowControl/>
        <w:spacing w:line="400" w:lineRule="exact"/>
        <w:jc w:val="left"/>
        <w:outlineLvl w:val="9"/>
        <w:rPr>
          <w:rFonts w:hint="eastAsia" w:ascii="微软雅黑" w:hAnsi="微软雅黑" w:eastAsia="微软雅黑" w:cs="微软雅黑"/>
          <w:b/>
          <w:color w:val="auto"/>
          <w:kern w:val="0"/>
          <w:sz w:val="24"/>
          <w:highlight w:val="none"/>
        </w:rPr>
      </w:pPr>
    </w:p>
    <w:p w14:paraId="79AEC111">
      <w:pPr>
        <w:widowControl/>
        <w:spacing w:line="400" w:lineRule="exact"/>
        <w:jc w:val="left"/>
        <w:outlineLvl w:val="9"/>
        <w:rPr>
          <w:rFonts w:hint="eastAsia" w:ascii="微软雅黑" w:hAnsi="微软雅黑" w:eastAsia="微软雅黑" w:cs="微软雅黑"/>
          <w:b/>
          <w:color w:val="auto"/>
          <w:kern w:val="0"/>
          <w:sz w:val="24"/>
          <w:highlight w:val="none"/>
        </w:rPr>
      </w:pPr>
    </w:p>
    <w:p w14:paraId="78D28F5B">
      <w:pPr>
        <w:widowControl/>
        <w:spacing w:line="400" w:lineRule="exact"/>
        <w:jc w:val="left"/>
        <w:outlineLvl w:val="9"/>
        <w:rPr>
          <w:rFonts w:hint="eastAsia" w:ascii="微软雅黑" w:hAnsi="微软雅黑" w:eastAsia="微软雅黑" w:cs="微软雅黑"/>
          <w:b/>
          <w:color w:val="auto"/>
          <w:kern w:val="0"/>
          <w:sz w:val="24"/>
          <w:highlight w:val="none"/>
        </w:rPr>
      </w:pPr>
    </w:p>
    <w:p w14:paraId="78389A3C">
      <w:pPr>
        <w:widowControl w:val="0"/>
        <w:autoSpaceDE w:val="0"/>
        <w:autoSpaceDN w:val="0"/>
        <w:adjustRightInd w:val="0"/>
        <w:spacing w:line="400" w:lineRule="exact"/>
        <w:ind w:firstLine="0"/>
        <w:jc w:val="both"/>
        <w:outlineLvl w:val="9"/>
        <w:rPr>
          <w:rFonts w:hint="eastAsia" w:ascii="微软雅黑" w:hAnsi="微软雅黑" w:eastAsia="微软雅黑" w:cs="微软雅黑"/>
          <w:b/>
          <w:color w:val="auto"/>
          <w:kern w:val="0"/>
          <w:sz w:val="24"/>
          <w:szCs w:val="24"/>
          <w:highlight w:val="none"/>
          <w:lang w:val="en-US" w:eastAsia="zh-CN" w:bidi="ar-SA"/>
        </w:rPr>
      </w:pPr>
    </w:p>
    <w:p w14:paraId="390CD4BE">
      <w:pPr>
        <w:widowControl w:val="0"/>
        <w:autoSpaceDE w:val="0"/>
        <w:autoSpaceDN w:val="0"/>
        <w:adjustRightInd w:val="0"/>
        <w:spacing w:line="400" w:lineRule="exact"/>
        <w:ind w:firstLine="0"/>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第二部分 合同一般条款</w:t>
      </w:r>
      <w:bookmarkEnd w:id="2959"/>
    </w:p>
    <w:p w14:paraId="6415F804">
      <w:pPr>
        <w:spacing w:line="400" w:lineRule="exact"/>
        <w:ind w:firstLine="480" w:firstLineChars="200"/>
        <w:outlineLvl w:val="9"/>
        <w:rPr>
          <w:rFonts w:hint="eastAsia" w:ascii="微软雅黑" w:hAnsi="微软雅黑" w:eastAsia="微软雅黑" w:cs="微软雅黑"/>
          <w:b/>
          <w:color w:val="auto"/>
          <w:sz w:val="24"/>
          <w:highlight w:val="none"/>
        </w:rPr>
      </w:pPr>
      <w:bookmarkStart w:id="2960" w:name="_Toc29024"/>
      <w:bookmarkStart w:id="2961" w:name="_Toc14021"/>
      <w:bookmarkStart w:id="2962" w:name="_Toc487900349"/>
      <w:bookmarkStart w:id="2963" w:name="_Ref467379205"/>
      <w:bookmarkStart w:id="2964" w:name="_Toc10954"/>
      <w:bookmarkStart w:id="2965" w:name="_Ref467379225"/>
      <w:bookmarkStart w:id="2966" w:name="_Toc15537"/>
      <w:bookmarkStart w:id="2967" w:name="_Ref467379094"/>
      <w:bookmarkStart w:id="2968" w:name="_Toc17067"/>
      <w:bookmarkStart w:id="2969" w:name="_Toc5117"/>
      <w:bookmarkStart w:id="2970" w:name="_Toc28840"/>
      <w:bookmarkStart w:id="2971" w:name="_Toc16934"/>
      <w:bookmarkStart w:id="2972" w:name="_Toc17704"/>
      <w:bookmarkStart w:id="2973" w:name="_Toc29074"/>
      <w:bookmarkStart w:id="2974" w:name="_Toc9585"/>
      <w:bookmarkStart w:id="2975" w:name="_Toc21058"/>
      <w:bookmarkStart w:id="2976" w:name="_Toc19680"/>
      <w:bookmarkStart w:id="2977" w:name="_Toc13941"/>
      <w:bookmarkStart w:id="2978" w:name="_Toc3094"/>
      <w:bookmarkStart w:id="2979" w:name="_Toc26542"/>
      <w:bookmarkStart w:id="2980" w:name="_Toc28701"/>
      <w:bookmarkStart w:id="2981" w:name="_Ref467378463"/>
      <w:bookmarkStart w:id="2982" w:name="_Ref467379109"/>
      <w:bookmarkStart w:id="2983" w:name="_Ref467378404"/>
      <w:bookmarkStart w:id="2984" w:name="_Ref467379101"/>
      <w:bookmarkStart w:id="2985" w:name="_Toc19762"/>
      <w:bookmarkStart w:id="2986" w:name="_Toc26055"/>
      <w:bookmarkStart w:id="2987" w:name="_Toc31297"/>
      <w:bookmarkStart w:id="2988" w:name="_Ref467379195"/>
      <w:bookmarkStart w:id="2989" w:name="_Toc26527"/>
      <w:bookmarkStart w:id="2990" w:name="_Toc25610"/>
      <w:bookmarkStart w:id="2991" w:name="_Toc25079"/>
      <w:bookmarkStart w:id="2992" w:name="_Toc5228"/>
      <w:bookmarkStart w:id="2993" w:name="_Ref467378499"/>
      <w:bookmarkStart w:id="2994" w:name="_Toc20107"/>
      <w:bookmarkStart w:id="2995" w:name="_Toc279701240"/>
      <w:bookmarkStart w:id="2996" w:name="_Toc2256"/>
      <w:bookmarkStart w:id="2997" w:name="_Toc23998"/>
      <w:bookmarkStart w:id="2998" w:name="_Ref467379214"/>
      <w:bookmarkStart w:id="2999" w:name="_Toc259093669"/>
      <w:bookmarkStart w:id="3000" w:name="_Toc10827"/>
      <w:r>
        <w:rPr>
          <w:rFonts w:hint="eastAsia" w:ascii="微软雅黑" w:hAnsi="微软雅黑" w:eastAsia="微软雅黑" w:cs="微软雅黑"/>
          <w:b/>
          <w:color w:val="auto"/>
          <w:sz w:val="24"/>
          <w:highlight w:val="none"/>
        </w:rPr>
        <w:t>2.1 定义</w:t>
      </w:r>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p>
    <w:p w14:paraId="2B63B5E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本合同中的下列词语应按以下内容进行解释：</w:t>
      </w:r>
    </w:p>
    <w:p w14:paraId="4E58474F">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 “合同”系指采购人和</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供应商签订的载明双方当事人所达成的协议，并包括所有的附件、附录和构成合同的其他文件。</w:t>
      </w:r>
    </w:p>
    <w:p w14:paraId="1D2E25A6">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2.1.2 “合同价”系指根据合同约定，</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供应商在完全履行合同义务后，采购人应支付给</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供应商的价格。</w:t>
      </w:r>
    </w:p>
    <w:p w14:paraId="62160E35">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 “服务”系指</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供应商根据合同约定应向采购人履行的除货物和工程以外的其他政府采购对象，包括采购人自身需要的服务和向社会公众提供的公共服务。</w:t>
      </w:r>
    </w:p>
    <w:p w14:paraId="1E47F4BF">
      <w:pPr>
        <w:spacing w:line="400" w:lineRule="exact"/>
        <w:ind w:firstLine="480" w:firstLineChars="200"/>
        <w:outlineLvl w:val="9"/>
        <w:rPr>
          <w:rFonts w:hint="eastAsia" w:ascii="微软雅黑" w:hAnsi="微软雅黑" w:eastAsia="微软雅黑" w:cs="微软雅黑"/>
          <w:color w:val="auto"/>
          <w:sz w:val="24"/>
          <w:highlight w:val="none"/>
        </w:rPr>
      </w:pPr>
      <w:bookmarkStart w:id="3001" w:name="_Ref467378840"/>
      <w:r>
        <w:rPr>
          <w:rFonts w:hint="eastAsia" w:ascii="微软雅黑" w:hAnsi="微软雅黑" w:eastAsia="微软雅黑" w:cs="微软雅黑"/>
          <w:color w:val="auto"/>
          <w:sz w:val="24"/>
          <w:highlight w:val="none"/>
        </w:rPr>
        <w:t>2.1.4 “甲方”系指与</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供应商签署合同的采购人</w:t>
      </w:r>
      <w:bookmarkEnd w:id="3001"/>
      <w:r>
        <w:rPr>
          <w:rFonts w:hint="eastAsia" w:ascii="微软雅黑" w:hAnsi="微软雅黑" w:eastAsia="微软雅黑" w:cs="微软雅黑"/>
          <w:color w:val="auto"/>
          <w:sz w:val="24"/>
          <w:highlight w:val="none"/>
        </w:rPr>
        <w:t>；采购人委托采购代理机构代表其与乙方签订合同的，采购人的授权委托书作为合同附件。</w:t>
      </w:r>
    </w:p>
    <w:p w14:paraId="21C54858">
      <w:pPr>
        <w:spacing w:line="400" w:lineRule="exact"/>
        <w:ind w:firstLine="480" w:firstLineChars="200"/>
        <w:outlineLvl w:val="9"/>
        <w:rPr>
          <w:rFonts w:hint="eastAsia" w:ascii="微软雅黑" w:hAnsi="微软雅黑" w:eastAsia="微软雅黑" w:cs="微软雅黑"/>
          <w:color w:val="auto"/>
          <w:sz w:val="24"/>
          <w:highlight w:val="none"/>
        </w:rPr>
      </w:pPr>
      <w:bookmarkStart w:id="3002" w:name="_Ref467379400"/>
      <w:r>
        <w:rPr>
          <w:rFonts w:hint="eastAsia" w:ascii="微软雅黑" w:hAnsi="微软雅黑" w:eastAsia="微软雅黑" w:cs="微软雅黑"/>
          <w:color w:val="auto"/>
          <w:sz w:val="24"/>
          <w:highlight w:val="none"/>
        </w:rPr>
        <w:t>2.1.5 “乙方”系指根据合同约定提供服务的</w:t>
      </w:r>
      <w:r>
        <w:rPr>
          <w:rFonts w:hint="eastAsia" w:ascii="微软雅黑" w:hAnsi="微软雅黑" w:eastAsia="微软雅黑" w:cs="微软雅黑"/>
          <w:color w:val="auto"/>
          <w:sz w:val="24"/>
          <w:highlight w:val="none"/>
          <w:lang w:eastAsia="zh-CN"/>
        </w:rPr>
        <w:t>成交</w:t>
      </w:r>
      <w:r>
        <w:rPr>
          <w:rFonts w:hint="eastAsia" w:ascii="微软雅黑" w:hAnsi="微软雅黑" w:eastAsia="微软雅黑" w:cs="微软雅黑"/>
          <w:color w:val="auto"/>
          <w:sz w:val="24"/>
          <w:highlight w:val="none"/>
        </w:rPr>
        <w:t>供应商</w:t>
      </w:r>
      <w:bookmarkEnd w:id="3002"/>
      <w:r>
        <w:rPr>
          <w:rFonts w:hint="eastAsia" w:ascii="微软雅黑" w:hAnsi="微软雅黑" w:eastAsia="微软雅黑" w:cs="微软雅黑"/>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80B66D9">
      <w:pPr>
        <w:spacing w:line="400" w:lineRule="exact"/>
        <w:ind w:firstLine="480" w:firstLineChars="200"/>
        <w:outlineLvl w:val="9"/>
        <w:rPr>
          <w:rFonts w:hint="eastAsia" w:ascii="微软雅黑" w:hAnsi="微软雅黑" w:eastAsia="微软雅黑" w:cs="微软雅黑"/>
          <w:color w:val="auto"/>
          <w:sz w:val="24"/>
          <w:highlight w:val="none"/>
        </w:rPr>
      </w:pPr>
      <w:bookmarkStart w:id="3003" w:name="_Ref467379436"/>
      <w:r>
        <w:rPr>
          <w:rFonts w:hint="eastAsia" w:ascii="微软雅黑" w:hAnsi="微软雅黑" w:eastAsia="微软雅黑" w:cs="微软雅黑"/>
          <w:color w:val="auto"/>
          <w:sz w:val="24"/>
          <w:highlight w:val="none"/>
        </w:rPr>
        <w:t>2.1.6 “现场”系指合同约定提供服务的地点。</w:t>
      </w:r>
      <w:bookmarkEnd w:id="3003"/>
    </w:p>
    <w:p w14:paraId="174B27E3">
      <w:pPr>
        <w:spacing w:line="400" w:lineRule="exact"/>
        <w:ind w:firstLine="480" w:firstLineChars="200"/>
        <w:outlineLvl w:val="9"/>
        <w:rPr>
          <w:rFonts w:hint="eastAsia" w:ascii="微软雅黑" w:hAnsi="微软雅黑" w:eastAsia="微软雅黑" w:cs="微软雅黑"/>
          <w:b/>
          <w:color w:val="auto"/>
          <w:sz w:val="24"/>
          <w:highlight w:val="none"/>
        </w:rPr>
      </w:pPr>
      <w:bookmarkStart w:id="3004" w:name="_Toc20955"/>
      <w:bookmarkStart w:id="3005" w:name="_Toc13639"/>
      <w:bookmarkStart w:id="3006" w:name="_Toc15686"/>
      <w:bookmarkStart w:id="3007" w:name="_Toc10249"/>
      <w:bookmarkStart w:id="3008" w:name="_Toc30239"/>
      <w:bookmarkStart w:id="3009" w:name="_Toc259093670"/>
      <w:bookmarkStart w:id="3010" w:name="_Toc22639"/>
      <w:bookmarkStart w:id="3011" w:name="_Toc487900350"/>
      <w:bookmarkStart w:id="3012" w:name="_Toc24806"/>
      <w:bookmarkStart w:id="3013" w:name="_Toc23289"/>
      <w:bookmarkStart w:id="3014" w:name="_Toc24501"/>
      <w:bookmarkStart w:id="3015" w:name="_Toc28811"/>
      <w:bookmarkStart w:id="3016" w:name="_Toc4737"/>
      <w:bookmarkStart w:id="3017" w:name="_Toc19539"/>
      <w:bookmarkStart w:id="3018" w:name="_Toc23029"/>
      <w:bookmarkStart w:id="3019" w:name="_Toc22493"/>
      <w:bookmarkStart w:id="3020" w:name="_Toc8861"/>
      <w:bookmarkStart w:id="3021" w:name="_Toc7411"/>
      <w:bookmarkStart w:id="3022" w:name="_Toc3769"/>
      <w:bookmarkStart w:id="3023" w:name="_Toc21068"/>
      <w:bookmarkStart w:id="3024" w:name="_Toc19824"/>
      <w:bookmarkStart w:id="3025" w:name="_Toc16752"/>
      <w:bookmarkStart w:id="3026" w:name="_Toc31402"/>
      <w:bookmarkStart w:id="3027" w:name="_Toc2098"/>
      <w:bookmarkStart w:id="3028" w:name="_Toc25980"/>
      <w:bookmarkStart w:id="3029" w:name="_Toc279701241"/>
      <w:bookmarkStart w:id="3030" w:name="_Toc31953"/>
      <w:r>
        <w:rPr>
          <w:rFonts w:hint="eastAsia" w:ascii="微软雅黑" w:hAnsi="微软雅黑" w:eastAsia="微软雅黑" w:cs="微软雅黑"/>
          <w:b/>
          <w:color w:val="auto"/>
          <w:sz w:val="24"/>
          <w:highlight w:val="none"/>
        </w:rPr>
        <w:t>2.2 技术规范</w:t>
      </w:r>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p>
    <w:p w14:paraId="5C70FC3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ACA8B1">
      <w:pPr>
        <w:spacing w:line="400" w:lineRule="exact"/>
        <w:ind w:firstLine="480" w:firstLineChars="200"/>
        <w:outlineLvl w:val="9"/>
        <w:rPr>
          <w:rFonts w:hint="eastAsia" w:ascii="微软雅黑" w:hAnsi="微软雅黑" w:eastAsia="微软雅黑" w:cs="微软雅黑"/>
          <w:b/>
          <w:color w:val="auto"/>
          <w:sz w:val="24"/>
          <w:highlight w:val="none"/>
        </w:rPr>
      </w:pPr>
      <w:bookmarkStart w:id="3031" w:name="_Toc27945"/>
      <w:bookmarkStart w:id="3032" w:name="_Toc24660"/>
      <w:bookmarkStart w:id="3033" w:name="_Toc3273"/>
      <w:bookmarkStart w:id="3034" w:name="_Toc26339"/>
      <w:bookmarkStart w:id="3035" w:name="_Toc9494"/>
      <w:bookmarkStart w:id="3036" w:name="_Toc487900351"/>
      <w:bookmarkStart w:id="3037" w:name="_Toc279701242"/>
      <w:bookmarkStart w:id="3038" w:name="_Toc12412"/>
      <w:bookmarkStart w:id="3039" w:name="_Toc12881"/>
      <w:bookmarkStart w:id="3040" w:name="_Toc22279"/>
      <w:bookmarkStart w:id="3041" w:name="_Toc13958"/>
      <w:bookmarkStart w:id="3042" w:name="_Toc9033"/>
      <w:bookmarkStart w:id="3043" w:name="_Toc1059"/>
      <w:bookmarkStart w:id="3044" w:name="_Toc10533"/>
      <w:bookmarkStart w:id="3045" w:name="_Toc9122"/>
      <w:bookmarkStart w:id="3046" w:name="_Toc8378"/>
      <w:bookmarkStart w:id="3047" w:name="_Toc28964"/>
      <w:bookmarkStart w:id="3048" w:name="_Toc25325"/>
      <w:bookmarkStart w:id="3049" w:name="_Toc32402"/>
      <w:bookmarkStart w:id="3050" w:name="_Toc14704"/>
      <w:bookmarkStart w:id="3051" w:name="_Toc259093671"/>
      <w:bookmarkStart w:id="3052" w:name="_Toc30138"/>
      <w:bookmarkStart w:id="3053" w:name="_Toc9578"/>
      <w:bookmarkStart w:id="3054" w:name="_Toc9161"/>
      <w:bookmarkStart w:id="3055" w:name="_Toc22416"/>
      <w:bookmarkStart w:id="3056" w:name="_Toc13673"/>
      <w:bookmarkStart w:id="3057" w:name="_Toc6733"/>
      <w:r>
        <w:rPr>
          <w:rFonts w:hint="eastAsia" w:ascii="微软雅黑" w:hAnsi="微软雅黑" w:eastAsia="微软雅黑" w:cs="微软雅黑"/>
          <w:b/>
          <w:color w:val="auto"/>
          <w:sz w:val="24"/>
          <w:highlight w:val="none"/>
        </w:rPr>
        <w:t>2.3 知识产权</w:t>
      </w:r>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p>
    <w:p w14:paraId="35769052">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5B7AA2E">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 合同涉及技术成果的归属和收益的分成办法的，详见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w:t>
      </w:r>
    </w:p>
    <w:p w14:paraId="17FD5C59">
      <w:pPr>
        <w:spacing w:line="400" w:lineRule="exact"/>
        <w:ind w:firstLine="480" w:firstLineChars="200"/>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2.4 履约检查和问题反馈</w:t>
      </w:r>
    </w:p>
    <w:p w14:paraId="78FDDB17">
      <w:pPr>
        <w:spacing w:line="400" w:lineRule="exact"/>
        <w:ind w:firstLine="480" w:firstLineChars="200"/>
        <w:outlineLvl w:val="9"/>
        <w:rPr>
          <w:rFonts w:hint="eastAsia" w:ascii="微软雅黑" w:hAnsi="微软雅黑" w:eastAsia="微软雅黑" w:cs="微软雅黑"/>
          <w:color w:val="auto"/>
          <w:sz w:val="24"/>
          <w:highlight w:val="none"/>
        </w:rPr>
      </w:pPr>
      <w:bookmarkStart w:id="3058" w:name="_Ref467379657"/>
      <w:r>
        <w:rPr>
          <w:rFonts w:hint="eastAsia" w:ascii="微软雅黑" w:hAnsi="微软雅黑" w:eastAsia="微软雅黑" w:cs="微软雅黑"/>
          <w:color w:val="auto"/>
          <w:sz w:val="24"/>
          <w:highlight w:val="none"/>
        </w:rPr>
        <w:t>2.4.1</w:t>
      </w:r>
      <w:bookmarkEnd w:id="3058"/>
      <w:bookmarkStart w:id="3059" w:name="_Toc186431854"/>
      <w:bookmarkStart w:id="3060" w:name="_Ref467379807"/>
      <w:bookmarkStart w:id="3061" w:name="_Toc487900357"/>
      <w:bookmarkStart w:id="3062" w:name="_Ref467379793"/>
      <w:bookmarkStart w:id="3063" w:name="_Toc259093676"/>
      <w:bookmarkStart w:id="3064" w:name="_Toc279701247"/>
      <w:r>
        <w:rPr>
          <w:rFonts w:hint="eastAsia" w:ascii="微软雅黑" w:hAnsi="微软雅黑" w:eastAsia="微软雅黑" w:cs="微软雅黑"/>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4ED07DDC">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2.4.2 合同履行期间，甲方有权将履行过程中出现的问题反馈给乙方，双方当事人应以书面形式约定需要完善和改进的内容</w:t>
      </w:r>
      <w:bookmarkEnd w:id="3059"/>
      <w:bookmarkStart w:id="3065" w:name="_Toc186431855"/>
      <w:r>
        <w:rPr>
          <w:rFonts w:hint="eastAsia" w:ascii="微软雅黑" w:hAnsi="微软雅黑" w:eastAsia="微软雅黑" w:cs="微软雅黑"/>
          <w:color w:val="auto"/>
          <w:sz w:val="24"/>
          <w:highlight w:val="none"/>
        </w:rPr>
        <w:t>。</w:t>
      </w:r>
    </w:p>
    <w:bookmarkEnd w:id="3065"/>
    <w:p w14:paraId="567B7305">
      <w:pPr>
        <w:spacing w:line="400" w:lineRule="exact"/>
        <w:ind w:firstLine="480" w:firstLineChars="200"/>
        <w:outlineLvl w:val="9"/>
        <w:rPr>
          <w:rFonts w:hint="eastAsia" w:ascii="微软雅黑" w:hAnsi="微软雅黑" w:eastAsia="微软雅黑" w:cs="微软雅黑"/>
          <w:b/>
          <w:color w:val="auto"/>
          <w:sz w:val="24"/>
          <w:highlight w:val="none"/>
        </w:rPr>
      </w:pPr>
      <w:bookmarkStart w:id="3066" w:name="_Toc29673"/>
      <w:bookmarkStart w:id="3067" w:name="_Toc26555"/>
      <w:bookmarkStart w:id="3068" w:name="_Toc31494"/>
      <w:bookmarkStart w:id="3069" w:name="_Toc12450"/>
      <w:bookmarkStart w:id="3070" w:name="_Toc9665"/>
      <w:bookmarkStart w:id="3071" w:name="_Toc24593"/>
      <w:bookmarkStart w:id="3072" w:name="_Toc4237"/>
      <w:bookmarkStart w:id="3073" w:name="_Toc25005"/>
      <w:bookmarkStart w:id="3074" w:name="_Toc22011"/>
      <w:bookmarkStart w:id="3075" w:name="_Toc23202"/>
      <w:bookmarkStart w:id="3076" w:name="_Toc32720"/>
      <w:bookmarkStart w:id="3077" w:name="_Toc21474"/>
      <w:bookmarkStart w:id="3078" w:name="_Toc32430"/>
      <w:bookmarkStart w:id="3079" w:name="_Toc16577"/>
      <w:bookmarkStart w:id="3080" w:name="_Toc32670"/>
      <w:bookmarkStart w:id="3081" w:name="_Toc6504"/>
      <w:bookmarkStart w:id="3082" w:name="_Toc32043"/>
      <w:bookmarkStart w:id="3083" w:name="_Toc9933"/>
      <w:bookmarkStart w:id="3084" w:name="_Toc15567"/>
      <w:bookmarkStart w:id="3085" w:name="_Toc28361"/>
      <w:bookmarkStart w:id="3086" w:name="_Toc18680"/>
      <w:bookmarkStart w:id="3087" w:name="_Toc31233"/>
      <w:bookmarkStart w:id="3088" w:name="_Toc8411"/>
      <w:bookmarkStart w:id="3089" w:name="_Toc16045"/>
      <w:r>
        <w:rPr>
          <w:rFonts w:hint="eastAsia" w:ascii="微软雅黑" w:hAnsi="微软雅黑" w:eastAsia="微软雅黑" w:cs="微软雅黑"/>
          <w:b/>
          <w:color w:val="auto"/>
          <w:sz w:val="24"/>
          <w:highlight w:val="none"/>
        </w:rPr>
        <w:t>2.5 结算方式和付款条件</w:t>
      </w:r>
      <w:bookmarkEnd w:id="3060"/>
      <w:bookmarkEnd w:id="3061"/>
      <w:bookmarkEnd w:id="3062"/>
      <w:bookmarkEnd w:id="3063"/>
      <w:bookmarkEnd w:id="3064"/>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p>
    <w:p w14:paraId="65FA2BDF">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w:t>
      </w:r>
    </w:p>
    <w:p w14:paraId="546C9676">
      <w:pPr>
        <w:spacing w:line="400" w:lineRule="exact"/>
        <w:ind w:firstLine="480" w:firstLineChars="200"/>
        <w:outlineLvl w:val="9"/>
        <w:rPr>
          <w:rFonts w:hint="eastAsia" w:ascii="微软雅黑" w:hAnsi="微软雅黑" w:eastAsia="微软雅黑" w:cs="微软雅黑"/>
          <w:b/>
          <w:color w:val="auto"/>
          <w:sz w:val="24"/>
          <w:highlight w:val="none"/>
        </w:rPr>
      </w:pPr>
      <w:bookmarkStart w:id="3090" w:name="_Toc279701248"/>
      <w:bookmarkStart w:id="3091" w:name="_Toc259093677"/>
      <w:bookmarkStart w:id="3092" w:name="_Ref467379852"/>
      <w:bookmarkStart w:id="3093" w:name="_Toc487900358"/>
      <w:bookmarkStart w:id="3094" w:name="_Ref467379923"/>
      <w:bookmarkStart w:id="3095" w:name="_Ref467379863"/>
      <w:bookmarkStart w:id="3096" w:name="_Toc9514"/>
      <w:bookmarkStart w:id="3097" w:name="_Toc13154"/>
      <w:bookmarkStart w:id="3098" w:name="_Toc5430"/>
      <w:bookmarkStart w:id="3099" w:name="_Toc23530"/>
      <w:bookmarkStart w:id="3100" w:name="_Toc15250"/>
      <w:bookmarkStart w:id="3101" w:name="_Toc15412"/>
      <w:bookmarkStart w:id="3102" w:name="_Toc29402"/>
      <w:bookmarkStart w:id="3103" w:name="_Toc7558"/>
      <w:bookmarkStart w:id="3104" w:name="_Toc31145"/>
      <w:bookmarkStart w:id="3105" w:name="_Toc18186"/>
      <w:bookmarkStart w:id="3106" w:name="_Toc30507"/>
      <w:bookmarkStart w:id="3107" w:name="_Toc32044"/>
      <w:bookmarkStart w:id="3108" w:name="_Toc23122"/>
      <w:bookmarkStart w:id="3109" w:name="_Toc5428"/>
      <w:bookmarkStart w:id="3110" w:name="_Toc22835"/>
      <w:bookmarkStart w:id="3111" w:name="_Toc20627"/>
      <w:bookmarkStart w:id="3112" w:name="_Toc29060"/>
      <w:bookmarkStart w:id="3113" w:name="_Toc13467"/>
      <w:bookmarkStart w:id="3114" w:name="_Toc10913"/>
      <w:bookmarkStart w:id="3115" w:name="_Toc16163"/>
      <w:bookmarkStart w:id="3116" w:name="_Toc18990"/>
      <w:bookmarkStart w:id="3117" w:name="_Toc26992"/>
      <w:bookmarkStart w:id="3118" w:name="_Toc13097"/>
      <w:bookmarkStart w:id="3119" w:name="_Toc13151"/>
      <w:bookmarkStart w:id="3120" w:name="_Toc3982"/>
      <w:bookmarkStart w:id="3121" w:name="_Toc12925"/>
      <w:r>
        <w:rPr>
          <w:rFonts w:hint="eastAsia" w:ascii="微软雅黑" w:hAnsi="微软雅黑" w:eastAsia="微软雅黑" w:cs="微软雅黑"/>
          <w:b/>
          <w:color w:val="auto"/>
          <w:sz w:val="24"/>
          <w:highlight w:val="none"/>
        </w:rPr>
        <w:t>2.6 技术资料</w:t>
      </w:r>
      <w:bookmarkEnd w:id="3090"/>
      <w:bookmarkEnd w:id="3091"/>
      <w:bookmarkEnd w:id="3092"/>
      <w:bookmarkEnd w:id="3093"/>
      <w:bookmarkEnd w:id="3094"/>
      <w:bookmarkEnd w:id="3095"/>
      <w:r>
        <w:rPr>
          <w:rFonts w:hint="eastAsia" w:ascii="微软雅黑" w:hAnsi="微软雅黑" w:eastAsia="微软雅黑" w:cs="微软雅黑"/>
          <w:b/>
          <w:color w:val="auto"/>
          <w:sz w:val="24"/>
          <w:highlight w:val="none"/>
        </w:rPr>
        <w:t>和</w:t>
      </w:r>
      <w:r>
        <w:rPr>
          <w:rFonts w:hint="eastAsia" w:ascii="微软雅黑" w:hAnsi="微软雅黑" w:eastAsia="微软雅黑" w:cs="微软雅黑"/>
          <w:b/>
          <w:color w:val="auto"/>
          <w:sz w:val="24"/>
          <w:highlight w:val="none"/>
          <w:lang w:val="en-US" w:eastAsia="zh-CN"/>
        </w:rPr>
        <w:t>**</w:t>
      </w:r>
      <w:r>
        <w:rPr>
          <w:rFonts w:hint="eastAsia" w:ascii="微软雅黑" w:hAnsi="微软雅黑" w:eastAsia="微软雅黑" w:cs="微软雅黑"/>
          <w:b/>
          <w:color w:val="auto"/>
          <w:sz w:val="24"/>
          <w:highlight w:val="none"/>
        </w:rPr>
        <w:t>义务</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p>
    <w:p w14:paraId="372D05AE">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2.6.1 乙方有权依据合同约定和项目需要，向甲方了解有关情况，调阅有关资料等，甲方应予积极配合；</w:t>
      </w:r>
    </w:p>
    <w:p w14:paraId="3301FA08">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2.6.2 乙方有义务妥善保管和保护由甲方提供的前款信息和资料等；</w:t>
      </w:r>
    </w:p>
    <w:p w14:paraId="1BEC9BF3">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和商业信息等，并采取一切合理和必要措施和方式防止任何第三方接触到对方当事人的上述</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color w:val="auto"/>
          <w:sz w:val="24"/>
          <w:highlight w:val="none"/>
        </w:rPr>
        <w:t>信息和资料。</w:t>
      </w:r>
    </w:p>
    <w:p w14:paraId="2C786BF0">
      <w:pPr>
        <w:spacing w:line="400" w:lineRule="exact"/>
        <w:ind w:firstLine="480" w:firstLineChars="200"/>
        <w:outlineLvl w:val="9"/>
        <w:rPr>
          <w:rFonts w:hint="eastAsia" w:ascii="微软雅黑" w:hAnsi="微软雅黑" w:eastAsia="微软雅黑" w:cs="微软雅黑"/>
          <w:b/>
          <w:color w:val="auto"/>
          <w:sz w:val="24"/>
          <w:highlight w:val="none"/>
        </w:rPr>
      </w:pPr>
      <w:bookmarkStart w:id="3122" w:name="_Toc22614"/>
      <w:bookmarkStart w:id="3123" w:name="_Toc24552"/>
      <w:bookmarkStart w:id="3124" w:name="_Toc1851"/>
      <w:bookmarkStart w:id="3125" w:name="_Toc15766"/>
      <w:bookmarkStart w:id="3126" w:name="_Toc16562"/>
      <w:bookmarkStart w:id="3127" w:name="_Toc29892"/>
      <w:bookmarkStart w:id="3128" w:name="_Toc1976"/>
      <w:bookmarkStart w:id="3129" w:name="_Toc9021"/>
      <w:bookmarkStart w:id="3130" w:name="_Toc29615"/>
      <w:bookmarkStart w:id="3131" w:name="_Toc15010"/>
      <w:bookmarkStart w:id="3132" w:name="_Toc20114"/>
      <w:bookmarkStart w:id="3133" w:name="_Toc13112"/>
      <w:bookmarkStart w:id="3134" w:name="_Toc7340"/>
      <w:bookmarkStart w:id="3135" w:name="_Toc30162"/>
      <w:bookmarkStart w:id="3136" w:name="_Toc24694"/>
      <w:bookmarkStart w:id="3137" w:name="_Toc24209"/>
      <w:bookmarkStart w:id="3138" w:name="_Toc2664"/>
      <w:bookmarkStart w:id="3139" w:name="_Toc18372"/>
      <w:bookmarkStart w:id="3140" w:name="_Toc339"/>
      <w:bookmarkStart w:id="3141" w:name="_Toc19069"/>
      <w:bookmarkStart w:id="3142" w:name="_Toc29551"/>
      <w:bookmarkStart w:id="3143" w:name="_Toc6423"/>
      <w:bookmarkStart w:id="3144" w:name="_Toc29113"/>
      <w:bookmarkStart w:id="3145" w:name="_Toc279701252"/>
      <w:bookmarkStart w:id="3146" w:name="_Toc487900362"/>
      <w:bookmarkStart w:id="3147" w:name="_Toc259093681"/>
      <w:r>
        <w:rPr>
          <w:rFonts w:hint="eastAsia" w:ascii="微软雅黑" w:hAnsi="微软雅黑" w:eastAsia="微软雅黑" w:cs="微软雅黑"/>
          <w:b/>
          <w:color w:val="auto"/>
          <w:sz w:val="24"/>
          <w:highlight w:val="none"/>
        </w:rPr>
        <w:t>2.7 质量保证</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p>
    <w:p w14:paraId="5A1DF8B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2.7.1 乙方应建立和完善履行合同的内部质量保证体系，并提供相关内部规章制度给甲方，以便甲方进行监督检查；</w:t>
      </w:r>
    </w:p>
    <w:p w14:paraId="18EF1796">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2.7.2 乙方应保证履行合同的人员数量和素质、软件和硬件设备的配置、场地、环境和设施等满足全面履行合同的要求，并应接受甲方的监督检查。</w:t>
      </w:r>
    </w:p>
    <w:p w14:paraId="30855D0A">
      <w:pPr>
        <w:spacing w:line="400" w:lineRule="exact"/>
        <w:ind w:firstLine="480" w:firstLineChars="200"/>
        <w:outlineLvl w:val="9"/>
        <w:rPr>
          <w:rFonts w:hint="eastAsia" w:ascii="微软雅黑" w:hAnsi="微软雅黑" w:eastAsia="微软雅黑" w:cs="微软雅黑"/>
          <w:b/>
          <w:color w:val="auto"/>
          <w:sz w:val="24"/>
          <w:highlight w:val="none"/>
        </w:rPr>
      </w:pPr>
      <w:bookmarkStart w:id="3148" w:name="_Toc15967"/>
      <w:bookmarkStart w:id="3149" w:name="_Toc32424"/>
      <w:bookmarkStart w:id="3150" w:name="_Toc25825"/>
      <w:bookmarkStart w:id="3151" w:name="_Toc22198"/>
      <w:bookmarkStart w:id="3152" w:name="_Toc10063"/>
      <w:bookmarkStart w:id="3153" w:name="_Toc4614"/>
      <w:bookmarkStart w:id="3154" w:name="_Toc3699"/>
      <w:bookmarkStart w:id="3155" w:name="_Toc1263"/>
      <w:bookmarkStart w:id="3156" w:name="_Toc11034"/>
      <w:bookmarkStart w:id="3157" w:name="_Toc7710"/>
      <w:bookmarkStart w:id="3158" w:name="_Toc30394"/>
      <w:bookmarkStart w:id="3159" w:name="_Toc30141"/>
      <w:bookmarkStart w:id="3160" w:name="_Toc32458"/>
      <w:bookmarkStart w:id="3161" w:name="_Toc6425"/>
      <w:bookmarkStart w:id="3162" w:name="_Toc10485"/>
      <w:bookmarkStart w:id="3163" w:name="_Toc11542"/>
      <w:bookmarkStart w:id="3164" w:name="_Toc30545"/>
      <w:bookmarkStart w:id="3165" w:name="_Toc3077"/>
      <w:bookmarkStart w:id="3166" w:name="_Toc8481"/>
      <w:bookmarkStart w:id="3167" w:name="_Toc10547"/>
      <w:bookmarkStart w:id="3168" w:name="_Toc11272"/>
      <w:bookmarkStart w:id="3169" w:name="_Toc28170"/>
      <w:r>
        <w:rPr>
          <w:rFonts w:hint="eastAsia" w:ascii="微软雅黑" w:hAnsi="微软雅黑" w:eastAsia="微软雅黑" w:cs="微软雅黑"/>
          <w:b/>
          <w:color w:val="auto"/>
          <w:sz w:val="24"/>
          <w:highlight w:val="none"/>
        </w:rPr>
        <w:t>2.8 延迟</w:t>
      </w:r>
      <w:bookmarkEnd w:id="3145"/>
      <w:bookmarkEnd w:id="3146"/>
      <w:bookmarkEnd w:id="3147"/>
      <w:r>
        <w:rPr>
          <w:rFonts w:hint="eastAsia" w:ascii="微软雅黑" w:hAnsi="微软雅黑" w:eastAsia="微软雅黑" w:cs="微软雅黑"/>
          <w:b/>
          <w:color w:val="auto"/>
          <w:sz w:val="24"/>
          <w:highlight w:val="none"/>
        </w:rPr>
        <w:t>履行</w:t>
      </w:r>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p>
    <w:p w14:paraId="31F14D7C">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在合同履行过程中，如果乙方遇到不能按时提供服务的情况</w:t>
      </w:r>
      <w:bookmarkStart w:id="3446" w:name="_GoBack"/>
      <w:bookmarkEnd w:id="3446"/>
      <w:r>
        <w:rPr>
          <w:rFonts w:hint="eastAsia" w:ascii="微软雅黑" w:hAnsi="微软雅黑" w:eastAsia="微软雅黑" w:cs="微软雅黑"/>
          <w:color w:val="auto"/>
          <w:sz w:val="24"/>
          <w:highlight w:val="none"/>
        </w:rPr>
        <w:t>，应及时以书面形式将不能按时提供服务的理由、预期延误时间通知甲方；甲方收到乙方通知后，认为其理由正当的，可以书面形式酌情同意乙方可以延长履行的具体时间。</w:t>
      </w:r>
    </w:p>
    <w:p w14:paraId="008FBB30">
      <w:pPr>
        <w:spacing w:line="400" w:lineRule="exact"/>
        <w:ind w:firstLine="480" w:firstLineChars="200"/>
        <w:outlineLvl w:val="9"/>
        <w:rPr>
          <w:rFonts w:hint="eastAsia" w:ascii="微软雅黑" w:hAnsi="微软雅黑" w:eastAsia="微软雅黑" w:cs="微软雅黑"/>
          <w:b/>
          <w:color w:val="auto"/>
          <w:sz w:val="24"/>
          <w:highlight w:val="none"/>
        </w:rPr>
      </w:pPr>
      <w:bookmarkStart w:id="3170" w:name="_Toc18543"/>
      <w:bookmarkStart w:id="3171" w:name="_Toc12521"/>
      <w:bookmarkStart w:id="3172" w:name="_Toc12112"/>
      <w:bookmarkStart w:id="3173" w:name="_Toc3810"/>
      <w:bookmarkStart w:id="3174" w:name="_Toc13769"/>
      <w:bookmarkStart w:id="3175" w:name="_Toc20254"/>
      <w:bookmarkStart w:id="3176" w:name="_Toc14652"/>
      <w:bookmarkStart w:id="3177" w:name="_Toc10611"/>
      <w:bookmarkStart w:id="3178" w:name="_Toc10750"/>
      <w:bookmarkStart w:id="3179" w:name="_Toc28758"/>
      <w:bookmarkStart w:id="3180" w:name="_Toc12190"/>
      <w:bookmarkStart w:id="3181" w:name="_Toc3758"/>
      <w:bookmarkStart w:id="3182" w:name="_Toc7777"/>
      <w:bookmarkStart w:id="3183" w:name="_Toc25613"/>
      <w:bookmarkStart w:id="3184" w:name="_Toc2469"/>
      <w:bookmarkStart w:id="3185" w:name="_Toc1780"/>
      <w:bookmarkStart w:id="3186" w:name="_Toc12900"/>
      <w:bookmarkStart w:id="3187" w:name="_Toc27101"/>
      <w:bookmarkStart w:id="3188" w:name="_Toc19341"/>
      <w:bookmarkStart w:id="3189" w:name="_Toc22434"/>
      <w:bookmarkStart w:id="3190" w:name="_Toc2244"/>
      <w:bookmarkStart w:id="3191" w:name="_Toc17095"/>
      <w:bookmarkStart w:id="3192" w:name="_Ref467378121"/>
      <w:bookmarkStart w:id="3193" w:name="_Toc487900364"/>
      <w:bookmarkStart w:id="3194" w:name="_Toc259093683"/>
      <w:bookmarkStart w:id="3195" w:name="_Toc279701254"/>
      <w:r>
        <w:rPr>
          <w:rFonts w:hint="eastAsia" w:ascii="微软雅黑" w:hAnsi="微软雅黑" w:eastAsia="微软雅黑" w:cs="微软雅黑"/>
          <w:b/>
          <w:color w:val="auto"/>
          <w:sz w:val="24"/>
          <w:highlight w:val="none"/>
        </w:rPr>
        <w:t>2.9 合同变更</w:t>
      </w:r>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p>
    <w:p w14:paraId="6720E67D">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60814674">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3196" w:name="_Toc279701259"/>
      <w:bookmarkStart w:id="3197" w:name="_Toc259093688"/>
      <w:bookmarkStart w:id="3198" w:name="_Toc487900369"/>
    </w:p>
    <w:p w14:paraId="0AB2738F">
      <w:pPr>
        <w:spacing w:line="400" w:lineRule="exact"/>
        <w:ind w:firstLine="480" w:firstLineChars="200"/>
        <w:outlineLvl w:val="9"/>
        <w:rPr>
          <w:rFonts w:hint="eastAsia" w:ascii="微软雅黑" w:hAnsi="微软雅黑" w:eastAsia="微软雅黑" w:cs="微软雅黑"/>
          <w:b/>
          <w:color w:val="auto"/>
          <w:sz w:val="24"/>
          <w:highlight w:val="none"/>
        </w:rPr>
      </w:pPr>
      <w:bookmarkStart w:id="3199" w:name="_Toc26689"/>
      <w:bookmarkStart w:id="3200" w:name="_Toc42"/>
      <w:bookmarkStart w:id="3201" w:name="_Toc30446"/>
      <w:bookmarkStart w:id="3202" w:name="_Toc17116"/>
      <w:bookmarkStart w:id="3203" w:name="_Toc26265"/>
      <w:bookmarkStart w:id="3204" w:name="_Toc14960"/>
      <w:bookmarkStart w:id="3205" w:name="_Toc25994"/>
      <w:bookmarkStart w:id="3206" w:name="_Toc24472"/>
      <w:bookmarkStart w:id="3207" w:name="_Toc15457"/>
      <w:bookmarkStart w:id="3208" w:name="_Toc13106"/>
      <w:bookmarkStart w:id="3209" w:name="_Toc24271"/>
      <w:bookmarkStart w:id="3210" w:name="_Toc23368"/>
      <w:bookmarkStart w:id="3211" w:name="_Toc8977"/>
      <w:bookmarkStart w:id="3212" w:name="_Toc4195"/>
      <w:bookmarkStart w:id="3213" w:name="_Toc18298"/>
      <w:bookmarkStart w:id="3214" w:name="_Toc10663"/>
      <w:bookmarkStart w:id="3215" w:name="_Toc6424"/>
      <w:bookmarkStart w:id="3216" w:name="_Toc10186"/>
      <w:bookmarkStart w:id="3217" w:name="_Toc6143"/>
      <w:bookmarkStart w:id="3218" w:name="_Toc14972"/>
      <w:bookmarkStart w:id="3219" w:name="_Toc27242"/>
      <w:bookmarkStart w:id="3220" w:name="_Toc8222"/>
      <w:bookmarkStart w:id="3221" w:name="_Toc22130"/>
      <w:bookmarkStart w:id="3222" w:name="_Toc28640"/>
      <w:bookmarkStart w:id="3223" w:name="_Toc26473"/>
      <w:bookmarkStart w:id="3224" w:name="_Toc18950"/>
      <w:bookmarkStart w:id="3225" w:name="_Toc21830"/>
      <w:bookmarkStart w:id="3226" w:name="_Toc15434"/>
      <w:r>
        <w:rPr>
          <w:rFonts w:hint="eastAsia" w:ascii="微软雅黑" w:hAnsi="微软雅黑" w:eastAsia="微软雅黑" w:cs="微软雅黑"/>
          <w:b/>
          <w:color w:val="auto"/>
          <w:sz w:val="24"/>
          <w:highlight w:val="none"/>
        </w:rPr>
        <w:t>2.10 合同转让</w:t>
      </w:r>
      <w:bookmarkEnd w:id="3196"/>
      <w:bookmarkEnd w:id="3197"/>
      <w:bookmarkEnd w:id="3198"/>
      <w:r>
        <w:rPr>
          <w:rFonts w:hint="eastAsia" w:ascii="微软雅黑" w:hAnsi="微软雅黑" w:eastAsia="微软雅黑" w:cs="微软雅黑"/>
          <w:b/>
          <w:color w:val="auto"/>
          <w:sz w:val="24"/>
          <w:highlight w:val="none"/>
        </w:rPr>
        <w:t>和分包</w:t>
      </w:r>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p>
    <w:p w14:paraId="54510BC9">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190BB4D">
      <w:pPr>
        <w:spacing w:line="400" w:lineRule="exact"/>
        <w:ind w:firstLine="480" w:firstLineChars="200"/>
        <w:outlineLvl w:val="9"/>
        <w:rPr>
          <w:rFonts w:hint="eastAsia" w:ascii="微软雅黑" w:hAnsi="微软雅黑" w:eastAsia="微软雅黑" w:cs="微软雅黑"/>
          <w:b/>
          <w:color w:val="auto"/>
          <w:sz w:val="24"/>
          <w:highlight w:val="none"/>
        </w:rPr>
      </w:pPr>
      <w:bookmarkStart w:id="3227" w:name="_Toc15171"/>
      <w:bookmarkStart w:id="3228" w:name="_Toc1191"/>
      <w:bookmarkStart w:id="3229" w:name="_Toc16875"/>
      <w:bookmarkStart w:id="3230" w:name="_Toc15404"/>
      <w:bookmarkStart w:id="3231" w:name="_Toc25571"/>
      <w:bookmarkStart w:id="3232" w:name="_Toc4720"/>
      <w:bookmarkStart w:id="3233" w:name="_Toc26602"/>
      <w:bookmarkStart w:id="3234" w:name="_Toc12541"/>
      <w:bookmarkStart w:id="3235" w:name="_Toc30847"/>
      <w:bookmarkStart w:id="3236" w:name="_Toc8431"/>
      <w:bookmarkStart w:id="3237" w:name="_Toc26633"/>
      <w:bookmarkStart w:id="3238" w:name="_Toc31065"/>
      <w:bookmarkStart w:id="3239" w:name="_Toc24708"/>
      <w:bookmarkStart w:id="3240" w:name="_Toc19565"/>
      <w:bookmarkStart w:id="3241" w:name="_Toc14717"/>
      <w:bookmarkStart w:id="3242" w:name="_Toc32494"/>
      <w:bookmarkStart w:id="3243" w:name="_Toc945"/>
      <w:bookmarkStart w:id="3244" w:name="_Toc19440"/>
      <w:bookmarkStart w:id="3245" w:name="_Toc10449"/>
      <w:bookmarkStart w:id="3246" w:name="_Toc9462"/>
      <w:bookmarkStart w:id="3247" w:name="_Toc9705"/>
      <w:bookmarkStart w:id="3248" w:name="_Toc4684"/>
      <w:bookmarkStart w:id="3249" w:name="_Toc10203"/>
      <w:bookmarkStart w:id="3250" w:name="_Toc14371"/>
      <w:bookmarkStart w:id="3251" w:name="_Toc13365"/>
      <w:r>
        <w:rPr>
          <w:rFonts w:hint="eastAsia" w:ascii="微软雅黑" w:hAnsi="微软雅黑" w:eastAsia="微软雅黑" w:cs="微软雅黑"/>
          <w:b/>
          <w:color w:val="auto"/>
          <w:sz w:val="24"/>
          <w:highlight w:val="none"/>
        </w:rPr>
        <w:t>2.11 不可抗力</w:t>
      </w:r>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p>
    <w:p w14:paraId="7C53CE7D">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2.11.1如果任何一方遭遇法律规定的不可抗力，致使合同履行受阻时，履行合同的期限应予延长，延长的期限应相当于不可抗力所影响的时间；</w:t>
      </w:r>
    </w:p>
    <w:p w14:paraId="40C1711D">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2.11.2 因不可抗力致使不能实现合同目的的，当事人可以解除合同；</w:t>
      </w:r>
    </w:p>
    <w:p w14:paraId="0B497A5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2.11.3 因不可抗力致使合同有变更必要的，双方当事人应在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约定时间内以书面形式变更合同；</w:t>
      </w:r>
    </w:p>
    <w:p w14:paraId="2B391D5D">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2.11.4受不可抗力影响的一方在不可抗力发生后，应在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约定时间内以书面形式通知对方当事人，并在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约定时间内，将有关部门出具的证明文件送达对方当事人。</w:t>
      </w:r>
    </w:p>
    <w:p w14:paraId="623E4704">
      <w:pPr>
        <w:spacing w:line="400" w:lineRule="exact"/>
        <w:ind w:firstLine="480" w:firstLineChars="200"/>
        <w:outlineLvl w:val="9"/>
        <w:rPr>
          <w:rFonts w:hint="eastAsia" w:ascii="微软雅黑" w:hAnsi="微软雅黑" w:eastAsia="微软雅黑" w:cs="微软雅黑"/>
          <w:b/>
          <w:color w:val="auto"/>
          <w:sz w:val="24"/>
          <w:highlight w:val="none"/>
        </w:rPr>
      </w:pPr>
      <w:bookmarkStart w:id="3252" w:name="_Toc279701255"/>
      <w:bookmarkStart w:id="3253" w:name="_Toc16499"/>
      <w:bookmarkStart w:id="3254" w:name="_Toc23373"/>
      <w:bookmarkStart w:id="3255" w:name="_Toc2562"/>
      <w:bookmarkStart w:id="3256" w:name="_Toc24465"/>
      <w:bookmarkStart w:id="3257" w:name="_Toc27961"/>
      <w:bookmarkStart w:id="3258" w:name="_Toc14205"/>
      <w:bookmarkStart w:id="3259" w:name="_Toc2174"/>
      <w:bookmarkStart w:id="3260" w:name="_Toc487900365"/>
      <w:bookmarkStart w:id="3261" w:name="_Toc219"/>
      <w:bookmarkStart w:id="3262" w:name="_Toc17127"/>
      <w:bookmarkStart w:id="3263" w:name="_Toc23854"/>
      <w:bookmarkStart w:id="3264" w:name="_Toc11275"/>
      <w:bookmarkStart w:id="3265" w:name="_Toc14831"/>
      <w:bookmarkStart w:id="3266" w:name="_Toc14370"/>
      <w:bookmarkStart w:id="3267" w:name="_Toc14115"/>
      <w:bookmarkStart w:id="3268" w:name="_Toc3638"/>
      <w:bookmarkStart w:id="3269" w:name="_Toc12690"/>
      <w:bookmarkStart w:id="3270" w:name="_Toc19153"/>
      <w:bookmarkStart w:id="3271" w:name="_Toc9302"/>
      <w:bookmarkStart w:id="3272" w:name="_Toc3156"/>
      <w:bookmarkStart w:id="3273" w:name="_Toc6465"/>
      <w:bookmarkStart w:id="3274" w:name="_Toc259093684"/>
      <w:bookmarkStart w:id="3275" w:name="_Toc32181"/>
      <w:bookmarkStart w:id="3276" w:name="_Toc787"/>
      <w:bookmarkStart w:id="3277" w:name="_Toc30880"/>
      <w:bookmarkStart w:id="3278" w:name="_Toc32215"/>
      <w:bookmarkStart w:id="3279" w:name="_Toc6743"/>
      <w:r>
        <w:rPr>
          <w:rFonts w:hint="eastAsia" w:ascii="微软雅黑" w:hAnsi="微软雅黑" w:eastAsia="微软雅黑" w:cs="微软雅黑"/>
          <w:b/>
          <w:color w:val="auto"/>
          <w:sz w:val="24"/>
          <w:highlight w:val="none"/>
        </w:rPr>
        <w:t>2.12 税费</w:t>
      </w:r>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p>
    <w:p w14:paraId="601EE3E5">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与合同有关的一切税费，均按照中华人民共和国法律的相关规定缴纳。</w:t>
      </w:r>
    </w:p>
    <w:p w14:paraId="3ECFC1C2">
      <w:pPr>
        <w:spacing w:line="400" w:lineRule="exact"/>
        <w:ind w:firstLine="480" w:firstLineChars="200"/>
        <w:outlineLvl w:val="9"/>
        <w:rPr>
          <w:rFonts w:hint="eastAsia" w:ascii="微软雅黑" w:hAnsi="微软雅黑" w:eastAsia="微软雅黑" w:cs="微软雅黑"/>
          <w:b/>
          <w:color w:val="auto"/>
          <w:sz w:val="24"/>
          <w:highlight w:val="none"/>
        </w:rPr>
      </w:pPr>
      <w:bookmarkStart w:id="3280" w:name="_Toc17934"/>
      <w:bookmarkStart w:id="3281" w:name="_Toc31237"/>
      <w:bookmarkStart w:id="3282" w:name="_Toc29122"/>
      <w:bookmarkStart w:id="3283" w:name="_Toc19880"/>
      <w:bookmarkStart w:id="3284" w:name="_Toc26883"/>
      <w:bookmarkStart w:id="3285" w:name="_Toc14494"/>
      <w:bookmarkStart w:id="3286" w:name="_Toc5156"/>
      <w:bookmarkStart w:id="3287" w:name="_Toc259093687"/>
      <w:bookmarkStart w:id="3288" w:name="_Toc30043"/>
      <w:bookmarkStart w:id="3289" w:name="_Toc4896"/>
      <w:bookmarkStart w:id="3290" w:name="_Toc24809"/>
      <w:bookmarkStart w:id="3291" w:name="_Toc487900368"/>
      <w:bookmarkStart w:id="3292" w:name="_Toc426"/>
      <w:bookmarkStart w:id="3293" w:name="_Toc15966"/>
      <w:bookmarkStart w:id="3294" w:name="_Toc25525"/>
      <w:bookmarkStart w:id="3295" w:name="_Toc3759"/>
      <w:bookmarkStart w:id="3296" w:name="_Toc27492"/>
      <w:bookmarkStart w:id="3297" w:name="_Toc22813"/>
      <w:bookmarkStart w:id="3298" w:name="_Toc22150"/>
      <w:bookmarkStart w:id="3299" w:name="_Toc12415"/>
      <w:bookmarkStart w:id="3300" w:name="_Toc30105"/>
      <w:bookmarkStart w:id="3301" w:name="_Toc10398"/>
      <w:bookmarkStart w:id="3302" w:name="_Toc7315"/>
      <w:bookmarkStart w:id="3303" w:name="_Toc16361"/>
      <w:bookmarkStart w:id="3304" w:name="_Toc21103"/>
      <w:bookmarkStart w:id="3305" w:name="_Toc24063"/>
      <w:bookmarkStart w:id="3306" w:name="_Toc279701258"/>
      <w:bookmarkStart w:id="3307" w:name="_Toc14814"/>
      <w:bookmarkStart w:id="3308" w:name="_Toc15188"/>
      <w:bookmarkStart w:id="3309" w:name="_Toc17641"/>
      <w:bookmarkStart w:id="3310" w:name="_Toc16935"/>
      <w:r>
        <w:rPr>
          <w:rFonts w:hint="eastAsia" w:ascii="微软雅黑" w:hAnsi="微软雅黑" w:eastAsia="微软雅黑" w:cs="微软雅黑"/>
          <w:b/>
          <w:color w:val="auto"/>
          <w:sz w:val="24"/>
          <w:highlight w:val="none"/>
        </w:rPr>
        <w:t>2.13 乙方破产</w:t>
      </w:r>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p>
    <w:p w14:paraId="3C00E239">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BABF8D">
      <w:pPr>
        <w:spacing w:line="400" w:lineRule="exact"/>
        <w:ind w:firstLine="480" w:firstLineChars="200"/>
        <w:outlineLvl w:val="9"/>
        <w:rPr>
          <w:rFonts w:hint="eastAsia" w:ascii="微软雅黑" w:hAnsi="微软雅黑" w:eastAsia="微软雅黑" w:cs="微软雅黑"/>
          <w:b/>
          <w:color w:val="auto"/>
          <w:sz w:val="24"/>
          <w:highlight w:val="none"/>
        </w:rPr>
      </w:pPr>
      <w:bookmarkStart w:id="3311" w:name="_Toc1675"/>
      <w:bookmarkStart w:id="3312" w:name="_Toc4472"/>
      <w:bookmarkStart w:id="3313" w:name="_Toc15804"/>
      <w:bookmarkStart w:id="3314" w:name="_Toc8310"/>
      <w:bookmarkStart w:id="3315" w:name="_Toc26320"/>
      <w:bookmarkStart w:id="3316" w:name="_Toc1123"/>
      <w:bookmarkStart w:id="3317" w:name="_Toc23323"/>
      <w:bookmarkStart w:id="3318" w:name="_Toc23359"/>
      <w:bookmarkStart w:id="3319" w:name="_Toc11710"/>
      <w:bookmarkStart w:id="3320" w:name="_Toc13023"/>
      <w:bookmarkStart w:id="3321" w:name="_Toc31298"/>
      <w:bookmarkStart w:id="3322" w:name="_Toc14113"/>
      <w:bookmarkStart w:id="3323" w:name="_Toc6032"/>
      <w:bookmarkStart w:id="3324" w:name="_Toc8066"/>
      <w:bookmarkStart w:id="3325" w:name="_Toc10056"/>
      <w:bookmarkStart w:id="3326" w:name="_Toc15650"/>
      <w:bookmarkStart w:id="3327" w:name="_Toc4348"/>
      <w:bookmarkStart w:id="3328" w:name="_Toc9082"/>
      <w:bookmarkStart w:id="3329" w:name="_Toc25092"/>
      <w:bookmarkStart w:id="3330" w:name="_Toc27757"/>
      <w:bookmarkStart w:id="3331" w:name="_Toc2167"/>
      <w:bookmarkStart w:id="3332" w:name="_Toc2016"/>
      <w:bookmarkStart w:id="3333" w:name="_Toc8069"/>
      <w:bookmarkStart w:id="3334" w:name="_Toc27748"/>
      <w:bookmarkStart w:id="3335" w:name="_Toc18650"/>
      <w:r>
        <w:rPr>
          <w:rFonts w:hint="eastAsia" w:ascii="微软雅黑" w:hAnsi="微软雅黑" w:eastAsia="微软雅黑" w:cs="微软雅黑"/>
          <w:b/>
          <w:color w:val="auto"/>
          <w:sz w:val="24"/>
          <w:highlight w:val="none"/>
        </w:rPr>
        <w:t>2.14 合同中止、终止</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p>
    <w:p w14:paraId="4C72EB98">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2.14.1 双方当事人不得擅自中止或者终止合同；</w:t>
      </w:r>
    </w:p>
    <w:p w14:paraId="00E11133">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7BAC9501">
      <w:pPr>
        <w:spacing w:line="400" w:lineRule="exact"/>
        <w:ind w:firstLine="480" w:firstLineChars="200"/>
        <w:outlineLvl w:val="9"/>
        <w:rPr>
          <w:rFonts w:hint="eastAsia" w:ascii="微软雅黑" w:hAnsi="微软雅黑" w:eastAsia="微软雅黑" w:cs="微软雅黑"/>
          <w:b/>
          <w:color w:val="auto"/>
          <w:sz w:val="24"/>
          <w:highlight w:val="none"/>
        </w:rPr>
      </w:pPr>
      <w:bookmarkStart w:id="3336" w:name="_Toc22355"/>
      <w:bookmarkStart w:id="3337" w:name="_Toc5120"/>
      <w:bookmarkStart w:id="3338" w:name="_Toc16250"/>
      <w:bookmarkStart w:id="3339" w:name="_Toc17969"/>
      <w:bookmarkStart w:id="3340" w:name="_Toc145"/>
      <w:bookmarkStart w:id="3341" w:name="_Toc25753"/>
      <w:bookmarkStart w:id="3342" w:name="_Toc25930"/>
      <w:bookmarkStart w:id="3343" w:name="_Toc15075"/>
      <w:bookmarkStart w:id="3344" w:name="_Toc32162"/>
      <w:bookmarkStart w:id="3345" w:name="_Toc30002"/>
      <w:bookmarkStart w:id="3346" w:name="_Toc7090"/>
      <w:bookmarkStart w:id="3347" w:name="_Toc25815"/>
      <w:bookmarkStart w:id="3348" w:name="_Toc26233"/>
      <w:bookmarkStart w:id="3349" w:name="_Toc30269"/>
      <w:bookmarkStart w:id="3350" w:name="_Toc1969"/>
      <w:bookmarkStart w:id="3351" w:name="_Toc22475"/>
      <w:bookmarkStart w:id="3352" w:name="_Toc295"/>
      <w:bookmarkStart w:id="3353" w:name="_Toc16922"/>
      <w:bookmarkStart w:id="3354" w:name="_Toc1552"/>
      <w:bookmarkStart w:id="3355" w:name="_Toc17363"/>
      <w:bookmarkStart w:id="3356" w:name="_Toc14653"/>
      <w:bookmarkStart w:id="3357" w:name="_Toc12473"/>
      <w:bookmarkStart w:id="3358" w:name="_Toc24820"/>
      <w:r>
        <w:rPr>
          <w:rFonts w:hint="eastAsia" w:ascii="微软雅黑" w:hAnsi="微软雅黑" w:eastAsia="微软雅黑" w:cs="微软雅黑"/>
          <w:b/>
          <w:color w:val="auto"/>
          <w:sz w:val="24"/>
          <w:highlight w:val="none"/>
        </w:rPr>
        <w:t>2.15 检验和验收</w:t>
      </w:r>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p>
    <w:p w14:paraId="16983707">
      <w:pPr>
        <w:tabs>
          <w:tab w:val="left" w:pos="360"/>
          <w:tab w:val="left" w:pos="540"/>
          <w:tab w:val="left" w:pos="1080"/>
        </w:tabs>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2.15.1 乙方按照</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的约定，定期提交服务报告，甲方按照</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的约定进行定期验收；</w:t>
      </w:r>
    </w:p>
    <w:p w14:paraId="5401FF8E">
      <w:pPr>
        <w:tabs>
          <w:tab w:val="left" w:pos="360"/>
          <w:tab w:val="left" w:pos="540"/>
          <w:tab w:val="left" w:pos="1080"/>
        </w:tabs>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0F109CC">
      <w:pPr>
        <w:tabs>
          <w:tab w:val="left" w:pos="360"/>
          <w:tab w:val="left" w:pos="540"/>
          <w:tab w:val="left" w:pos="1080"/>
        </w:tabs>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2.15.3 检验和验收标准、程序等具体内容以及前述验收书的效力详见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i/>
          <w:color w:val="auto"/>
          <w:sz w:val="24"/>
          <w:highlight w:val="none"/>
        </w:rPr>
        <w:t>。</w:t>
      </w:r>
    </w:p>
    <w:bookmarkEnd w:id="3192"/>
    <w:bookmarkEnd w:id="3193"/>
    <w:bookmarkEnd w:id="3194"/>
    <w:bookmarkEnd w:id="3195"/>
    <w:p w14:paraId="3523BE18">
      <w:pPr>
        <w:spacing w:line="400" w:lineRule="exact"/>
        <w:ind w:firstLine="480" w:firstLineChars="200"/>
        <w:outlineLvl w:val="9"/>
        <w:rPr>
          <w:rFonts w:hint="eastAsia" w:ascii="微软雅黑" w:hAnsi="微软雅黑" w:eastAsia="微软雅黑" w:cs="微软雅黑"/>
          <w:b/>
          <w:color w:val="auto"/>
          <w:sz w:val="24"/>
          <w:highlight w:val="none"/>
        </w:rPr>
      </w:pPr>
      <w:bookmarkStart w:id="3359" w:name="_Toc279701261"/>
      <w:bookmarkStart w:id="3360" w:name="_Toc487900371"/>
      <w:bookmarkStart w:id="3361" w:name="_Toc259093690"/>
      <w:bookmarkStart w:id="3362" w:name="_Toc29667"/>
      <w:bookmarkStart w:id="3363" w:name="_Toc12970"/>
      <w:bookmarkStart w:id="3364" w:name="_Toc15525"/>
      <w:bookmarkStart w:id="3365" w:name="_Toc13544"/>
      <w:bookmarkStart w:id="3366" w:name="_Toc3309"/>
      <w:bookmarkStart w:id="3367" w:name="_Toc31656"/>
      <w:bookmarkStart w:id="3368" w:name="_Toc14701"/>
      <w:bookmarkStart w:id="3369" w:name="_Toc25198"/>
      <w:bookmarkStart w:id="3370" w:name="_Toc2308"/>
      <w:bookmarkStart w:id="3371" w:name="_Toc10525"/>
      <w:bookmarkStart w:id="3372" w:name="_Toc8198"/>
      <w:bookmarkStart w:id="3373" w:name="_Toc6307"/>
      <w:bookmarkStart w:id="3374" w:name="_Toc10819"/>
      <w:bookmarkStart w:id="3375" w:name="_Toc9808"/>
      <w:bookmarkStart w:id="3376" w:name="_Toc22987"/>
      <w:bookmarkStart w:id="3377" w:name="_Toc23573"/>
      <w:bookmarkStart w:id="3378" w:name="_Toc26095"/>
      <w:bookmarkStart w:id="3379" w:name="_Toc18147"/>
      <w:bookmarkStart w:id="3380" w:name="_Toc18336"/>
      <w:bookmarkStart w:id="3381" w:name="_Toc13486"/>
      <w:bookmarkStart w:id="3382" w:name="_Toc12666"/>
      <w:bookmarkStart w:id="3383" w:name="_Toc13224"/>
      <w:bookmarkStart w:id="3384" w:name="_Toc22381"/>
      <w:r>
        <w:rPr>
          <w:rFonts w:hint="eastAsia" w:ascii="微软雅黑" w:hAnsi="微软雅黑" w:eastAsia="微软雅黑" w:cs="微软雅黑"/>
          <w:b/>
          <w:color w:val="auto"/>
          <w:sz w:val="24"/>
          <w:highlight w:val="none"/>
        </w:rPr>
        <w:t>2.16 通知</w:t>
      </w:r>
      <w:bookmarkEnd w:id="3359"/>
      <w:bookmarkEnd w:id="3360"/>
      <w:bookmarkEnd w:id="3361"/>
      <w:r>
        <w:rPr>
          <w:rFonts w:hint="eastAsia" w:ascii="微软雅黑" w:hAnsi="微软雅黑" w:eastAsia="微软雅黑" w:cs="微软雅黑"/>
          <w:b/>
          <w:color w:val="auto"/>
          <w:sz w:val="24"/>
          <w:highlight w:val="none"/>
        </w:rPr>
        <w:t>和送达</w:t>
      </w:r>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p>
    <w:p w14:paraId="66612584">
      <w:pPr>
        <w:spacing w:line="400" w:lineRule="exact"/>
        <w:ind w:firstLine="480" w:firstLineChars="200"/>
        <w:outlineLvl w:val="9"/>
        <w:rPr>
          <w:rFonts w:hint="eastAsia" w:ascii="微软雅黑" w:hAnsi="微软雅黑" w:eastAsia="微软雅黑" w:cs="微软雅黑"/>
          <w:color w:val="auto"/>
          <w:sz w:val="24"/>
          <w:highlight w:val="none"/>
        </w:rPr>
      </w:pPr>
      <w:bookmarkStart w:id="3385" w:name="_Toc7073"/>
      <w:bookmarkStart w:id="3386" w:name="_Toc279701262"/>
      <w:bookmarkStart w:id="3387" w:name="_Toc487900372"/>
      <w:bookmarkStart w:id="3388" w:name="_Toc259093691"/>
      <w:r>
        <w:rPr>
          <w:rFonts w:hint="eastAsia" w:ascii="微软雅黑" w:hAnsi="微软雅黑" w:eastAsia="微软雅黑" w:cs="微软雅黑"/>
          <w:color w:val="auto"/>
          <w:sz w:val="24"/>
          <w:highlight w:val="none"/>
        </w:rPr>
        <w:t>2.16.1 任何一方因履行合同而以合同第一部分尾部所列明的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个工作日内书面通知对方当事人，在对方当事人收到有关变更通知之前，变更前的约定送达方式或者地址仍视为有效。</w:t>
      </w:r>
      <w:bookmarkEnd w:id="3385"/>
    </w:p>
    <w:p w14:paraId="732C9EBE">
      <w:pPr>
        <w:spacing w:line="400" w:lineRule="exact"/>
        <w:ind w:firstLine="480" w:firstLineChars="200"/>
        <w:outlineLvl w:val="9"/>
        <w:rPr>
          <w:rFonts w:hint="eastAsia" w:ascii="微软雅黑" w:hAnsi="微软雅黑" w:eastAsia="微软雅黑" w:cs="微软雅黑"/>
          <w:color w:val="auto"/>
          <w:sz w:val="24"/>
          <w:highlight w:val="none"/>
        </w:rPr>
      </w:pPr>
      <w:bookmarkStart w:id="3389" w:name="_Toc18401"/>
      <w:bookmarkStart w:id="3390" w:name="_Toc27674"/>
      <w:r>
        <w:rPr>
          <w:rFonts w:hint="eastAsia" w:ascii="微软雅黑" w:hAnsi="微软雅黑" w:eastAsia="微软雅黑" w:cs="微软雅黑"/>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389"/>
      <w:bookmarkEnd w:id="3390"/>
    </w:p>
    <w:bookmarkEnd w:id="3386"/>
    <w:bookmarkEnd w:id="3387"/>
    <w:bookmarkEnd w:id="3388"/>
    <w:p w14:paraId="7923F792">
      <w:pPr>
        <w:spacing w:line="400" w:lineRule="exact"/>
        <w:ind w:firstLine="480" w:firstLineChars="200"/>
        <w:outlineLvl w:val="9"/>
        <w:rPr>
          <w:rFonts w:hint="eastAsia" w:ascii="微软雅黑" w:hAnsi="微软雅黑" w:eastAsia="微软雅黑" w:cs="微软雅黑"/>
          <w:b/>
          <w:color w:val="auto"/>
          <w:sz w:val="24"/>
          <w:highlight w:val="none"/>
        </w:rPr>
      </w:pPr>
      <w:bookmarkStart w:id="3391" w:name="_Toc13574"/>
      <w:bookmarkStart w:id="3392" w:name="_Toc4377"/>
      <w:bookmarkStart w:id="3393" w:name="_Toc16009"/>
      <w:bookmarkStart w:id="3394" w:name="_Toc259093692"/>
      <w:bookmarkStart w:id="3395" w:name="_Toc29232"/>
      <w:bookmarkStart w:id="3396" w:name="_Toc10528"/>
      <w:bookmarkStart w:id="3397" w:name="_Toc12868"/>
      <w:bookmarkStart w:id="3398" w:name="_Toc556"/>
      <w:bookmarkStart w:id="3399" w:name="_Toc27188"/>
      <w:bookmarkStart w:id="3400" w:name="_Toc4843"/>
      <w:bookmarkStart w:id="3401" w:name="_Toc13433"/>
      <w:bookmarkStart w:id="3402" w:name="_Toc19439"/>
      <w:bookmarkStart w:id="3403" w:name="_Toc28514"/>
      <w:bookmarkStart w:id="3404" w:name="_Toc28590"/>
      <w:bookmarkStart w:id="3405" w:name="_Toc8509"/>
      <w:bookmarkStart w:id="3406" w:name="_Toc10103"/>
      <w:bookmarkStart w:id="3407" w:name="_Toc18929"/>
      <w:bookmarkStart w:id="3408" w:name="_Toc487900373"/>
      <w:bookmarkStart w:id="3409" w:name="_Toc20808"/>
      <w:bookmarkStart w:id="3410" w:name="_Toc31615"/>
      <w:bookmarkStart w:id="3411" w:name="_Toc12839"/>
      <w:bookmarkStart w:id="3412" w:name="_Toc1846"/>
      <w:bookmarkStart w:id="3413" w:name="_Toc4407"/>
      <w:bookmarkStart w:id="3414" w:name="_Toc279701263"/>
      <w:bookmarkStart w:id="3415" w:name="_Toc27644"/>
      <w:bookmarkStart w:id="3416" w:name="_Toc18906"/>
      <w:bookmarkStart w:id="3417" w:name="_Toc5063"/>
      <w:bookmarkStart w:id="3418" w:name="_Toc18708"/>
      <w:bookmarkStart w:id="3419" w:name="_Toc12254"/>
      <w:r>
        <w:rPr>
          <w:rFonts w:hint="eastAsia" w:ascii="微软雅黑" w:hAnsi="微软雅黑" w:eastAsia="微软雅黑" w:cs="微软雅黑"/>
          <w:b/>
          <w:color w:val="auto"/>
          <w:sz w:val="24"/>
          <w:highlight w:val="none"/>
        </w:rPr>
        <w:t>2.17 合同使用的文字和适用的法律</w:t>
      </w:r>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p>
    <w:p w14:paraId="18A5DE42">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2.17.1 合同使用汉语书就、变更和解释；</w:t>
      </w:r>
    </w:p>
    <w:p w14:paraId="3BF98658">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2.17.2 合同适用中华人民共和国法律。</w:t>
      </w:r>
    </w:p>
    <w:p w14:paraId="08690980">
      <w:pPr>
        <w:spacing w:line="400" w:lineRule="exact"/>
        <w:ind w:firstLine="480" w:firstLineChars="200"/>
        <w:outlineLvl w:val="9"/>
        <w:rPr>
          <w:rFonts w:hint="eastAsia" w:ascii="微软雅黑" w:hAnsi="微软雅黑" w:eastAsia="微软雅黑" w:cs="微软雅黑"/>
          <w:b/>
          <w:color w:val="auto"/>
          <w:sz w:val="24"/>
          <w:highlight w:val="none"/>
        </w:rPr>
      </w:pPr>
      <w:bookmarkStart w:id="3420" w:name="_Toc27403"/>
      <w:bookmarkStart w:id="3421" w:name="_Toc279701264"/>
      <w:bookmarkStart w:id="3422" w:name="_Toc10693"/>
      <w:bookmarkStart w:id="3423" w:name="_Toc259093693"/>
      <w:bookmarkStart w:id="3424" w:name="_Toc25105"/>
      <w:bookmarkStart w:id="3425" w:name="_Toc20271"/>
      <w:bookmarkStart w:id="3426" w:name="_Toc30096"/>
      <w:bookmarkStart w:id="3427" w:name="_Toc1492"/>
      <w:bookmarkStart w:id="3428" w:name="_Toc18902"/>
      <w:bookmarkStart w:id="3429" w:name="_Toc26691"/>
      <w:bookmarkStart w:id="3430" w:name="_Toc27761"/>
      <w:bookmarkStart w:id="3431" w:name="_Toc106"/>
      <w:bookmarkStart w:id="3432" w:name="_Toc16414"/>
      <w:bookmarkStart w:id="3433" w:name="_Toc5719"/>
      <w:bookmarkStart w:id="3434" w:name="_Toc32512"/>
      <w:bookmarkStart w:id="3435" w:name="_Toc16047"/>
      <w:bookmarkStart w:id="3436" w:name="_Toc20559"/>
      <w:bookmarkStart w:id="3437" w:name="_Toc27127"/>
      <w:bookmarkStart w:id="3438" w:name="_Toc7807"/>
      <w:bookmarkStart w:id="3439" w:name="_Toc31884"/>
      <w:bookmarkStart w:id="3440" w:name="_Toc30312"/>
      <w:bookmarkStart w:id="3441" w:name="_Toc23334"/>
      <w:bookmarkStart w:id="3442" w:name="_Toc32391"/>
      <w:bookmarkStart w:id="3443" w:name="_Toc15033"/>
      <w:bookmarkStart w:id="3444" w:name="_Toc487900374"/>
      <w:r>
        <w:rPr>
          <w:rFonts w:hint="eastAsia" w:ascii="微软雅黑" w:hAnsi="微软雅黑" w:eastAsia="微软雅黑" w:cs="微软雅黑"/>
          <w:b/>
          <w:color w:val="auto"/>
          <w:sz w:val="24"/>
          <w:highlight w:val="none"/>
        </w:rPr>
        <w:t>2.18 履约保证金</w:t>
      </w:r>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p>
    <w:p w14:paraId="222D5FB4">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2.18.1 采购文件要求乙方提交履约保证金的，乙方应按</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约定的方式，以支票、汇票、本票或者金融机构、担保机构出具的保函等非现金形式，提交不超过合同价10%的履约保证金；</w:t>
      </w:r>
    </w:p>
    <w:p w14:paraId="069B6839">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2.18.2 履约保证金在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约定期间内不予退还或者应完全有效，前述约定期间届满之日起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个工作日内，甲方应将履约保证金退还乙方；</w:t>
      </w:r>
    </w:p>
    <w:p w14:paraId="6CDFD116">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444"/>
    <w:p w14:paraId="69747F92">
      <w:pPr>
        <w:spacing w:line="400" w:lineRule="exact"/>
        <w:ind w:firstLine="480" w:firstLineChars="200"/>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2.19 合同份数</w:t>
      </w:r>
    </w:p>
    <w:p w14:paraId="5875980E">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合同份数按</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规定，每份均具有同等法律效力。</w:t>
      </w:r>
      <w:bookmarkStart w:id="3445" w:name="_Toc331685784"/>
    </w:p>
    <w:p w14:paraId="03291FE8">
      <w:pPr>
        <w:spacing w:line="400" w:lineRule="exact"/>
        <w:ind w:firstLine="420" w:firstLineChars="200"/>
        <w:outlineLvl w:val="9"/>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t>第三部分  合同专用条款</w:t>
      </w:r>
      <w:bookmarkEnd w:id="3445"/>
    </w:p>
    <w:p w14:paraId="5575BA79">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CD11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A2E2AC7">
            <w:pPr>
              <w:spacing w:line="400" w:lineRule="exact"/>
              <w:jc w:val="center"/>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条款号</w:t>
            </w:r>
          </w:p>
        </w:tc>
        <w:tc>
          <w:tcPr>
            <w:tcW w:w="7633" w:type="dxa"/>
            <w:noWrap w:val="0"/>
            <w:vAlign w:val="center"/>
          </w:tcPr>
          <w:p w14:paraId="54078A4B">
            <w:pPr>
              <w:spacing w:line="400" w:lineRule="exact"/>
              <w:jc w:val="center"/>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约定内容</w:t>
            </w:r>
          </w:p>
        </w:tc>
      </w:tr>
      <w:tr w14:paraId="40FE7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EE11686">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790CC0E0">
            <w:pPr>
              <w:spacing w:line="400" w:lineRule="exact"/>
              <w:outlineLvl w:val="9"/>
              <w:rPr>
                <w:rFonts w:hint="eastAsia" w:ascii="微软雅黑" w:hAnsi="微软雅黑" w:eastAsia="微软雅黑" w:cs="微软雅黑"/>
                <w:color w:val="auto"/>
                <w:sz w:val="24"/>
                <w:highlight w:val="none"/>
              </w:rPr>
            </w:pPr>
          </w:p>
        </w:tc>
      </w:tr>
      <w:tr w14:paraId="624D1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00A8789">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6B73F473">
            <w:pPr>
              <w:spacing w:line="400" w:lineRule="exact"/>
              <w:outlineLvl w:val="9"/>
              <w:rPr>
                <w:rFonts w:hint="eastAsia" w:ascii="微软雅黑" w:hAnsi="微软雅黑" w:eastAsia="微软雅黑" w:cs="微软雅黑"/>
                <w:color w:val="auto"/>
                <w:sz w:val="24"/>
                <w:highlight w:val="none"/>
              </w:rPr>
            </w:pPr>
          </w:p>
        </w:tc>
      </w:tr>
      <w:tr w14:paraId="0F7DF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51DD7F5">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1B688EC6">
            <w:pPr>
              <w:spacing w:line="400" w:lineRule="exact"/>
              <w:outlineLvl w:val="9"/>
              <w:rPr>
                <w:rFonts w:hint="eastAsia" w:ascii="微软雅黑" w:hAnsi="微软雅黑" w:eastAsia="微软雅黑" w:cs="微软雅黑"/>
                <w:color w:val="auto"/>
                <w:sz w:val="24"/>
                <w:highlight w:val="none"/>
              </w:rPr>
            </w:pPr>
          </w:p>
        </w:tc>
      </w:tr>
      <w:tr w14:paraId="24C8B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E744B9F">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52759119">
            <w:pPr>
              <w:spacing w:line="400" w:lineRule="exact"/>
              <w:outlineLvl w:val="9"/>
              <w:rPr>
                <w:rFonts w:hint="eastAsia" w:ascii="微软雅黑" w:hAnsi="微软雅黑" w:eastAsia="微软雅黑" w:cs="微软雅黑"/>
                <w:color w:val="auto"/>
                <w:sz w:val="24"/>
                <w:highlight w:val="none"/>
              </w:rPr>
            </w:pPr>
          </w:p>
        </w:tc>
      </w:tr>
      <w:tr w14:paraId="1CC87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867EB89">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1822684F">
            <w:pPr>
              <w:spacing w:line="400" w:lineRule="exact"/>
              <w:outlineLvl w:val="9"/>
              <w:rPr>
                <w:rFonts w:hint="eastAsia" w:ascii="微软雅黑" w:hAnsi="微软雅黑" w:eastAsia="微软雅黑" w:cs="微软雅黑"/>
                <w:color w:val="auto"/>
                <w:sz w:val="24"/>
                <w:highlight w:val="none"/>
                <w:u w:val="single"/>
              </w:rPr>
            </w:pPr>
          </w:p>
        </w:tc>
      </w:tr>
      <w:tr w14:paraId="1CB88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0AF40E">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70C3AB8E">
            <w:pPr>
              <w:spacing w:line="400" w:lineRule="exact"/>
              <w:outlineLvl w:val="9"/>
              <w:rPr>
                <w:rFonts w:hint="eastAsia" w:ascii="微软雅黑" w:hAnsi="微软雅黑" w:eastAsia="微软雅黑" w:cs="微软雅黑"/>
                <w:color w:val="auto"/>
                <w:sz w:val="24"/>
                <w:highlight w:val="none"/>
              </w:rPr>
            </w:pPr>
          </w:p>
        </w:tc>
      </w:tr>
      <w:tr w14:paraId="2A13B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72C0CEE">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505FD464">
            <w:pPr>
              <w:spacing w:line="400" w:lineRule="exact"/>
              <w:outlineLvl w:val="9"/>
              <w:rPr>
                <w:rFonts w:hint="eastAsia" w:ascii="微软雅黑" w:hAnsi="微软雅黑" w:eastAsia="微软雅黑" w:cs="微软雅黑"/>
                <w:color w:val="auto"/>
                <w:sz w:val="24"/>
                <w:highlight w:val="none"/>
                <w:u w:val="single"/>
              </w:rPr>
            </w:pPr>
          </w:p>
        </w:tc>
      </w:tr>
      <w:tr w14:paraId="61A91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45857F0">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71820D70">
            <w:pPr>
              <w:spacing w:line="400" w:lineRule="exact"/>
              <w:outlineLvl w:val="9"/>
              <w:rPr>
                <w:rFonts w:hint="eastAsia" w:ascii="微软雅黑" w:hAnsi="微软雅黑" w:eastAsia="微软雅黑" w:cs="微软雅黑"/>
                <w:color w:val="auto"/>
                <w:sz w:val="24"/>
                <w:highlight w:val="none"/>
              </w:rPr>
            </w:pPr>
          </w:p>
        </w:tc>
      </w:tr>
      <w:tr w14:paraId="55C24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088F0EC">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462A7BAF">
            <w:pPr>
              <w:spacing w:line="400" w:lineRule="exact"/>
              <w:outlineLvl w:val="9"/>
              <w:rPr>
                <w:rFonts w:hint="eastAsia" w:ascii="微软雅黑" w:hAnsi="微软雅黑" w:eastAsia="微软雅黑" w:cs="微软雅黑"/>
                <w:color w:val="auto"/>
                <w:sz w:val="24"/>
                <w:highlight w:val="none"/>
              </w:rPr>
            </w:pPr>
          </w:p>
        </w:tc>
      </w:tr>
      <w:tr w14:paraId="658F0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7B69DFC">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5B01D0C6">
            <w:pPr>
              <w:spacing w:line="400" w:lineRule="exact"/>
              <w:outlineLvl w:val="9"/>
              <w:rPr>
                <w:rFonts w:hint="eastAsia" w:ascii="微软雅黑" w:hAnsi="微软雅黑" w:eastAsia="微软雅黑" w:cs="微软雅黑"/>
                <w:color w:val="auto"/>
                <w:sz w:val="24"/>
                <w:highlight w:val="none"/>
              </w:rPr>
            </w:pPr>
          </w:p>
        </w:tc>
      </w:tr>
      <w:tr w14:paraId="7C85D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B41220A">
            <w:pPr>
              <w:spacing w:line="400" w:lineRule="exact"/>
              <w:outlineLvl w:val="9"/>
              <w:rPr>
                <w:rFonts w:hint="eastAsia" w:ascii="微软雅黑" w:hAnsi="微软雅黑" w:eastAsia="微软雅黑" w:cs="微软雅黑"/>
                <w:color w:val="auto"/>
                <w:sz w:val="24"/>
                <w:highlight w:val="none"/>
              </w:rPr>
            </w:pPr>
          </w:p>
        </w:tc>
        <w:tc>
          <w:tcPr>
            <w:tcW w:w="7633" w:type="dxa"/>
            <w:noWrap w:val="0"/>
            <w:vAlign w:val="center"/>
          </w:tcPr>
          <w:p w14:paraId="7C7649A9">
            <w:pPr>
              <w:spacing w:line="400" w:lineRule="exact"/>
              <w:outlineLvl w:val="9"/>
              <w:rPr>
                <w:rFonts w:hint="eastAsia" w:ascii="微软雅黑" w:hAnsi="微软雅黑" w:eastAsia="微软雅黑" w:cs="微软雅黑"/>
                <w:color w:val="auto"/>
                <w:sz w:val="24"/>
                <w:highlight w:val="none"/>
              </w:rPr>
            </w:pPr>
          </w:p>
        </w:tc>
      </w:tr>
    </w:tbl>
    <w:p w14:paraId="09B1323A">
      <w:pPr>
        <w:outlineLvl w:val="9"/>
        <w:rPr>
          <w:rFonts w:hint="eastAsia" w:ascii="微软雅黑" w:hAnsi="微软雅黑" w:eastAsia="微软雅黑" w:cs="微软雅黑"/>
          <w:color w:val="auto"/>
          <w:highlight w:val="none"/>
        </w:rPr>
      </w:pPr>
    </w:p>
    <w:p w14:paraId="35A60F96">
      <w:pPr>
        <w:outlineLvl w:val="9"/>
        <w:rPr>
          <w:rFonts w:hint="eastAsia" w:ascii="微软雅黑" w:hAnsi="微软雅黑" w:eastAsia="微软雅黑" w:cs="微软雅黑"/>
          <w:color w:val="auto"/>
          <w:sz w:val="24"/>
          <w:szCs w:val="24"/>
          <w:highlight w:val="none"/>
        </w:rPr>
      </w:pPr>
    </w:p>
    <w:sectPr>
      <w:footerReference r:id="rId9" w:type="default"/>
      <w:pgSz w:w="11907" w:h="16840"/>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KSOF0410934D">
    <w:panose1 w:val="020B07030202040202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180E">
    <w:pPr>
      <w:widowControl w:val="0"/>
      <w:tabs>
        <w:tab w:val="center" w:pos="4153"/>
        <w:tab w:val="right" w:pos="8306"/>
      </w:tabs>
      <w:autoSpaceDE w:val="0"/>
      <w:autoSpaceDN w:val="0"/>
      <w:adjustRightInd w:val="0"/>
      <w:snapToGrid w:val="0"/>
      <w:ind w:right="360"/>
      <w:jc w:val="center"/>
      <w:rPr>
        <w:rFonts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5C691">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5C691">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6A57B">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606B">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F8F2A">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5AB6E">
                          <w:pPr>
                            <w:pStyle w:val="19"/>
                          </w:pPr>
                          <w:r>
                            <w:t xml:space="preserve">— </w:t>
                          </w:r>
                          <w:r>
                            <w:fldChar w:fldCharType="begin"/>
                          </w:r>
                          <w:r>
                            <w:instrText xml:space="preserve"> PAGE  \* MERGEFORMAT </w:instrText>
                          </w:r>
                          <w:r>
                            <w:fldChar w:fldCharType="separate"/>
                          </w:r>
                          <w:r>
                            <w:t>58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55AB6E">
                    <w:pPr>
                      <w:pStyle w:val="19"/>
                    </w:pPr>
                    <w:r>
                      <w:t xml:space="preserve">— </w:t>
                    </w:r>
                    <w:r>
                      <w:fldChar w:fldCharType="begin"/>
                    </w:r>
                    <w:r>
                      <w:instrText xml:space="preserve"> PAGE  \* MERGEFORMAT </w:instrText>
                    </w:r>
                    <w:r>
                      <w:fldChar w:fldCharType="separate"/>
                    </w:r>
                    <w:r>
                      <w:t>58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DD8">
    <w:pPr>
      <w:pStyle w:val="20"/>
      <w:pBdr>
        <w:bottom w:val="double" w:color="auto" w:sz="8" w:space="0"/>
      </w:pBdr>
      <w:jc w:val="left"/>
    </w:pPr>
    <w:r>
      <w:rPr>
        <w:rFonts w:hint="eastAsia"/>
      </w:rPr>
      <w:drawing>
        <wp:inline distT="0" distB="0" distL="0" distR="0">
          <wp:extent cx="2992755" cy="428625"/>
          <wp:effectExtent l="0" t="0" r="17145" b="9525"/>
          <wp:docPr id="4100"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4100" name="图片 2"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38460">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E20B6">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F0411"/>
    <w:multiLevelType w:val="singleLevel"/>
    <w:tmpl w:val="8FFF0411"/>
    <w:lvl w:ilvl="0" w:tentative="0">
      <w:start w:val="1"/>
      <w:numFmt w:val="chineseCounting"/>
      <w:suff w:val="nothing"/>
      <w:lvlText w:val="（%1）"/>
      <w:lvlJc w:val="left"/>
      <w:rPr>
        <w:rFonts w:hint="eastAsia"/>
      </w:rPr>
    </w:lvl>
  </w:abstractNum>
  <w:abstractNum w:abstractNumId="1">
    <w:nsid w:val="9A1DCBC8"/>
    <w:multiLevelType w:val="singleLevel"/>
    <w:tmpl w:val="9A1DCBC8"/>
    <w:lvl w:ilvl="0" w:tentative="0">
      <w:start w:val="6"/>
      <w:numFmt w:val="decimal"/>
      <w:lvlText w:val="%1."/>
      <w:lvlJc w:val="left"/>
      <w:pPr>
        <w:tabs>
          <w:tab w:val="left" w:pos="312"/>
        </w:tabs>
      </w:pPr>
    </w:lvl>
  </w:abstractNum>
  <w:abstractNum w:abstractNumId="2">
    <w:nsid w:val="E9FF8DB7"/>
    <w:multiLevelType w:val="singleLevel"/>
    <w:tmpl w:val="E9FF8DB7"/>
    <w:lvl w:ilvl="0" w:tentative="0">
      <w:start w:val="5"/>
      <w:numFmt w:val="decimal"/>
      <w:suff w:val="space"/>
      <w:lvlText w:val="第%1章"/>
      <w:lvlJc w:val="left"/>
    </w:lvl>
  </w:abstractNum>
  <w:abstractNum w:abstractNumId="3">
    <w:nsid w:val="F07E503F"/>
    <w:multiLevelType w:val="singleLevel"/>
    <w:tmpl w:val="F07E503F"/>
    <w:lvl w:ilvl="0" w:tentative="0">
      <w:start w:val="1"/>
      <w:numFmt w:val="decimal"/>
      <w:suff w:val="nothing"/>
      <w:lvlText w:val="（%1）"/>
      <w:lvlJc w:val="left"/>
    </w:lvl>
  </w:abstractNum>
  <w:abstractNum w:abstractNumId="4">
    <w:nsid w:val="00000006"/>
    <w:multiLevelType w:val="multilevel"/>
    <w:tmpl w:val="00000006"/>
    <w:lvl w:ilvl="0" w:tentative="0">
      <w:start w:val="1"/>
      <w:numFmt w:val="upperLetter"/>
      <w:pStyle w:val="41"/>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5">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1"/>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20378413"/>
    <w:multiLevelType w:val="singleLevel"/>
    <w:tmpl w:val="20378413"/>
    <w:lvl w:ilvl="0" w:tentative="0">
      <w:start w:val="1"/>
      <w:numFmt w:val="decimal"/>
      <w:suff w:val="nothing"/>
      <w:lvlText w:val="%1、"/>
      <w:lvlJc w:val="left"/>
    </w:lvl>
  </w:abstractNum>
  <w:abstractNum w:abstractNumId="7">
    <w:nsid w:val="487B2075"/>
    <w:multiLevelType w:val="singleLevel"/>
    <w:tmpl w:val="487B2075"/>
    <w:lvl w:ilvl="0" w:tentative="0">
      <w:start w:val="1"/>
      <w:numFmt w:val="chineseCounting"/>
      <w:suff w:val="nothing"/>
      <w:lvlText w:val="%1、"/>
      <w:lvlJc w:val="left"/>
      <w:rPr>
        <w:rFonts w:hint="eastAsia"/>
        <w:b/>
        <w:bCs/>
      </w:rPr>
    </w:lvl>
  </w:abstractNum>
  <w:abstractNum w:abstractNumId="8">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9"/>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0"/>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4"/>
  </w:num>
  <w:num w:numId="2">
    <w:abstractNumId w:val="5"/>
  </w:num>
  <w:num w:numId="3">
    <w:abstractNumId w:val="8"/>
  </w:num>
  <w:num w:numId="4">
    <w:abstractNumId w:val="1"/>
  </w:num>
  <w:num w:numId="5">
    <w:abstractNumId w:val="3"/>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00000000"/>
    <w:rsid w:val="00081654"/>
    <w:rsid w:val="00092F24"/>
    <w:rsid w:val="00186BF0"/>
    <w:rsid w:val="00264E69"/>
    <w:rsid w:val="00281F65"/>
    <w:rsid w:val="00320039"/>
    <w:rsid w:val="003A25DA"/>
    <w:rsid w:val="003A4DB8"/>
    <w:rsid w:val="00417EF4"/>
    <w:rsid w:val="004D4AEB"/>
    <w:rsid w:val="004D6899"/>
    <w:rsid w:val="004F73D2"/>
    <w:rsid w:val="005063E6"/>
    <w:rsid w:val="005714C6"/>
    <w:rsid w:val="005F037B"/>
    <w:rsid w:val="006360BD"/>
    <w:rsid w:val="0073763C"/>
    <w:rsid w:val="00757B9E"/>
    <w:rsid w:val="007958E0"/>
    <w:rsid w:val="007E148D"/>
    <w:rsid w:val="00816543"/>
    <w:rsid w:val="00863B59"/>
    <w:rsid w:val="00895AB3"/>
    <w:rsid w:val="008E53B2"/>
    <w:rsid w:val="00902C2A"/>
    <w:rsid w:val="00980E9E"/>
    <w:rsid w:val="009E5347"/>
    <w:rsid w:val="00A010BF"/>
    <w:rsid w:val="00A20AC9"/>
    <w:rsid w:val="00A34580"/>
    <w:rsid w:val="00AB28B4"/>
    <w:rsid w:val="00AE30B0"/>
    <w:rsid w:val="00B22F90"/>
    <w:rsid w:val="00B40FC0"/>
    <w:rsid w:val="00B5443F"/>
    <w:rsid w:val="00B71F65"/>
    <w:rsid w:val="00BC3A1F"/>
    <w:rsid w:val="00CA58C6"/>
    <w:rsid w:val="00D710F1"/>
    <w:rsid w:val="00DE5743"/>
    <w:rsid w:val="00E32D5A"/>
    <w:rsid w:val="00E80370"/>
    <w:rsid w:val="00F51158"/>
    <w:rsid w:val="00F66F31"/>
    <w:rsid w:val="00FA19C1"/>
    <w:rsid w:val="010C0502"/>
    <w:rsid w:val="01113BE8"/>
    <w:rsid w:val="011B0BBC"/>
    <w:rsid w:val="011B6997"/>
    <w:rsid w:val="013B4944"/>
    <w:rsid w:val="013D2CC8"/>
    <w:rsid w:val="01407DFE"/>
    <w:rsid w:val="01445144"/>
    <w:rsid w:val="014632E9"/>
    <w:rsid w:val="014B08FF"/>
    <w:rsid w:val="014E4FD3"/>
    <w:rsid w:val="014E721F"/>
    <w:rsid w:val="01525F9E"/>
    <w:rsid w:val="0156352C"/>
    <w:rsid w:val="01621A8C"/>
    <w:rsid w:val="016320EC"/>
    <w:rsid w:val="01633E9B"/>
    <w:rsid w:val="01687703"/>
    <w:rsid w:val="01714809"/>
    <w:rsid w:val="01757A35"/>
    <w:rsid w:val="017B2BE6"/>
    <w:rsid w:val="017B7CDB"/>
    <w:rsid w:val="017C6D0A"/>
    <w:rsid w:val="017C7F9E"/>
    <w:rsid w:val="01804A4C"/>
    <w:rsid w:val="018E5AF2"/>
    <w:rsid w:val="0192652E"/>
    <w:rsid w:val="01944054"/>
    <w:rsid w:val="019D5483"/>
    <w:rsid w:val="01A71FD9"/>
    <w:rsid w:val="01AC75F0"/>
    <w:rsid w:val="01B000BE"/>
    <w:rsid w:val="01B36BD0"/>
    <w:rsid w:val="01D60B10"/>
    <w:rsid w:val="01DE14F7"/>
    <w:rsid w:val="01E24E4B"/>
    <w:rsid w:val="01E4322D"/>
    <w:rsid w:val="01EB05E7"/>
    <w:rsid w:val="020940E7"/>
    <w:rsid w:val="020B679E"/>
    <w:rsid w:val="02160A1A"/>
    <w:rsid w:val="021E1A96"/>
    <w:rsid w:val="022655F4"/>
    <w:rsid w:val="022D2A7A"/>
    <w:rsid w:val="023F0464"/>
    <w:rsid w:val="02445A7A"/>
    <w:rsid w:val="024535A0"/>
    <w:rsid w:val="0247556A"/>
    <w:rsid w:val="024B6E08"/>
    <w:rsid w:val="026877FB"/>
    <w:rsid w:val="02714395"/>
    <w:rsid w:val="02775E4F"/>
    <w:rsid w:val="02785724"/>
    <w:rsid w:val="027D7391"/>
    <w:rsid w:val="0281282A"/>
    <w:rsid w:val="028265A2"/>
    <w:rsid w:val="02A00FF1"/>
    <w:rsid w:val="02A418D7"/>
    <w:rsid w:val="02B96468"/>
    <w:rsid w:val="02BD2F28"/>
    <w:rsid w:val="02C170CB"/>
    <w:rsid w:val="02C31095"/>
    <w:rsid w:val="02C933CD"/>
    <w:rsid w:val="02CB1CF7"/>
    <w:rsid w:val="02CD36F4"/>
    <w:rsid w:val="02D7069C"/>
    <w:rsid w:val="02D801BA"/>
    <w:rsid w:val="02DA018C"/>
    <w:rsid w:val="02DD1F30"/>
    <w:rsid w:val="02E37041"/>
    <w:rsid w:val="02E44052"/>
    <w:rsid w:val="02E86A9C"/>
    <w:rsid w:val="02F7667D"/>
    <w:rsid w:val="03056936"/>
    <w:rsid w:val="030B47EA"/>
    <w:rsid w:val="030C7DAC"/>
    <w:rsid w:val="030D2310"/>
    <w:rsid w:val="032338E1"/>
    <w:rsid w:val="032633D2"/>
    <w:rsid w:val="0328714A"/>
    <w:rsid w:val="032923D9"/>
    <w:rsid w:val="032D29B2"/>
    <w:rsid w:val="03433F84"/>
    <w:rsid w:val="03547F3F"/>
    <w:rsid w:val="03557E34"/>
    <w:rsid w:val="035E4919"/>
    <w:rsid w:val="03635BA2"/>
    <w:rsid w:val="03680BF2"/>
    <w:rsid w:val="036A59B4"/>
    <w:rsid w:val="0370464D"/>
    <w:rsid w:val="037C7496"/>
    <w:rsid w:val="037F3678"/>
    <w:rsid w:val="038F71C9"/>
    <w:rsid w:val="03991DF6"/>
    <w:rsid w:val="039B0917"/>
    <w:rsid w:val="039B2F0B"/>
    <w:rsid w:val="039B6747"/>
    <w:rsid w:val="03A17621"/>
    <w:rsid w:val="03AD58A1"/>
    <w:rsid w:val="03AE656C"/>
    <w:rsid w:val="03AF4EB5"/>
    <w:rsid w:val="03B15391"/>
    <w:rsid w:val="03B24C65"/>
    <w:rsid w:val="03C02391"/>
    <w:rsid w:val="03C9034E"/>
    <w:rsid w:val="03CA5C6D"/>
    <w:rsid w:val="03CA6453"/>
    <w:rsid w:val="03CB3953"/>
    <w:rsid w:val="03CE5F43"/>
    <w:rsid w:val="03D60954"/>
    <w:rsid w:val="03E00F19"/>
    <w:rsid w:val="03F139E0"/>
    <w:rsid w:val="040000C7"/>
    <w:rsid w:val="04051239"/>
    <w:rsid w:val="04071455"/>
    <w:rsid w:val="040C0819"/>
    <w:rsid w:val="0418202A"/>
    <w:rsid w:val="041B6CAE"/>
    <w:rsid w:val="041D2A27"/>
    <w:rsid w:val="042042C5"/>
    <w:rsid w:val="0422003D"/>
    <w:rsid w:val="042647B4"/>
    <w:rsid w:val="04335DA6"/>
    <w:rsid w:val="04371904"/>
    <w:rsid w:val="043858E1"/>
    <w:rsid w:val="043F0538"/>
    <w:rsid w:val="0442248D"/>
    <w:rsid w:val="04440EA5"/>
    <w:rsid w:val="044E2BE0"/>
    <w:rsid w:val="045B52FD"/>
    <w:rsid w:val="046D0F86"/>
    <w:rsid w:val="047C6844"/>
    <w:rsid w:val="04877829"/>
    <w:rsid w:val="048B3E34"/>
    <w:rsid w:val="048E7480"/>
    <w:rsid w:val="04926F71"/>
    <w:rsid w:val="04956A61"/>
    <w:rsid w:val="04B0389B"/>
    <w:rsid w:val="04C64E6C"/>
    <w:rsid w:val="04D07A99"/>
    <w:rsid w:val="04DA0DAB"/>
    <w:rsid w:val="04E11CA6"/>
    <w:rsid w:val="04E946B7"/>
    <w:rsid w:val="04FD0162"/>
    <w:rsid w:val="05151950"/>
    <w:rsid w:val="05172E2E"/>
    <w:rsid w:val="051756C8"/>
    <w:rsid w:val="05241B93"/>
    <w:rsid w:val="052A61F4"/>
    <w:rsid w:val="052B035A"/>
    <w:rsid w:val="052E222C"/>
    <w:rsid w:val="05341DD6"/>
    <w:rsid w:val="053D1961"/>
    <w:rsid w:val="05445D91"/>
    <w:rsid w:val="05482F56"/>
    <w:rsid w:val="055165CD"/>
    <w:rsid w:val="055B7441"/>
    <w:rsid w:val="0561333E"/>
    <w:rsid w:val="05625445"/>
    <w:rsid w:val="05664D14"/>
    <w:rsid w:val="056B3B8B"/>
    <w:rsid w:val="05A401A4"/>
    <w:rsid w:val="05A675C7"/>
    <w:rsid w:val="05B13426"/>
    <w:rsid w:val="05B178CA"/>
    <w:rsid w:val="05B918D7"/>
    <w:rsid w:val="05BC1DCB"/>
    <w:rsid w:val="05C96984"/>
    <w:rsid w:val="05D709B3"/>
    <w:rsid w:val="05DA632D"/>
    <w:rsid w:val="05E74AEF"/>
    <w:rsid w:val="05EC26B0"/>
    <w:rsid w:val="05F04965"/>
    <w:rsid w:val="05F0727E"/>
    <w:rsid w:val="05F15F19"/>
    <w:rsid w:val="05F9301F"/>
    <w:rsid w:val="06043E9E"/>
    <w:rsid w:val="060A0D89"/>
    <w:rsid w:val="060A6FDB"/>
    <w:rsid w:val="060D18C8"/>
    <w:rsid w:val="06113EC5"/>
    <w:rsid w:val="062513A7"/>
    <w:rsid w:val="062749A5"/>
    <w:rsid w:val="062E4A77"/>
    <w:rsid w:val="06302666"/>
    <w:rsid w:val="0632724F"/>
    <w:rsid w:val="063522A9"/>
    <w:rsid w:val="063B53E6"/>
    <w:rsid w:val="06405ED9"/>
    <w:rsid w:val="06452184"/>
    <w:rsid w:val="065169B7"/>
    <w:rsid w:val="065232F6"/>
    <w:rsid w:val="06532730"/>
    <w:rsid w:val="066C559F"/>
    <w:rsid w:val="066E1317"/>
    <w:rsid w:val="06707ABE"/>
    <w:rsid w:val="067803E8"/>
    <w:rsid w:val="067A137F"/>
    <w:rsid w:val="068B1EC9"/>
    <w:rsid w:val="068C3E93"/>
    <w:rsid w:val="069D39AB"/>
    <w:rsid w:val="06A27213"/>
    <w:rsid w:val="06A905A2"/>
    <w:rsid w:val="06AE7966"/>
    <w:rsid w:val="06B64A6C"/>
    <w:rsid w:val="06B82B89"/>
    <w:rsid w:val="06BE7114"/>
    <w:rsid w:val="06BF5690"/>
    <w:rsid w:val="06C17545"/>
    <w:rsid w:val="06C4362D"/>
    <w:rsid w:val="06C673A5"/>
    <w:rsid w:val="06C90C44"/>
    <w:rsid w:val="06CD0C1A"/>
    <w:rsid w:val="06DD745C"/>
    <w:rsid w:val="06EC2EC8"/>
    <w:rsid w:val="06ED4932"/>
    <w:rsid w:val="06F25E18"/>
    <w:rsid w:val="070677A2"/>
    <w:rsid w:val="070E48A8"/>
    <w:rsid w:val="07155A8F"/>
    <w:rsid w:val="07236764"/>
    <w:rsid w:val="072440CC"/>
    <w:rsid w:val="072941D0"/>
    <w:rsid w:val="072A6B99"/>
    <w:rsid w:val="07302AF0"/>
    <w:rsid w:val="07331844"/>
    <w:rsid w:val="07407ED7"/>
    <w:rsid w:val="07577514"/>
    <w:rsid w:val="07593D76"/>
    <w:rsid w:val="075B48E7"/>
    <w:rsid w:val="075C3866"/>
    <w:rsid w:val="07623E5D"/>
    <w:rsid w:val="07666493"/>
    <w:rsid w:val="07750484"/>
    <w:rsid w:val="077A1B80"/>
    <w:rsid w:val="077B321F"/>
    <w:rsid w:val="078F1CCE"/>
    <w:rsid w:val="07927288"/>
    <w:rsid w:val="07A11524"/>
    <w:rsid w:val="07A44D2D"/>
    <w:rsid w:val="07B0770E"/>
    <w:rsid w:val="07B16172"/>
    <w:rsid w:val="07C1191B"/>
    <w:rsid w:val="07C531B9"/>
    <w:rsid w:val="07C92D30"/>
    <w:rsid w:val="07D41FA8"/>
    <w:rsid w:val="07D459E5"/>
    <w:rsid w:val="07F712CB"/>
    <w:rsid w:val="07FC5336"/>
    <w:rsid w:val="0806255A"/>
    <w:rsid w:val="080B2B96"/>
    <w:rsid w:val="080F6B2A"/>
    <w:rsid w:val="081B3F39"/>
    <w:rsid w:val="081E4FBF"/>
    <w:rsid w:val="082779D0"/>
    <w:rsid w:val="082A5B69"/>
    <w:rsid w:val="082C450E"/>
    <w:rsid w:val="083E2F6B"/>
    <w:rsid w:val="083F69E2"/>
    <w:rsid w:val="084B1AA8"/>
    <w:rsid w:val="08573CD6"/>
    <w:rsid w:val="08661B97"/>
    <w:rsid w:val="086C1BEB"/>
    <w:rsid w:val="086E1AA3"/>
    <w:rsid w:val="08752E31"/>
    <w:rsid w:val="08793C59"/>
    <w:rsid w:val="087E78BD"/>
    <w:rsid w:val="088F0C53"/>
    <w:rsid w:val="0895073C"/>
    <w:rsid w:val="08955281"/>
    <w:rsid w:val="08A059D4"/>
    <w:rsid w:val="08A437ED"/>
    <w:rsid w:val="08A94889"/>
    <w:rsid w:val="08C04ED9"/>
    <w:rsid w:val="08C1200F"/>
    <w:rsid w:val="08C94F2B"/>
    <w:rsid w:val="08D60107"/>
    <w:rsid w:val="08D7314E"/>
    <w:rsid w:val="08D833C0"/>
    <w:rsid w:val="08E12275"/>
    <w:rsid w:val="08E13DC4"/>
    <w:rsid w:val="08E2346A"/>
    <w:rsid w:val="08E458C1"/>
    <w:rsid w:val="08E55999"/>
    <w:rsid w:val="08E873D7"/>
    <w:rsid w:val="08EE04EE"/>
    <w:rsid w:val="08F024B8"/>
    <w:rsid w:val="08F32F05"/>
    <w:rsid w:val="08FF2615"/>
    <w:rsid w:val="09016473"/>
    <w:rsid w:val="09033A4F"/>
    <w:rsid w:val="090441B5"/>
    <w:rsid w:val="090B72F2"/>
    <w:rsid w:val="090D0669"/>
    <w:rsid w:val="09102B5A"/>
    <w:rsid w:val="09125AC2"/>
    <w:rsid w:val="09175C96"/>
    <w:rsid w:val="091B4EA8"/>
    <w:rsid w:val="091C0C95"/>
    <w:rsid w:val="092A3C3E"/>
    <w:rsid w:val="0932037C"/>
    <w:rsid w:val="093305F6"/>
    <w:rsid w:val="094371AE"/>
    <w:rsid w:val="09487D27"/>
    <w:rsid w:val="09532A47"/>
    <w:rsid w:val="095347F5"/>
    <w:rsid w:val="0958005D"/>
    <w:rsid w:val="095C0648"/>
    <w:rsid w:val="096125FF"/>
    <w:rsid w:val="0963712E"/>
    <w:rsid w:val="09706D78"/>
    <w:rsid w:val="09722ECD"/>
    <w:rsid w:val="097E5D15"/>
    <w:rsid w:val="0989582F"/>
    <w:rsid w:val="09976DD7"/>
    <w:rsid w:val="099A0675"/>
    <w:rsid w:val="099E3CC2"/>
    <w:rsid w:val="09A03C4E"/>
    <w:rsid w:val="09A07FFE"/>
    <w:rsid w:val="09A514F4"/>
    <w:rsid w:val="09A60DC8"/>
    <w:rsid w:val="09A926B0"/>
    <w:rsid w:val="09C6272F"/>
    <w:rsid w:val="09CD1222"/>
    <w:rsid w:val="09D65B51"/>
    <w:rsid w:val="09DB3168"/>
    <w:rsid w:val="09E014EE"/>
    <w:rsid w:val="09E029B5"/>
    <w:rsid w:val="09E04884"/>
    <w:rsid w:val="09F61AD0"/>
    <w:rsid w:val="09F91840"/>
    <w:rsid w:val="09FD66D9"/>
    <w:rsid w:val="0A08430D"/>
    <w:rsid w:val="0A0855DF"/>
    <w:rsid w:val="0A100F2D"/>
    <w:rsid w:val="0A3B1EE1"/>
    <w:rsid w:val="0A3D172D"/>
    <w:rsid w:val="0A430D0D"/>
    <w:rsid w:val="0A4A55F2"/>
    <w:rsid w:val="0A546A76"/>
    <w:rsid w:val="0A5627EE"/>
    <w:rsid w:val="0A6069C2"/>
    <w:rsid w:val="0A652A31"/>
    <w:rsid w:val="0A6A4D1C"/>
    <w:rsid w:val="0A6B77C1"/>
    <w:rsid w:val="0A7333A0"/>
    <w:rsid w:val="0A784A1C"/>
    <w:rsid w:val="0A796084"/>
    <w:rsid w:val="0A886720"/>
    <w:rsid w:val="0A8C4462"/>
    <w:rsid w:val="0A8E01DA"/>
    <w:rsid w:val="0A9136CD"/>
    <w:rsid w:val="0A9137E3"/>
    <w:rsid w:val="0A960E3D"/>
    <w:rsid w:val="0AA00E18"/>
    <w:rsid w:val="0AA03A6A"/>
    <w:rsid w:val="0AD12D78"/>
    <w:rsid w:val="0AD66E92"/>
    <w:rsid w:val="0ADA0003"/>
    <w:rsid w:val="0AF04068"/>
    <w:rsid w:val="0AF50259"/>
    <w:rsid w:val="0AF5240C"/>
    <w:rsid w:val="0AFB5144"/>
    <w:rsid w:val="0AFC5785"/>
    <w:rsid w:val="0B0C55A3"/>
    <w:rsid w:val="0B0D5CF0"/>
    <w:rsid w:val="0B0E131B"/>
    <w:rsid w:val="0B2B6DAF"/>
    <w:rsid w:val="0B2D5B3C"/>
    <w:rsid w:val="0B3D1979"/>
    <w:rsid w:val="0B3D2149"/>
    <w:rsid w:val="0B3D575C"/>
    <w:rsid w:val="0B432F08"/>
    <w:rsid w:val="0B5A00BC"/>
    <w:rsid w:val="0B6E381F"/>
    <w:rsid w:val="0B7A075E"/>
    <w:rsid w:val="0B84338B"/>
    <w:rsid w:val="0B8909A2"/>
    <w:rsid w:val="0B894DF9"/>
    <w:rsid w:val="0B8B2DEC"/>
    <w:rsid w:val="0BB04180"/>
    <w:rsid w:val="0BBC2B25"/>
    <w:rsid w:val="0BC07AD2"/>
    <w:rsid w:val="0BC639A4"/>
    <w:rsid w:val="0BC77592"/>
    <w:rsid w:val="0BCF0AAA"/>
    <w:rsid w:val="0BD5630A"/>
    <w:rsid w:val="0BE27694"/>
    <w:rsid w:val="0BF87859"/>
    <w:rsid w:val="0C063DA0"/>
    <w:rsid w:val="0C094C70"/>
    <w:rsid w:val="0C1D5661"/>
    <w:rsid w:val="0C1E558E"/>
    <w:rsid w:val="0C291FD0"/>
    <w:rsid w:val="0C300E1D"/>
    <w:rsid w:val="0C3303D3"/>
    <w:rsid w:val="0C354F71"/>
    <w:rsid w:val="0C3C3C66"/>
    <w:rsid w:val="0C3C77C2"/>
    <w:rsid w:val="0C405504"/>
    <w:rsid w:val="0C4A1EDF"/>
    <w:rsid w:val="0C4B3E62"/>
    <w:rsid w:val="0C4D19CF"/>
    <w:rsid w:val="0C522904"/>
    <w:rsid w:val="0C5A3A0D"/>
    <w:rsid w:val="0C5E3BDC"/>
    <w:rsid w:val="0C601702"/>
    <w:rsid w:val="0C6C0502"/>
    <w:rsid w:val="0C6E18AC"/>
    <w:rsid w:val="0C7D0506"/>
    <w:rsid w:val="0C7F4408"/>
    <w:rsid w:val="0C8A49D1"/>
    <w:rsid w:val="0CB952B6"/>
    <w:rsid w:val="0CBA3508"/>
    <w:rsid w:val="0CCF6888"/>
    <w:rsid w:val="0CD07375"/>
    <w:rsid w:val="0CDB522D"/>
    <w:rsid w:val="0CED6F2A"/>
    <w:rsid w:val="0CF663AE"/>
    <w:rsid w:val="0CF84031"/>
    <w:rsid w:val="0D065FC8"/>
    <w:rsid w:val="0D0E1995"/>
    <w:rsid w:val="0D1310E7"/>
    <w:rsid w:val="0D240982"/>
    <w:rsid w:val="0D374B59"/>
    <w:rsid w:val="0D3C216F"/>
    <w:rsid w:val="0D3D65D8"/>
    <w:rsid w:val="0D433F72"/>
    <w:rsid w:val="0D447276"/>
    <w:rsid w:val="0D4E3C51"/>
    <w:rsid w:val="0D533015"/>
    <w:rsid w:val="0D5A43A4"/>
    <w:rsid w:val="0D5F49EE"/>
    <w:rsid w:val="0D63594E"/>
    <w:rsid w:val="0D764D13"/>
    <w:rsid w:val="0D7F4D31"/>
    <w:rsid w:val="0D814026"/>
    <w:rsid w:val="0D837D9E"/>
    <w:rsid w:val="0D870C88"/>
    <w:rsid w:val="0D896A37"/>
    <w:rsid w:val="0D904269"/>
    <w:rsid w:val="0D957AD2"/>
    <w:rsid w:val="0D9D2C7A"/>
    <w:rsid w:val="0DB02216"/>
    <w:rsid w:val="0DB42460"/>
    <w:rsid w:val="0DC45D83"/>
    <w:rsid w:val="0DC9777B"/>
    <w:rsid w:val="0DCD726B"/>
    <w:rsid w:val="0DCE08EE"/>
    <w:rsid w:val="0DD34156"/>
    <w:rsid w:val="0DDA54E4"/>
    <w:rsid w:val="0DDA7292"/>
    <w:rsid w:val="0DE3083D"/>
    <w:rsid w:val="0DE849A2"/>
    <w:rsid w:val="0DF91E0E"/>
    <w:rsid w:val="0E033505"/>
    <w:rsid w:val="0E043EE4"/>
    <w:rsid w:val="0E0F38A2"/>
    <w:rsid w:val="0E222FBC"/>
    <w:rsid w:val="0E2956A2"/>
    <w:rsid w:val="0E3624A9"/>
    <w:rsid w:val="0E365701"/>
    <w:rsid w:val="0E4A08BC"/>
    <w:rsid w:val="0E4F0F4B"/>
    <w:rsid w:val="0E682AF0"/>
    <w:rsid w:val="0E770F85"/>
    <w:rsid w:val="0E7C47EE"/>
    <w:rsid w:val="0E7D6595"/>
    <w:rsid w:val="0E8C2491"/>
    <w:rsid w:val="0EAA4EB7"/>
    <w:rsid w:val="0EB16245"/>
    <w:rsid w:val="0EBE49DA"/>
    <w:rsid w:val="0EC5310D"/>
    <w:rsid w:val="0EC8358F"/>
    <w:rsid w:val="0ECC3BD9"/>
    <w:rsid w:val="0ECC7523"/>
    <w:rsid w:val="0ECE329B"/>
    <w:rsid w:val="0EDE1004"/>
    <w:rsid w:val="0EE63E27"/>
    <w:rsid w:val="0EEF72C3"/>
    <w:rsid w:val="0EF40828"/>
    <w:rsid w:val="0EF90F11"/>
    <w:rsid w:val="0EFA3C12"/>
    <w:rsid w:val="0EFE3455"/>
    <w:rsid w:val="0F113188"/>
    <w:rsid w:val="0F143C29"/>
    <w:rsid w:val="0F3853C5"/>
    <w:rsid w:val="0F4075C9"/>
    <w:rsid w:val="0F4935D9"/>
    <w:rsid w:val="0F5E2A0F"/>
    <w:rsid w:val="0F692FC4"/>
    <w:rsid w:val="0F696928"/>
    <w:rsid w:val="0F6A7F20"/>
    <w:rsid w:val="0F7617CD"/>
    <w:rsid w:val="0F7C6B81"/>
    <w:rsid w:val="0F9F2542"/>
    <w:rsid w:val="0FA506E5"/>
    <w:rsid w:val="0FA638D0"/>
    <w:rsid w:val="0FA81C59"/>
    <w:rsid w:val="0FAE4E7B"/>
    <w:rsid w:val="0FB32592"/>
    <w:rsid w:val="0FB83603"/>
    <w:rsid w:val="0FC046F5"/>
    <w:rsid w:val="0FC351F8"/>
    <w:rsid w:val="0FC54741"/>
    <w:rsid w:val="0FD14C8B"/>
    <w:rsid w:val="0FD64CFF"/>
    <w:rsid w:val="0FF3288D"/>
    <w:rsid w:val="0FF652C6"/>
    <w:rsid w:val="0FFC7994"/>
    <w:rsid w:val="0FFF1232"/>
    <w:rsid w:val="10000D77"/>
    <w:rsid w:val="100D1FE1"/>
    <w:rsid w:val="100E6359"/>
    <w:rsid w:val="10120F66"/>
    <w:rsid w:val="10162528"/>
    <w:rsid w:val="10246EEB"/>
    <w:rsid w:val="10280789"/>
    <w:rsid w:val="10321608"/>
    <w:rsid w:val="10437371"/>
    <w:rsid w:val="104574EA"/>
    <w:rsid w:val="10506EFD"/>
    <w:rsid w:val="1053332C"/>
    <w:rsid w:val="105D6D13"/>
    <w:rsid w:val="10616D58"/>
    <w:rsid w:val="106C2D6C"/>
    <w:rsid w:val="106F460A"/>
    <w:rsid w:val="107B44D3"/>
    <w:rsid w:val="107B505A"/>
    <w:rsid w:val="10821A89"/>
    <w:rsid w:val="10823E67"/>
    <w:rsid w:val="108300B5"/>
    <w:rsid w:val="10894C2E"/>
    <w:rsid w:val="108D7DC6"/>
    <w:rsid w:val="108E7114"/>
    <w:rsid w:val="10901321"/>
    <w:rsid w:val="109149C6"/>
    <w:rsid w:val="10950831"/>
    <w:rsid w:val="1096176D"/>
    <w:rsid w:val="10961B97"/>
    <w:rsid w:val="10A34A6C"/>
    <w:rsid w:val="10B44A02"/>
    <w:rsid w:val="10B84B6F"/>
    <w:rsid w:val="10BD35C7"/>
    <w:rsid w:val="10BE4C49"/>
    <w:rsid w:val="10C36704"/>
    <w:rsid w:val="10C7057C"/>
    <w:rsid w:val="10C85EC9"/>
    <w:rsid w:val="10CA5CE4"/>
    <w:rsid w:val="10CB39F7"/>
    <w:rsid w:val="10D003ED"/>
    <w:rsid w:val="10DE52EC"/>
    <w:rsid w:val="10E020BE"/>
    <w:rsid w:val="10EA3C90"/>
    <w:rsid w:val="10EF2973"/>
    <w:rsid w:val="11043C35"/>
    <w:rsid w:val="11270A41"/>
    <w:rsid w:val="112A6783"/>
    <w:rsid w:val="112F74B4"/>
    <w:rsid w:val="11375FBE"/>
    <w:rsid w:val="113D64B6"/>
    <w:rsid w:val="11424B3C"/>
    <w:rsid w:val="11503189"/>
    <w:rsid w:val="115971D8"/>
    <w:rsid w:val="115F151F"/>
    <w:rsid w:val="11634B19"/>
    <w:rsid w:val="11641C95"/>
    <w:rsid w:val="1169143A"/>
    <w:rsid w:val="116C28F7"/>
    <w:rsid w:val="1173012A"/>
    <w:rsid w:val="11763776"/>
    <w:rsid w:val="11806BCC"/>
    <w:rsid w:val="118D62CF"/>
    <w:rsid w:val="119245C3"/>
    <w:rsid w:val="11A2456B"/>
    <w:rsid w:val="11A81F90"/>
    <w:rsid w:val="11AA2E81"/>
    <w:rsid w:val="11AB78C4"/>
    <w:rsid w:val="11B761D9"/>
    <w:rsid w:val="11C50105"/>
    <w:rsid w:val="11CE678B"/>
    <w:rsid w:val="11CF74C4"/>
    <w:rsid w:val="11D30BC8"/>
    <w:rsid w:val="11F51471"/>
    <w:rsid w:val="11FC011F"/>
    <w:rsid w:val="11FF376C"/>
    <w:rsid w:val="12064AFA"/>
    <w:rsid w:val="121D1E44"/>
    <w:rsid w:val="123C676E"/>
    <w:rsid w:val="123F625E"/>
    <w:rsid w:val="12413A23"/>
    <w:rsid w:val="12492972"/>
    <w:rsid w:val="124A76BA"/>
    <w:rsid w:val="12525F91"/>
    <w:rsid w:val="12541D09"/>
    <w:rsid w:val="12592360"/>
    <w:rsid w:val="126637EB"/>
    <w:rsid w:val="126D6E82"/>
    <w:rsid w:val="12704669"/>
    <w:rsid w:val="127F665A"/>
    <w:rsid w:val="12817019"/>
    <w:rsid w:val="128937E3"/>
    <w:rsid w:val="128B14A3"/>
    <w:rsid w:val="12937695"/>
    <w:rsid w:val="12A460C1"/>
    <w:rsid w:val="12A85BB1"/>
    <w:rsid w:val="12AA36D7"/>
    <w:rsid w:val="12AC5303"/>
    <w:rsid w:val="12B9074C"/>
    <w:rsid w:val="12BB3B36"/>
    <w:rsid w:val="12BC78AF"/>
    <w:rsid w:val="12C329EB"/>
    <w:rsid w:val="12D33822"/>
    <w:rsid w:val="12D469A6"/>
    <w:rsid w:val="12DD1CFF"/>
    <w:rsid w:val="12E12E71"/>
    <w:rsid w:val="12ED5CBA"/>
    <w:rsid w:val="12EF37E0"/>
    <w:rsid w:val="12F11306"/>
    <w:rsid w:val="12F3355C"/>
    <w:rsid w:val="12FC31D3"/>
    <w:rsid w:val="130D010A"/>
    <w:rsid w:val="130F3E82"/>
    <w:rsid w:val="13163C84"/>
    <w:rsid w:val="13166FBF"/>
    <w:rsid w:val="131905E4"/>
    <w:rsid w:val="13273D2C"/>
    <w:rsid w:val="133631BD"/>
    <w:rsid w:val="133703C2"/>
    <w:rsid w:val="13373D29"/>
    <w:rsid w:val="133C0402"/>
    <w:rsid w:val="13405DEA"/>
    <w:rsid w:val="134753CA"/>
    <w:rsid w:val="134E49AB"/>
    <w:rsid w:val="135F0966"/>
    <w:rsid w:val="136E0BA9"/>
    <w:rsid w:val="13737F6D"/>
    <w:rsid w:val="1377365B"/>
    <w:rsid w:val="13785584"/>
    <w:rsid w:val="137F2DB6"/>
    <w:rsid w:val="13857617"/>
    <w:rsid w:val="138D4967"/>
    <w:rsid w:val="13901E1C"/>
    <w:rsid w:val="13904FC3"/>
    <w:rsid w:val="1393060F"/>
    <w:rsid w:val="13960100"/>
    <w:rsid w:val="139A6651"/>
    <w:rsid w:val="13A16876"/>
    <w:rsid w:val="13AE14AA"/>
    <w:rsid w:val="13B16CE7"/>
    <w:rsid w:val="13B642FE"/>
    <w:rsid w:val="13BA2040"/>
    <w:rsid w:val="13BB1914"/>
    <w:rsid w:val="13C44C6D"/>
    <w:rsid w:val="13C678AF"/>
    <w:rsid w:val="13DB225F"/>
    <w:rsid w:val="13E1581F"/>
    <w:rsid w:val="13E64BE3"/>
    <w:rsid w:val="13E82E5A"/>
    <w:rsid w:val="13EB21F9"/>
    <w:rsid w:val="13EF73B4"/>
    <w:rsid w:val="13F07810"/>
    <w:rsid w:val="13F53078"/>
    <w:rsid w:val="13F866C4"/>
    <w:rsid w:val="13FB7F63"/>
    <w:rsid w:val="14027543"/>
    <w:rsid w:val="140530B1"/>
    <w:rsid w:val="1419582F"/>
    <w:rsid w:val="141C5039"/>
    <w:rsid w:val="141D25CF"/>
    <w:rsid w:val="141E2585"/>
    <w:rsid w:val="14260082"/>
    <w:rsid w:val="142A5FDC"/>
    <w:rsid w:val="142B2A40"/>
    <w:rsid w:val="142E0338"/>
    <w:rsid w:val="14372CE8"/>
    <w:rsid w:val="143A0DA4"/>
    <w:rsid w:val="143B3D82"/>
    <w:rsid w:val="14454666"/>
    <w:rsid w:val="146E4BD8"/>
    <w:rsid w:val="14700951"/>
    <w:rsid w:val="14773A8D"/>
    <w:rsid w:val="147A532B"/>
    <w:rsid w:val="1485234B"/>
    <w:rsid w:val="148651F0"/>
    <w:rsid w:val="148A1AF0"/>
    <w:rsid w:val="148F0517"/>
    <w:rsid w:val="149169E7"/>
    <w:rsid w:val="149B039A"/>
    <w:rsid w:val="149B1C39"/>
    <w:rsid w:val="14A10B0A"/>
    <w:rsid w:val="14A30D26"/>
    <w:rsid w:val="14A7532A"/>
    <w:rsid w:val="14AA3E63"/>
    <w:rsid w:val="14AD5701"/>
    <w:rsid w:val="14B24AC5"/>
    <w:rsid w:val="14CD2D3D"/>
    <w:rsid w:val="14CF5677"/>
    <w:rsid w:val="14D26E56"/>
    <w:rsid w:val="14D329F2"/>
    <w:rsid w:val="14D514F5"/>
    <w:rsid w:val="14D64C58"/>
    <w:rsid w:val="14D7452C"/>
    <w:rsid w:val="14FC0438"/>
    <w:rsid w:val="150572EB"/>
    <w:rsid w:val="150B2427"/>
    <w:rsid w:val="151517DD"/>
    <w:rsid w:val="151B6B0E"/>
    <w:rsid w:val="151D4C77"/>
    <w:rsid w:val="15290693"/>
    <w:rsid w:val="15325C06"/>
    <w:rsid w:val="153B2EDE"/>
    <w:rsid w:val="153D570D"/>
    <w:rsid w:val="154047C7"/>
    <w:rsid w:val="15466B49"/>
    <w:rsid w:val="154A2A83"/>
    <w:rsid w:val="154A2F50"/>
    <w:rsid w:val="154C7C27"/>
    <w:rsid w:val="154F4A0A"/>
    <w:rsid w:val="15504D5C"/>
    <w:rsid w:val="156F0C08"/>
    <w:rsid w:val="157334D1"/>
    <w:rsid w:val="157A766D"/>
    <w:rsid w:val="15825156"/>
    <w:rsid w:val="158E5532"/>
    <w:rsid w:val="15973CBB"/>
    <w:rsid w:val="159A283B"/>
    <w:rsid w:val="15A44D56"/>
    <w:rsid w:val="15AF6F75"/>
    <w:rsid w:val="15B025D8"/>
    <w:rsid w:val="15B83115"/>
    <w:rsid w:val="15B900D5"/>
    <w:rsid w:val="15B905DD"/>
    <w:rsid w:val="15C727F2"/>
    <w:rsid w:val="15D078F9"/>
    <w:rsid w:val="15D45246"/>
    <w:rsid w:val="15E21563"/>
    <w:rsid w:val="15E6711C"/>
    <w:rsid w:val="15EF58A5"/>
    <w:rsid w:val="15F47393"/>
    <w:rsid w:val="16030394"/>
    <w:rsid w:val="160A5C2C"/>
    <w:rsid w:val="16190763"/>
    <w:rsid w:val="161B48EC"/>
    <w:rsid w:val="161C272A"/>
    <w:rsid w:val="16421E79"/>
    <w:rsid w:val="164B6F7F"/>
    <w:rsid w:val="165027E8"/>
    <w:rsid w:val="16552373"/>
    <w:rsid w:val="16596D79"/>
    <w:rsid w:val="166626C1"/>
    <w:rsid w:val="166B7621"/>
    <w:rsid w:val="1679118E"/>
    <w:rsid w:val="167F131F"/>
    <w:rsid w:val="1683496B"/>
    <w:rsid w:val="16A00DA8"/>
    <w:rsid w:val="16A13043"/>
    <w:rsid w:val="16B02706"/>
    <w:rsid w:val="16B027EA"/>
    <w:rsid w:val="16B74BBD"/>
    <w:rsid w:val="16BC7E7D"/>
    <w:rsid w:val="16C30BEF"/>
    <w:rsid w:val="16D57BCB"/>
    <w:rsid w:val="16E23B50"/>
    <w:rsid w:val="16EA5E33"/>
    <w:rsid w:val="16ED6288"/>
    <w:rsid w:val="16F7466B"/>
    <w:rsid w:val="170B670F"/>
    <w:rsid w:val="170D15F4"/>
    <w:rsid w:val="170E4685"/>
    <w:rsid w:val="171037CA"/>
    <w:rsid w:val="17123F41"/>
    <w:rsid w:val="17127A9D"/>
    <w:rsid w:val="17131521"/>
    <w:rsid w:val="17141626"/>
    <w:rsid w:val="17193D80"/>
    <w:rsid w:val="17384C14"/>
    <w:rsid w:val="17393C13"/>
    <w:rsid w:val="175005C5"/>
    <w:rsid w:val="175B20CB"/>
    <w:rsid w:val="175E3991"/>
    <w:rsid w:val="176A116E"/>
    <w:rsid w:val="176E6C71"/>
    <w:rsid w:val="176F6C9D"/>
    <w:rsid w:val="17793FC0"/>
    <w:rsid w:val="177D47A8"/>
    <w:rsid w:val="17824C23"/>
    <w:rsid w:val="17833C2E"/>
    <w:rsid w:val="178564C1"/>
    <w:rsid w:val="178766DD"/>
    <w:rsid w:val="17881E35"/>
    <w:rsid w:val="178A7F7B"/>
    <w:rsid w:val="178C5AA1"/>
    <w:rsid w:val="179018DD"/>
    <w:rsid w:val="17961E8F"/>
    <w:rsid w:val="17A65C04"/>
    <w:rsid w:val="17BB0E01"/>
    <w:rsid w:val="17C82214"/>
    <w:rsid w:val="17C972FA"/>
    <w:rsid w:val="17CC0594"/>
    <w:rsid w:val="17D24D2F"/>
    <w:rsid w:val="17D548B7"/>
    <w:rsid w:val="17F26F83"/>
    <w:rsid w:val="17F6116D"/>
    <w:rsid w:val="180214D1"/>
    <w:rsid w:val="18023FB5"/>
    <w:rsid w:val="180607AF"/>
    <w:rsid w:val="18090EA0"/>
    <w:rsid w:val="1820443C"/>
    <w:rsid w:val="1840146D"/>
    <w:rsid w:val="18490D8F"/>
    <w:rsid w:val="1850765B"/>
    <w:rsid w:val="187004C1"/>
    <w:rsid w:val="187A3B4C"/>
    <w:rsid w:val="187C5B16"/>
    <w:rsid w:val="188B14FF"/>
    <w:rsid w:val="188F5178"/>
    <w:rsid w:val="18955D2D"/>
    <w:rsid w:val="189F33C8"/>
    <w:rsid w:val="18AF6446"/>
    <w:rsid w:val="18B52DD6"/>
    <w:rsid w:val="18B828C6"/>
    <w:rsid w:val="18CB43A7"/>
    <w:rsid w:val="18D13587"/>
    <w:rsid w:val="18D1515A"/>
    <w:rsid w:val="18D46B77"/>
    <w:rsid w:val="18DF60A5"/>
    <w:rsid w:val="18DF7E53"/>
    <w:rsid w:val="18E90CD1"/>
    <w:rsid w:val="18F51424"/>
    <w:rsid w:val="18FA2EDF"/>
    <w:rsid w:val="1901426D"/>
    <w:rsid w:val="190A28AF"/>
    <w:rsid w:val="19172397"/>
    <w:rsid w:val="191C4C03"/>
    <w:rsid w:val="19203773"/>
    <w:rsid w:val="19282810"/>
    <w:rsid w:val="194505FE"/>
    <w:rsid w:val="194772EA"/>
    <w:rsid w:val="19483C4A"/>
    <w:rsid w:val="195A1EDE"/>
    <w:rsid w:val="196056A9"/>
    <w:rsid w:val="196F6835"/>
    <w:rsid w:val="196F7429"/>
    <w:rsid w:val="1972506F"/>
    <w:rsid w:val="19856C4C"/>
    <w:rsid w:val="19866520"/>
    <w:rsid w:val="19933607"/>
    <w:rsid w:val="19940C3D"/>
    <w:rsid w:val="1998697F"/>
    <w:rsid w:val="199B1FCC"/>
    <w:rsid w:val="19A03324"/>
    <w:rsid w:val="19A03A86"/>
    <w:rsid w:val="19A0795C"/>
    <w:rsid w:val="19AF7825"/>
    <w:rsid w:val="19C201A3"/>
    <w:rsid w:val="19D156E6"/>
    <w:rsid w:val="19D24E9B"/>
    <w:rsid w:val="19D92AF4"/>
    <w:rsid w:val="19DB686C"/>
    <w:rsid w:val="19DD0836"/>
    <w:rsid w:val="19DE010A"/>
    <w:rsid w:val="19F35C26"/>
    <w:rsid w:val="19FA13E8"/>
    <w:rsid w:val="1A0538E9"/>
    <w:rsid w:val="1A084B70"/>
    <w:rsid w:val="1A0E6C42"/>
    <w:rsid w:val="1A163D48"/>
    <w:rsid w:val="1A19736B"/>
    <w:rsid w:val="1A1E0918"/>
    <w:rsid w:val="1A203775"/>
    <w:rsid w:val="1A22040D"/>
    <w:rsid w:val="1A2B6046"/>
    <w:rsid w:val="1A2B76B8"/>
    <w:rsid w:val="1A2C77DE"/>
    <w:rsid w:val="1A3655B4"/>
    <w:rsid w:val="1A366198"/>
    <w:rsid w:val="1A383B94"/>
    <w:rsid w:val="1A46462D"/>
    <w:rsid w:val="1A473F02"/>
    <w:rsid w:val="1A554870"/>
    <w:rsid w:val="1A562397"/>
    <w:rsid w:val="1A5A6E08"/>
    <w:rsid w:val="1A6920CA"/>
    <w:rsid w:val="1A705133"/>
    <w:rsid w:val="1AC13CB4"/>
    <w:rsid w:val="1AC35C7E"/>
    <w:rsid w:val="1ACD08AB"/>
    <w:rsid w:val="1AD0039B"/>
    <w:rsid w:val="1AD03EF7"/>
    <w:rsid w:val="1ADC0AEE"/>
    <w:rsid w:val="1ADC7302"/>
    <w:rsid w:val="1AE254F2"/>
    <w:rsid w:val="1AE256A7"/>
    <w:rsid w:val="1AEB0D31"/>
    <w:rsid w:val="1AF65324"/>
    <w:rsid w:val="1B0344CB"/>
    <w:rsid w:val="1B040045"/>
    <w:rsid w:val="1B0E4A1F"/>
    <w:rsid w:val="1B121D3A"/>
    <w:rsid w:val="1B1B5E81"/>
    <w:rsid w:val="1B222DFA"/>
    <w:rsid w:val="1B2304CB"/>
    <w:rsid w:val="1B2435A0"/>
    <w:rsid w:val="1B254CC7"/>
    <w:rsid w:val="1B274760"/>
    <w:rsid w:val="1B497395"/>
    <w:rsid w:val="1B4D19EC"/>
    <w:rsid w:val="1B50328A"/>
    <w:rsid w:val="1B5471E1"/>
    <w:rsid w:val="1B614635"/>
    <w:rsid w:val="1B657658"/>
    <w:rsid w:val="1B6805D3"/>
    <w:rsid w:val="1B6D1746"/>
    <w:rsid w:val="1B80591D"/>
    <w:rsid w:val="1B892A21"/>
    <w:rsid w:val="1BA57132"/>
    <w:rsid w:val="1BB336A9"/>
    <w:rsid w:val="1BB630C1"/>
    <w:rsid w:val="1BC17CE4"/>
    <w:rsid w:val="1BC23292"/>
    <w:rsid w:val="1BCF2EAD"/>
    <w:rsid w:val="1BDC7B96"/>
    <w:rsid w:val="1BE0267C"/>
    <w:rsid w:val="1BEC4B29"/>
    <w:rsid w:val="1BFD6F6E"/>
    <w:rsid w:val="1C0F4EF3"/>
    <w:rsid w:val="1C16002F"/>
    <w:rsid w:val="1C1E0C92"/>
    <w:rsid w:val="1C1F5136"/>
    <w:rsid w:val="1C204A0A"/>
    <w:rsid w:val="1C287B9B"/>
    <w:rsid w:val="1C295FB5"/>
    <w:rsid w:val="1C2C1601"/>
    <w:rsid w:val="1C2E6F0F"/>
    <w:rsid w:val="1C2F2E9F"/>
    <w:rsid w:val="1C38492A"/>
    <w:rsid w:val="1C3A430F"/>
    <w:rsid w:val="1C47643B"/>
    <w:rsid w:val="1C477F91"/>
    <w:rsid w:val="1C485D0F"/>
    <w:rsid w:val="1C4C3A51"/>
    <w:rsid w:val="1C4E280E"/>
    <w:rsid w:val="1C4F0B8B"/>
    <w:rsid w:val="1C56667E"/>
    <w:rsid w:val="1C5F46E4"/>
    <w:rsid w:val="1C60574F"/>
    <w:rsid w:val="1C6276B3"/>
    <w:rsid w:val="1C640D9B"/>
    <w:rsid w:val="1C662D65"/>
    <w:rsid w:val="1C6E1C1A"/>
    <w:rsid w:val="1C7027AD"/>
    <w:rsid w:val="1C753007"/>
    <w:rsid w:val="1C8651B5"/>
    <w:rsid w:val="1C8C6B54"/>
    <w:rsid w:val="1C9245FF"/>
    <w:rsid w:val="1C9A0C60"/>
    <w:rsid w:val="1C9A2A0F"/>
    <w:rsid w:val="1C9C6787"/>
    <w:rsid w:val="1CA23671"/>
    <w:rsid w:val="1CA92C5C"/>
    <w:rsid w:val="1CA94A00"/>
    <w:rsid w:val="1CB17D58"/>
    <w:rsid w:val="1CB44012"/>
    <w:rsid w:val="1CB46F25"/>
    <w:rsid w:val="1CBD66FD"/>
    <w:rsid w:val="1CC5753D"/>
    <w:rsid w:val="1CC82A58"/>
    <w:rsid w:val="1CD87093"/>
    <w:rsid w:val="1CE60452"/>
    <w:rsid w:val="1CF07981"/>
    <w:rsid w:val="1CF3211F"/>
    <w:rsid w:val="1CF76887"/>
    <w:rsid w:val="1CF87BD9"/>
    <w:rsid w:val="1CFB5A88"/>
    <w:rsid w:val="1D01040A"/>
    <w:rsid w:val="1D012A8E"/>
    <w:rsid w:val="1D0F3839"/>
    <w:rsid w:val="1D214638"/>
    <w:rsid w:val="1D230C56"/>
    <w:rsid w:val="1D285447"/>
    <w:rsid w:val="1D350989"/>
    <w:rsid w:val="1D38412F"/>
    <w:rsid w:val="1D497F91"/>
    <w:rsid w:val="1D4E6BA1"/>
    <w:rsid w:val="1D506932"/>
    <w:rsid w:val="1D554B87"/>
    <w:rsid w:val="1D5E4D92"/>
    <w:rsid w:val="1D632E00"/>
    <w:rsid w:val="1D650BC1"/>
    <w:rsid w:val="1D7A5D3C"/>
    <w:rsid w:val="1D7E40DE"/>
    <w:rsid w:val="1D863FFF"/>
    <w:rsid w:val="1D875C31"/>
    <w:rsid w:val="1D8D4321"/>
    <w:rsid w:val="1D954F84"/>
    <w:rsid w:val="1D9666C1"/>
    <w:rsid w:val="1D9C6BA7"/>
    <w:rsid w:val="1DA578BD"/>
    <w:rsid w:val="1DC00253"/>
    <w:rsid w:val="1DC85359"/>
    <w:rsid w:val="1DD41F50"/>
    <w:rsid w:val="1DD70B63"/>
    <w:rsid w:val="1DD95F2A"/>
    <w:rsid w:val="1DDC3E11"/>
    <w:rsid w:val="1DE2466D"/>
    <w:rsid w:val="1DF60118"/>
    <w:rsid w:val="1DFE521F"/>
    <w:rsid w:val="1E047F72"/>
    <w:rsid w:val="1E081BFA"/>
    <w:rsid w:val="1E0F11DA"/>
    <w:rsid w:val="1E14234D"/>
    <w:rsid w:val="1E1965DF"/>
    <w:rsid w:val="1E22594E"/>
    <w:rsid w:val="1E26524F"/>
    <w:rsid w:val="1E2C1658"/>
    <w:rsid w:val="1E2F7187"/>
    <w:rsid w:val="1E360515"/>
    <w:rsid w:val="1E3C6860"/>
    <w:rsid w:val="1E4B08AA"/>
    <w:rsid w:val="1E51484A"/>
    <w:rsid w:val="1E553F4E"/>
    <w:rsid w:val="1E5E3995"/>
    <w:rsid w:val="1E613D0C"/>
    <w:rsid w:val="1E6A65D5"/>
    <w:rsid w:val="1E8618AA"/>
    <w:rsid w:val="1E8D7EE9"/>
    <w:rsid w:val="1E8E65A3"/>
    <w:rsid w:val="1E935967"/>
    <w:rsid w:val="1E981DE5"/>
    <w:rsid w:val="1E982F7E"/>
    <w:rsid w:val="1E9A6CF6"/>
    <w:rsid w:val="1EB31B66"/>
    <w:rsid w:val="1EB9145D"/>
    <w:rsid w:val="1ECB1D80"/>
    <w:rsid w:val="1ED27475"/>
    <w:rsid w:val="1ED3045A"/>
    <w:rsid w:val="1ED45E22"/>
    <w:rsid w:val="1ED61CF8"/>
    <w:rsid w:val="1ED93558"/>
    <w:rsid w:val="1EDD081F"/>
    <w:rsid w:val="1EE879B6"/>
    <w:rsid w:val="1EEF7FE2"/>
    <w:rsid w:val="1EF0052B"/>
    <w:rsid w:val="1EF503D0"/>
    <w:rsid w:val="1EF5217E"/>
    <w:rsid w:val="1F073C5F"/>
    <w:rsid w:val="1F0B3750"/>
    <w:rsid w:val="1F161A1B"/>
    <w:rsid w:val="1F385425"/>
    <w:rsid w:val="1F4153C3"/>
    <w:rsid w:val="1F444276"/>
    <w:rsid w:val="1F4E5D32"/>
    <w:rsid w:val="1F585820"/>
    <w:rsid w:val="1F5C044F"/>
    <w:rsid w:val="1F7A6B27"/>
    <w:rsid w:val="1F7B107E"/>
    <w:rsid w:val="1F7F413E"/>
    <w:rsid w:val="1F8015A9"/>
    <w:rsid w:val="1F8640CB"/>
    <w:rsid w:val="1F8E4D0D"/>
    <w:rsid w:val="1F8E612F"/>
    <w:rsid w:val="1F933265"/>
    <w:rsid w:val="1F933745"/>
    <w:rsid w:val="1F941997"/>
    <w:rsid w:val="1F9C4CF0"/>
    <w:rsid w:val="1F9C6A9E"/>
    <w:rsid w:val="1FA83694"/>
    <w:rsid w:val="1FB65DB1"/>
    <w:rsid w:val="1FB931AC"/>
    <w:rsid w:val="1FC2498B"/>
    <w:rsid w:val="1FCC330B"/>
    <w:rsid w:val="1FE521F3"/>
    <w:rsid w:val="1FF37D04"/>
    <w:rsid w:val="1FFB1A16"/>
    <w:rsid w:val="1FFC578E"/>
    <w:rsid w:val="1FFE1506"/>
    <w:rsid w:val="1FFE5062"/>
    <w:rsid w:val="1FFE6A51"/>
    <w:rsid w:val="200C4BD9"/>
    <w:rsid w:val="201C198C"/>
    <w:rsid w:val="203767C6"/>
    <w:rsid w:val="2039253E"/>
    <w:rsid w:val="2043516B"/>
    <w:rsid w:val="207922AB"/>
    <w:rsid w:val="20807EB5"/>
    <w:rsid w:val="208445B0"/>
    <w:rsid w:val="208953B8"/>
    <w:rsid w:val="20923F96"/>
    <w:rsid w:val="2096528F"/>
    <w:rsid w:val="209B6D55"/>
    <w:rsid w:val="209F6845"/>
    <w:rsid w:val="20A42F05"/>
    <w:rsid w:val="20A774A8"/>
    <w:rsid w:val="20AB6760"/>
    <w:rsid w:val="20AF4AA6"/>
    <w:rsid w:val="20B25E14"/>
    <w:rsid w:val="20B83463"/>
    <w:rsid w:val="20BD4F1E"/>
    <w:rsid w:val="20C067BC"/>
    <w:rsid w:val="20D81D57"/>
    <w:rsid w:val="20DC1E73"/>
    <w:rsid w:val="20DF263D"/>
    <w:rsid w:val="20E56222"/>
    <w:rsid w:val="20EE157B"/>
    <w:rsid w:val="20EF0E4F"/>
    <w:rsid w:val="210050BB"/>
    <w:rsid w:val="211146A0"/>
    <w:rsid w:val="21117017"/>
    <w:rsid w:val="21134B3E"/>
    <w:rsid w:val="213D1BBA"/>
    <w:rsid w:val="215533A8"/>
    <w:rsid w:val="21577120"/>
    <w:rsid w:val="215E22A9"/>
    <w:rsid w:val="215E79BE"/>
    <w:rsid w:val="216929AF"/>
    <w:rsid w:val="216959DE"/>
    <w:rsid w:val="216B497A"/>
    <w:rsid w:val="216E2542"/>
    <w:rsid w:val="217269EB"/>
    <w:rsid w:val="21747CD2"/>
    <w:rsid w:val="21821CC3"/>
    <w:rsid w:val="21827B08"/>
    <w:rsid w:val="21863561"/>
    <w:rsid w:val="21893FA9"/>
    <w:rsid w:val="21983295"/>
    <w:rsid w:val="219A0DBB"/>
    <w:rsid w:val="219F1ABD"/>
    <w:rsid w:val="219F1EC0"/>
    <w:rsid w:val="21A659B2"/>
    <w:rsid w:val="21A734D8"/>
    <w:rsid w:val="21A80E9D"/>
    <w:rsid w:val="21AE2AB8"/>
    <w:rsid w:val="21C8620E"/>
    <w:rsid w:val="21CB2917"/>
    <w:rsid w:val="21D02A2F"/>
    <w:rsid w:val="21D95D87"/>
    <w:rsid w:val="21DA1AFF"/>
    <w:rsid w:val="21DE216D"/>
    <w:rsid w:val="21DF2C72"/>
    <w:rsid w:val="21E169EA"/>
    <w:rsid w:val="21EA7F94"/>
    <w:rsid w:val="21F86CB8"/>
    <w:rsid w:val="21F901D7"/>
    <w:rsid w:val="21FD4FC7"/>
    <w:rsid w:val="21FF448A"/>
    <w:rsid w:val="2207555D"/>
    <w:rsid w:val="22105521"/>
    <w:rsid w:val="221E19EC"/>
    <w:rsid w:val="222659F1"/>
    <w:rsid w:val="222D7D43"/>
    <w:rsid w:val="222F482F"/>
    <w:rsid w:val="223905D4"/>
    <w:rsid w:val="22427325"/>
    <w:rsid w:val="22460F43"/>
    <w:rsid w:val="225B49EE"/>
    <w:rsid w:val="22675C42"/>
    <w:rsid w:val="22760609"/>
    <w:rsid w:val="227609CD"/>
    <w:rsid w:val="227E06DD"/>
    <w:rsid w:val="22813E3B"/>
    <w:rsid w:val="22833F45"/>
    <w:rsid w:val="22AF0896"/>
    <w:rsid w:val="22BE6D2B"/>
    <w:rsid w:val="22D4654E"/>
    <w:rsid w:val="22D7777E"/>
    <w:rsid w:val="22E744D4"/>
    <w:rsid w:val="22E907A2"/>
    <w:rsid w:val="22ED3BA1"/>
    <w:rsid w:val="22EE3A71"/>
    <w:rsid w:val="22F17100"/>
    <w:rsid w:val="22F8223D"/>
    <w:rsid w:val="22FB5322"/>
    <w:rsid w:val="23052BAC"/>
    <w:rsid w:val="230E078D"/>
    <w:rsid w:val="230E0951"/>
    <w:rsid w:val="230F258E"/>
    <w:rsid w:val="23103A2A"/>
    <w:rsid w:val="23137077"/>
    <w:rsid w:val="23261B35"/>
    <w:rsid w:val="23330577"/>
    <w:rsid w:val="233622A7"/>
    <w:rsid w:val="2338088B"/>
    <w:rsid w:val="233C7880"/>
    <w:rsid w:val="233F31F6"/>
    <w:rsid w:val="233F60BE"/>
    <w:rsid w:val="234A6048"/>
    <w:rsid w:val="23515DF1"/>
    <w:rsid w:val="23573852"/>
    <w:rsid w:val="235C0A1E"/>
    <w:rsid w:val="235E2BD1"/>
    <w:rsid w:val="235F22BC"/>
    <w:rsid w:val="235F2990"/>
    <w:rsid w:val="236C2E3A"/>
    <w:rsid w:val="236D2C2B"/>
    <w:rsid w:val="2378337E"/>
    <w:rsid w:val="237C10C0"/>
    <w:rsid w:val="23814F05"/>
    <w:rsid w:val="238751B2"/>
    <w:rsid w:val="239179D6"/>
    <w:rsid w:val="23B63E77"/>
    <w:rsid w:val="23BC3AB0"/>
    <w:rsid w:val="23C96D9F"/>
    <w:rsid w:val="23DF49D2"/>
    <w:rsid w:val="23ED4D26"/>
    <w:rsid w:val="23F67FA6"/>
    <w:rsid w:val="23FC7B0B"/>
    <w:rsid w:val="240069B4"/>
    <w:rsid w:val="24042E63"/>
    <w:rsid w:val="240D3609"/>
    <w:rsid w:val="240F3B42"/>
    <w:rsid w:val="24100849"/>
    <w:rsid w:val="241035B6"/>
    <w:rsid w:val="2429545C"/>
    <w:rsid w:val="242D4168"/>
    <w:rsid w:val="243B5DAD"/>
    <w:rsid w:val="243C43AB"/>
    <w:rsid w:val="243F5C4A"/>
    <w:rsid w:val="244D3098"/>
    <w:rsid w:val="24586F31"/>
    <w:rsid w:val="245A2A83"/>
    <w:rsid w:val="246D3E2E"/>
    <w:rsid w:val="246F2824"/>
    <w:rsid w:val="24755FF5"/>
    <w:rsid w:val="247665B9"/>
    <w:rsid w:val="24853FA4"/>
    <w:rsid w:val="24863878"/>
    <w:rsid w:val="248C4D6A"/>
    <w:rsid w:val="249441E7"/>
    <w:rsid w:val="24997A50"/>
    <w:rsid w:val="249C4BBB"/>
    <w:rsid w:val="24A95133"/>
    <w:rsid w:val="24AE5C38"/>
    <w:rsid w:val="24B2466B"/>
    <w:rsid w:val="24CA5E5B"/>
    <w:rsid w:val="24CC572F"/>
    <w:rsid w:val="24D6035C"/>
    <w:rsid w:val="24DC354A"/>
    <w:rsid w:val="24DC6A5D"/>
    <w:rsid w:val="24DF613F"/>
    <w:rsid w:val="24E409AE"/>
    <w:rsid w:val="24EB6D1B"/>
    <w:rsid w:val="24F13B91"/>
    <w:rsid w:val="24F609FE"/>
    <w:rsid w:val="24FD3C49"/>
    <w:rsid w:val="25011468"/>
    <w:rsid w:val="25037E9B"/>
    <w:rsid w:val="251A0B90"/>
    <w:rsid w:val="25267DED"/>
    <w:rsid w:val="252E056F"/>
    <w:rsid w:val="252E2280"/>
    <w:rsid w:val="252F5CBE"/>
    <w:rsid w:val="25357778"/>
    <w:rsid w:val="25361296"/>
    <w:rsid w:val="2536529E"/>
    <w:rsid w:val="25381017"/>
    <w:rsid w:val="253F23A5"/>
    <w:rsid w:val="2546130F"/>
    <w:rsid w:val="254B5DAB"/>
    <w:rsid w:val="254D531C"/>
    <w:rsid w:val="25621262"/>
    <w:rsid w:val="256421C0"/>
    <w:rsid w:val="256C6F12"/>
    <w:rsid w:val="25717E78"/>
    <w:rsid w:val="25761B3F"/>
    <w:rsid w:val="258129BE"/>
    <w:rsid w:val="258B383C"/>
    <w:rsid w:val="258D5431"/>
    <w:rsid w:val="258E20A6"/>
    <w:rsid w:val="25902676"/>
    <w:rsid w:val="259A778C"/>
    <w:rsid w:val="25A24115"/>
    <w:rsid w:val="25A42208"/>
    <w:rsid w:val="25AD37B3"/>
    <w:rsid w:val="25C1725E"/>
    <w:rsid w:val="25DA0320"/>
    <w:rsid w:val="25DE2665"/>
    <w:rsid w:val="25E116AE"/>
    <w:rsid w:val="25E91C5D"/>
    <w:rsid w:val="25F0544D"/>
    <w:rsid w:val="25F34F3E"/>
    <w:rsid w:val="25F5515A"/>
    <w:rsid w:val="25F82554"/>
    <w:rsid w:val="25FA61EA"/>
    <w:rsid w:val="25FD7B6A"/>
    <w:rsid w:val="26061B44"/>
    <w:rsid w:val="260D53F4"/>
    <w:rsid w:val="260D631B"/>
    <w:rsid w:val="26192BF6"/>
    <w:rsid w:val="262275D1"/>
    <w:rsid w:val="262D66A1"/>
    <w:rsid w:val="26311CB5"/>
    <w:rsid w:val="26345C82"/>
    <w:rsid w:val="263C2DB6"/>
    <w:rsid w:val="263C68E5"/>
    <w:rsid w:val="26415CA9"/>
    <w:rsid w:val="264C002E"/>
    <w:rsid w:val="264D464E"/>
    <w:rsid w:val="266B4AD8"/>
    <w:rsid w:val="267B565F"/>
    <w:rsid w:val="267C3185"/>
    <w:rsid w:val="267E514F"/>
    <w:rsid w:val="268838D8"/>
    <w:rsid w:val="268A7650"/>
    <w:rsid w:val="26997893"/>
    <w:rsid w:val="26AA4381"/>
    <w:rsid w:val="26AB7EF8"/>
    <w:rsid w:val="26B02E2F"/>
    <w:rsid w:val="26B20955"/>
    <w:rsid w:val="26BF4371"/>
    <w:rsid w:val="26CA4055"/>
    <w:rsid w:val="26CC5EBA"/>
    <w:rsid w:val="26D27249"/>
    <w:rsid w:val="26D44D6F"/>
    <w:rsid w:val="26E024ED"/>
    <w:rsid w:val="26ED73EF"/>
    <w:rsid w:val="26FD2D09"/>
    <w:rsid w:val="2700271D"/>
    <w:rsid w:val="270218DC"/>
    <w:rsid w:val="27031211"/>
    <w:rsid w:val="27206206"/>
    <w:rsid w:val="272730F1"/>
    <w:rsid w:val="27277595"/>
    <w:rsid w:val="27286E18"/>
    <w:rsid w:val="272A0E33"/>
    <w:rsid w:val="272F6449"/>
    <w:rsid w:val="27335F39"/>
    <w:rsid w:val="273E043A"/>
    <w:rsid w:val="27483067"/>
    <w:rsid w:val="2753038A"/>
    <w:rsid w:val="2758774E"/>
    <w:rsid w:val="27693709"/>
    <w:rsid w:val="276C144B"/>
    <w:rsid w:val="277125BE"/>
    <w:rsid w:val="27750300"/>
    <w:rsid w:val="277D0F63"/>
    <w:rsid w:val="27A75FE0"/>
    <w:rsid w:val="27A97FAA"/>
    <w:rsid w:val="27AD65DA"/>
    <w:rsid w:val="27B8643F"/>
    <w:rsid w:val="27BF5A1F"/>
    <w:rsid w:val="27C13545"/>
    <w:rsid w:val="27CF2C7B"/>
    <w:rsid w:val="27DD74F3"/>
    <w:rsid w:val="27E0325A"/>
    <w:rsid w:val="27EB6814"/>
    <w:rsid w:val="27F1756A"/>
    <w:rsid w:val="2803474D"/>
    <w:rsid w:val="280B47C0"/>
    <w:rsid w:val="28100029"/>
    <w:rsid w:val="2815563F"/>
    <w:rsid w:val="281776AC"/>
    <w:rsid w:val="281C69CE"/>
    <w:rsid w:val="282B4E63"/>
    <w:rsid w:val="282D5367"/>
    <w:rsid w:val="282D7CAC"/>
    <w:rsid w:val="28373807"/>
    <w:rsid w:val="28384CB3"/>
    <w:rsid w:val="283F496F"/>
    <w:rsid w:val="284B3BC6"/>
    <w:rsid w:val="2859377E"/>
    <w:rsid w:val="285F2D5E"/>
    <w:rsid w:val="28645A37"/>
    <w:rsid w:val="286B34B1"/>
    <w:rsid w:val="287700A8"/>
    <w:rsid w:val="288527C5"/>
    <w:rsid w:val="28893937"/>
    <w:rsid w:val="28902F18"/>
    <w:rsid w:val="289742A6"/>
    <w:rsid w:val="28A01C27"/>
    <w:rsid w:val="28A16ED3"/>
    <w:rsid w:val="28A40771"/>
    <w:rsid w:val="28B9421C"/>
    <w:rsid w:val="28CA642A"/>
    <w:rsid w:val="28DB4EF1"/>
    <w:rsid w:val="28EC2844"/>
    <w:rsid w:val="28EF7B82"/>
    <w:rsid w:val="28FD1759"/>
    <w:rsid w:val="29011C0D"/>
    <w:rsid w:val="290D27BA"/>
    <w:rsid w:val="29192F0D"/>
    <w:rsid w:val="29213387"/>
    <w:rsid w:val="292F0982"/>
    <w:rsid w:val="29315676"/>
    <w:rsid w:val="29336BF5"/>
    <w:rsid w:val="29361D11"/>
    <w:rsid w:val="29515CEB"/>
    <w:rsid w:val="29521364"/>
    <w:rsid w:val="295D4E9F"/>
    <w:rsid w:val="295D5ECC"/>
    <w:rsid w:val="29681708"/>
    <w:rsid w:val="29763724"/>
    <w:rsid w:val="297665B1"/>
    <w:rsid w:val="2984482A"/>
    <w:rsid w:val="298E56A9"/>
    <w:rsid w:val="29912DA0"/>
    <w:rsid w:val="2996630C"/>
    <w:rsid w:val="29A018A1"/>
    <w:rsid w:val="29B078C2"/>
    <w:rsid w:val="29B64C00"/>
    <w:rsid w:val="29C25353"/>
    <w:rsid w:val="29D82DC8"/>
    <w:rsid w:val="29DA0719"/>
    <w:rsid w:val="29DF4738"/>
    <w:rsid w:val="29E7616E"/>
    <w:rsid w:val="29FD282F"/>
    <w:rsid w:val="2A112973"/>
    <w:rsid w:val="2A135BAE"/>
    <w:rsid w:val="2A16744D"/>
    <w:rsid w:val="2A1C2CB5"/>
    <w:rsid w:val="2A241B69"/>
    <w:rsid w:val="2A2B114A"/>
    <w:rsid w:val="2A391AB9"/>
    <w:rsid w:val="2A3D0E7D"/>
    <w:rsid w:val="2A473AAA"/>
    <w:rsid w:val="2A5046E0"/>
    <w:rsid w:val="2A522E74"/>
    <w:rsid w:val="2A573CED"/>
    <w:rsid w:val="2A720B27"/>
    <w:rsid w:val="2A7423E6"/>
    <w:rsid w:val="2A742AF1"/>
    <w:rsid w:val="2A7A3E7F"/>
    <w:rsid w:val="2A866380"/>
    <w:rsid w:val="2A950CB9"/>
    <w:rsid w:val="2A9A007E"/>
    <w:rsid w:val="2A9C58CE"/>
    <w:rsid w:val="2AA057D9"/>
    <w:rsid w:val="2AA07B14"/>
    <w:rsid w:val="2AAE0934"/>
    <w:rsid w:val="2AAF7153"/>
    <w:rsid w:val="2AB542F8"/>
    <w:rsid w:val="2ABC4FEF"/>
    <w:rsid w:val="2AD25A69"/>
    <w:rsid w:val="2AD43590"/>
    <w:rsid w:val="2AD510B6"/>
    <w:rsid w:val="2AF53506"/>
    <w:rsid w:val="2B1240B8"/>
    <w:rsid w:val="2B1716CE"/>
    <w:rsid w:val="2B1D760D"/>
    <w:rsid w:val="2B2A31B0"/>
    <w:rsid w:val="2B3109E2"/>
    <w:rsid w:val="2B33475A"/>
    <w:rsid w:val="2B366200"/>
    <w:rsid w:val="2B471FB3"/>
    <w:rsid w:val="2B6352AF"/>
    <w:rsid w:val="2B65243A"/>
    <w:rsid w:val="2B69403C"/>
    <w:rsid w:val="2B8054C5"/>
    <w:rsid w:val="2B85488A"/>
    <w:rsid w:val="2B8F395A"/>
    <w:rsid w:val="2B920D55"/>
    <w:rsid w:val="2BAD5B8F"/>
    <w:rsid w:val="2BC5112A"/>
    <w:rsid w:val="2BDB6BA0"/>
    <w:rsid w:val="2BE23A8A"/>
    <w:rsid w:val="2BE45A54"/>
    <w:rsid w:val="2BEF61A7"/>
    <w:rsid w:val="2BFE65D6"/>
    <w:rsid w:val="2BFF63EA"/>
    <w:rsid w:val="2C083572"/>
    <w:rsid w:val="2C1A1476"/>
    <w:rsid w:val="2C1A76C8"/>
    <w:rsid w:val="2C1F4CDE"/>
    <w:rsid w:val="2C333511"/>
    <w:rsid w:val="2C416A03"/>
    <w:rsid w:val="2C42191B"/>
    <w:rsid w:val="2C477D91"/>
    <w:rsid w:val="2C585488"/>
    <w:rsid w:val="2C622E1D"/>
    <w:rsid w:val="2C6262D1"/>
    <w:rsid w:val="2C6F1ADB"/>
    <w:rsid w:val="2C771FB3"/>
    <w:rsid w:val="2C8E3C12"/>
    <w:rsid w:val="2C95016D"/>
    <w:rsid w:val="2C9A25B7"/>
    <w:rsid w:val="2CA134DB"/>
    <w:rsid w:val="2CA75FCB"/>
    <w:rsid w:val="2CAB0E29"/>
    <w:rsid w:val="2CAB6572"/>
    <w:rsid w:val="2CAE39BA"/>
    <w:rsid w:val="2CAF6062"/>
    <w:rsid w:val="2CB573F1"/>
    <w:rsid w:val="2CB73169"/>
    <w:rsid w:val="2CCB451E"/>
    <w:rsid w:val="2CD86C3B"/>
    <w:rsid w:val="2CDB39D1"/>
    <w:rsid w:val="2CDB62AC"/>
    <w:rsid w:val="2CED26E7"/>
    <w:rsid w:val="2CF0667B"/>
    <w:rsid w:val="2D18318D"/>
    <w:rsid w:val="2D1A4C84"/>
    <w:rsid w:val="2D224302"/>
    <w:rsid w:val="2D300EFC"/>
    <w:rsid w:val="2D30477A"/>
    <w:rsid w:val="2D3F513B"/>
    <w:rsid w:val="2D4C117B"/>
    <w:rsid w:val="2D4F6EFD"/>
    <w:rsid w:val="2D6A3D37"/>
    <w:rsid w:val="2D713318"/>
    <w:rsid w:val="2D742E08"/>
    <w:rsid w:val="2D764C9B"/>
    <w:rsid w:val="2D7B7CF2"/>
    <w:rsid w:val="2D9139BA"/>
    <w:rsid w:val="2D9B0395"/>
    <w:rsid w:val="2D9C43CC"/>
    <w:rsid w:val="2DA06D96"/>
    <w:rsid w:val="2DB11400"/>
    <w:rsid w:val="2DB35827"/>
    <w:rsid w:val="2DB63420"/>
    <w:rsid w:val="2DC97D1C"/>
    <w:rsid w:val="2DCC49F2"/>
    <w:rsid w:val="2DCD42C6"/>
    <w:rsid w:val="2DD85145"/>
    <w:rsid w:val="2DD9710F"/>
    <w:rsid w:val="2DDF515E"/>
    <w:rsid w:val="2DE27D71"/>
    <w:rsid w:val="2DEB5BE1"/>
    <w:rsid w:val="2DEE3C5B"/>
    <w:rsid w:val="2DF14458"/>
    <w:rsid w:val="2DF45CF7"/>
    <w:rsid w:val="2E0B376C"/>
    <w:rsid w:val="2E1B3283"/>
    <w:rsid w:val="2E1B4BAE"/>
    <w:rsid w:val="2E254102"/>
    <w:rsid w:val="2E3031D3"/>
    <w:rsid w:val="2E304F81"/>
    <w:rsid w:val="2E312AA7"/>
    <w:rsid w:val="2E316A88"/>
    <w:rsid w:val="2E3879E0"/>
    <w:rsid w:val="2E4A2DDA"/>
    <w:rsid w:val="2E536EC1"/>
    <w:rsid w:val="2E5642BC"/>
    <w:rsid w:val="2E5721D6"/>
    <w:rsid w:val="2E592537"/>
    <w:rsid w:val="2E5A3DAC"/>
    <w:rsid w:val="2E786928"/>
    <w:rsid w:val="2E870919"/>
    <w:rsid w:val="2E9077CD"/>
    <w:rsid w:val="2E9F5C62"/>
    <w:rsid w:val="2EA8315E"/>
    <w:rsid w:val="2EAC7101"/>
    <w:rsid w:val="2EB1632E"/>
    <w:rsid w:val="2EB57CA5"/>
    <w:rsid w:val="2EBD1531"/>
    <w:rsid w:val="2EBE07DF"/>
    <w:rsid w:val="2EC13E2B"/>
    <w:rsid w:val="2EC658E5"/>
    <w:rsid w:val="2ECF0A7C"/>
    <w:rsid w:val="2ED350EC"/>
    <w:rsid w:val="2ED47D4A"/>
    <w:rsid w:val="2EDD2081"/>
    <w:rsid w:val="2EDE49DD"/>
    <w:rsid w:val="2EE92F52"/>
    <w:rsid w:val="2EEB4DE8"/>
    <w:rsid w:val="2EED10C4"/>
    <w:rsid w:val="2EF3743D"/>
    <w:rsid w:val="2EFA558F"/>
    <w:rsid w:val="2F0106CB"/>
    <w:rsid w:val="2F034443"/>
    <w:rsid w:val="2F176141"/>
    <w:rsid w:val="2F1777F0"/>
    <w:rsid w:val="2F19499B"/>
    <w:rsid w:val="2F23471A"/>
    <w:rsid w:val="2F2A7575"/>
    <w:rsid w:val="2F324D29"/>
    <w:rsid w:val="2F3445FD"/>
    <w:rsid w:val="2F3C0F4C"/>
    <w:rsid w:val="2F4E399B"/>
    <w:rsid w:val="2F4F1437"/>
    <w:rsid w:val="2F553234"/>
    <w:rsid w:val="2F57752F"/>
    <w:rsid w:val="2F633F94"/>
    <w:rsid w:val="2F6615E5"/>
    <w:rsid w:val="2F6E42FA"/>
    <w:rsid w:val="2F7E4F3B"/>
    <w:rsid w:val="2F8108E2"/>
    <w:rsid w:val="2F960A6E"/>
    <w:rsid w:val="2F972DDE"/>
    <w:rsid w:val="2F9C6646"/>
    <w:rsid w:val="2FA31782"/>
    <w:rsid w:val="2FAE34F0"/>
    <w:rsid w:val="2FB35E69"/>
    <w:rsid w:val="2FB82320"/>
    <w:rsid w:val="2FC16BFF"/>
    <w:rsid w:val="2FC546C0"/>
    <w:rsid w:val="2FC96724"/>
    <w:rsid w:val="2FCD0ECA"/>
    <w:rsid w:val="2FD469F0"/>
    <w:rsid w:val="2FEC3129"/>
    <w:rsid w:val="2FF40284"/>
    <w:rsid w:val="2FF43956"/>
    <w:rsid w:val="2FF81ACE"/>
    <w:rsid w:val="2FFD70E5"/>
    <w:rsid w:val="30022770"/>
    <w:rsid w:val="301D32E3"/>
    <w:rsid w:val="302D729E"/>
    <w:rsid w:val="302E1143"/>
    <w:rsid w:val="304461D3"/>
    <w:rsid w:val="3049232A"/>
    <w:rsid w:val="304B42F4"/>
    <w:rsid w:val="304D174B"/>
    <w:rsid w:val="30542A7D"/>
    <w:rsid w:val="305603A6"/>
    <w:rsid w:val="305F38FB"/>
    <w:rsid w:val="305F7D9F"/>
    <w:rsid w:val="30654D09"/>
    <w:rsid w:val="306A22A0"/>
    <w:rsid w:val="30854127"/>
    <w:rsid w:val="3086532C"/>
    <w:rsid w:val="308B51BC"/>
    <w:rsid w:val="308C45C0"/>
    <w:rsid w:val="30903B05"/>
    <w:rsid w:val="30936FF5"/>
    <w:rsid w:val="3095556F"/>
    <w:rsid w:val="3096108E"/>
    <w:rsid w:val="30963095"/>
    <w:rsid w:val="30977539"/>
    <w:rsid w:val="309C2D5D"/>
    <w:rsid w:val="309C3B7F"/>
    <w:rsid w:val="309C45E7"/>
    <w:rsid w:val="309F1652"/>
    <w:rsid w:val="30A12166"/>
    <w:rsid w:val="30A13BD7"/>
    <w:rsid w:val="30B71989"/>
    <w:rsid w:val="30C145B6"/>
    <w:rsid w:val="30CA0702"/>
    <w:rsid w:val="30CC33FB"/>
    <w:rsid w:val="30D342E9"/>
    <w:rsid w:val="30D51E0F"/>
    <w:rsid w:val="30F00C60"/>
    <w:rsid w:val="30F15BAA"/>
    <w:rsid w:val="30F1651D"/>
    <w:rsid w:val="310F320C"/>
    <w:rsid w:val="311D630A"/>
    <w:rsid w:val="311E37B6"/>
    <w:rsid w:val="3125515C"/>
    <w:rsid w:val="312C245E"/>
    <w:rsid w:val="31313A34"/>
    <w:rsid w:val="314C39AC"/>
    <w:rsid w:val="31506ACE"/>
    <w:rsid w:val="315B703D"/>
    <w:rsid w:val="315C0D08"/>
    <w:rsid w:val="31774091"/>
    <w:rsid w:val="317F1A54"/>
    <w:rsid w:val="31844783"/>
    <w:rsid w:val="319228A7"/>
    <w:rsid w:val="31930E02"/>
    <w:rsid w:val="31A17F44"/>
    <w:rsid w:val="31A60340"/>
    <w:rsid w:val="31C364EC"/>
    <w:rsid w:val="31C541D6"/>
    <w:rsid w:val="31C71704"/>
    <w:rsid w:val="31CC4FC0"/>
    <w:rsid w:val="31D41044"/>
    <w:rsid w:val="31D64091"/>
    <w:rsid w:val="31D73965"/>
    <w:rsid w:val="31D976DD"/>
    <w:rsid w:val="31E268F5"/>
    <w:rsid w:val="31E367AE"/>
    <w:rsid w:val="31E56082"/>
    <w:rsid w:val="31E63BA8"/>
    <w:rsid w:val="31EE6F31"/>
    <w:rsid w:val="31F153B0"/>
    <w:rsid w:val="31F77B64"/>
    <w:rsid w:val="31FB5844"/>
    <w:rsid w:val="31FB7654"/>
    <w:rsid w:val="31FD1366"/>
    <w:rsid w:val="320A7897"/>
    <w:rsid w:val="3212499D"/>
    <w:rsid w:val="32153953"/>
    <w:rsid w:val="32186458"/>
    <w:rsid w:val="32195D2C"/>
    <w:rsid w:val="321E77E6"/>
    <w:rsid w:val="32236BAB"/>
    <w:rsid w:val="322E5C7B"/>
    <w:rsid w:val="324234D5"/>
    <w:rsid w:val="324248D9"/>
    <w:rsid w:val="3243731A"/>
    <w:rsid w:val="32463124"/>
    <w:rsid w:val="324A2389"/>
    <w:rsid w:val="324F79A0"/>
    <w:rsid w:val="32580F24"/>
    <w:rsid w:val="32780945"/>
    <w:rsid w:val="328775B4"/>
    <w:rsid w:val="32894E5A"/>
    <w:rsid w:val="328E591A"/>
    <w:rsid w:val="329608AA"/>
    <w:rsid w:val="32963820"/>
    <w:rsid w:val="32A02FA8"/>
    <w:rsid w:val="32B02312"/>
    <w:rsid w:val="32B1065A"/>
    <w:rsid w:val="32B53CA7"/>
    <w:rsid w:val="32BF4B25"/>
    <w:rsid w:val="32C74EEE"/>
    <w:rsid w:val="32D026E1"/>
    <w:rsid w:val="32D0288E"/>
    <w:rsid w:val="32D22AAA"/>
    <w:rsid w:val="32DB1233"/>
    <w:rsid w:val="32F02F31"/>
    <w:rsid w:val="32F26CA9"/>
    <w:rsid w:val="32F742BF"/>
    <w:rsid w:val="32F84535"/>
    <w:rsid w:val="32FA49BD"/>
    <w:rsid w:val="330469DC"/>
    <w:rsid w:val="33136C1F"/>
    <w:rsid w:val="331A61FF"/>
    <w:rsid w:val="33254857"/>
    <w:rsid w:val="332E1CAB"/>
    <w:rsid w:val="3341378C"/>
    <w:rsid w:val="33490375"/>
    <w:rsid w:val="3350577D"/>
    <w:rsid w:val="336400BF"/>
    <w:rsid w:val="336456CD"/>
    <w:rsid w:val="33683964"/>
    <w:rsid w:val="336B2DDD"/>
    <w:rsid w:val="337173E7"/>
    <w:rsid w:val="337201F5"/>
    <w:rsid w:val="337F6063"/>
    <w:rsid w:val="33890C8F"/>
    <w:rsid w:val="338E62A6"/>
    <w:rsid w:val="33901D00"/>
    <w:rsid w:val="339176B9"/>
    <w:rsid w:val="339733AC"/>
    <w:rsid w:val="339C2A57"/>
    <w:rsid w:val="339E310C"/>
    <w:rsid w:val="33A13E34"/>
    <w:rsid w:val="33A15FD9"/>
    <w:rsid w:val="33A46636"/>
    <w:rsid w:val="33BB353F"/>
    <w:rsid w:val="33C148CD"/>
    <w:rsid w:val="33D44600"/>
    <w:rsid w:val="33E67E90"/>
    <w:rsid w:val="33EA7980"/>
    <w:rsid w:val="33F31A49"/>
    <w:rsid w:val="33F94067"/>
    <w:rsid w:val="33FD557F"/>
    <w:rsid w:val="33FE78CF"/>
    <w:rsid w:val="34082B44"/>
    <w:rsid w:val="341669C7"/>
    <w:rsid w:val="34172AC7"/>
    <w:rsid w:val="341744ED"/>
    <w:rsid w:val="341A3513"/>
    <w:rsid w:val="342904D9"/>
    <w:rsid w:val="342F1837"/>
    <w:rsid w:val="34332480"/>
    <w:rsid w:val="344165C4"/>
    <w:rsid w:val="34496D9C"/>
    <w:rsid w:val="34565834"/>
    <w:rsid w:val="34655258"/>
    <w:rsid w:val="346E05B1"/>
    <w:rsid w:val="347C7A35"/>
    <w:rsid w:val="347D4CCE"/>
    <w:rsid w:val="347F0A08"/>
    <w:rsid w:val="34853FEA"/>
    <w:rsid w:val="348B5182"/>
    <w:rsid w:val="34931DC5"/>
    <w:rsid w:val="34985C5A"/>
    <w:rsid w:val="349B3370"/>
    <w:rsid w:val="349D0E96"/>
    <w:rsid w:val="34A02734"/>
    <w:rsid w:val="34A6613A"/>
    <w:rsid w:val="34B41D3C"/>
    <w:rsid w:val="34BC360E"/>
    <w:rsid w:val="34D04DC8"/>
    <w:rsid w:val="34D952F9"/>
    <w:rsid w:val="34E22D4D"/>
    <w:rsid w:val="34E24AFB"/>
    <w:rsid w:val="34E56399"/>
    <w:rsid w:val="34F226A3"/>
    <w:rsid w:val="34FA62E8"/>
    <w:rsid w:val="34FC3E0F"/>
    <w:rsid w:val="34FD1935"/>
    <w:rsid w:val="350908A3"/>
    <w:rsid w:val="351C2BB8"/>
    <w:rsid w:val="35282528"/>
    <w:rsid w:val="352C7336"/>
    <w:rsid w:val="352E7D40"/>
    <w:rsid w:val="35366BF5"/>
    <w:rsid w:val="353802ED"/>
    <w:rsid w:val="35380BBF"/>
    <w:rsid w:val="3538296D"/>
    <w:rsid w:val="353A0143"/>
    <w:rsid w:val="353A713F"/>
    <w:rsid w:val="35513922"/>
    <w:rsid w:val="355F0677"/>
    <w:rsid w:val="35645510"/>
    <w:rsid w:val="356E0679"/>
    <w:rsid w:val="35757445"/>
    <w:rsid w:val="357F059C"/>
    <w:rsid w:val="357F5BD0"/>
    <w:rsid w:val="358838F4"/>
    <w:rsid w:val="358D3C5A"/>
    <w:rsid w:val="358E6A31"/>
    <w:rsid w:val="3592002F"/>
    <w:rsid w:val="359202CF"/>
    <w:rsid w:val="35A85D44"/>
    <w:rsid w:val="35A9153D"/>
    <w:rsid w:val="35AA397D"/>
    <w:rsid w:val="35BA2D2D"/>
    <w:rsid w:val="35BF4E3C"/>
    <w:rsid w:val="35C6441D"/>
    <w:rsid w:val="35DA3A24"/>
    <w:rsid w:val="35DC5AD5"/>
    <w:rsid w:val="35E164D1"/>
    <w:rsid w:val="35E46651"/>
    <w:rsid w:val="35E84FC2"/>
    <w:rsid w:val="35E87EEF"/>
    <w:rsid w:val="35EC7605"/>
    <w:rsid w:val="35F43F4A"/>
    <w:rsid w:val="35F63E63"/>
    <w:rsid w:val="35F75A2E"/>
    <w:rsid w:val="36056CF3"/>
    <w:rsid w:val="360D3DFA"/>
    <w:rsid w:val="361A4E3E"/>
    <w:rsid w:val="36343134"/>
    <w:rsid w:val="36472C31"/>
    <w:rsid w:val="364D373C"/>
    <w:rsid w:val="365C3BAD"/>
    <w:rsid w:val="365E6403"/>
    <w:rsid w:val="366072AB"/>
    <w:rsid w:val="366150EE"/>
    <w:rsid w:val="36626245"/>
    <w:rsid w:val="36653C36"/>
    <w:rsid w:val="36671B94"/>
    <w:rsid w:val="366A4DA8"/>
    <w:rsid w:val="36703DC4"/>
    <w:rsid w:val="3676199F"/>
    <w:rsid w:val="367F7DF8"/>
    <w:rsid w:val="36941E25"/>
    <w:rsid w:val="369D517D"/>
    <w:rsid w:val="369F7C1F"/>
    <w:rsid w:val="36AB243C"/>
    <w:rsid w:val="36AC3225"/>
    <w:rsid w:val="36BB0808"/>
    <w:rsid w:val="36BF3346"/>
    <w:rsid w:val="36C33AFE"/>
    <w:rsid w:val="36C85441"/>
    <w:rsid w:val="36C95B54"/>
    <w:rsid w:val="36D30B9F"/>
    <w:rsid w:val="36D77E9A"/>
    <w:rsid w:val="36DA1F2E"/>
    <w:rsid w:val="36E508D2"/>
    <w:rsid w:val="36E745D8"/>
    <w:rsid w:val="36E7464B"/>
    <w:rsid w:val="36E8434B"/>
    <w:rsid w:val="36FA437E"/>
    <w:rsid w:val="36FE15EB"/>
    <w:rsid w:val="37016B5B"/>
    <w:rsid w:val="37021484"/>
    <w:rsid w:val="37094430"/>
    <w:rsid w:val="370C65DF"/>
    <w:rsid w:val="370E607B"/>
    <w:rsid w:val="37133692"/>
    <w:rsid w:val="37140E86"/>
    <w:rsid w:val="37206361"/>
    <w:rsid w:val="372431A9"/>
    <w:rsid w:val="3728009E"/>
    <w:rsid w:val="373D1801"/>
    <w:rsid w:val="37427AD3"/>
    <w:rsid w:val="37446E85"/>
    <w:rsid w:val="374A67D1"/>
    <w:rsid w:val="375D490D"/>
    <w:rsid w:val="37660B99"/>
    <w:rsid w:val="376E08C8"/>
    <w:rsid w:val="377F4883"/>
    <w:rsid w:val="378B76CC"/>
    <w:rsid w:val="378F1341"/>
    <w:rsid w:val="37914E1C"/>
    <w:rsid w:val="379876F3"/>
    <w:rsid w:val="37A67753"/>
    <w:rsid w:val="37AA75DC"/>
    <w:rsid w:val="37AB05F1"/>
    <w:rsid w:val="37B02C8E"/>
    <w:rsid w:val="37B81B43"/>
    <w:rsid w:val="37BF31ED"/>
    <w:rsid w:val="37C8447C"/>
    <w:rsid w:val="37CE5F42"/>
    <w:rsid w:val="37D72911"/>
    <w:rsid w:val="37F47234"/>
    <w:rsid w:val="37F87E3A"/>
    <w:rsid w:val="38032FE5"/>
    <w:rsid w:val="380958D5"/>
    <w:rsid w:val="3814321D"/>
    <w:rsid w:val="381A338C"/>
    <w:rsid w:val="381C6576"/>
    <w:rsid w:val="3825367C"/>
    <w:rsid w:val="3825542A"/>
    <w:rsid w:val="3834214E"/>
    <w:rsid w:val="383513E6"/>
    <w:rsid w:val="384B0C09"/>
    <w:rsid w:val="38530FF4"/>
    <w:rsid w:val="38575DB5"/>
    <w:rsid w:val="385C6972"/>
    <w:rsid w:val="385E5A08"/>
    <w:rsid w:val="385F3BBA"/>
    <w:rsid w:val="386E183D"/>
    <w:rsid w:val="387168C2"/>
    <w:rsid w:val="387C7014"/>
    <w:rsid w:val="388243D6"/>
    <w:rsid w:val="389425B0"/>
    <w:rsid w:val="389B749B"/>
    <w:rsid w:val="38AE5AAE"/>
    <w:rsid w:val="38AF73EA"/>
    <w:rsid w:val="38BE211F"/>
    <w:rsid w:val="38C5558A"/>
    <w:rsid w:val="38CC7F9C"/>
    <w:rsid w:val="38D75ED9"/>
    <w:rsid w:val="38DD71EC"/>
    <w:rsid w:val="38E452E6"/>
    <w:rsid w:val="38EA0422"/>
    <w:rsid w:val="38F11122"/>
    <w:rsid w:val="38F36EB6"/>
    <w:rsid w:val="391060DB"/>
    <w:rsid w:val="391334D5"/>
    <w:rsid w:val="391978EF"/>
    <w:rsid w:val="39203E44"/>
    <w:rsid w:val="39364146"/>
    <w:rsid w:val="3950297B"/>
    <w:rsid w:val="3962620A"/>
    <w:rsid w:val="396C52DB"/>
    <w:rsid w:val="397A17A6"/>
    <w:rsid w:val="39891B3E"/>
    <w:rsid w:val="398A1150"/>
    <w:rsid w:val="398B39B3"/>
    <w:rsid w:val="39921954"/>
    <w:rsid w:val="3995038E"/>
    <w:rsid w:val="399A202A"/>
    <w:rsid w:val="39A512F0"/>
    <w:rsid w:val="39B747A8"/>
    <w:rsid w:val="39C60B71"/>
    <w:rsid w:val="39C649EB"/>
    <w:rsid w:val="39CE79E2"/>
    <w:rsid w:val="39D0617D"/>
    <w:rsid w:val="39DB5714"/>
    <w:rsid w:val="39E22EB8"/>
    <w:rsid w:val="39FF1E0A"/>
    <w:rsid w:val="3A0A0D7C"/>
    <w:rsid w:val="3A0D43C8"/>
    <w:rsid w:val="3A0E0140"/>
    <w:rsid w:val="3A105C66"/>
    <w:rsid w:val="3A135A35"/>
    <w:rsid w:val="3A17242A"/>
    <w:rsid w:val="3A1C460B"/>
    <w:rsid w:val="3A247C6F"/>
    <w:rsid w:val="3A2B22D6"/>
    <w:rsid w:val="3A2B6F44"/>
    <w:rsid w:val="3A347BA7"/>
    <w:rsid w:val="3A352CBD"/>
    <w:rsid w:val="3A3824E2"/>
    <w:rsid w:val="3A3A0F35"/>
    <w:rsid w:val="3A427935"/>
    <w:rsid w:val="3A445910"/>
    <w:rsid w:val="3A500759"/>
    <w:rsid w:val="3A573895"/>
    <w:rsid w:val="3A5B1529"/>
    <w:rsid w:val="3A613026"/>
    <w:rsid w:val="3A6A35C8"/>
    <w:rsid w:val="3A6B7341"/>
    <w:rsid w:val="3A6D2C1F"/>
    <w:rsid w:val="3A886145"/>
    <w:rsid w:val="3A8D72B7"/>
    <w:rsid w:val="3A933DD9"/>
    <w:rsid w:val="3AB17012"/>
    <w:rsid w:val="3ABB3136"/>
    <w:rsid w:val="3ABF22C1"/>
    <w:rsid w:val="3ACE7FFB"/>
    <w:rsid w:val="3AE51020"/>
    <w:rsid w:val="3AE74C19"/>
    <w:rsid w:val="3AF47336"/>
    <w:rsid w:val="3AFB60DC"/>
    <w:rsid w:val="3B06492D"/>
    <w:rsid w:val="3B0A15A8"/>
    <w:rsid w:val="3B123732"/>
    <w:rsid w:val="3B1E4C27"/>
    <w:rsid w:val="3B286FE0"/>
    <w:rsid w:val="3B2F65C0"/>
    <w:rsid w:val="3B4E4C98"/>
    <w:rsid w:val="3B581673"/>
    <w:rsid w:val="3B583D69"/>
    <w:rsid w:val="3B5D2AB7"/>
    <w:rsid w:val="3B5F04F9"/>
    <w:rsid w:val="3B63302F"/>
    <w:rsid w:val="3B6B615A"/>
    <w:rsid w:val="3B7B3C9E"/>
    <w:rsid w:val="3B7F22D6"/>
    <w:rsid w:val="3B90393F"/>
    <w:rsid w:val="3B914B85"/>
    <w:rsid w:val="3B9A1EA4"/>
    <w:rsid w:val="3B9A52EF"/>
    <w:rsid w:val="3BB15227"/>
    <w:rsid w:val="3BBC42F8"/>
    <w:rsid w:val="3BBD44C6"/>
    <w:rsid w:val="3BBF7944"/>
    <w:rsid w:val="3BCB1BD0"/>
    <w:rsid w:val="3BD01B51"/>
    <w:rsid w:val="3BD15482"/>
    <w:rsid w:val="3BD72EE0"/>
    <w:rsid w:val="3BDA652C"/>
    <w:rsid w:val="3BE54A14"/>
    <w:rsid w:val="3BF432AF"/>
    <w:rsid w:val="3BF750E1"/>
    <w:rsid w:val="3C0C4D5B"/>
    <w:rsid w:val="3C293BC2"/>
    <w:rsid w:val="3C2F4ACA"/>
    <w:rsid w:val="3C3C71E7"/>
    <w:rsid w:val="3C3F6EED"/>
    <w:rsid w:val="3C4340D1"/>
    <w:rsid w:val="3C495460"/>
    <w:rsid w:val="3C5938F5"/>
    <w:rsid w:val="3C5A141B"/>
    <w:rsid w:val="3C680F15"/>
    <w:rsid w:val="3C6F3118"/>
    <w:rsid w:val="3C74613C"/>
    <w:rsid w:val="3C794CC8"/>
    <w:rsid w:val="3C795D45"/>
    <w:rsid w:val="3C7E2B25"/>
    <w:rsid w:val="3C8A7C0A"/>
    <w:rsid w:val="3C8B3CCA"/>
    <w:rsid w:val="3C8F7316"/>
    <w:rsid w:val="3CA01012"/>
    <w:rsid w:val="3CA0142C"/>
    <w:rsid w:val="3CA628B2"/>
    <w:rsid w:val="3CAA05F4"/>
    <w:rsid w:val="3CAD3C40"/>
    <w:rsid w:val="3CB202D6"/>
    <w:rsid w:val="3CB52AF5"/>
    <w:rsid w:val="3CC03F85"/>
    <w:rsid w:val="3CCD7E3F"/>
    <w:rsid w:val="3CD613E9"/>
    <w:rsid w:val="3CE32878"/>
    <w:rsid w:val="3CE401C5"/>
    <w:rsid w:val="3CE53F8F"/>
    <w:rsid w:val="3CE91981"/>
    <w:rsid w:val="3CFA4DBF"/>
    <w:rsid w:val="3D04650E"/>
    <w:rsid w:val="3D152858"/>
    <w:rsid w:val="3D163594"/>
    <w:rsid w:val="3D1A30C6"/>
    <w:rsid w:val="3D207281"/>
    <w:rsid w:val="3D2C2DB7"/>
    <w:rsid w:val="3D2F5F60"/>
    <w:rsid w:val="3D303A6E"/>
    <w:rsid w:val="3D363C36"/>
    <w:rsid w:val="3D3A1978"/>
    <w:rsid w:val="3D5440BC"/>
    <w:rsid w:val="3D623A31"/>
    <w:rsid w:val="3D672041"/>
    <w:rsid w:val="3D6A7D83"/>
    <w:rsid w:val="3D7B789B"/>
    <w:rsid w:val="3D9519FE"/>
    <w:rsid w:val="3D9A2417"/>
    <w:rsid w:val="3DA278BD"/>
    <w:rsid w:val="3DB00D18"/>
    <w:rsid w:val="3DB17760"/>
    <w:rsid w:val="3DB47BF9"/>
    <w:rsid w:val="3DBF59D9"/>
    <w:rsid w:val="3DC330F4"/>
    <w:rsid w:val="3DC65D0A"/>
    <w:rsid w:val="3DC9653B"/>
    <w:rsid w:val="3DC96858"/>
    <w:rsid w:val="3DCC68DB"/>
    <w:rsid w:val="3DD1395F"/>
    <w:rsid w:val="3DD31EFC"/>
    <w:rsid w:val="3DD60F75"/>
    <w:rsid w:val="3DDB0FBF"/>
    <w:rsid w:val="3DDD6FC1"/>
    <w:rsid w:val="3DEB0EC4"/>
    <w:rsid w:val="3DEB4E28"/>
    <w:rsid w:val="3DF15028"/>
    <w:rsid w:val="3DF94B88"/>
    <w:rsid w:val="3DFF6156"/>
    <w:rsid w:val="3E184A52"/>
    <w:rsid w:val="3E1C2E2C"/>
    <w:rsid w:val="3E2241BA"/>
    <w:rsid w:val="3E2609B2"/>
    <w:rsid w:val="3E3F5C2E"/>
    <w:rsid w:val="3E444130"/>
    <w:rsid w:val="3E45258B"/>
    <w:rsid w:val="3E4673A0"/>
    <w:rsid w:val="3E595E2E"/>
    <w:rsid w:val="3E725142"/>
    <w:rsid w:val="3E727AB2"/>
    <w:rsid w:val="3E7A1C90"/>
    <w:rsid w:val="3E872FC0"/>
    <w:rsid w:val="3E8F7AA2"/>
    <w:rsid w:val="3EA51073"/>
    <w:rsid w:val="3EA6303D"/>
    <w:rsid w:val="3EA846BF"/>
    <w:rsid w:val="3EAA6689"/>
    <w:rsid w:val="3EC46747"/>
    <w:rsid w:val="3EC6723B"/>
    <w:rsid w:val="3ECA2888"/>
    <w:rsid w:val="3ED23E32"/>
    <w:rsid w:val="3ED71F02"/>
    <w:rsid w:val="3EDA1E89"/>
    <w:rsid w:val="3EE1322D"/>
    <w:rsid w:val="3EE37DED"/>
    <w:rsid w:val="3EE55332"/>
    <w:rsid w:val="3EEF22EE"/>
    <w:rsid w:val="3EF47905"/>
    <w:rsid w:val="3EF92944"/>
    <w:rsid w:val="3EFC4A0B"/>
    <w:rsid w:val="3F0044FB"/>
    <w:rsid w:val="3F1B7587"/>
    <w:rsid w:val="3F1C04CC"/>
    <w:rsid w:val="3F2006FA"/>
    <w:rsid w:val="3F2432A9"/>
    <w:rsid w:val="3F2C3542"/>
    <w:rsid w:val="3F2D1069"/>
    <w:rsid w:val="3F316DAB"/>
    <w:rsid w:val="3F367F1D"/>
    <w:rsid w:val="3F3D5750"/>
    <w:rsid w:val="3F450160"/>
    <w:rsid w:val="3F4A37E5"/>
    <w:rsid w:val="3F4C7741"/>
    <w:rsid w:val="3F514D57"/>
    <w:rsid w:val="3F520ACF"/>
    <w:rsid w:val="3F6727CC"/>
    <w:rsid w:val="3F6F38B1"/>
    <w:rsid w:val="3F7171A7"/>
    <w:rsid w:val="3F724CCD"/>
    <w:rsid w:val="3F7A740A"/>
    <w:rsid w:val="3F7D3D9E"/>
    <w:rsid w:val="3F815597"/>
    <w:rsid w:val="3F857E49"/>
    <w:rsid w:val="3F8A64BB"/>
    <w:rsid w:val="3F8C0675"/>
    <w:rsid w:val="3F8E1B07"/>
    <w:rsid w:val="3F9D73DC"/>
    <w:rsid w:val="3FA53259"/>
    <w:rsid w:val="3FA6322C"/>
    <w:rsid w:val="3FB65236"/>
    <w:rsid w:val="3FBE071F"/>
    <w:rsid w:val="3FC133FB"/>
    <w:rsid w:val="3FC45529"/>
    <w:rsid w:val="3FC53483"/>
    <w:rsid w:val="3FCF2120"/>
    <w:rsid w:val="3FD414E4"/>
    <w:rsid w:val="3FDB48D3"/>
    <w:rsid w:val="3FE45BCB"/>
    <w:rsid w:val="3FF74016"/>
    <w:rsid w:val="3FF83D5E"/>
    <w:rsid w:val="3FFA0F65"/>
    <w:rsid w:val="4004001B"/>
    <w:rsid w:val="400E7381"/>
    <w:rsid w:val="40104C12"/>
    <w:rsid w:val="403B61BE"/>
    <w:rsid w:val="403C77B5"/>
    <w:rsid w:val="403D6568"/>
    <w:rsid w:val="40414DCB"/>
    <w:rsid w:val="40457BF5"/>
    <w:rsid w:val="404C2CAF"/>
    <w:rsid w:val="40520D87"/>
    <w:rsid w:val="40552625"/>
    <w:rsid w:val="405A40DF"/>
    <w:rsid w:val="406B1E48"/>
    <w:rsid w:val="407209E5"/>
    <w:rsid w:val="40784565"/>
    <w:rsid w:val="407928EC"/>
    <w:rsid w:val="408745C2"/>
    <w:rsid w:val="408A76A8"/>
    <w:rsid w:val="408B4D08"/>
    <w:rsid w:val="40924815"/>
    <w:rsid w:val="40A21AAF"/>
    <w:rsid w:val="40A62E81"/>
    <w:rsid w:val="40AF0263"/>
    <w:rsid w:val="40AF442B"/>
    <w:rsid w:val="40B01C03"/>
    <w:rsid w:val="40B44F66"/>
    <w:rsid w:val="40BD01A1"/>
    <w:rsid w:val="40C8729B"/>
    <w:rsid w:val="40C94DC1"/>
    <w:rsid w:val="40CD2B03"/>
    <w:rsid w:val="40CD3FF4"/>
    <w:rsid w:val="40D6411C"/>
    <w:rsid w:val="40E340D5"/>
    <w:rsid w:val="40EB2F89"/>
    <w:rsid w:val="40F77B80"/>
    <w:rsid w:val="41021214"/>
    <w:rsid w:val="4104352D"/>
    <w:rsid w:val="4105337E"/>
    <w:rsid w:val="4108613C"/>
    <w:rsid w:val="411F101A"/>
    <w:rsid w:val="41233A71"/>
    <w:rsid w:val="412532A9"/>
    <w:rsid w:val="413C37E5"/>
    <w:rsid w:val="413C5593"/>
    <w:rsid w:val="41485AB3"/>
    <w:rsid w:val="41511589"/>
    <w:rsid w:val="415957F8"/>
    <w:rsid w:val="415C7589"/>
    <w:rsid w:val="41656898"/>
    <w:rsid w:val="41670862"/>
    <w:rsid w:val="416C231C"/>
    <w:rsid w:val="41760AA5"/>
    <w:rsid w:val="417D4941"/>
    <w:rsid w:val="418238EE"/>
    <w:rsid w:val="41905E35"/>
    <w:rsid w:val="419062DC"/>
    <w:rsid w:val="4191768D"/>
    <w:rsid w:val="41993698"/>
    <w:rsid w:val="419E624E"/>
    <w:rsid w:val="41A2189A"/>
    <w:rsid w:val="41A75102"/>
    <w:rsid w:val="41AA2E44"/>
    <w:rsid w:val="41AA4BF2"/>
    <w:rsid w:val="41AA7C41"/>
    <w:rsid w:val="41AC3523"/>
    <w:rsid w:val="41AF2BDF"/>
    <w:rsid w:val="41B325C5"/>
    <w:rsid w:val="41C31810"/>
    <w:rsid w:val="41CA7043"/>
    <w:rsid w:val="41DD1CB3"/>
    <w:rsid w:val="41DF2AEE"/>
    <w:rsid w:val="41E040DE"/>
    <w:rsid w:val="41E35FAA"/>
    <w:rsid w:val="41E73751"/>
    <w:rsid w:val="41EA0B75"/>
    <w:rsid w:val="41F3622B"/>
    <w:rsid w:val="41F540C0"/>
    <w:rsid w:val="41F6443A"/>
    <w:rsid w:val="41F8595E"/>
    <w:rsid w:val="41FF0A9A"/>
    <w:rsid w:val="41FF65A5"/>
    <w:rsid w:val="42067245"/>
    <w:rsid w:val="421734BE"/>
    <w:rsid w:val="421D71A6"/>
    <w:rsid w:val="42203620"/>
    <w:rsid w:val="42365754"/>
    <w:rsid w:val="423A7D24"/>
    <w:rsid w:val="42417305"/>
    <w:rsid w:val="424B0183"/>
    <w:rsid w:val="424C6071"/>
    <w:rsid w:val="424D3EFC"/>
    <w:rsid w:val="42523A38"/>
    <w:rsid w:val="425773AB"/>
    <w:rsid w:val="42624F16"/>
    <w:rsid w:val="42674891"/>
    <w:rsid w:val="426B6130"/>
    <w:rsid w:val="427B20EB"/>
    <w:rsid w:val="42816EC0"/>
    <w:rsid w:val="42890BD5"/>
    <w:rsid w:val="42957651"/>
    <w:rsid w:val="42AC47E3"/>
    <w:rsid w:val="42AE0712"/>
    <w:rsid w:val="42B15B0D"/>
    <w:rsid w:val="42B62EBF"/>
    <w:rsid w:val="42BC3611"/>
    <w:rsid w:val="42BF13A8"/>
    <w:rsid w:val="42C73FA3"/>
    <w:rsid w:val="42CF09E4"/>
    <w:rsid w:val="42D303DE"/>
    <w:rsid w:val="42D81D62"/>
    <w:rsid w:val="42DC004C"/>
    <w:rsid w:val="42DC0DDB"/>
    <w:rsid w:val="42E163F2"/>
    <w:rsid w:val="42E60428"/>
    <w:rsid w:val="42E6622B"/>
    <w:rsid w:val="42EB101F"/>
    <w:rsid w:val="42ED2FE9"/>
    <w:rsid w:val="42F06635"/>
    <w:rsid w:val="42F56341"/>
    <w:rsid w:val="42F83620"/>
    <w:rsid w:val="42F92679"/>
    <w:rsid w:val="42FB3958"/>
    <w:rsid w:val="42FD6AEA"/>
    <w:rsid w:val="42FF4ACA"/>
    <w:rsid w:val="43066BB7"/>
    <w:rsid w:val="430F26D4"/>
    <w:rsid w:val="431344AA"/>
    <w:rsid w:val="43170066"/>
    <w:rsid w:val="431C1B20"/>
    <w:rsid w:val="432A251A"/>
    <w:rsid w:val="432A61EE"/>
    <w:rsid w:val="43322427"/>
    <w:rsid w:val="43373E1D"/>
    <w:rsid w:val="4337665B"/>
    <w:rsid w:val="433B01F8"/>
    <w:rsid w:val="43455505"/>
    <w:rsid w:val="4348021F"/>
    <w:rsid w:val="43544E16"/>
    <w:rsid w:val="435B61A4"/>
    <w:rsid w:val="43714A4A"/>
    <w:rsid w:val="4372194D"/>
    <w:rsid w:val="437B6846"/>
    <w:rsid w:val="439711A6"/>
    <w:rsid w:val="43BD0C0D"/>
    <w:rsid w:val="43CA50D8"/>
    <w:rsid w:val="43D30AB1"/>
    <w:rsid w:val="43D9356D"/>
    <w:rsid w:val="43E04ECE"/>
    <w:rsid w:val="43E53CC0"/>
    <w:rsid w:val="43F403A7"/>
    <w:rsid w:val="43FB34E3"/>
    <w:rsid w:val="44003513"/>
    <w:rsid w:val="440651A1"/>
    <w:rsid w:val="440A1978"/>
    <w:rsid w:val="440F51E1"/>
    <w:rsid w:val="4416031D"/>
    <w:rsid w:val="441F31DF"/>
    <w:rsid w:val="44224F14"/>
    <w:rsid w:val="44242BF2"/>
    <w:rsid w:val="44295A18"/>
    <w:rsid w:val="44336B75"/>
    <w:rsid w:val="443469F5"/>
    <w:rsid w:val="443600D1"/>
    <w:rsid w:val="44381723"/>
    <w:rsid w:val="44422052"/>
    <w:rsid w:val="44423AAB"/>
    <w:rsid w:val="4446213C"/>
    <w:rsid w:val="444906F3"/>
    <w:rsid w:val="444E4E5B"/>
    <w:rsid w:val="44501A81"/>
    <w:rsid w:val="445B0426"/>
    <w:rsid w:val="445D7C03"/>
    <w:rsid w:val="44641089"/>
    <w:rsid w:val="4467501D"/>
    <w:rsid w:val="44676DCB"/>
    <w:rsid w:val="447A4D50"/>
    <w:rsid w:val="44821D77"/>
    <w:rsid w:val="448C0A90"/>
    <w:rsid w:val="44915BF6"/>
    <w:rsid w:val="44A1052F"/>
    <w:rsid w:val="44B85878"/>
    <w:rsid w:val="44BA514C"/>
    <w:rsid w:val="44D0671E"/>
    <w:rsid w:val="44D212C3"/>
    <w:rsid w:val="44D501D8"/>
    <w:rsid w:val="44DA57EF"/>
    <w:rsid w:val="44E16B7D"/>
    <w:rsid w:val="44E560B2"/>
    <w:rsid w:val="44EB6C74"/>
    <w:rsid w:val="44F0005C"/>
    <w:rsid w:val="44F05012"/>
    <w:rsid w:val="44F1365B"/>
    <w:rsid w:val="44F57952"/>
    <w:rsid w:val="44F763A1"/>
    <w:rsid w:val="45091A4C"/>
    <w:rsid w:val="45097E82"/>
    <w:rsid w:val="450B3BFA"/>
    <w:rsid w:val="451A5BEB"/>
    <w:rsid w:val="451B0E86"/>
    <w:rsid w:val="452254A5"/>
    <w:rsid w:val="453672DE"/>
    <w:rsid w:val="45380515"/>
    <w:rsid w:val="453942C3"/>
    <w:rsid w:val="453F3F6E"/>
    <w:rsid w:val="4541177A"/>
    <w:rsid w:val="454C6212"/>
    <w:rsid w:val="45525385"/>
    <w:rsid w:val="455525CA"/>
    <w:rsid w:val="455870C9"/>
    <w:rsid w:val="455A248C"/>
    <w:rsid w:val="455C26A8"/>
    <w:rsid w:val="455D2986"/>
    <w:rsid w:val="455E01CE"/>
    <w:rsid w:val="456A1062"/>
    <w:rsid w:val="456D0411"/>
    <w:rsid w:val="45701CAF"/>
    <w:rsid w:val="45800D36"/>
    <w:rsid w:val="4586275D"/>
    <w:rsid w:val="45A100BA"/>
    <w:rsid w:val="45A831F7"/>
    <w:rsid w:val="45AC6A40"/>
    <w:rsid w:val="45AF0A29"/>
    <w:rsid w:val="45B26287"/>
    <w:rsid w:val="45CB7CEF"/>
    <w:rsid w:val="45CC4274"/>
    <w:rsid w:val="45DE620E"/>
    <w:rsid w:val="45E958C2"/>
    <w:rsid w:val="45EB67D2"/>
    <w:rsid w:val="45ED3300"/>
    <w:rsid w:val="45EE77A4"/>
    <w:rsid w:val="45F17233"/>
    <w:rsid w:val="460415EC"/>
    <w:rsid w:val="460743C1"/>
    <w:rsid w:val="4609638B"/>
    <w:rsid w:val="46144D30"/>
    <w:rsid w:val="46160AA8"/>
    <w:rsid w:val="461865CE"/>
    <w:rsid w:val="46252A99"/>
    <w:rsid w:val="463B406B"/>
    <w:rsid w:val="46412573"/>
    <w:rsid w:val="464A4923"/>
    <w:rsid w:val="464E04AD"/>
    <w:rsid w:val="464F7B16"/>
    <w:rsid w:val="465025C4"/>
    <w:rsid w:val="46525488"/>
    <w:rsid w:val="46554453"/>
    <w:rsid w:val="465B1E84"/>
    <w:rsid w:val="46625A9C"/>
    <w:rsid w:val="46705B6E"/>
    <w:rsid w:val="46804174"/>
    <w:rsid w:val="46853538"/>
    <w:rsid w:val="46893028"/>
    <w:rsid w:val="468C64C8"/>
    <w:rsid w:val="46A2233C"/>
    <w:rsid w:val="46A75BA4"/>
    <w:rsid w:val="46B856BC"/>
    <w:rsid w:val="46B9431C"/>
    <w:rsid w:val="46C40504"/>
    <w:rsid w:val="46D22C21"/>
    <w:rsid w:val="46D5750C"/>
    <w:rsid w:val="46D83FB0"/>
    <w:rsid w:val="46DC584E"/>
    <w:rsid w:val="46DD15C6"/>
    <w:rsid w:val="46DD1794"/>
    <w:rsid w:val="46DF0E9A"/>
    <w:rsid w:val="46E60214"/>
    <w:rsid w:val="46F069CC"/>
    <w:rsid w:val="46FA3F26"/>
    <w:rsid w:val="46FD0452"/>
    <w:rsid w:val="46FD6E99"/>
    <w:rsid w:val="46FD71CE"/>
    <w:rsid w:val="46FE1EC1"/>
    <w:rsid w:val="46FF24EF"/>
    <w:rsid w:val="47173339"/>
    <w:rsid w:val="471D19C3"/>
    <w:rsid w:val="4726180B"/>
    <w:rsid w:val="4729480B"/>
    <w:rsid w:val="472E597E"/>
    <w:rsid w:val="47321912"/>
    <w:rsid w:val="473A2575"/>
    <w:rsid w:val="473B6AF6"/>
    <w:rsid w:val="4743767B"/>
    <w:rsid w:val="47467A33"/>
    <w:rsid w:val="475D3A10"/>
    <w:rsid w:val="475F1FDB"/>
    <w:rsid w:val="47631ACB"/>
    <w:rsid w:val="47681176"/>
    <w:rsid w:val="476D22CC"/>
    <w:rsid w:val="477C0DDF"/>
    <w:rsid w:val="478162C5"/>
    <w:rsid w:val="478B1022"/>
    <w:rsid w:val="478B23DE"/>
    <w:rsid w:val="47905353"/>
    <w:rsid w:val="479271AB"/>
    <w:rsid w:val="479903C6"/>
    <w:rsid w:val="479B74B7"/>
    <w:rsid w:val="47A877C9"/>
    <w:rsid w:val="47AF0CB0"/>
    <w:rsid w:val="47C14A44"/>
    <w:rsid w:val="47C87B80"/>
    <w:rsid w:val="47CA7D9C"/>
    <w:rsid w:val="47ED5839"/>
    <w:rsid w:val="47EE3876"/>
    <w:rsid w:val="47FB7F56"/>
    <w:rsid w:val="47FC0C33"/>
    <w:rsid w:val="480F301E"/>
    <w:rsid w:val="481B23A6"/>
    <w:rsid w:val="482023F0"/>
    <w:rsid w:val="48213BE5"/>
    <w:rsid w:val="482B052A"/>
    <w:rsid w:val="482F19AD"/>
    <w:rsid w:val="48321BFE"/>
    <w:rsid w:val="4832252F"/>
    <w:rsid w:val="483A789D"/>
    <w:rsid w:val="483B2A48"/>
    <w:rsid w:val="483D40CA"/>
    <w:rsid w:val="483F6900"/>
    <w:rsid w:val="4840005F"/>
    <w:rsid w:val="484F2050"/>
    <w:rsid w:val="48592ECE"/>
    <w:rsid w:val="485B5DAD"/>
    <w:rsid w:val="485C7CE4"/>
    <w:rsid w:val="4866760A"/>
    <w:rsid w:val="486B1EF6"/>
    <w:rsid w:val="48743864"/>
    <w:rsid w:val="48757D08"/>
    <w:rsid w:val="487A3570"/>
    <w:rsid w:val="487F2935"/>
    <w:rsid w:val="487F60CE"/>
    <w:rsid w:val="488C32A4"/>
    <w:rsid w:val="48A759E8"/>
    <w:rsid w:val="48AB372A"/>
    <w:rsid w:val="48B16866"/>
    <w:rsid w:val="48B829AB"/>
    <w:rsid w:val="48BD6538"/>
    <w:rsid w:val="48D24757"/>
    <w:rsid w:val="48D82045"/>
    <w:rsid w:val="48DF1625"/>
    <w:rsid w:val="48E71DE0"/>
    <w:rsid w:val="48E955FE"/>
    <w:rsid w:val="48F50E49"/>
    <w:rsid w:val="4908232A"/>
    <w:rsid w:val="49170DBF"/>
    <w:rsid w:val="49184B37"/>
    <w:rsid w:val="491D214E"/>
    <w:rsid w:val="493170AD"/>
    <w:rsid w:val="49331971"/>
    <w:rsid w:val="494476DB"/>
    <w:rsid w:val="49494CF1"/>
    <w:rsid w:val="49524E19"/>
    <w:rsid w:val="49583186"/>
    <w:rsid w:val="4960473F"/>
    <w:rsid w:val="49650D95"/>
    <w:rsid w:val="496A092B"/>
    <w:rsid w:val="4970227E"/>
    <w:rsid w:val="49775F25"/>
    <w:rsid w:val="498134E7"/>
    <w:rsid w:val="49830203"/>
    <w:rsid w:val="498875C7"/>
    <w:rsid w:val="499A72FA"/>
    <w:rsid w:val="49A80DD7"/>
    <w:rsid w:val="49A81A17"/>
    <w:rsid w:val="49AB1508"/>
    <w:rsid w:val="49AD5280"/>
    <w:rsid w:val="49B900C8"/>
    <w:rsid w:val="49B948C6"/>
    <w:rsid w:val="49C36851"/>
    <w:rsid w:val="4A143551"/>
    <w:rsid w:val="4A1470AD"/>
    <w:rsid w:val="4A314103"/>
    <w:rsid w:val="4A361719"/>
    <w:rsid w:val="4A392FB7"/>
    <w:rsid w:val="4A3B4F46"/>
    <w:rsid w:val="4A54394D"/>
    <w:rsid w:val="4A5971B6"/>
    <w:rsid w:val="4A5C2802"/>
    <w:rsid w:val="4A626CDA"/>
    <w:rsid w:val="4A7127E1"/>
    <w:rsid w:val="4A857FAB"/>
    <w:rsid w:val="4A871F75"/>
    <w:rsid w:val="4A9457E6"/>
    <w:rsid w:val="4A9621B8"/>
    <w:rsid w:val="4A9F72BE"/>
    <w:rsid w:val="4AA069DA"/>
    <w:rsid w:val="4AA448D5"/>
    <w:rsid w:val="4AA5064D"/>
    <w:rsid w:val="4AA64D0D"/>
    <w:rsid w:val="4AAA6714"/>
    <w:rsid w:val="4AC16991"/>
    <w:rsid w:val="4AC24D5B"/>
    <w:rsid w:val="4AC652CB"/>
    <w:rsid w:val="4ACB602B"/>
    <w:rsid w:val="4ACE1952"/>
    <w:rsid w:val="4AE12CD8"/>
    <w:rsid w:val="4AE41175"/>
    <w:rsid w:val="4AEC1DD8"/>
    <w:rsid w:val="4AEC6DA7"/>
    <w:rsid w:val="4AF9077E"/>
    <w:rsid w:val="4B0F4B86"/>
    <w:rsid w:val="4B115364"/>
    <w:rsid w:val="4B1B455A"/>
    <w:rsid w:val="4B200A28"/>
    <w:rsid w:val="4B217CD3"/>
    <w:rsid w:val="4B315A3D"/>
    <w:rsid w:val="4B3519D1"/>
    <w:rsid w:val="4B3E241F"/>
    <w:rsid w:val="4B3E2804"/>
    <w:rsid w:val="4B4E4840"/>
    <w:rsid w:val="4B582164"/>
    <w:rsid w:val="4B585BB2"/>
    <w:rsid w:val="4B6D593C"/>
    <w:rsid w:val="4B6E6C91"/>
    <w:rsid w:val="4B7324F9"/>
    <w:rsid w:val="4B7A741C"/>
    <w:rsid w:val="4B8137BE"/>
    <w:rsid w:val="4B814C16"/>
    <w:rsid w:val="4B8169C4"/>
    <w:rsid w:val="4B8270B7"/>
    <w:rsid w:val="4B863FDA"/>
    <w:rsid w:val="4B882CCA"/>
    <w:rsid w:val="4B897627"/>
    <w:rsid w:val="4B9009B5"/>
    <w:rsid w:val="4B95421D"/>
    <w:rsid w:val="4B983D0E"/>
    <w:rsid w:val="4BA803F5"/>
    <w:rsid w:val="4BB95FA3"/>
    <w:rsid w:val="4BBC79FC"/>
    <w:rsid w:val="4BC06985"/>
    <w:rsid w:val="4BC4555C"/>
    <w:rsid w:val="4BC84145"/>
    <w:rsid w:val="4BCE23EF"/>
    <w:rsid w:val="4BCF5981"/>
    <w:rsid w:val="4BD20C82"/>
    <w:rsid w:val="4BD9235C"/>
    <w:rsid w:val="4BE101B7"/>
    <w:rsid w:val="4BED6C6D"/>
    <w:rsid w:val="4BEF63DD"/>
    <w:rsid w:val="4C074BF8"/>
    <w:rsid w:val="4C0F2222"/>
    <w:rsid w:val="4C153E2D"/>
    <w:rsid w:val="4C1710D6"/>
    <w:rsid w:val="4C172E84"/>
    <w:rsid w:val="4C266B6F"/>
    <w:rsid w:val="4C3C0B3D"/>
    <w:rsid w:val="4C3D1ED5"/>
    <w:rsid w:val="4C417533"/>
    <w:rsid w:val="4C4332C5"/>
    <w:rsid w:val="4C493FB8"/>
    <w:rsid w:val="4C4A14AC"/>
    <w:rsid w:val="4C4F0870"/>
    <w:rsid w:val="4C545E87"/>
    <w:rsid w:val="4C7B4735"/>
    <w:rsid w:val="4C816BF4"/>
    <w:rsid w:val="4C8C0F81"/>
    <w:rsid w:val="4C924E5C"/>
    <w:rsid w:val="4C940979"/>
    <w:rsid w:val="4C9B3AB5"/>
    <w:rsid w:val="4CAA019C"/>
    <w:rsid w:val="4CAF54B5"/>
    <w:rsid w:val="4CB46925"/>
    <w:rsid w:val="4CB764D0"/>
    <w:rsid w:val="4CBD3A2C"/>
    <w:rsid w:val="4CCB5621"/>
    <w:rsid w:val="4CD6614F"/>
    <w:rsid w:val="4CD82614"/>
    <w:rsid w:val="4CD945DE"/>
    <w:rsid w:val="4CDB65A8"/>
    <w:rsid w:val="4CDE39A2"/>
    <w:rsid w:val="4CDE676F"/>
    <w:rsid w:val="4CFB27A6"/>
    <w:rsid w:val="4CFF4044"/>
    <w:rsid w:val="4D021466"/>
    <w:rsid w:val="4D0B0C3B"/>
    <w:rsid w:val="4D114BB4"/>
    <w:rsid w:val="4D147D15"/>
    <w:rsid w:val="4D177723"/>
    <w:rsid w:val="4D203FBB"/>
    <w:rsid w:val="4D2701B2"/>
    <w:rsid w:val="4D2C6E03"/>
    <w:rsid w:val="4D3D7270"/>
    <w:rsid w:val="4D416E20"/>
    <w:rsid w:val="4D44414D"/>
    <w:rsid w:val="4D491763"/>
    <w:rsid w:val="4D4C4DB0"/>
    <w:rsid w:val="4D5608FE"/>
    <w:rsid w:val="4D5E6D65"/>
    <w:rsid w:val="4D626BB3"/>
    <w:rsid w:val="4D6537ED"/>
    <w:rsid w:val="4D7A191D"/>
    <w:rsid w:val="4D7C3266"/>
    <w:rsid w:val="4D7F0CE1"/>
    <w:rsid w:val="4D7F43BD"/>
    <w:rsid w:val="4D840509"/>
    <w:rsid w:val="4D84267C"/>
    <w:rsid w:val="4D9A3BA8"/>
    <w:rsid w:val="4D9B2972"/>
    <w:rsid w:val="4D9F75D5"/>
    <w:rsid w:val="4DA1334D"/>
    <w:rsid w:val="4DA8648A"/>
    <w:rsid w:val="4DAA33C9"/>
    <w:rsid w:val="4DAB7D28"/>
    <w:rsid w:val="4DB43081"/>
    <w:rsid w:val="4DB52955"/>
    <w:rsid w:val="4DB82445"/>
    <w:rsid w:val="4DB845E2"/>
    <w:rsid w:val="4DBD7A5B"/>
    <w:rsid w:val="4DBF7CCE"/>
    <w:rsid w:val="4DC87D7D"/>
    <w:rsid w:val="4DD5122B"/>
    <w:rsid w:val="4DDD1EDB"/>
    <w:rsid w:val="4DE247A0"/>
    <w:rsid w:val="4DE80F7C"/>
    <w:rsid w:val="4DEB1F11"/>
    <w:rsid w:val="4DF27705"/>
    <w:rsid w:val="4DF711BF"/>
    <w:rsid w:val="4DFD3E60"/>
    <w:rsid w:val="4E015B9A"/>
    <w:rsid w:val="4E17716C"/>
    <w:rsid w:val="4E1B3100"/>
    <w:rsid w:val="4E1C0C26"/>
    <w:rsid w:val="4E1C52A3"/>
    <w:rsid w:val="4E230DF5"/>
    <w:rsid w:val="4E233D62"/>
    <w:rsid w:val="4E2D698F"/>
    <w:rsid w:val="4E330B17"/>
    <w:rsid w:val="4E331B5B"/>
    <w:rsid w:val="4E333E63"/>
    <w:rsid w:val="4E375A60"/>
    <w:rsid w:val="4E3A08CC"/>
    <w:rsid w:val="4E3A3ABA"/>
    <w:rsid w:val="4E4152E1"/>
    <w:rsid w:val="4E5E11C6"/>
    <w:rsid w:val="4E65437B"/>
    <w:rsid w:val="4E683E6B"/>
    <w:rsid w:val="4E807407"/>
    <w:rsid w:val="4E8218A5"/>
    <w:rsid w:val="4E8C7B5A"/>
    <w:rsid w:val="4E940AA0"/>
    <w:rsid w:val="4E964534"/>
    <w:rsid w:val="4EA330F5"/>
    <w:rsid w:val="4EA567DE"/>
    <w:rsid w:val="4EA8070C"/>
    <w:rsid w:val="4EAC35A0"/>
    <w:rsid w:val="4EB470B0"/>
    <w:rsid w:val="4EB726FD"/>
    <w:rsid w:val="4EB87B5E"/>
    <w:rsid w:val="4EC866B8"/>
    <w:rsid w:val="4ECE7984"/>
    <w:rsid w:val="4ED137BE"/>
    <w:rsid w:val="4EDB463D"/>
    <w:rsid w:val="4EDD3D64"/>
    <w:rsid w:val="4EE20102"/>
    <w:rsid w:val="4EE81AFA"/>
    <w:rsid w:val="4EED06FD"/>
    <w:rsid w:val="4EF04BBC"/>
    <w:rsid w:val="4EF63225"/>
    <w:rsid w:val="4F005E52"/>
    <w:rsid w:val="4F0E67C1"/>
    <w:rsid w:val="4F0F2539"/>
    <w:rsid w:val="4F1C53DA"/>
    <w:rsid w:val="4F220285"/>
    <w:rsid w:val="4F26273B"/>
    <w:rsid w:val="4F2F0FF2"/>
    <w:rsid w:val="4F440434"/>
    <w:rsid w:val="4F4D7720"/>
    <w:rsid w:val="4F561F16"/>
    <w:rsid w:val="4F565CBB"/>
    <w:rsid w:val="4F6463E1"/>
    <w:rsid w:val="4F6665FD"/>
    <w:rsid w:val="4F6E725F"/>
    <w:rsid w:val="4F700B09"/>
    <w:rsid w:val="4F740E0E"/>
    <w:rsid w:val="4F7C7BCE"/>
    <w:rsid w:val="4F845501"/>
    <w:rsid w:val="4F894099"/>
    <w:rsid w:val="4F8A253C"/>
    <w:rsid w:val="4F8E29B6"/>
    <w:rsid w:val="4F93316A"/>
    <w:rsid w:val="4F950C90"/>
    <w:rsid w:val="4F9667B6"/>
    <w:rsid w:val="4FA16D29"/>
    <w:rsid w:val="4FA57CEC"/>
    <w:rsid w:val="4FA86267"/>
    <w:rsid w:val="4FB05ACA"/>
    <w:rsid w:val="4FCC21D8"/>
    <w:rsid w:val="4FCD159C"/>
    <w:rsid w:val="4FD572DE"/>
    <w:rsid w:val="4FDC066D"/>
    <w:rsid w:val="4FE5334A"/>
    <w:rsid w:val="4FE70E6E"/>
    <w:rsid w:val="4FE87012"/>
    <w:rsid w:val="4FF32B52"/>
    <w:rsid w:val="4FF9723D"/>
    <w:rsid w:val="4FFF25AD"/>
    <w:rsid w:val="50077ED7"/>
    <w:rsid w:val="500A32CB"/>
    <w:rsid w:val="502142D2"/>
    <w:rsid w:val="502E0831"/>
    <w:rsid w:val="502F155F"/>
    <w:rsid w:val="50354221"/>
    <w:rsid w:val="504A0F22"/>
    <w:rsid w:val="504A72AE"/>
    <w:rsid w:val="505301A3"/>
    <w:rsid w:val="50586EC8"/>
    <w:rsid w:val="50726BE2"/>
    <w:rsid w:val="50870E47"/>
    <w:rsid w:val="508B5BEF"/>
    <w:rsid w:val="509176A9"/>
    <w:rsid w:val="50977777"/>
    <w:rsid w:val="50AE3672"/>
    <w:rsid w:val="50B11AF9"/>
    <w:rsid w:val="50C17863"/>
    <w:rsid w:val="50DF48A2"/>
    <w:rsid w:val="50EF2A55"/>
    <w:rsid w:val="50F24D94"/>
    <w:rsid w:val="50F96FFC"/>
    <w:rsid w:val="50FE4613"/>
    <w:rsid w:val="510F4A72"/>
    <w:rsid w:val="510F6820"/>
    <w:rsid w:val="51190EF4"/>
    <w:rsid w:val="511A6CBA"/>
    <w:rsid w:val="51254295"/>
    <w:rsid w:val="5130314B"/>
    <w:rsid w:val="513D338D"/>
    <w:rsid w:val="514C7893"/>
    <w:rsid w:val="515A517A"/>
    <w:rsid w:val="51711289"/>
    <w:rsid w:val="517174DB"/>
    <w:rsid w:val="51816421"/>
    <w:rsid w:val="51816913"/>
    <w:rsid w:val="51840FBC"/>
    <w:rsid w:val="51856C95"/>
    <w:rsid w:val="51864D34"/>
    <w:rsid w:val="51894824"/>
    <w:rsid w:val="518E3BE9"/>
    <w:rsid w:val="518F7C47"/>
    <w:rsid w:val="519F0674"/>
    <w:rsid w:val="51A11B6E"/>
    <w:rsid w:val="51B00003"/>
    <w:rsid w:val="51B11685"/>
    <w:rsid w:val="51B45FE4"/>
    <w:rsid w:val="51C836E8"/>
    <w:rsid w:val="51D84E64"/>
    <w:rsid w:val="51DE7F1E"/>
    <w:rsid w:val="51DF14E9"/>
    <w:rsid w:val="51FD08B8"/>
    <w:rsid w:val="521F2A93"/>
    <w:rsid w:val="5227392D"/>
    <w:rsid w:val="522B58DB"/>
    <w:rsid w:val="52397FF8"/>
    <w:rsid w:val="523C53F3"/>
    <w:rsid w:val="52483D98"/>
    <w:rsid w:val="524E0305"/>
    <w:rsid w:val="524F15CA"/>
    <w:rsid w:val="52575116"/>
    <w:rsid w:val="525C70AE"/>
    <w:rsid w:val="526112FD"/>
    <w:rsid w:val="526D37FE"/>
    <w:rsid w:val="52720E14"/>
    <w:rsid w:val="52742968"/>
    <w:rsid w:val="52770B21"/>
    <w:rsid w:val="527A5F1B"/>
    <w:rsid w:val="5288688A"/>
    <w:rsid w:val="528B5D17"/>
    <w:rsid w:val="528C45CC"/>
    <w:rsid w:val="52946FDD"/>
    <w:rsid w:val="529841B0"/>
    <w:rsid w:val="529E3882"/>
    <w:rsid w:val="52A80CDA"/>
    <w:rsid w:val="52AB2578"/>
    <w:rsid w:val="52AB64C9"/>
    <w:rsid w:val="52AC3333"/>
    <w:rsid w:val="52C04276"/>
    <w:rsid w:val="52C11D9C"/>
    <w:rsid w:val="52C534B2"/>
    <w:rsid w:val="52C61160"/>
    <w:rsid w:val="52CB07AB"/>
    <w:rsid w:val="52CD2937"/>
    <w:rsid w:val="52D4387D"/>
    <w:rsid w:val="52D63A99"/>
    <w:rsid w:val="52DC5F09"/>
    <w:rsid w:val="52DD4C38"/>
    <w:rsid w:val="52E52DC9"/>
    <w:rsid w:val="52E71802"/>
    <w:rsid w:val="52EB0BC7"/>
    <w:rsid w:val="52F65D6E"/>
    <w:rsid w:val="52F91536"/>
    <w:rsid w:val="52F97788"/>
    <w:rsid w:val="52FE4D9E"/>
    <w:rsid w:val="52FF4DD7"/>
    <w:rsid w:val="530C1269"/>
    <w:rsid w:val="530D6D8F"/>
    <w:rsid w:val="53193986"/>
    <w:rsid w:val="53206AC2"/>
    <w:rsid w:val="53225DE2"/>
    <w:rsid w:val="532C06D7"/>
    <w:rsid w:val="533510B2"/>
    <w:rsid w:val="533A0733"/>
    <w:rsid w:val="534559D2"/>
    <w:rsid w:val="534E1882"/>
    <w:rsid w:val="534F1156"/>
    <w:rsid w:val="536410A5"/>
    <w:rsid w:val="536845DB"/>
    <w:rsid w:val="53715570"/>
    <w:rsid w:val="53797B30"/>
    <w:rsid w:val="53803A05"/>
    <w:rsid w:val="539D0113"/>
    <w:rsid w:val="53A25729"/>
    <w:rsid w:val="53B25492"/>
    <w:rsid w:val="53B70462"/>
    <w:rsid w:val="53C953AC"/>
    <w:rsid w:val="53D371B5"/>
    <w:rsid w:val="53D91F4C"/>
    <w:rsid w:val="53E24B5F"/>
    <w:rsid w:val="53E613D6"/>
    <w:rsid w:val="53EE096F"/>
    <w:rsid w:val="540D006C"/>
    <w:rsid w:val="540D34EB"/>
    <w:rsid w:val="54197EFA"/>
    <w:rsid w:val="541C1980"/>
    <w:rsid w:val="541C54DC"/>
    <w:rsid w:val="542919A7"/>
    <w:rsid w:val="542B571F"/>
    <w:rsid w:val="542E2280"/>
    <w:rsid w:val="543071D9"/>
    <w:rsid w:val="54336424"/>
    <w:rsid w:val="5438608E"/>
    <w:rsid w:val="543C5B7E"/>
    <w:rsid w:val="543D5452"/>
    <w:rsid w:val="54436F0C"/>
    <w:rsid w:val="54493DF7"/>
    <w:rsid w:val="544C75C8"/>
    <w:rsid w:val="544F0695"/>
    <w:rsid w:val="54521413"/>
    <w:rsid w:val="54532B36"/>
    <w:rsid w:val="545804DE"/>
    <w:rsid w:val="54752E3E"/>
    <w:rsid w:val="547A4FB4"/>
    <w:rsid w:val="54862998"/>
    <w:rsid w:val="54880DC3"/>
    <w:rsid w:val="54897412"/>
    <w:rsid w:val="548A7A02"/>
    <w:rsid w:val="548C3CFC"/>
    <w:rsid w:val="54921C42"/>
    <w:rsid w:val="549E4143"/>
    <w:rsid w:val="549F4743"/>
    <w:rsid w:val="54AC5258"/>
    <w:rsid w:val="54AF45A2"/>
    <w:rsid w:val="54B020C8"/>
    <w:rsid w:val="54B25E40"/>
    <w:rsid w:val="54B27BEE"/>
    <w:rsid w:val="54BF40B9"/>
    <w:rsid w:val="54C2380D"/>
    <w:rsid w:val="54C67424"/>
    <w:rsid w:val="54CD67D6"/>
    <w:rsid w:val="54D14506"/>
    <w:rsid w:val="54D33745"/>
    <w:rsid w:val="54E3249D"/>
    <w:rsid w:val="54EB4EAE"/>
    <w:rsid w:val="54F863DF"/>
    <w:rsid w:val="54FA59D8"/>
    <w:rsid w:val="54FC70BB"/>
    <w:rsid w:val="55004DFD"/>
    <w:rsid w:val="55056B6F"/>
    <w:rsid w:val="550B72FE"/>
    <w:rsid w:val="550D751A"/>
    <w:rsid w:val="55342CF9"/>
    <w:rsid w:val="553920BD"/>
    <w:rsid w:val="554C3B9F"/>
    <w:rsid w:val="555556EE"/>
    <w:rsid w:val="55564A1D"/>
    <w:rsid w:val="555D2250"/>
    <w:rsid w:val="5563538C"/>
    <w:rsid w:val="557E2768"/>
    <w:rsid w:val="55801A9A"/>
    <w:rsid w:val="55992B5C"/>
    <w:rsid w:val="55A21A11"/>
    <w:rsid w:val="55B17EA6"/>
    <w:rsid w:val="55B300C2"/>
    <w:rsid w:val="55BD1A84"/>
    <w:rsid w:val="55C81894"/>
    <w:rsid w:val="55D45383"/>
    <w:rsid w:val="55E22C63"/>
    <w:rsid w:val="55E711DA"/>
    <w:rsid w:val="55E738C7"/>
    <w:rsid w:val="55EC5382"/>
    <w:rsid w:val="55EF09CE"/>
    <w:rsid w:val="55EF275F"/>
    <w:rsid w:val="55F67FAE"/>
    <w:rsid w:val="56026815"/>
    <w:rsid w:val="56026953"/>
    <w:rsid w:val="5606673C"/>
    <w:rsid w:val="56262642"/>
    <w:rsid w:val="5627460C"/>
    <w:rsid w:val="562D578A"/>
    <w:rsid w:val="56327E49"/>
    <w:rsid w:val="56537B84"/>
    <w:rsid w:val="565F7902"/>
    <w:rsid w:val="566118CC"/>
    <w:rsid w:val="566B5F8F"/>
    <w:rsid w:val="566D200C"/>
    <w:rsid w:val="56757125"/>
    <w:rsid w:val="567A473C"/>
    <w:rsid w:val="567E3100"/>
    <w:rsid w:val="568832FC"/>
    <w:rsid w:val="5689497F"/>
    <w:rsid w:val="56A47A0A"/>
    <w:rsid w:val="56A63783"/>
    <w:rsid w:val="56A812A9"/>
    <w:rsid w:val="56A874FB"/>
    <w:rsid w:val="56A93273"/>
    <w:rsid w:val="56B5263B"/>
    <w:rsid w:val="56D54068"/>
    <w:rsid w:val="56DD7AC1"/>
    <w:rsid w:val="56EC2E4B"/>
    <w:rsid w:val="56EC2EAE"/>
    <w:rsid w:val="56EF512A"/>
    <w:rsid w:val="56F36D7A"/>
    <w:rsid w:val="56FC33A3"/>
    <w:rsid w:val="56FE7F16"/>
    <w:rsid w:val="57031993"/>
    <w:rsid w:val="5705494D"/>
    <w:rsid w:val="570A3D11"/>
    <w:rsid w:val="570F757A"/>
    <w:rsid w:val="571E4022"/>
    <w:rsid w:val="57234DD3"/>
    <w:rsid w:val="5725579B"/>
    <w:rsid w:val="5726041F"/>
    <w:rsid w:val="57405985"/>
    <w:rsid w:val="574134AB"/>
    <w:rsid w:val="574376B4"/>
    <w:rsid w:val="57500440"/>
    <w:rsid w:val="57560D05"/>
    <w:rsid w:val="575907F5"/>
    <w:rsid w:val="575E0E30"/>
    <w:rsid w:val="57623B4D"/>
    <w:rsid w:val="57763975"/>
    <w:rsid w:val="577B69BD"/>
    <w:rsid w:val="57807CD3"/>
    <w:rsid w:val="578421FC"/>
    <w:rsid w:val="578A4E52"/>
    <w:rsid w:val="57946598"/>
    <w:rsid w:val="57993612"/>
    <w:rsid w:val="579D2DD8"/>
    <w:rsid w:val="579E08FE"/>
    <w:rsid w:val="57A314E8"/>
    <w:rsid w:val="57A42087"/>
    <w:rsid w:val="57AA72A2"/>
    <w:rsid w:val="57AB29DD"/>
    <w:rsid w:val="57AC4DC9"/>
    <w:rsid w:val="57B62A48"/>
    <w:rsid w:val="57B679F5"/>
    <w:rsid w:val="57B9742D"/>
    <w:rsid w:val="57BE4AFC"/>
    <w:rsid w:val="57C10AD0"/>
    <w:rsid w:val="57C873E9"/>
    <w:rsid w:val="57C93BCD"/>
    <w:rsid w:val="57CE3757"/>
    <w:rsid w:val="57D0014F"/>
    <w:rsid w:val="57D8796C"/>
    <w:rsid w:val="57DA0C4C"/>
    <w:rsid w:val="57E02CC4"/>
    <w:rsid w:val="57E207EA"/>
    <w:rsid w:val="58070251"/>
    <w:rsid w:val="580B5F93"/>
    <w:rsid w:val="5814296E"/>
    <w:rsid w:val="5815081C"/>
    <w:rsid w:val="581F1DFA"/>
    <w:rsid w:val="582726A1"/>
    <w:rsid w:val="582901C7"/>
    <w:rsid w:val="5835758A"/>
    <w:rsid w:val="583942C7"/>
    <w:rsid w:val="58672BC3"/>
    <w:rsid w:val="58731BEA"/>
    <w:rsid w:val="58824ECF"/>
    <w:rsid w:val="58825B29"/>
    <w:rsid w:val="588334D9"/>
    <w:rsid w:val="58852059"/>
    <w:rsid w:val="588540F9"/>
    <w:rsid w:val="5886386C"/>
    <w:rsid w:val="588854DF"/>
    <w:rsid w:val="58957EFA"/>
    <w:rsid w:val="589A626B"/>
    <w:rsid w:val="58A06B01"/>
    <w:rsid w:val="58A27F7A"/>
    <w:rsid w:val="58B26F69"/>
    <w:rsid w:val="58BA6694"/>
    <w:rsid w:val="58CD4FF7"/>
    <w:rsid w:val="58D7005A"/>
    <w:rsid w:val="58DA5965"/>
    <w:rsid w:val="58DB2333"/>
    <w:rsid w:val="58DD5D91"/>
    <w:rsid w:val="58E6255C"/>
    <w:rsid w:val="58F5279F"/>
    <w:rsid w:val="58F534E5"/>
    <w:rsid w:val="59071FB3"/>
    <w:rsid w:val="59085177"/>
    <w:rsid w:val="590A1172"/>
    <w:rsid w:val="590F1AB3"/>
    <w:rsid w:val="59125592"/>
    <w:rsid w:val="591744C4"/>
    <w:rsid w:val="591764DD"/>
    <w:rsid w:val="591A1FE8"/>
    <w:rsid w:val="591C41D0"/>
    <w:rsid w:val="591C5F7E"/>
    <w:rsid w:val="59245B38"/>
    <w:rsid w:val="593432C8"/>
    <w:rsid w:val="593E7CA2"/>
    <w:rsid w:val="59433CDD"/>
    <w:rsid w:val="59480B21"/>
    <w:rsid w:val="594A4ECB"/>
    <w:rsid w:val="595C281E"/>
    <w:rsid w:val="595C45CC"/>
    <w:rsid w:val="5967369D"/>
    <w:rsid w:val="596B480F"/>
    <w:rsid w:val="59710078"/>
    <w:rsid w:val="597E2795"/>
    <w:rsid w:val="598558D1"/>
    <w:rsid w:val="598D29D8"/>
    <w:rsid w:val="598D6C40"/>
    <w:rsid w:val="598F6750"/>
    <w:rsid w:val="599124C8"/>
    <w:rsid w:val="5999137D"/>
    <w:rsid w:val="599B1A91"/>
    <w:rsid w:val="599D70BF"/>
    <w:rsid w:val="59A1206F"/>
    <w:rsid w:val="59A85A64"/>
    <w:rsid w:val="59B17B93"/>
    <w:rsid w:val="59B44408"/>
    <w:rsid w:val="59C503C4"/>
    <w:rsid w:val="59C70328"/>
    <w:rsid w:val="59CF2BC9"/>
    <w:rsid w:val="59D2488F"/>
    <w:rsid w:val="59D92638"/>
    <w:rsid w:val="59EF71EF"/>
    <w:rsid w:val="5A00764E"/>
    <w:rsid w:val="5A0502F9"/>
    <w:rsid w:val="5A117165"/>
    <w:rsid w:val="5A1E1882"/>
    <w:rsid w:val="5A1F7AD4"/>
    <w:rsid w:val="5A221372"/>
    <w:rsid w:val="5A3D43FE"/>
    <w:rsid w:val="5A421A14"/>
    <w:rsid w:val="5A443DDD"/>
    <w:rsid w:val="5A44475B"/>
    <w:rsid w:val="5A461504"/>
    <w:rsid w:val="5A4C63EF"/>
    <w:rsid w:val="5A4D7FA6"/>
    <w:rsid w:val="5A53777D"/>
    <w:rsid w:val="5A582FE6"/>
    <w:rsid w:val="5A5B2AD6"/>
    <w:rsid w:val="5A5B4884"/>
    <w:rsid w:val="5A663955"/>
    <w:rsid w:val="5A6951F3"/>
    <w:rsid w:val="5A6A06F6"/>
    <w:rsid w:val="5A731BCE"/>
    <w:rsid w:val="5A78482F"/>
    <w:rsid w:val="5A7E7F78"/>
    <w:rsid w:val="5A80128B"/>
    <w:rsid w:val="5A851901"/>
    <w:rsid w:val="5A8738CB"/>
    <w:rsid w:val="5A896D03"/>
    <w:rsid w:val="5A955FE8"/>
    <w:rsid w:val="5AA1673B"/>
    <w:rsid w:val="5AAE591D"/>
    <w:rsid w:val="5AB03D1F"/>
    <w:rsid w:val="5AB04BFC"/>
    <w:rsid w:val="5AB1123A"/>
    <w:rsid w:val="5ABA3CA0"/>
    <w:rsid w:val="5AC73CC7"/>
    <w:rsid w:val="5AD36AE2"/>
    <w:rsid w:val="5AD51B54"/>
    <w:rsid w:val="5ADE4336"/>
    <w:rsid w:val="5AE34FA5"/>
    <w:rsid w:val="5AE623A0"/>
    <w:rsid w:val="5AE67453"/>
    <w:rsid w:val="5AFE2B5B"/>
    <w:rsid w:val="5B0A144B"/>
    <w:rsid w:val="5B0D5B7E"/>
    <w:rsid w:val="5B0E7B48"/>
    <w:rsid w:val="5B101B12"/>
    <w:rsid w:val="5B174C4F"/>
    <w:rsid w:val="5B195015"/>
    <w:rsid w:val="5B221474"/>
    <w:rsid w:val="5B242B48"/>
    <w:rsid w:val="5B275E78"/>
    <w:rsid w:val="5B286E5C"/>
    <w:rsid w:val="5B2B3B21"/>
    <w:rsid w:val="5B3625A9"/>
    <w:rsid w:val="5B3752F1"/>
    <w:rsid w:val="5B3A12E0"/>
    <w:rsid w:val="5B3C43F9"/>
    <w:rsid w:val="5B411CCC"/>
    <w:rsid w:val="5B455011"/>
    <w:rsid w:val="5B4F689D"/>
    <w:rsid w:val="5B5852D8"/>
    <w:rsid w:val="5B5A2715"/>
    <w:rsid w:val="5B721E85"/>
    <w:rsid w:val="5B7C4AB2"/>
    <w:rsid w:val="5B7D763A"/>
    <w:rsid w:val="5B7E4CCE"/>
    <w:rsid w:val="5B871A54"/>
    <w:rsid w:val="5B8E1F77"/>
    <w:rsid w:val="5B953D21"/>
    <w:rsid w:val="5B967E7F"/>
    <w:rsid w:val="5BA858A7"/>
    <w:rsid w:val="5BB125E3"/>
    <w:rsid w:val="5BC528FD"/>
    <w:rsid w:val="5BD4669C"/>
    <w:rsid w:val="5BDB3ECE"/>
    <w:rsid w:val="5BDB5C7C"/>
    <w:rsid w:val="5BDF119A"/>
    <w:rsid w:val="5BDF6F15"/>
    <w:rsid w:val="5BE508A9"/>
    <w:rsid w:val="5BF22FC6"/>
    <w:rsid w:val="5BF81431"/>
    <w:rsid w:val="5BFC07C6"/>
    <w:rsid w:val="5BFE5E0F"/>
    <w:rsid w:val="5C007491"/>
    <w:rsid w:val="5C07081F"/>
    <w:rsid w:val="5C0E31E0"/>
    <w:rsid w:val="5C1949F7"/>
    <w:rsid w:val="5C2515ED"/>
    <w:rsid w:val="5C294C3A"/>
    <w:rsid w:val="5C371101"/>
    <w:rsid w:val="5C384E7D"/>
    <w:rsid w:val="5C6C6ABA"/>
    <w:rsid w:val="5C7C68E0"/>
    <w:rsid w:val="5C7F6213"/>
    <w:rsid w:val="5C9443DE"/>
    <w:rsid w:val="5CAB38A1"/>
    <w:rsid w:val="5CAE21C3"/>
    <w:rsid w:val="5CCB7A9F"/>
    <w:rsid w:val="5CD163D5"/>
    <w:rsid w:val="5CE9261B"/>
    <w:rsid w:val="5CEB6393"/>
    <w:rsid w:val="5CEE7C31"/>
    <w:rsid w:val="5CF26B6C"/>
    <w:rsid w:val="5D03088A"/>
    <w:rsid w:val="5D0D1D14"/>
    <w:rsid w:val="5D142BC1"/>
    <w:rsid w:val="5D2820E7"/>
    <w:rsid w:val="5D294BB8"/>
    <w:rsid w:val="5D373386"/>
    <w:rsid w:val="5D4B0BE0"/>
    <w:rsid w:val="5D4D6706"/>
    <w:rsid w:val="5D5A7075"/>
    <w:rsid w:val="5D5F6986"/>
    <w:rsid w:val="5D6848CF"/>
    <w:rsid w:val="5D6F0D72"/>
    <w:rsid w:val="5D7336BB"/>
    <w:rsid w:val="5D7C348F"/>
    <w:rsid w:val="5D812854"/>
    <w:rsid w:val="5D814602"/>
    <w:rsid w:val="5D873059"/>
    <w:rsid w:val="5DA721EE"/>
    <w:rsid w:val="5DBA7CCF"/>
    <w:rsid w:val="5DC42740"/>
    <w:rsid w:val="5DDA44C4"/>
    <w:rsid w:val="5DDC5CDC"/>
    <w:rsid w:val="5DDE6C37"/>
    <w:rsid w:val="5DE828D3"/>
    <w:rsid w:val="5DEA21A7"/>
    <w:rsid w:val="5DED1C97"/>
    <w:rsid w:val="5DEE7A70"/>
    <w:rsid w:val="5DF03535"/>
    <w:rsid w:val="5E005E6E"/>
    <w:rsid w:val="5E031D2B"/>
    <w:rsid w:val="5E036058"/>
    <w:rsid w:val="5E0D4729"/>
    <w:rsid w:val="5E0D5F05"/>
    <w:rsid w:val="5E0E0438"/>
    <w:rsid w:val="5E105767"/>
    <w:rsid w:val="5E133E89"/>
    <w:rsid w:val="5E135FEB"/>
    <w:rsid w:val="5E225DE5"/>
    <w:rsid w:val="5E27164D"/>
    <w:rsid w:val="5E437B65"/>
    <w:rsid w:val="5E4541A5"/>
    <w:rsid w:val="5E581806"/>
    <w:rsid w:val="5E5D0BCB"/>
    <w:rsid w:val="5E622188"/>
    <w:rsid w:val="5E6A0C09"/>
    <w:rsid w:val="5E767EDE"/>
    <w:rsid w:val="5E791835"/>
    <w:rsid w:val="5E7D301B"/>
    <w:rsid w:val="5E841F66"/>
    <w:rsid w:val="5E850121"/>
    <w:rsid w:val="5E8C325E"/>
    <w:rsid w:val="5E940365"/>
    <w:rsid w:val="5E956320"/>
    <w:rsid w:val="5EA336D4"/>
    <w:rsid w:val="5EA902B4"/>
    <w:rsid w:val="5ECF75EF"/>
    <w:rsid w:val="5ED846F5"/>
    <w:rsid w:val="5ED864A3"/>
    <w:rsid w:val="5ED8702A"/>
    <w:rsid w:val="5EDB1AE4"/>
    <w:rsid w:val="5EE50BC0"/>
    <w:rsid w:val="5EF157B7"/>
    <w:rsid w:val="5EF4750B"/>
    <w:rsid w:val="5F014280"/>
    <w:rsid w:val="5F01547F"/>
    <w:rsid w:val="5F021772"/>
    <w:rsid w:val="5F04373C"/>
    <w:rsid w:val="5F0B4ACB"/>
    <w:rsid w:val="5F0C5367"/>
    <w:rsid w:val="5F182D44"/>
    <w:rsid w:val="5F1D7D6A"/>
    <w:rsid w:val="5F1F2324"/>
    <w:rsid w:val="5F3202A9"/>
    <w:rsid w:val="5F322057"/>
    <w:rsid w:val="5F36189D"/>
    <w:rsid w:val="5F3833E6"/>
    <w:rsid w:val="5F4104EC"/>
    <w:rsid w:val="5F465B03"/>
    <w:rsid w:val="5F4B3119"/>
    <w:rsid w:val="5F555D46"/>
    <w:rsid w:val="5F571ABE"/>
    <w:rsid w:val="5F577D10"/>
    <w:rsid w:val="5F583601"/>
    <w:rsid w:val="5F5C5326"/>
    <w:rsid w:val="5F61742A"/>
    <w:rsid w:val="5F66666A"/>
    <w:rsid w:val="5F6C3D73"/>
    <w:rsid w:val="5F814D8D"/>
    <w:rsid w:val="5F886473"/>
    <w:rsid w:val="5F8B48CF"/>
    <w:rsid w:val="5F9728B1"/>
    <w:rsid w:val="5F9871DA"/>
    <w:rsid w:val="5F9F3465"/>
    <w:rsid w:val="5FA36AB1"/>
    <w:rsid w:val="5FB00017"/>
    <w:rsid w:val="5FCC0030"/>
    <w:rsid w:val="5FD21144"/>
    <w:rsid w:val="5FD255E8"/>
    <w:rsid w:val="5FD32F30"/>
    <w:rsid w:val="5FD96977"/>
    <w:rsid w:val="5FE4372D"/>
    <w:rsid w:val="5FE57916"/>
    <w:rsid w:val="5FEF4EC6"/>
    <w:rsid w:val="5FF437B1"/>
    <w:rsid w:val="5FF67EAC"/>
    <w:rsid w:val="5FFA3783"/>
    <w:rsid w:val="5FFD7DE8"/>
    <w:rsid w:val="5FFE018B"/>
    <w:rsid w:val="60013D7F"/>
    <w:rsid w:val="60123C37"/>
    <w:rsid w:val="60213E7A"/>
    <w:rsid w:val="60363DC9"/>
    <w:rsid w:val="603C2B5D"/>
    <w:rsid w:val="603C56C2"/>
    <w:rsid w:val="603E4B8A"/>
    <w:rsid w:val="604162E7"/>
    <w:rsid w:val="604A2DD9"/>
    <w:rsid w:val="604E1113"/>
    <w:rsid w:val="60583751"/>
    <w:rsid w:val="6058765C"/>
    <w:rsid w:val="605B55DE"/>
    <w:rsid w:val="606A75CF"/>
    <w:rsid w:val="607664CF"/>
    <w:rsid w:val="60804663"/>
    <w:rsid w:val="608C39E9"/>
    <w:rsid w:val="60917251"/>
    <w:rsid w:val="60956CE9"/>
    <w:rsid w:val="6098238E"/>
    <w:rsid w:val="609B1E7E"/>
    <w:rsid w:val="60A31449"/>
    <w:rsid w:val="60A65B22"/>
    <w:rsid w:val="60A76A75"/>
    <w:rsid w:val="60BE791B"/>
    <w:rsid w:val="60BF4EB3"/>
    <w:rsid w:val="60C969EB"/>
    <w:rsid w:val="60E27AAD"/>
    <w:rsid w:val="60E5134B"/>
    <w:rsid w:val="60E539A3"/>
    <w:rsid w:val="60E6759D"/>
    <w:rsid w:val="60E7208C"/>
    <w:rsid w:val="60F17F09"/>
    <w:rsid w:val="60F33A68"/>
    <w:rsid w:val="60FD0443"/>
    <w:rsid w:val="61047A23"/>
    <w:rsid w:val="611D0AE5"/>
    <w:rsid w:val="61241E74"/>
    <w:rsid w:val="61243C22"/>
    <w:rsid w:val="61273712"/>
    <w:rsid w:val="612F525A"/>
    <w:rsid w:val="61364C91"/>
    <w:rsid w:val="6138591F"/>
    <w:rsid w:val="613A1697"/>
    <w:rsid w:val="614B5652"/>
    <w:rsid w:val="6151138E"/>
    <w:rsid w:val="61581B1D"/>
    <w:rsid w:val="615D7134"/>
    <w:rsid w:val="61734BA9"/>
    <w:rsid w:val="61806CA1"/>
    <w:rsid w:val="61816AA8"/>
    <w:rsid w:val="61883922"/>
    <w:rsid w:val="61907509"/>
    <w:rsid w:val="61932B55"/>
    <w:rsid w:val="61964D1C"/>
    <w:rsid w:val="61994610"/>
    <w:rsid w:val="619A2136"/>
    <w:rsid w:val="619D5FF7"/>
    <w:rsid w:val="619E75CA"/>
    <w:rsid w:val="61D01BE8"/>
    <w:rsid w:val="61D218D0"/>
    <w:rsid w:val="61D355A0"/>
    <w:rsid w:val="61DC62AA"/>
    <w:rsid w:val="61DD43D6"/>
    <w:rsid w:val="61E0193C"/>
    <w:rsid w:val="61E403FB"/>
    <w:rsid w:val="61EC5447"/>
    <w:rsid w:val="61F47A98"/>
    <w:rsid w:val="61F62C99"/>
    <w:rsid w:val="61FA2BD4"/>
    <w:rsid w:val="61FE4473"/>
    <w:rsid w:val="62001846"/>
    <w:rsid w:val="620140DF"/>
    <w:rsid w:val="620F042E"/>
    <w:rsid w:val="6213404B"/>
    <w:rsid w:val="622163B3"/>
    <w:rsid w:val="622A170C"/>
    <w:rsid w:val="623A42B8"/>
    <w:rsid w:val="623F10A0"/>
    <w:rsid w:val="624724AD"/>
    <w:rsid w:val="625422E5"/>
    <w:rsid w:val="625C50B7"/>
    <w:rsid w:val="625D1B8D"/>
    <w:rsid w:val="62620EA5"/>
    <w:rsid w:val="626562A0"/>
    <w:rsid w:val="626647B3"/>
    <w:rsid w:val="627209BD"/>
    <w:rsid w:val="62740BD9"/>
    <w:rsid w:val="627E55B4"/>
    <w:rsid w:val="6280132C"/>
    <w:rsid w:val="628F59B0"/>
    <w:rsid w:val="62970423"/>
    <w:rsid w:val="62974752"/>
    <w:rsid w:val="629D1EDE"/>
    <w:rsid w:val="629E620F"/>
    <w:rsid w:val="62B62B6B"/>
    <w:rsid w:val="62B63CBF"/>
    <w:rsid w:val="62BD1642"/>
    <w:rsid w:val="62C41857"/>
    <w:rsid w:val="62C54E4A"/>
    <w:rsid w:val="62D1763C"/>
    <w:rsid w:val="62D376AD"/>
    <w:rsid w:val="62D91574"/>
    <w:rsid w:val="62DE6052"/>
    <w:rsid w:val="62EC1D6F"/>
    <w:rsid w:val="62F12229"/>
    <w:rsid w:val="62F63821"/>
    <w:rsid w:val="62F86A5A"/>
    <w:rsid w:val="62FC1BAD"/>
    <w:rsid w:val="630261E5"/>
    <w:rsid w:val="6312568F"/>
    <w:rsid w:val="631B7F2A"/>
    <w:rsid w:val="631C1015"/>
    <w:rsid w:val="63273E9D"/>
    <w:rsid w:val="6329551F"/>
    <w:rsid w:val="632A16A7"/>
    <w:rsid w:val="632E6FDA"/>
    <w:rsid w:val="63302D52"/>
    <w:rsid w:val="6345051E"/>
    <w:rsid w:val="63462575"/>
    <w:rsid w:val="63471D15"/>
    <w:rsid w:val="63493E13"/>
    <w:rsid w:val="634C4DBD"/>
    <w:rsid w:val="635527B8"/>
    <w:rsid w:val="636B26DB"/>
    <w:rsid w:val="63784A9C"/>
    <w:rsid w:val="637F15E3"/>
    <w:rsid w:val="6393508F"/>
    <w:rsid w:val="63956756"/>
    <w:rsid w:val="63B147CB"/>
    <w:rsid w:val="63B55005"/>
    <w:rsid w:val="63BA086D"/>
    <w:rsid w:val="63CC3CF3"/>
    <w:rsid w:val="63CF41AF"/>
    <w:rsid w:val="63D47B81"/>
    <w:rsid w:val="63DC6A36"/>
    <w:rsid w:val="63F45964"/>
    <w:rsid w:val="63F55D49"/>
    <w:rsid w:val="6401649C"/>
    <w:rsid w:val="64030466"/>
    <w:rsid w:val="640857C7"/>
    <w:rsid w:val="64114A88"/>
    <w:rsid w:val="64124205"/>
    <w:rsid w:val="64140C44"/>
    <w:rsid w:val="64145061"/>
    <w:rsid w:val="64165252"/>
    <w:rsid w:val="64191A38"/>
    <w:rsid w:val="64265F03"/>
    <w:rsid w:val="642E4CB4"/>
    <w:rsid w:val="642F3009"/>
    <w:rsid w:val="643A45C6"/>
    <w:rsid w:val="643B7685"/>
    <w:rsid w:val="64414AEB"/>
    <w:rsid w:val="64416899"/>
    <w:rsid w:val="644257F3"/>
    <w:rsid w:val="644B4299"/>
    <w:rsid w:val="644C7EBB"/>
    <w:rsid w:val="644F2ABD"/>
    <w:rsid w:val="644F5459"/>
    <w:rsid w:val="6456039C"/>
    <w:rsid w:val="64570C2A"/>
    <w:rsid w:val="645962D8"/>
    <w:rsid w:val="646031C3"/>
    <w:rsid w:val="6462384E"/>
    <w:rsid w:val="646F78AA"/>
    <w:rsid w:val="64713622"/>
    <w:rsid w:val="64715A0E"/>
    <w:rsid w:val="64721DC1"/>
    <w:rsid w:val="6490508C"/>
    <w:rsid w:val="64A137DB"/>
    <w:rsid w:val="64CC7244"/>
    <w:rsid w:val="64D4595F"/>
    <w:rsid w:val="64D53FC2"/>
    <w:rsid w:val="64DB0657"/>
    <w:rsid w:val="64E558BE"/>
    <w:rsid w:val="64E738E4"/>
    <w:rsid w:val="64EB0EE4"/>
    <w:rsid w:val="64F628E6"/>
    <w:rsid w:val="650A4E0D"/>
    <w:rsid w:val="651E4E2C"/>
    <w:rsid w:val="6525440C"/>
    <w:rsid w:val="652C12F7"/>
    <w:rsid w:val="6530699E"/>
    <w:rsid w:val="6535660E"/>
    <w:rsid w:val="65404DA2"/>
    <w:rsid w:val="65414C11"/>
    <w:rsid w:val="654523B9"/>
    <w:rsid w:val="654C1999"/>
    <w:rsid w:val="654E3EFC"/>
    <w:rsid w:val="654E5711"/>
    <w:rsid w:val="655A60B2"/>
    <w:rsid w:val="655B7737"/>
    <w:rsid w:val="65680A32"/>
    <w:rsid w:val="656E2178"/>
    <w:rsid w:val="657F2919"/>
    <w:rsid w:val="65845201"/>
    <w:rsid w:val="658514DA"/>
    <w:rsid w:val="658E3D60"/>
    <w:rsid w:val="6593581A"/>
    <w:rsid w:val="65AC2438"/>
    <w:rsid w:val="65B4459E"/>
    <w:rsid w:val="65B71508"/>
    <w:rsid w:val="65BA4B55"/>
    <w:rsid w:val="65BA6903"/>
    <w:rsid w:val="65BC6B1F"/>
    <w:rsid w:val="65BD63F3"/>
    <w:rsid w:val="65C638F5"/>
    <w:rsid w:val="65C96AEF"/>
    <w:rsid w:val="65D21085"/>
    <w:rsid w:val="65DB6AEE"/>
    <w:rsid w:val="65E22D7C"/>
    <w:rsid w:val="65ED4F48"/>
    <w:rsid w:val="65F71905"/>
    <w:rsid w:val="65F938CF"/>
    <w:rsid w:val="660465BE"/>
    <w:rsid w:val="66081D64"/>
    <w:rsid w:val="66124586"/>
    <w:rsid w:val="6616725E"/>
    <w:rsid w:val="66187ACD"/>
    <w:rsid w:val="661B13ED"/>
    <w:rsid w:val="662047A4"/>
    <w:rsid w:val="662465C8"/>
    <w:rsid w:val="663743F7"/>
    <w:rsid w:val="663A1335"/>
    <w:rsid w:val="664A3244"/>
    <w:rsid w:val="665A1CA4"/>
    <w:rsid w:val="665F56FC"/>
    <w:rsid w:val="666845B1"/>
    <w:rsid w:val="66737EE4"/>
    <w:rsid w:val="667411A7"/>
    <w:rsid w:val="668141DE"/>
    <w:rsid w:val="668D4017"/>
    <w:rsid w:val="66AC1B17"/>
    <w:rsid w:val="66B85DC0"/>
    <w:rsid w:val="66B90551"/>
    <w:rsid w:val="66C24F70"/>
    <w:rsid w:val="66CB4350"/>
    <w:rsid w:val="66EC51E2"/>
    <w:rsid w:val="66ED0F5A"/>
    <w:rsid w:val="66ED4AB6"/>
    <w:rsid w:val="66EF6A80"/>
    <w:rsid w:val="66FE4F15"/>
    <w:rsid w:val="67006EDF"/>
    <w:rsid w:val="670F7329"/>
    <w:rsid w:val="6712451C"/>
    <w:rsid w:val="671604B0"/>
    <w:rsid w:val="67185966"/>
    <w:rsid w:val="67260CF3"/>
    <w:rsid w:val="67284C27"/>
    <w:rsid w:val="673715D0"/>
    <w:rsid w:val="67472418"/>
    <w:rsid w:val="675C1FE7"/>
    <w:rsid w:val="6760172C"/>
    <w:rsid w:val="6764746E"/>
    <w:rsid w:val="67670D0C"/>
    <w:rsid w:val="6771220F"/>
    <w:rsid w:val="67864576"/>
    <w:rsid w:val="678C5B11"/>
    <w:rsid w:val="678E6299"/>
    <w:rsid w:val="67902011"/>
    <w:rsid w:val="679364E6"/>
    <w:rsid w:val="67A96C2F"/>
    <w:rsid w:val="67BD32A5"/>
    <w:rsid w:val="67BE4CCD"/>
    <w:rsid w:val="67C021CA"/>
    <w:rsid w:val="67C63C85"/>
    <w:rsid w:val="67CD5013"/>
    <w:rsid w:val="67D1553C"/>
    <w:rsid w:val="67D8681C"/>
    <w:rsid w:val="67EB36EB"/>
    <w:rsid w:val="67EB4C28"/>
    <w:rsid w:val="67ED1A09"/>
    <w:rsid w:val="67F02AB0"/>
    <w:rsid w:val="67FD6F7B"/>
    <w:rsid w:val="67FE557E"/>
    <w:rsid w:val="680700DC"/>
    <w:rsid w:val="680D18B3"/>
    <w:rsid w:val="68126ECA"/>
    <w:rsid w:val="68184196"/>
    <w:rsid w:val="6820259D"/>
    <w:rsid w:val="68212FA8"/>
    <w:rsid w:val="68232E85"/>
    <w:rsid w:val="682B4E65"/>
    <w:rsid w:val="682E35D8"/>
    <w:rsid w:val="68490412"/>
    <w:rsid w:val="684A2231"/>
    <w:rsid w:val="684A6664"/>
    <w:rsid w:val="6852376A"/>
    <w:rsid w:val="68556DB7"/>
    <w:rsid w:val="685C6397"/>
    <w:rsid w:val="685D03F9"/>
    <w:rsid w:val="685F7C35"/>
    <w:rsid w:val="68686AEA"/>
    <w:rsid w:val="68694610"/>
    <w:rsid w:val="686C6B6B"/>
    <w:rsid w:val="687D4CE5"/>
    <w:rsid w:val="68807719"/>
    <w:rsid w:val="68813268"/>
    <w:rsid w:val="68846262"/>
    <w:rsid w:val="688558EE"/>
    <w:rsid w:val="68955ADE"/>
    <w:rsid w:val="68B627E2"/>
    <w:rsid w:val="68BC6E36"/>
    <w:rsid w:val="68BE1741"/>
    <w:rsid w:val="68BF71FB"/>
    <w:rsid w:val="68C82C22"/>
    <w:rsid w:val="68D264BD"/>
    <w:rsid w:val="68E66B40"/>
    <w:rsid w:val="68E93118"/>
    <w:rsid w:val="69020F1C"/>
    <w:rsid w:val="6902730F"/>
    <w:rsid w:val="6905258B"/>
    <w:rsid w:val="690D2266"/>
    <w:rsid w:val="69136A00"/>
    <w:rsid w:val="69167B5F"/>
    <w:rsid w:val="691C78D4"/>
    <w:rsid w:val="6920108A"/>
    <w:rsid w:val="69273E73"/>
    <w:rsid w:val="692A1FF1"/>
    <w:rsid w:val="693115D2"/>
    <w:rsid w:val="6931512E"/>
    <w:rsid w:val="693B7D5A"/>
    <w:rsid w:val="69405A1D"/>
    <w:rsid w:val="6942558D"/>
    <w:rsid w:val="694A2693"/>
    <w:rsid w:val="694C1F68"/>
    <w:rsid w:val="69674FF3"/>
    <w:rsid w:val="696C085C"/>
    <w:rsid w:val="69777C99"/>
    <w:rsid w:val="69794D27"/>
    <w:rsid w:val="698E07D2"/>
    <w:rsid w:val="698E432E"/>
    <w:rsid w:val="69951B60"/>
    <w:rsid w:val="69A753F0"/>
    <w:rsid w:val="69B409C0"/>
    <w:rsid w:val="69B74F25"/>
    <w:rsid w:val="69BA15C7"/>
    <w:rsid w:val="69C55155"/>
    <w:rsid w:val="69C63DEF"/>
    <w:rsid w:val="69C650FF"/>
    <w:rsid w:val="69CE0BCF"/>
    <w:rsid w:val="69D22DF1"/>
    <w:rsid w:val="69E77EE2"/>
    <w:rsid w:val="69F30635"/>
    <w:rsid w:val="69F717CA"/>
    <w:rsid w:val="69F7187D"/>
    <w:rsid w:val="69F83E9D"/>
    <w:rsid w:val="69FB573C"/>
    <w:rsid w:val="6A042842"/>
    <w:rsid w:val="6A0555E6"/>
    <w:rsid w:val="6A08670B"/>
    <w:rsid w:val="6A096FCC"/>
    <w:rsid w:val="6A097E59"/>
    <w:rsid w:val="6A0E35B2"/>
    <w:rsid w:val="6A152CA1"/>
    <w:rsid w:val="6A1D1C45"/>
    <w:rsid w:val="6A3749C6"/>
    <w:rsid w:val="6A4315BC"/>
    <w:rsid w:val="6A465C5D"/>
    <w:rsid w:val="6A486BD3"/>
    <w:rsid w:val="6A4C3F77"/>
    <w:rsid w:val="6A51640E"/>
    <w:rsid w:val="6A590DE0"/>
    <w:rsid w:val="6A60340B"/>
    <w:rsid w:val="6A6B45BF"/>
    <w:rsid w:val="6A6B466F"/>
    <w:rsid w:val="6A786D8C"/>
    <w:rsid w:val="6A7A2B04"/>
    <w:rsid w:val="6A8219B9"/>
    <w:rsid w:val="6A863A05"/>
    <w:rsid w:val="6A883473"/>
    <w:rsid w:val="6A894DD0"/>
    <w:rsid w:val="6A941E18"/>
    <w:rsid w:val="6A9516EC"/>
    <w:rsid w:val="6A98321E"/>
    <w:rsid w:val="6AA1643D"/>
    <w:rsid w:val="6AA67D9D"/>
    <w:rsid w:val="6AAB0F10"/>
    <w:rsid w:val="6AB44268"/>
    <w:rsid w:val="6AB5424C"/>
    <w:rsid w:val="6AB9187F"/>
    <w:rsid w:val="6ABB4EF4"/>
    <w:rsid w:val="6AC344AB"/>
    <w:rsid w:val="6AC55036"/>
    <w:rsid w:val="6ACD70D8"/>
    <w:rsid w:val="6ACE4BFE"/>
    <w:rsid w:val="6AD05B27"/>
    <w:rsid w:val="6ADD4FF4"/>
    <w:rsid w:val="6ADE3093"/>
    <w:rsid w:val="6ADF1E70"/>
    <w:rsid w:val="6AE04568"/>
    <w:rsid w:val="6AE13432"/>
    <w:rsid w:val="6AE85CC0"/>
    <w:rsid w:val="6AEB2C75"/>
    <w:rsid w:val="6AFB3C45"/>
    <w:rsid w:val="6AFE3735"/>
    <w:rsid w:val="6B014FD4"/>
    <w:rsid w:val="6B050FEE"/>
    <w:rsid w:val="6B056872"/>
    <w:rsid w:val="6B113F99"/>
    <w:rsid w:val="6B130F35"/>
    <w:rsid w:val="6B144D07"/>
    <w:rsid w:val="6B252A70"/>
    <w:rsid w:val="6B2667E8"/>
    <w:rsid w:val="6B286A04"/>
    <w:rsid w:val="6B2D5DC9"/>
    <w:rsid w:val="6B2F5A1A"/>
    <w:rsid w:val="6B3853EC"/>
    <w:rsid w:val="6B3D24B0"/>
    <w:rsid w:val="6B421874"/>
    <w:rsid w:val="6B460C38"/>
    <w:rsid w:val="6B482C03"/>
    <w:rsid w:val="6B514C91"/>
    <w:rsid w:val="6B531AB3"/>
    <w:rsid w:val="6B5477F9"/>
    <w:rsid w:val="6B560266"/>
    <w:rsid w:val="6B5B7BB3"/>
    <w:rsid w:val="6B5C220A"/>
    <w:rsid w:val="6B5D670C"/>
    <w:rsid w:val="6B647ACE"/>
    <w:rsid w:val="6B7834E8"/>
    <w:rsid w:val="6B80414A"/>
    <w:rsid w:val="6B87197D"/>
    <w:rsid w:val="6B9051F9"/>
    <w:rsid w:val="6B9876E6"/>
    <w:rsid w:val="6B991B92"/>
    <w:rsid w:val="6B9B71D6"/>
    <w:rsid w:val="6BB56F58"/>
    <w:rsid w:val="6BB87D88"/>
    <w:rsid w:val="6BC7621D"/>
    <w:rsid w:val="6BCA055A"/>
    <w:rsid w:val="6BCC55E2"/>
    <w:rsid w:val="6BCE6D20"/>
    <w:rsid w:val="6BCF614C"/>
    <w:rsid w:val="6BD34BC2"/>
    <w:rsid w:val="6BD526E8"/>
    <w:rsid w:val="6BE65E8E"/>
    <w:rsid w:val="6BE75F78"/>
    <w:rsid w:val="6BF012D0"/>
    <w:rsid w:val="6C044D7B"/>
    <w:rsid w:val="6C045D80"/>
    <w:rsid w:val="6C0A7EB8"/>
    <w:rsid w:val="6C0C513D"/>
    <w:rsid w:val="6C1256EA"/>
    <w:rsid w:val="6C170751"/>
    <w:rsid w:val="6C1A459F"/>
    <w:rsid w:val="6C1B3E73"/>
    <w:rsid w:val="6C347ED9"/>
    <w:rsid w:val="6C360CAD"/>
    <w:rsid w:val="6C3F4006"/>
    <w:rsid w:val="6C445178"/>
    <w:rsid w:val="6C48685D"/>
    <w:rsid w:val="6C4909E0"/>
    <w:rsid w:val="6C4B378C"/>
    <w:rsid w:val="6C4C0AD1"/>
    <w:rsid w:val="6C4D758C"/>
    <w:rsid w:val="6C4E4249"/>
    <w:rsid w:val="6C575B38"/>
    <w:rsid w:val="6C597133"/>
    <w:rsid w:val="6C6F4957"/>
    <w:rsid w:val="6C7C7137"/>
    <w:rsid w:val="6C804333"/>
    <w:rsid w:val="6C855C04"/>
    <w:rsid w:val="6C8B724B"/>
    <w:rsid w:val="6C8E5108"/>
    <w:rsid w:val="6C937EAD"/>
    <w:rsid w:val="6C944351"/>
    <w:rsid w:val="6C9E6F7E"/>
    <w:rsid w:val="6CA77F9A"/>
    <w:rsid w:val="6CA9147F"/>
    <w:rsid w:val="6CB84909"/>
    <w:rsid w:val="6CBA18DE"/>
    <w:rsid w:val="6CBD4F2A"/>
    <w:rsid w:val="6CBF0CA2"/>
    <w:rsid w:val="6CC33E4F"/>
    <w:rsid w:val="6CCA7D73"/>
    <w:rsid w:val="6CCF0D79"/>
    <w:rsid w:val="6CD03E88"/>
    <w:rsid w:val="6CDA3D2E"/>
    <w:rsid w:val="6CDE55CC"/>
    <w:rsid w:val="6CE10C19"/>
    <w:rsid w:val="6CEB1A97"/>
    <w:rsid w:val="6CEE1E7E"/>
    <w:rsid w:val="6CF3576D"/>
    <w:rsid w:val="6CFD21CC"/>
    <w:rsid w:val="6D0226C3"/>
    <w:rsid w:val="6D0F5D7A"/>
    <w:rsid w:val="6D166445"/>
    <w:rsid w:val="6D203E37"/>
    <w:rsid w:val="6D266F73"/>
    <w:rsid w:val="6D311BCD"/>
    <w:rsid w:val="6D3452D3"/>
    <w:rsid w:val="6D3C22F3"/>
    <w:rsid w:val="6D476E80"/>
    <w:rsid w:val="6D4E1FD9"/>
    <w:rsid w:val="6D543AE1"/>
    <w:rsid w:val="6D5C4743"/>
    <w:rsid w:val="6D605FE2"/>
    <w:rsid w:val="6D745F31"/>
    <w:rsid w:val="6D7E0B5E"/>
    <w:rsid w:val="6D8018C0"/>
    <w:rsid w:val="6D886105"/>
    <w:rsid w:val="6D9143ED"/>
    <w:rsid w:val="6D960677"/>
    <w:rsid w:val="6D9E6CE0"/>
    <w:rsid w:val="6D9F0A60"/>
    <w:rsid w:val="6DA265FA"/>
    <w:rsid w:val="6DA77C55"/>
    <w:rsid w:val="6DAA54AF"/>
    <w:rsid w:val="6DAF551B"/>
    <w:rsid w:val="6DB14A8F"/>
    <w:rsid w:val="6DCA36D7"/>
    <w:rsid w:val="6DCC5913"/>
    <w:rsid w:val="6DCC7B1B"/>
    <w:rsid w:val="6DCE4C80"/>
    <w:rsid w:val="6DCF4F15"/>
    <w:rsid w:val="6DD15131"/>
    <w:rsid w:val="6DD61D9A"/>
    <w:rsid w:val="6DEA61F3"/>
    <w:rsid w:val="6DFA4688"/>
    <w:rsid w:val="6DFA6436"/>
    <w:rsid w:val="6E032E11"/>
    <w:rsid w:val="6E0472B5"/>
    <w:rsid w:val="6E0D575F"/>
    <w:rsid w:val="6E1312A6"/>
    <w:rsid w:val="6E166FE8"/>
    <w:rsid w:val="6E1B63AC"/>
    <w:rsid w:val="6E1D0376"/>
    <w:rsid w:val="6E213562"/>
    <w:rsid w:val="6E2711F5"/>
    <w:rsid w:val="6E2B1ED5"/>
    <w:rsid w:val="6E3A2CD6"/>
    <w:rsid w:val="6E3A4A84"/>
    <w:rsid w:val="6E4A2D43"/>
    <w:rsid w:val="6E511637"/>
    <w:rsid w:val="6E535B46"/>
    <w:rsid w:val="6E557448"/>
    <w:rsid w:val="6E594353"/>
    <w:rsid w:val="6E596D75"/>
    <w:rsid w:val="6E7F2DDF"/>
    <w:rsid w:val="6E7F3A9C"/>
    <w:rsid w:val="6E9C573F"/>
    <w:rsid w:val="6EA463A2"/>
    <w:rsid w:val="6EA77C40"/>
    <w:rsid w:val="6EB65039"/>
    <w:rsid w:val="6EC52DE9"/>
    <w:rsid w:val="6ECA28F3"/>
    <w:rsid w:val="6ECB7DD2"/>
    <w:rsid w:val="6ED24CBD"/>
    <w:rsid w:val="6ED870F8"/>
    <w:rsid w:val="6EE20FB0"/>
    <w:rsid w:val="6EE5266B"/>
    <w:rsid w:val="6EE554A3"/>
    <w:rsid w:val="6EED7D49"/>
    <w:rsid w:val="6F0C75E9"/>
    <w:rsid w:val="6F0F1F10"/>
    <w:rsid w:val="6F127BBD"/>
    <w:rsid w:val="6F150D73"/>
    <w:rsid w:val="6F1C23DC"/>
    <w:rsid w:val="6F1E3F4C"/>
    <w:rsid w:val="6F2319BD"/>
    <w:rsid w:val="6F235519"/>
    <w:rsid w:val="6F330183"/>
    <w:rsid w:val="6F34175B"/>
    <w:rsid w:val="6F343BCA"/>
    <w:rsid w:val="6F3C3666"/>
    <w:rsid w:val="6F413BF1"/>
    <w:rsid w:val="6F52749C"/>
    <w:rsid w:val="6F5E1816"/>
    <w:rsid w:val="6F63625D"/>
    <w:rsid w:val="6F6E34A0"/>
    <w:rsid w:val="6F746019"/>
    <w:rsid w:val="6F7B35A7"/>
    <w:rsid w:val="6F7F0550"/>
    <w:rsid w:val="6F82139A"/>
    <w:rsid w:val="6F8A37EA"/>
    <w:rsid w:val="6F9603E0"/>
    <w:rsid w:val="6F9B1553"/>
    <w:rsid w:val="6FA7614A"/>
    <w:rsid w:val="6FB96289"/>
    <w:rsid w:val="6FBB39A3"/>
    <w:rsid w:val="6FC860C0"/>
    <w:rsid w:val="6FCD7270"/>
    <w:rsid w:val="6FD41ABE"/>
    <w:rsid w:val="6FDE635F"/>
    <w:rsid w:val="6FE13847"/>
    <w:rsid w:val="6FEE38F0"/>
    <w:rsid w:val="6FF07A46"/>
    <w:rsid w:val="6FF84AE4"/>
    <w:rsid w:val="6FFF3C3A"/>
    <w:rsid w:val="70095D9A"/>
    <w:rsid w:val="70111815"/>
    <w:rsid w:val="701F6C1E"/>
    <w:rsid w:val="70205EFC"/>
    <w:rsid w:val="702A0B29"/>
    <w:rsid w:val="702D781F"/>
    <w:rsid w:val="702F7EED"/>
    <w:rsid w:val="7034110A"/>
    <w:rsid w:val="70347EC5"/>
    <w:rsid w:val="7037325E"/>
    <w:rsid w:val="70386C15"/>
    <w:rsid w:val="703942B6"/>
    <w:rsid w:val="70422316"/>
    <w:rsid w:val="70455963"/>
    <w:rsid w:val="704C0A9F"/>
    <w:rsid w:val="704F12C7"/>
    <w:rsid w:val="7053007F"/>
    <w:rsid w:val="705362D1"/>
    <w:rsid w:val="705636CC"/>
    <w:rsid w:val="70567B70"/>
    <w:rsid w:val="70653BFC"/>
    <w:rsid w:val="70666005"/>
    <w:rsid w:val="70716758"/>
    <w:rsid w:val="70756248"/>
    <w:rsid w:val="70790236"/>
    <w:rsid w:val="707D334E"/>
    <w:rsid w:val="707D6EAA"/>
    <w:rsid w:val="7084648B"/>
    <w:rsid w:val="70877D29"/>
    <w:rsid w:val="708D7A39"/>
    <w:rsid w:val="709A3F00"/>
    <w:rsid w:val="70B623BC"/>
    <w:rsid w:val="70BA2B31"/>
    <w:rsid w:val="70BA5135"/>
    <w:rsid w:val="70BE57A8"/>
    <w:rsid w:val="70BF4B91"/>
    <w:rsid w:val="70C607C8"/>
    <w:rsid w:val="70C865BA"/>
    <w:rsid w:val="70D0347E"/>
    <w:rsid w:val="70D374C2"/>
    <w:rsid w:val="70DB02EF"/>
    <w:rsid w:val="70E37655"/>
    <w:rsid w:val="70EE5FFA"/>
    <w:rsid w:val="70F2143B"/>
    <w:rsid w:val="710359C7"/>
    <w:rsid w:val="7104581E"/>
    <w:rsid w:val="710C4F64"/>
    <w:rsid w:val="7128150C"/>
    <w:rsid w:val="712832BA"/>
    <w:rsid w:val="712E7CE0"/>
    <w:rsid w:val="713C5C41"/>
    <w:rsid w:val="7141684A"/>
    <w:rsid w:val="71431EA2"/>
    <w:rsid w:val="71494FDF"/>
    <w:rsid w:val="714B2F5B"/>
    <w:rsid w:val="714D518E"/>
    <w:rsid w:val="715228DB"/>
    <w:rsid w:val="715B3690"/>
    <w:rsid w:val="716342F2"/>
    <w:rsid w:val="716909F2"/>
    <w:rsid w:val="716F0EE9"/>
    <w:rsid w:val="717A163C"/>
    <w:rsid w:val="718D75C1"/>
    <w:rsid w:val="719B7F30"/>
    <w:rsid w:val="719E532A"/>
    <w:rsid w:val="719F04DA"/>
    <w:rsid w:val="71A306A7"/>
    <w:rsid w:val="71A37C91"/>
    <w:rsid w:val="71AB580D"/>
    <w:rsid w:val="71BA40BB"/>
    <w:rsid w:val="71BA461B"/>
    <w:rsid w:val="71BB56FA"/>
    <w:rsid w:val="71C346B5"/>
    <w:rsid w:val="71CE20ED"/>
    <w:rsid w:val="71D635DF"/>
    <w:rsid w:val="71E85F09"/>
    <w:rsid w:val="71F5068D"/>
    <w:rsid w:val="71FE4786"/>
    <w:rsid w:val="720C6738"/>
    <w:rsid w:val="72192A04"/>
    <w:rsid w:val="7220386F"/>
    <w:rsid w:val="72281098"/>
    <w:rsid w:val="722A4342"/>
    <w:rsid w:val="72330169"/>
    <w:rsid w:val="72352F3B"/>
    <w:rsid w:val="723B0DCB"/>
    <w:rsid w:val="723D4B43"/>
    <w:rsid w:val="724908EF"/>
    <w:rsid w:val="724B70AD"/>
    <w:rsid w:val="724E4FA2"/>
    <w:rsid w:val="724F424E"/>
    <w:rsid w:val="72524680"/>
    <w:rsid w:val="72563E57"/>
    <w:rsid w:val="72656FEF"/>
    <w:rsid w:val="72665DB0"/>
    <w:rsid w:val="72677E12"/>
    <w:rsid w:val="728B1D53"/>
    <w:rsid w:val="729329B5"/>
    <w:rsid w:val="729C3BBE"/>
    <w:rsid w:val="729C3F60"/>
    <w:rsid w:val="72A252EE"/>
    <w:rsid w:val="72A44BC2"/>
    <w:rsid w:val="72BD5C84"/>
    <w:rsid w:val="72C60FDD"/>
    <w:rsid w:val="72D2432D"/>
    <w:rsid w:val="72D3635E"/>
    <w:rsid w:val="72D66D46"/>
    <w:rsid w:val="72D94EA8"/>
    <w:rsid w:val="72E04F19"/>
    <w:rsid w:val="72EB27F1"/>
    <w:rsid w:val="72EB459F"/>
    <w:rsid w:val="72EC51B3"/>
    <w:rsid w:val="72ED34B8"/>
    <w:rsid w:val="72FA32DB"/>
    <w:rsid w:val="72FF6166"/>
    <w:rsid w:val="73010267"/>
    <w:rsid w:val="730758BC"/>
    <w:rsid w:val="7309711B"/>
    <w:rsid w:val="730C2768"/>
    <w:rsid w:val="731358A4"/>
    <w:rsid w:val="73136182"/>
    <w:rsid w:val="73146F25"/>
    <w:rsid w:val="73180EAC"/>
    <w:rsid w:val="731D2DAD"/>
    <w:rsid w:val="73221F8B"/>
    <w:rsid w:val="73281C56"/>
    <w:rsid w:val="732B70FF"/>
    <w:rsid w:val="733028FA"/>
    <w:rsid w:val="733046A8"/>
    <w:rsid w:val="73315854"/>
    <w:rsid w:val="73393078"/>
    <w:rsid w:val="733A72D5"/>
    <w:rsid w:val="733C4DFB"/>
    <w:rsid w:val="7349146F"/>
    <w:rsid w:val="73571C35"/>
    <w:rsid w:val="735E2268"/>
    <w:rsid w:val="735F0AE9"/>
    <w:rsid w:val="73657957"/>
    <w:rsid w:val="737A3B75"/>
    <w:rsid w:val="737C6D64"/>
    <w:rsid w:val="73816CB2"/>
    <w:rsid w:val="73834F73"/>
    <w:rsid w:val="73841D2D"/>
    <w:rsid w:val="738D1AFA"/>
    <w:rsid w:val="738D57DE"/>
    <w:rsid w:val="739764D5"/>
    <w:rsid w:val="73B01345"/>
    <w:rsid w:val="73B20E34"/>
    <w:rsid w:val="73B47087"/>
    <w:rsid w:val="73C3551C"/>
    <w:rsid w:val="73CA68AB"/>
    <w:rsid w:val="73D414D7"/>
    <w:rsid w:val="73D9089C"/>
    <w:rsid w:val="73DE4A8A"/>
    <w:rsid w:val="73FE6554"/>
    <w:rsid w:val="74001F36"/>
    <w:rsid w:val="741E2752"/>
    <w:rsid w:val="7420296E"/>
    <w:rsid w:val="74235B7E"/>
    <w:rsid w:val="74235FBB"/>
    <w:rsid w:val="74244BBD"/>
    <w:rsid w:val="74370F44"/>
    <w:rsid w:val="744076DB"/>
    <w:rsid w:val="7443040B"/>
    <w:rsid w:val="744321B9"/>
    <w:rsid w:val="74531288"/>
    <w:rsid w:val="745F1D57"/>
    <w:rsid w:val="745F52DF"/>
    <w:rsid w:val="74621B4E"/>
    <w:rsid w:val="74675EA7"/>
    <w:rsid w:val="746A66E1"/>
    <w:rsid w:val="746C5BB4"/>
    <w:rsid w:val="747B2602"/>
    <w:rsid w:val="74821A87"/>
    <w:rsid w:val="7486044F"/>
    <w:rsid w:val="7491438D"/>
    <w:rsid w:val="74961CFE"/>
    <w:rsid w:val="749F246B"/>
    <w:rsid w:val="74A05010"/>
    <w:rsid w:val="74AE1D28"/>
    <w:rsid w:val="74AE7F7A"/>
    <w:rsid w:val="74AF784E"/>
    <w:rsid w:val="74B02D01"/>
    <w:rsid w:val="74BF0D5E"/>
    <w:rsid w:val="74C30258"/>
    <w:rsid w:val="74C432FA"/>
    <w:rsid w:val="74CE551A"/>
    <w:rsid w:val="74D37CCA"/>
    <w:rsid w:val="74D50190"/>
    <w:rsid w:val="74DC2D7E"/>
    <w:rsid w:val="74E34C99"/>
    <w:rsid w:val="74E46B3D"/>
    <w:rsid w:val="74E97204"/>
    <w:rsid w:val="74EC45FF"/>
    <w:rsid w:val="74F0721D"/>
    <w:rsid w:val="74F17E67"/>
    <w:rsid w:val="74FD680C"/>
    <w:rsid w:val="750162FC"/>
    <w:rsid w:val="75134281"/>
    <w:rsid w:val="751E15E4"/>
    <w:rsid w:val="75243D99"/>
    <w:rsid w:val="75267B11"/>
    <w:rsid w:val="75292FF9"/>
    <w:rsid w:val="752E2E69"/>
    <w:rsid w:val="75357D54"/>
    <w:rsid w:val="75387844"/>
    <w:rsid w:val="753C330D"/>
    <w:rsid w:val="753C7612"/>
    <w:rsid w:val="753F12D4"/>
    <w:rsid w:val="75412B9C"/>
    <w:rsid w:val="7544268D"/>
    <w:rsid w:val="75457333"/>
    <w:rsid w:val="754601B3"/>
    <w:rsid w:val="75510906"/>
    <w:rsid w:val="75526B58"/>
    <w:rsid w:val="755412CD"/>
    <w:rsid w:val="75620C36"/>
    <w:rsid w:val="75643484"/>
    <w:rsid w:val="756D47FB"/>
    <w:rsid w:val="757E2BF9"/>
    <w:rsid w:val="757E794D"/>
    <w:rsid w:val="75901BFB"/>
    <w:rsid w:val="75970A0E"/>
    <w:rsid w:val="7597134C"/>
    <w:rsid w:val="75A4312B"/>
    <w:rsid w:val="75A46F31"/>
    <w:rsid w:val="75A8117E"/>
    <w:rsid w:val="75BC4A46"/>
    <w:rsid w:val="75CA0DE4"/>
    <w:rsid w:val="75E55C1E"/>
    <w:rsid w:val="75E83018"/>
    <w:rsid w:val="75F0011F"/>
    <w:rsid w:val="75F24464"/>
    <w:rsid w:val="75FA2D4B"/>
    <w:rsid w:val="75FA70B8"/>
    <w:rsid w:val="760948D9"/>
    <w:rsid w:val="760E0977"/>
    <w:rsid w:val="76197675"/>
    <w:rsid w:val="761E2EDE"/>
    <w:rsid w:val="761E6A3A"/>
    <w:rsid w:val="76225B97"/>
    <w:rsid w:val="762A00D4"/>
    <w:rsid w:val="762A2599"/>
    <w:rsid w:val="7641097A"/>
    <w:rsid w:val="76465CA4"/>
    <w:rsid w:val="765124F0"/>
    <w:rsid w:val="76520E4D"/>
    <w:rsid w:val="76524935"/>
    <w:rsid w:val="76527883"/>
    <w:rsid w:val="76593F16"/>
    <w:rsid w:val="765B1A3C"/>
    <w:rsid w:val="76676633"/>
    <w:rsid w:val="766905FD"/>
    <w:rsid w:val="76692C38"/>
    <w:rsid w:val="767A147A"/>
    <w:rsid w:val="767D5E56"/>
    <w:rsid w:val="76913F31"/>
    <w:rsid w:val="76967AE3"/>
    <w:rsid w:val="76A333E3"/>
    <w:rsid w:val="76A72ED3"/>
    <w:rsid w:val="76AF3B36"/>
    <w:rsid w:val="76B4021D"/>
    <w:rsid w:val="76C05D43"/>
    <w:rsid w:val="76C27081"/>
    <w:rsid w:val="76C53359"/>
    <w:rsid w:val="76CC293A"/>
    <w:rsid w:val="76CD53B2"/>
    <w:rsid w:val="76CF1908"/>
    <w:rsid w:val="76D77575"/>
    <w:rsid w:val="76DB2B7D"/>
    <w:rsid w:val="76E01F41"/>
    <w:rsid w:val="76EB6381"/>
    <w:rsid w:val="76F77172"/>
    <w:rsid w:val="76F87F1C"/>
    <w:rsid w:val="770D6976"/>
    <w:rsid w:val="771418D8"/>
    <w:rsid w:val="77163BB5"/>
    <w:rsid w:val="771852A8"/>
    <w:rsid w:val="77312D10"/>
    <w:rsid w:val="77471AC4"/>
    <w:rsid w:val="77504E25"/>
    <w:rsid w:val="7753396D"/>
    <w:rsid w:val="77587D9F"/>
    <w:rsid w:val="77594E28"/>
    <w:rsid w:val="775E16E2"/>
    <w:rsid w:val="77664B3C"/>
    <w:rsid w:val="77690189"/>
    <w:rsid w:val="77737259"/>
    <w:rsid w:val="77842868"/>
    <w:rsid w:val="778E31B0"/>
    <w:rsid w:val="778E5E41"/>
    <w:rsid w:val="77904AC1"/>
    <w:rsid w:val="779A47E6"/>
    <w:rsid w:val="77A711E5"/>
    <w:rsid w:val="77A82A0E"/>
    <w:rsid w:val="77AA311E"/>
    <w:rsid w:val="77B27D81"/>
    <w:rsid w:val="77B75C63"/>
    <w:rsid w:val="77BC475C"/>
    <w:rsid w:val="77BF1197"/>
    <w:rsid w:val="77C803EE"/>
    <w:rsid w:val="77D0645A"/>
    <w:rsid w:val="77DC095A"/>
    <w:rsid w:val="77DD5982"/>
    <w:rsid w:val="77E338A9"/>
    <w:rsid w:val="77EB6E04"/>
    <w:rsid w:val="77EC380F"/>
    <w:rsid w:val="77F122C3"/>
    <w:rsid w:val="77FA431C"/>
    <w:rsid w:val="78000AED"/>
    <w:rsid w:val="78006D3F"/>
    <w:rsid w:val="78021C8C"/>
    <w:rsid w:val="78147FF6"/>
    <w:rsid w:val="78153E6C"/>
    <w:rsid w:val="781C344D"/>
    <w:rsid w:val="781E2697"/>
    <w:rsid w:val="782347DB"/>
    <w:rsid w:val="7827118B"/>
    <w:rsid w:val="7840713B"/>
    <w:rsid w:val="784F3822"/>
    <w:rsid w:val="78542BE7"/>
    <w:rsid w:val="785B5D23"/>
    <w:rsid w:val="785B663F"/>
    <w:rsid w:val="785B6A4B"/>
    <w:rsid w:val="785D5F3F"/>
    <w:rsid w:val="78700AEC"/>
    <w:rsid w:val="78720118"/>
    <w:rsid w:val="78817E80"/>
    <w:rsid w:val="78881314"/>
    <w:rsid w:val="78882890"/>
    <w:rsid w:val="788D5F44"/>
    <w:rsid w:val="78994A9D"/>
    <w:rsid w:val="78B90C9C"/>
    <w:rsid w:val="78BE4504"/>
    <w:rsid w:val="78C16B8E"/>
    <w:rsid w:val="78CC72F0"/>
    <w:rsid w:val="78D12C9D"/>
    <w:rsid w:val="78DA6D60"/>
    <w:rsid w:val="78DB117D"/>
    <w:rsid w:val="78DB3308"/>
    <w:rsid w:val="78E81581"/>
    <w:rsid w:val="78E937B9"/>
    <w:rsid w:val="78FE4D5E"/>
    <w:rsid w:val="78FF6580"/>
    <w:rsid w:val="791A3E30"/>
    <w:rsid w:val="791E7928"/>
    <w:rsid w:val="791F31F5"/>
    <w:rsid w:val="79222CE5"/>
    <w:rsid w:val="792425B9"/>
    <w:rsid w:val="79425135"/>
    <w:rsid w:val="79452C70"/>
    <w:rsid w:val="794970F6"/>
    <w:rsid w:val="794A0ECC"/>
    <w:rsid w:val="794B58BC"/>
    <w:rsid w:val="7950774B"/>
    <w:rsid w:val="79522F98"/>
    <w:rsid w:val="795310F0"/>
    <w:rsid w:val="7956298E"/>
    <w:rsid w:val="795A13EC"/>
    <w:rsid w:val="79624D62"/>
    <w:rsid w:val="796C5667"/>
    <w:rsid w:val="796E5F2A"/>
    <w:rsid w:val="79703A50"/>
    <w:rsid w:val="79752E15"/>
    <w:rsid w:val="797A15C6"/>
    <w:rsid w:val="797D616D"/>
    <w:rsid w:val="798B2638"/>
    <w:rsid w:val="798F3A5E"/>
    <w:rsid w:val="799F634B"/>
    <w:rsid w:val="79A74FA7"/>
    <w:rsid w:val="79AC0800"/>
    <w:rsid w:val="79B25E17"/>
    <w:rsid w:val="79BD47BC"/>
    <w:rsid w:val="79CB512B"/>
    <w:rsid w:val="79DE4E5E"/>
    <w:rsid w:val="79EA1A55"/>
    <w:rsid w:val="79EB30D7"/>
    <w:rsid w:val="79FA6E68"/>
    <w:rsid w:val="79FF3026"/>
    <w:rsid w:val="7A122D59"/>
    <w:rsid w:val="7A146E06"/>
    <w:rsid w:val="7A1532E7"/>
    <w:rsid w:val="7A1B0A08"/>
    <w:rsid w:val="7A1C7734"/>
    <w:rsid w:val="7A2B3F6A"/>
    <w:rsid w:val="7A2D36EF"/>
    <w:rsid w:val="7A41010A"/>
    <w:rsid w:val="7A4A15A8"/>
    <w:rsid w:val="7A4C5587"/>
    <w:rsid w:val="7A4D4D67"/>
    <w:rsid w:val="7A552488"/>
    <w:rsid w:val="7A570CB3"/>
    <w:rsid w:val="7A6335B5"/>
    <w:rsid w:val="7A635363"/>
    <w:rsid w:val="7A664E53"/>
    <w:rsid w:val="7A770E4B"/>
    <w:rsid w:val="7A862E00"/>
    <w:rsid w:val="7A8D0632"/>
    <w:rsid w:val="7A9C77AE"/>
    <w:rsid w:val="7AA84E10"/>
    <w:rsid w:val="7AAD2A82"/>
    <w:rsid w:val="7AB114DA"/>
    <w:rsid w:val="7AB73F37"/>
    <w:rsid w:val="7ABE2599"/>
    <w:rsid w:val="7ABE4262"/>
    <w:rsid w:val="7ABE4C8F"/>
    <w:rsid w:val="7ABF2A91"/>
    <w:rsid w:val="7AD43DCB"/>
    <w:rsid w:val="7ADB314B"/>
    <w:rsid w:val="7ADC1A8E"/>
    <w:rsid w:val="7ADE09A6"/>
    <w:rsid w:val="7AE51608"/>
    <w:rsid w:val="7AE53FCA"/>
    <w:rsid w:val="7AEA15E0"/>
    <w:rsid w:val="7AEE7323"/>
    <w:rsid w:val="7AF31ED1"/>
    <w:rsid w:val="7AF8058E"/>
    <w:rsid w:val="7AF81F4F"/>
    <w:rsid w:val="7AFB2BD3"/>
    <w:rsid w:val="7B1623D5"/>
    <w:rsid w:val="7B1662A8"/>
    <w:rsid w:val="7B247BEC"/>
    <w:rsid w:val="7B276BB2"/>
    <w:rsid w:val="7B282F0B"/>
    <w:rsid w:val="7B2A7C2F"/>
    <w:rsid w:val="7B3665D4"/>
    <w:rsid w:val="7B3F5E27"/>
    <w:rsid w:val="7B486307"/>
    <w:rsid w:val="7B537186"/>
    <w:rsid w:val="7B5573A2"/>
    <w:rsid w:val="7B5B428C"/>
    <w:rsid w:val="7B5F0E31"/>
    <w:rsid w:val="7B672C31"/>
    <w:rsid w:val="7B684125"/>
    <w:rsid w:val="7B6C6C16"/>
    <w:rsid w:val="7B7A2964"/>
    <w:rsid w:val="7B7D31C4"/>
    <w:rsid w:val="7B812878"/>
    <w:rsid w:val="7B8E776C"/>
    <w:rsid w:val="7B9375BF"/>
    <w:rsid w:val="7B98728E"/>
    <w:rsid w:val="7B9E0996"/>
    <w:rsid w:val="7BB06386"/>
    <w:rsid w:val="7BB310BF"/>
    <w:rsid w:val="7BD1454E"/>
    <w:rsid w:val="7BDC53CD"/>
    <w:rsid w:val="7BE97AEA"/>
    <w:rsid w:val="7BEB7BB7"/>
    <w:rsid w:val="7C013085"/>
    <w:rsid w:val="7C057E14"/>
    <w:rsid w:val="7C084414"/>
    <w:rsid w:val="7C1253BC"/>
    <w:rsid w:val="7C1A4147"/>
    <w:rsid w:val="7C1B1A99"/>
    <w:rsid w:val="7C1D1CA8"/>
    <w:rsid w:val="7C224DAA"/>
    <w:rsid w:val="7C227142"/>
    <w:rsid w:val="7C2A4BC5"/>
    <w:rsid w:val="7C352D2F"/>
    <w:rsid w:val="7C370855"/>
    <w:rsid w:val="7C38637B"/>
    <w:rsid w:val="7C3E1BE4"/>
    <w:rsid w:val="7C423191"/>
    <w:rsid w:val="7C4D1E27"/>
    <w:rsid w:val="7C4E5B9F"/>
    <w:rsid w:val="7C5E2D85"/>
    <w:rsid w:val="7C6113AE"/>
    <w:rsid w:val="7C61562B"/>
    <w:rsid w:val="7C6218BA"/>
    <w:rsid w:val="7C6E683D"/>
    <w:rsid w:val="7C75312C"/>
    <w:rsid w:val="7C790E6E"/>
    <w:rsid w:val="7C792C1C"/>
    <w:rsid w:val="7C823224"/>
    <w:rsid w:val="7C8C718A"/>
    <w:rsid w:val="7C961A20"/>
    <w:rsid w:val="7C9B6DD9"/>
    <w:rsid w:val="7C9E2B82"/>
    <w:rsid w:val="7CA51C63"/>
    <w:rsid w:val="7CAB5E34"/>
    <w:rsid w:val="7CB1685A"/>
    <w:rsid w:val="7CB33C38"/>
    <w:rsid w:val="7CB90611"/>
    <w:rsid w:val="7CCC5441"/>
    <w:rsid w:val="7CCD1D2C"/>
    <w:rsid w:val="7CDB7433"/>
    <w:rsid w:val="7CEF7382"/>
    <w:rsid w:val="7CF16C56"/>
    <w:rsid w:val="7D000522"/>
    <w:rsid w:val="7D0746CC"/>
    <w:rsid w:val="7D0A5F6A"/>
    <w:rsid w:val="7D0C35D2"/>
    <w:rsid w:val="7D0C3A90"/>
    <w:rsid w:val="7D124E1E"/>
    <w:rsid w:val="7D1C2C55"/>
    <w:rsid w:val="7D234318"/>
    <w:rsid w:val="7D3157E6"/>
    <w:rsid w:val="7D340266"/>
    <w:rsid w:val="7D3A18D3"/>
    <w:rsid w:val="7D4526ED"/>
    <w:rsid w:val="7D594629"/>
    <w:rsid w:val="7D654658"/>
    <w:rsid w:val="7D741635"/>
    <w:rsid w:val="7D7A4E9D"/>
    <w:rsid w:val="7D807FDA"/>
    <w:rsid w:val="7D837FCA"/>
    <w:rsid w:val="7D8D55FA"/>
    <w:rsid w:val="7D910439"/>
    <w:rsid w:val="7D91786B"/>
    <w:rsid w:val="7DAB14FB"/>
    <w:rsid w:val="7DAE0FEB"/>
    <w:rsid w:val="7DB24077"/>
    <w:rsid w:val="7DC75C09"/>
    <w:rsid w:val="7DCC76C3"/>
    <w:rsid w:val="7DD1096F"/>
    <w:rsid w:val="7DD56578"/>
    <w:rsid w:val="7DE10D4F"/>
    <w:rsid w:val="7DEA19F0"/>
    <w:rsid w:val="7DEA5BC4"/>
    <w:rsid w:val="7DEF65D0"/>
    <w:rsid w:val="7DF96D7D"/>
    <w:rsid w:val="7E0E55E6"/>
    <w:rsid w:val="7E10135E"/>
    <w:rsid w:val="7E1131F1"/>
    <w:rsid w:val="7E124581"/>
    <w:rsid w:val="7E156974"/>
    <w:rsid w:val="7E176B90"/>
    <w:rsid w:val="7E1F77F3"/>
    <w:rsid w:val="7E2272E3"/>
    <w:rsid w:val="7E3621D6"/>
    <w:rsid w:val="7E386943"/>
    <w:rsid w:val="7E3A287F"/>
    <w:rsid w:val="7E3A378D"/>
    <w:rsid w:val="7E3B019A"/>
    <w:rsid w:val="7E406D3B"/>
    <w:rsid w:val="7E4436FD"/>
    <w:rsid w:val="7E470AF8"/>
    <w:rsid w:val="7E5C7F9C"/>
    <w:rsid w:val="7E703D97"/>
    <w:rsid w:val="7E7078BA"/>
    <w:rsid w:val="7E723DC7"/>
    <w:rsid w:val="7E7E09BD"/>
    <w:rsid w:val="7E8C722C"/>
    <w:rsid w:val="7EAC1F50"/>
    <w:rsid w:val="7EC30AC6"/>
    <w:rsid w:val="7EC709B7"/>
    <w:rsid w:val="7EE06F82"/>
    <w:rsid w:val="7EE10F4C"/>
    <w:rsid w:val="7EEF2D5A"/>
    <w:rsid w:val="7EF651B9"/>
    <w:rsid w:val="7EF97A8A"/>
    <w:rsid w:val="7F060643"/>
    <w:rsid w:val="7F067F7C"/>
    <w:rsid w:val="7F0A2251"/>
    <w:rsid w:val="7F186348"/>
    <w:rsid w:val="7F1B26B0"/>
    <w:rsid w:val="7F1B78ED"/>
    <w:rsid w:val="7F217085"/>
    <w:rsid w:val="7F2E0730"/>
    <w:rsid w:val="7F3D0A9C"/>
    <w:rsid w:val="7F4365A6"/>
    <w:rsid w:val="7F4A7452"/>
    <w:rsid w:val="7F5E434B"/>
    <w:rsid w:val="7F601E71"/>
    <w:rsid w:val="7F686F78"/>
    <w:rsid w:val="7F7153BB"/>
    <w:rsid w:val="7F767868"/>
    <w:rsid w:val="7F7C28AE"/>
    <w:rsid w:val="7F8C0EB8"/>
    <w:rsid w:val="7F8E4463"/>
    <w:rsid w:val="7F8E4C30"/>
    <w:rsid w:val="7F8F69E9"/>
    <w:rsid w:val="7F912972"/>
    <w:rsid w:val="7F983D01"/>
    <w:rsid w:val="7FA53B5B"/>
    <w:rsid w:val="7FAC6129"/>
    <w:rsid w:val="7FB11A59"/>
    <w:rsid w:val="7FBF128D"/>
    <w:rsid w:val="7FC44AF6"/>
    <w:rsid w:val="7FC837E3"/>
    <w:rsid w:val="7FCB5E84"/>
    <w:rsid w:val="7FD34D39"/>
    <w:rsid w:val="7FD50883"/>
    <w:rsid w:val="7FDB3BED"/>
    <w:rsid w:val="7FDD7A55"/>
    <w:rsid w:val="7FF4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2"/>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spacing w:before="360" w:after="120"/>
      <w:jc w:val="left"/>
      <w:outlineLvl w:val="2"/>
    </w:pPr>
    <w:rPr>
      <w:rFonts w:ascii="宋体" w:hAnsi="Times New Roman" w:eastAsia="宋体"/>
      <w:sz w:val="24"/>
      <w:u w:val="single"/>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7">
    <w:name w:val="Normal Indent"/>
    <w:basedOn w:val="1"/>
    <w:next w:val="8"/>
    <w:qFormat/>
    <w:uiPriority w:val="0"/>
    <w:pPr>
      <w:autoSpaceDE w:val="0"/>
      <w:autoSpaceDN w:val="0"/>
      <w:adjustRightInd w:val="0"/>
      <w:ind w:firstLine="420"/>
      <w:jc w:val="left"/>
    </w:pPr>
    <w:rPr>
      <w:rFonts w:ascii="宋体" w:hAnsi="Times New Roman"/>
      <w:kern w:val="0"/>
      <w:sz w:val="24"/>
      <w:szCs w:val="20"/>
    </w:rPr>
  </w:style>
  <w:style w:type="paragraph" w:styleId="8">
    <w:name w:val="toa heading"/>
    <w:basedOn w:val="1"/>
    <w:next w:val="1"/>
    <w:qFormat/>
    <w:uiPriority w:val="0"/>
    <w:pPr>
      <w:widowControl/>
      <w:spacing w:before="120"/>
      <w:ind w:firstLine="3584"/>
    </w:pPr>
  </w:style>
  <w:style w:type="paragraph" w:styleId="9">
    <w:name w:val="annotation text"/>
    <w:basedOn w:val="1"/>
    <w:link w:val="68"/>
    <w:qFormat/>
    <w:uiPriority w:val="0"/>
    <w:pPr>
      <w:jc w:val="left"/>
    </w:pPr>
  </w:style>
  <w:style w:type="paragraph" w:styleId="10">
    <w:name w:val="Body Text"/>
    <w:basedOn w:val="1"/>
    <w:next w:val="1"/>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spacing w:line="360" w:lineRule="auto"/>
      <w:ind w:firstLine="570"/>
    </w:pPr>
    <w:rPr>
      <w:rFonts w:ascii="Times New Roman" w:hAnsi="Times New Roman"/>
      <w:sz w:val="24"/>
    </w:rPr>
  </w:style>
  <w:style w:type="paragraph" w:styleId="12">
    <w:name w:val="Body Text First Indent 2"/>
    <w:basedOn w:val="11"/>
    <w:next w:val="7"/>
    <w:qFormat/>
    <w:uiPriority w:val="0"/>
    <w:pPr>
      <w:ind w:firstLine="420" w:firstLineChars="200"/>
    </w:p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next w:val="16"/>
    <w:qFormat/>
    <w:uiPriority w:val="0"/>
    <w:rPr>
      <w:rFonts w:ascii="宋体" w:hAnsi="Courier New"/>
      <w:szCs w:val="20"/>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Date"/>
    <w:basedOn w:val="1"/>
    <w:next w:val="1"/>
    <w:qFormat/>
    <w:uiPriority w:val="0"/>
    <w:pPr>
      <w:ind w:left="100" w:leftChars="2500"/>
    </w:pPr>
    <w:rPr>
      <w:rFonts w:ascii="仿宋_GB2312" w:hAnsi="Courier New" w:eastAsia="仿宋_GB2312"/>
      <w:kern w:val="0"/>
      <w:sz w:val="24"/>
    </w:rPr>
  </w:style>
  <w:style w:type="paragraph" w:styleId="18">
    <w:name w:val="Balloon Text"/>
    <w:basedOn w:val="1"/>
    <w:link w:val="67"/>
    <w:qFormat/>
    <w:uiPriority w:val="0"/>
    <w:rPr>
      <w:sz w:val="18"/>
      <w:szCs w:val="18"/>
    </w:rPr>
  </w:style>
  <w:style w:type="paragraph" w:styleId="19">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0"/>
    <w:rPr>
      <w:rFonts w:ascii="Times New Roman" w:hAnsi="Times New Roman"/>
    </w:rPr>
  </w:style>
  <w:style w:type="paragraph" w:styleId="22">
    <w:name w:val="footnote text"/>
    <w:basedOn w:val="1"/>
    <w:next w:val="10"/>
    <w:qFormat/>
    <w:uiPriority w:val="0"/>
    <w:pPr>
      <w:snapToGrid w:val="0"/>
      <w:jc w:val="left"/>
    </w:pPr>
    <w:rPr>
      <w:rFonts w:ascii="Times New Roman" w:hAnsi="Times New Roman"/>
      <w:sz w:val="18"/>
    </w:rPr>
  </w:style>
  <w:style w:type="paragraph" w:styleId="23">
    <w:name w:val="Body Text Indent 3"/>
    <w:basedOn w:val="1"/>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4">
    <w:name w:val="toc 2"/>
    <w:basedOn w:val="1"/>
    <w:next w:val="1"/>
    <w:qFormat/>
    <w:uiPriority w:val="0"/>
    <w:pPr>
      <w:ind w:left="420" w:leftChars="200"/>
    </w:pPr>
    <w:rPr>
      <w:rFonts w:ascii="Times New Roman" w:hAnsi="Times New Roman"/>
    </w:r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3"/>
    <w:next w:val="1"/>
    <w:qFormat/>
    <w:uiPriority w:val="10"/>
    <w:pPr>
      <w:spacing w:before="240" w:after="60"/>
      <w:jc w:val="center"/>
      <w:outlineLvl w:val="0"/>
    </w:pPr>
    <w:rPr>
      <w:rFonts w:ascii="Calibri Light" w:hAnsi="Calibri Light" w:eastAsia="宋体" w:cs="宋体"/>
      <w:b/>
      <w:bCs/>
      <w:sz w:val="32"/>
      <w:szCs w:val="32"/>
    </w:rPr>
  </w:style>
  <w:style w:type="paragraph" w:styleId="27">
    <w:name w:val="annotation subject"/>
    <w:basedOn w:val="9"/>
    <w:next w:val="9"/>
    <w:link w:val="69"/>
    <w:qFormat/>
    <w:uiPriority w:val="0"/>
    <w:rPr>
      <w:b/>
      <w:bCs/>
    </w:rPr>
  </w:style>
  <w:style w:type="paragraph" w:styleId="28">
    <w:name w:val="Body Text First Indent"/>
    <w:basedOn w:val="10"/>
    <w:qFormat/>
    <w:uiPriority w:val="0"/>
    <w:pPr>
      <w:spacing w:after="120" w:line="240" w:lineRule="auto"/>
      <w:ind w:firstLine="420" w:firstLineChars="100"/>
    </w:pPr>
    <w:rPr>
      <w:rFonts w:ascii="Calibri" w:hAnsi="Calibri"/>
      <w:sz w:val="18"/>
      <w:szCs w:val="18"/>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rPr>
      <w:rFonts w:ascii="Times New Roman" w:hAnsi="Times New Roman" w:eastAsia="宋体" w:cs="Times New Roman"/>
    </w:rPr>
  </w:style>
  <w:style w:type="character" w:styleId="34">
    <w:name w:val="Emphasis"/>
    <w:basedOn w:val="31"/>
    <w:qFormat/>
    <w:uiPriority w:val="0"/>
    <w:rPr>
      <w:i/>
    </w:rPr>
  </w:style>
  <w:style w:type="character" w:styleId="35">
    <w:name w:val="Hyperlink"/>
    <w:basedOn w:val="31"/>
    <w:qFormat/>
    <w:uiPriority w:val="0"/>
    <w:rPr>
      <w:color w:val="0000FF"/>
      <w:u w:val="single"/>
    </w:rPr>
  </w:style>
  <w:style w:type="character" w:styleId="36">
    <w:name w:val="annotation reference"/>
    <w:basedOn w:val="31"/>
    <w:qFormat/>
    <w:uiPriority w:val="0"/>
    <w:rPr>
      <w:sz w:val="21"/>
      <w:szCs w:val="21"/>
    </w:rPr>
  </w:style>
  <w:style w:type="paragraph" w:customStyle="1" w:styleId="37">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8">
    <w:name w:val="大标题"/>
    <w:next w:val="12"/>
    <w:qFormat/>
    <w:uiPriority w:val="0"/>
    <w:pPr>
      <w:widowControl w:val="0"/>
      <w:jc w:val="center"/>
    </w:pPr>
    <w:rPr>
      <w:rFonts w:ascii="Arial" w:hAnsi="Arial" w:eastAsia="宋体" w:cs="Times New Roman"/>
      <w:b/>
      <w:kern w:val="2"/>
      <w:sz w:val="28"/>
      <w:szCs w:val="24"/>
      <w:lang w:val="en-US" w:eastAsia="zh-CN" w:bidi="ar-SA"/>
    </w:rPr>
  </w:style>
  <w:style w:type="paragraph" w:customStyle="1" w:styleId="39">
    <w:name w:val="正文王森"/>
    <w:basedOn w:val="1"/>
    <w:qFormat/>
    <w:uiPriority w:val="0"/>
    <w:pPr>
      <w:spacing w:line="360" w:lineRule="auto"/>
      <w:ind w:firstLine="480" w:firstLineChars="200"/>
    </w:pPr>
    <w:rPr>
      <w:rFonts w:ascii="黑体" w:hAnsi="黑体" w:eastAsia="黑体"/>
      <w:sz w:val="24"/>
    </w:rPr>
  </w:style>
  <w:style w:type="paragraph" w:customStyle="1" w:styleId="40">
    <w:name w:val="List2"/>
    <w:basedOn w:val="1"/>
    <w:qFormat/>
    <w:uiPriority w:val="0"/>
    <w:pPr>
      <w:widowControl/>
      <w:ind w:left="100" w:leftChars="200" w:hanging="200" w:hangingChars="200"/>
      <w:contextualSpacing/>
      <w:textAlignment w:val="baseline"/>
    </w:pPr>
  </w:style>
  <w:style w:type="paragraph" w:customStyle="1" w:styleId="41">
    <w:name w:val="Heading3"/>
    <w:basedOn w:val="1"/>
    <w:next w:val="1"/>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42">
    <w:name w:val="BodyText"/>
    <w:basedOn w:val="1"/>
    <w:qFormat/>
    <w:uiPriority w:val="0"/>
    <w:pPr>
      <w:spacing w:after="120"/>
    </w:pPr>
  </w:style>
  <w:style w:type="character" w:customStyle="1" w:styleId="43">
    <w:name w:val="标题 1 Char"/>
    <w:link w:val="3"/>
    <w:qFormat/>
    <w:uiPriority w:val="0"/>
    <w:rPr>
      <w:rFonts w:ascii="宋体"/>
      <w:b/>
      <w:kern w:val="44"/>
      <w:sz w:val="32"/>
      <w:szCs w:val="20"/>
    </w:rPr>
  </w:style>
  <w:style w:type="paragraph" w:customStyle="1" w:styleId="44">
    <w:name w:val="No Spacing_3b93350b-94da-44fa-8143-641484b951a0"/>
    <w:link w:val="61"/>
    <w:qFormat/>
    <w:uiPriority w:val="1"/>
    <w:pPr>
      <w:widowControl w:val="0"/>
      <w:jc w:val="both"/>
    </w:pPr>
    <w:rPr>
      <w:rFonts w:ascii="Calibri" w:hAnsi="Calibri" w:eastAsia="宋体" w:cs="Times New Roman"/>
      <w:kern w:val="2"/>
      <w:sz w:val="21"/>
      <w:szCs w:val="24"/>
      <w:lang w:val="en-US" w:eastAsia="zh-CN" w:bidi="ar-SA"/>
    </w:rPr>
  </w:style>
  <w:style w:type="character" w:customStyle="1" w:styleId="45">
    <w:name w:val="NormalCharacter"/>
    <w:qFormat/>
    <w:uiPriority w:val="0"/>
    <w:rPr>
      <w:rFonts w:ascii="Calibri" w:hAnsi="Calibri" w:eastAsia="宋体" w:cs="Times New Roman"/>
      <w:kern w:val="2"/>
      <w:sz w:val="21"/>
      <w:szCs w:val="24"/>
      <w:lang w:val="en-US" w:eastAsia="zh-CN" w:bidi="ar-SA"/>
    </w:rPr>
  </w:style>
  <w:style w:type="paragraph" w:customStyle="1" w:styleId="46">
    <w:name w:val="图例"/>
    <w:basedOn w:val="1"/>
    <w:qFormat/>
    <w:uiPriority w:val="0"/>
    <w:pPr>
      <w:spacing w:before="120" w:after="120" w:line="360" w:lineRule="auto"/>
      <w:jc w:val="center"/>
    </w:pPr>
    <w:rPr>
      <w:rFonts w:eastAsia="仿宋_GB2312"/>
      <w:b/>
      <w:sz w:val="24"/>
    </w:rPr>
  </w:style>
  <w:style w:type="paragraph" w:customStyle="1" w:styleId="47">
    <w:name w:val="列出段落1"/>
    <w:basedOn w:val="1"/>
    <w:qFormat/>
    <w:uiPriority w:val="0"/>
    <w:pPr>
      <w:ind w:firstLine="420" w:firstLineChars="200"/>
    </w:pPr>
  </w:style>
  <w:style w:type="paragraph" w:customStyle="1" w:styleId="48">
    <w:name w:val="List Paragraph_7aecd6e6-fc70-4df6-be05-ef790174fbad"/>
    <w:basedOn w:val="1"/>
    <w:qFormat/>
    <w:uiPriority w:val="34"/>
    <w:pPr>
      <w:ind w:firstLine="420" w:firstLineChars="200"/>
    </w:pPr>
  </w:style>
  <w:style w:type="paragraph" w:customStyle="1" w:styleId="49">
    <w:name w:val="正文-manu"/>
    <w:basedOn w:val="1"/>
    <w:qFormat/>
    <w:uiPriority w:val="0"/>
    <w:pPr>
      <w:spacing w:line="300" w:lineRule="auto"/>
    </w:pPr>
    <w:rPr>
      <w:b/>
      <w:snapToGrid w:val="0"/>
      <w:kern w:val="0"/>
      <w:sz w:val="24"/>
      <w:szCs w:val="20"/>
    </w:rPr>
  </w:style>
  <w:style w:type="character" w:customStyle="1" w:styleId="50">
    <w:name w:val="font01"/>
    <w:basedOn w:val="31"/>
    <w:qFormat/>
    <w:uiPriority w:val="0"/>
    <w:rPr>
      <w:rFonts w:hint="default" w:ascii="Arial" w:hAnsi="Arial" w:cs="Arial"/>
      <w:color w:val="000000"/>
      <w:sz w:val="22"/>
      <w:szCs w:val="22"/>
      <w:u w:val="none"/>
    </w:rPr>
  </w:style>
  <w:style w:type="character" w:customStyle="1" w:styleId="51">
    <w:name w:val="font41"/>
    <w:basedOn w:val="31"/>
    <w:qFormat/>
    <w:uiPriority w:val="0"/>
    <w:rPr>
      <w:rFonts w:hint="eastAsia" w:ascii="宋体" w:hAnsi="宋体" w:eastAsia="宋体" w:cs="宋体"/>
      <w:color w:val="000000"/>
      <w:sz w:val="22"/>
      <w:szCs w:val="22"/>
      <w:u w:val="none"/>
    </w:rPr>
  </w:style>
  <w:style w:type="character" w:customStyle="1" w:styleId="52">
    <w:name w:val="font51"/>
    <w:basedOn w:val="31"/>
    <w:qFormat/>
    <w:uiPriority w:val="0"/>
    <w:rPr>
      <w:rFonts w:hint="eastAsia" w:ascii="宋体" w:hAnsi="宋体" w:eastAsia="宋体" w:cs="宋体"/>
      <w:color w:val="000000"/>
      <w:sz w:val="22"/>
      <w:szCs w:val="22"/>
      <w:u w:val="none"/>
    </w:rPr>
  </w:style>
  <w:style w:type="character" w:customStyle="1" w:styleId="53">
    <w:name w:val="font31"/>
    <w:basedOn w:val="31"/>
    <w:qFormat/>
    <w:uiPriority w:val="0"/>
    <w:rPr>
      <w:rFonts w:hint="default" w:ascii="Arial" w:hAnsi="Arial" w:cs="Arial"/>
      <w:b/>
      <w:color w:val="000000"/>
      <w:sz w:val="22"/>
      <w:szCs w:val="22"/>
      <w:u w:val="none"/>
    </w:rPr>
  </w:style>
  <w:style w:type="character" w:customStyle="1" w:styleId="54">
    <w:name w:val="font91"/>
    <w:basedOn w:val="31"/>
    <w:qFormat/>
    <w:uiPriority w:val="0"/>
    <w:rPr>
      <w:rFonts w:hint="default" w:ascii="Arial" w:hAnsi="Arial" w:cs="Arial"/>
      <w:color w:val="000000"/>
      <w:sz w:val="22"/>
      <w:szCs w:val="22"/>
      <w:u w:val="none"/>
    </w:rPr>
  </w:style>
  <w:style w:type="character" w:customStyle="1" w:styleId="55">
    <w:name w:val="font81"/>
    <w:basedOn w:val="31"/>
    <w:qFormat/>
    <w:uiPriority w:val="0"/>
    <w:rPr>
      <w:rFonts w:hint="eastAsia" w:ascii="宋体" w:hAnsi="宋体" w:eastAsia="宋体" w:cs="宋体"/>
      <w:color w:val="000000"/>
      <w:sz w:val="22"/>
      <w:szCs w:val="22"/>
      <w:u w:val="none"/>
    </w:rPr>
  </w:style>
  <w:style w:type="character" w:customStyle="1" w:styleId="56">
    <w:name w:val="font21"/>
    <w:basedOn w:val="31"/>
    <w:qFormat/>
    <w:uiPriority w:val="0"/>
    <w:rPr>
      <w:rFonts w:ascii="微软雅黑" w:hAnsi="微软雅黑" w:eastAsia="微软雅黑" w:cs="微软雅黑"/>
      <w:b/>
      <w:color w:val="000000"/>
      <w:sz w:val="24"/>
      <w:szCs w:val="24"/>
      <w:u w:val="none"/>
    </w:rPr>
  </w:style>
  <w:style w:type="character" w:customStyle="1" w:styleId="57">
    <w:name w:val="font61"/>
    <w:basedOn w:val="31"/>
    <w:qFormat/>
    <w:uiPriority w:val="0"/>
    <w:rPr>
      <w:rFonts w:hint="default" w:ascii="Times New Roman" w:hAnsi="Times New Roman" w:cs="Times New Roman"/>
      <w:b/>
      <w:color w:val="000000"/>
      <w:sz w:val="24"/>
      <w:szCs w:val="24"/>
      <w:u w:val="none"/>
    </w:rPr>
  </w:style>
  <w:style w:type="character" w:customStyle="1" w:styleId="58">
    <w:name w:val="font71"/>
    <w:basedOn w:val="31"/>
    <w:qFormat/>
    <w:uiPriority w:val="0"/>
    <w:rPr>
      <w:rFonts w:hint="eastAsia" w:ascii="微软雅黑" w:hAnsi="微软雅黑" w:eastAsia="微软雅黑" w:cs="微软雅黑"/>
      <w:color w:val="000000"/>
      <w:sz w:val="24"/>
      <w:szCs w:val="24"/>
      <w:u w:val="none"/>
    </w:rPr>
  </w:style>
  <w:style w:type="character" w:customStyle="1" w:styleId="59">
    <w:name w:val="font101"/>
    <w:basedOn w:val="31"/>
    <w:qFormat/>
    <w:uiPriority w:val="0"/>
    <w:rPr>
      <w:rFonts w:hint="default" w:ascii="Times New Roman" w:hAnsi="Times New Roman" w:cs="Times New Roman"/>
      <w:color w:val="000000"/>
      <w:sz w:val="24"/>
      <w:szCs w:val="24"/>
      <w:u w:val="none"/>
    </w:rPr>
  </w:style>
  <w:style w:type="paragraph" w:customStyle="1" w:styleId="60">
    <w:name w:val="_Style 1"/>
    <w:basedOn w:val="1"/>
    <w:qFormat/>
    <w:uiPriority w:val="34"/>
    <w:pPr>
      <w:ind w:firstLine="420" w:firstLineChars="200"/>
    </w:pPr>
  </w:style>
  <w:style w:type="character" w:customStyle="1" w:styleId="61">
    <w:name w:val="无间隔 Char"/>
    <w:link w:val="44"/>
    <w:qFormat/>
    <w:uiPriority w:val="1"/>
    <w:rPr>
      <w:rFonts w:ascii="Calibri" w:hAnsi="Calibri" w:eastAsia="宋体" w:cs="Times New Roman"/>
      <w:kern w:val="2"/>
      <w:sz w:val="21"/>
      <w:szCs w:val="24"/>
      <w:lang w:val="en-US" w:eastAsia="zh-CN" w:bidi="ar-SA"/>
    </w:rPr>
  </w:style>
  <w:style w:type="paragraph" w:customStyle="1" w:styleId="6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3">
    <w:name w:val="索引 11"/>
    <w:basedOn w:val="1"/>
    <w:next w:val="1"/>
    <w:qFormat/>
    <w:uiPriority w:val="0"/>
    <w:pPr>
      <w:spacing w:line="360" w:lineRule="auto"/>
    </w:pPr>
    <w:rPr>
      <w:rFonts w:ascii="仿宋_GB2312" w:eastAsia="仿宋_GB2312"/>
      <w:sz w:val="24"/>
      <w:szCs w:val="20"/>
    </w:rPr>
  </w:style>
  <w:style w:type="paragraph" w:customStyle="1" w:styleId="64">
    <w:name w:val="纯文本1"/>
    <w:basedOn w:val="1"/>
    <w:qFormat/>
    <w:uiPriority w:val="0"/>
    <w:rPr>
      <w:rFonts w:ascii="宋体" w:hAnsi="Courier New"/>
      <w:kern w:val="0"/>
      <w:sz w:val="20"/>
      <w:szCs w:val="20"/>
    </w:rPr>
  </w:style>
  <w:style w:type="paragraph" w:customStyle="1" w:styleId="65">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6">
    <w:name w:val="石墨文档正文"/>
    <w:qFormat/>
    <w:uiPriority w:val="0"/>
    <w:rPr>
      <w:rFonts w:ascii="微软雅黑" w:hAnsi="微软雅黑" w:eastAsia="微软雅黑" w:cs="微软雅黑"/>
      <w:sz w:val="24"/>
      <w:szCs w:val="24"/>
      <w:lang w:val="en-US" w:eastAsia="zh-CN" w:bidi="ar-SA"/>
    </w:rPr>
  </w:style>
  <w:style w:type="character" w:customStyle="1" w:styleId="67">
    <w:name w:val="批注框文本 Char"/>
    <w:basedOn w:val="31"/>
    <w:link w:val="18"/>
    <w:qFormat/>
    <w:uiPriority w:val="0"/>
    <w:rPr>
      <w:kern w:val="2"/>
      <w:sz w:val="18"/>
      <w:szCs w:val="18"/>
    </w:rPr>
  </w:style>
  <w:style w:type="character" w:customStyle="1" w:styleId="68">
    <w:name w:val="批注文字 Char"/>
    <w:basedOn w:val="31"/>
    <w:link w:val="9"/>
    <w:qFormat/>
    <w:uiPriority w:val="0"/>
    <w:rPr>
      <w:kern w:val="2"/>
      <w:sz w:val="21"/>
      <w:szCs w:val="24"/>
    </w:rPr>
  </w:style>
  <w:style w:type="character" w:customStyle="1" w:styleId="69">
    <w:name w:val="批注主题 Char"/>
    <w:basedOn w:val="68"/>
    <w:link w:val="27"/>
    <w:qFormat/>
    <w:uiPriority w:val="0"/>
    <w:rPr>
      <w:b/>
      <w:bCs/>
      <w:kern w:val="2"/>
      <w:sz w:val="21"/>
      <w:szCs w:val="24"/>
    </w:rPr>
  </w:style>
  <w:style w:type="paragraph" w:customStyle="1" w:styleId="70">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1">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7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73">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4">
    <w:name w:val="s1"/>
    <w:basedOn w:val="31"/>
    <w:qFormat/>
    <w:uiPriority w:val="0"/>
    <w:rPr>
      <w:rFonts w:ascii="pingfang sc" w:hAnsi="pingfang sc" w:eastAsia="pingfang sc" w:cs="pingfang sc"/>
      <w:sz w:val="40"/>
      <w:szCs w:val="40"/>
    </w:rPr>
  </w:style>
  <w:style w:type="character" w:customStyle="1" w:styleId="75">
    <w:name w:val="trans"/>
    <w:qFormat/>
    <w:uiPriority w:val="99"/>
  </w:style>
  <w:style w:type="paragraph" w:customStyle="1" w:styleId="76">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8">
    <w:name w:val="PageNumber"/>
    <w:qFormat/>
    <w:uiPriority w:val="99"/>
    <w:rPr>
      <w:rFonts w:cs="Times New Roman"/>
    </w:rPr>
  </w:style>
  <w:style w:type="paragraph" w:customStyle="1" w:styleId="79">
    <w:name w:val="样式1"/>
    <w:basedOn w:val="2"/>
    <w:qFormat/>
    <w:uiPriority w:val="0"/>
    <w:pPr>
      <w:spacing w:before="100" w:beforeAutospacing="1" w:after="100" w:afterAutospacing="1"/>
      <w:ind w:right="100" w:rightChars="100"/>
    </w:pPr>
    <w:rPr>
      <w:sz w:val="21"/>
    </w:rPr>
  </w:style>
  <w:style w:type="paragraph" w:customStyle="1" w:styleId="80">
    <w:name w:val="UserStyle_15"/>
    <w:basedOn w:val="81"/>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81">
    <w:name w:val="Heading2"/>
    <w:basedOn w:val="1"/>
    <w:next w:val="1"/>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82">
    <w:name w:val="UserStyle_2"/>
    <w:link w:val="83"/>
    <w:qFormat/>
    <w:uiPriority w:val="0"/>
    <w:rPr>
      <w:kern w:val="0"/>
      <w:sz w:val="20"/>
      <w:szCs w:val="24"/>
      <w:lang w:val="en-US" w:eastAsia="zh-CN" w:bidi="ar-SA"/>
    </w:rPr>
  </w:style>
  <w:style w:type="paragraph" w:customStyle="1" w:styleId="83">
    <w:name w:val="UserStyle_3"/>
    <w:basedOn w:val="1"/>
    <w:link w:val="82"/>
    <w:qFormat/>
    <w:uiPriority w:val="0"/>
    <w:pPr>
      <w:jc w:val="both"/>
      <w:textAlignment w:val="baseline"/>
    </w:pPr>
    <w:rPr>
      <w:kern w:val="0"/>
      <w:sz w:val="20"/>
      <w:szCs w:val="24"/>
      <w:lang w:val="en-US" w:eastAsia="zh-CN" w:bidi="ar-SA"/>
    </w:rPr>
  </w:style>
  <w:style w:type="paragraph" w:customStyle="1" w:styleId="84">
    <w:name w:val="List Paragraph1"/>
    <w:basedOn w:val="1"/>
    <w:qFormat/>
    <w:uiPriority w:val="0"/>
    <w:pPr>
      <w:ind w:firstLine="420" w:firstLineChars="200"/>
    </w:pPr>
  </w:style>
  <w:style w:type="paragraph" w:customStyle="1" w:styleId="85">
    <w:name w:val="List Paragraph"/>
    <w:basedOn w:val="1"/>
    <w:qFormat/>
    <w:uiPriority w:val="34"/>
    <w:pPr>
      <w:ind w:firstLine="420" w:firstLineChars="200"/>
    </w:p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8">
    <w:name w:val="TOC Heading"/>
    <w:basedOn w:val="3"/>
    <w:next w:val="1"/>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9">
    <w:name w:val="标题33"/>
    <w:basedOn w:val="4"/>
    <w:next w:val="39"/>
    <w:qFormat/>
    <w:uiPriority w:val="0"/>
    <w:pPr>
      <w:numPr>
        <w:ilvl w:val="2"/>
        <w:numId w:val="3"/>
      </w:numPr>
      <w:tabs>
        <w:tab w:val="clear" w:pos="720"/>
      </w:tabs>
    </w:pPr>
    <w:rPr>
      <w:rFonts w:hAnsi="黑体" w:eastAsia="黑体"/>
      <w:sz w:val="30"/>
      <w:szCs w:val="30"/>
    </w:rPr>
  </w:style>
  <w:style w:type="paragraph" w:customStyle="1" w:styleId="90">
    <w:name w:val="标题44"/>
    <w:basedOn w:val="5"/>
    <w:next w:val="39"/>
    <w:qFormat/>
    <w:uiPriority w:val="0"/>
    <w:pPr>
      <w:numPr>
        <w:ilvl w:val="3"/>
        <w:numId w:val="3"/>
      </w:numPr>
    </w:pPr>
    <w:rPr>
      <w:sz w:val="30"/>
      <w:szCs w:val="30"/>
    </w:rPr>
  </w:style>
  <w:style w:type="paragraph" w:customStyle="1" w:styleId="91">
    <w:name w:val="表格文字"/>
    <w:basedOn w:val="1"/>
    <w:qFormat/>
    <w:uiPriority w:val="0"/>
    <w:pPr>
      <w:spacing w:before="25" w:after="25"/>
      <w:jc w:val="left"/>
    </w:pPr>
    <w:rPr>
      <w:bCs/>
      <w:spacing w:val="10"/>
      <w:kern w:val="0"/>
      <w:sz w:val="24"/>
    </w:rPr>
  </w:style>
  <w:style w:type="paragraph" w:customStyle="1" w:styleId="92">
    <w:name w:val="p0"/>
    <w:basedOn w:val="1"/>
    <w:qFormat/>
    <w:uiPriority w:val="0"/>
    <w:pPr>
      <w:widowControl/>
    </w:pPr>
    <w:rPr>
      <w:kern w:val="0"/>
      <w:szCs w:val="21"/>
    </w:rPr>
  </w:style>
  <w:style w:type="character" w:customStyle="1" w:styleId="93">
    <w:name w:val="font11"/>
    <w:basedOn w:val="31"/>
    <w:qFormat/>
    <w:uiPriority w:val="0"/>
    <w:rPr>
      <w:rFonts w:hint="eastAsia" w:ascii="宋体" w:hAnsi="宋体" w:eastAsia="宋体" w:cs="宋体"/>
      <w:color w:val="333333"/>
      <w:sz w:val="24"/>
      <w:szCs w:val="24"/>
      <w:u w:val="none"/>
    </w:rPr>
  </w:style>
  <w:style w:type="table" w:customStyle="1" w:styleId="94">
    <w:name w:val="Table Normal"/>
    <w:semiHidden/>
    <w:unhideWhenUsed/>
    <w:qFormat/>
    <w:uiPriority w:val="0"/>
    <w:tblPr>
      <w:tblCellMar>
        <w:top w:w="0" w:type="dxa"/>
        <w:left w:w="0" w:type="dxa"/>
        <w:bottom w:w="0" w:type="dxa"/>
        <w:right w:w="0" w:type="dxa"/>
      </w:tblCellMar>
    </w:tblPr>
  </w:style>
  <w:style w:type="paragraph" w:customStyle="1" w:styleId="95">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6">
    <w:name w:val="CharAttribute0"/>
    <w:qFormat/>
    <w:uiPriority w:val="0"/>
    <w:rPr>
      <w:rFonts w:ascii="Times New Roman" w:eastAsia="宋体"/>
      <w:sz w:val="21"/>
    </w:rPr>
  </w:style>
  <w:style w:type="paragraph" w:customStyle="1" w:styleId="97">
    <w:name w:val="普通(网站)1"/>
    <w:basedOn w:val="1"/>
    <w:qFormat/>
    <w:uiPriority w:val="2"/>
    <w:pPr>
      <w:spacing w:before="75" w:after="75"/>
      <w:ind w:left="0" w:right="0" w:firstLine="0"/>
      <w:jc w:val="left"/>
    </w:pPr>
    <w:rPr>
      <w:kern w:val="0"/>
      <w:sz w:val="24"/>
      <w:lang w:val="en-US" w:eastAsia="zh-CN" w:bidi="ar"/>
    </w:rPr>
  </w:style>
  <w:style w:type="character" w:customStyle="1" w:styleId="98">
    <w:name w:val="font121"/>
    <w:basedOn w:val="31"/>
    <w:qFormat/>
    <w:uiPriority w:val="0"/>
    <w:rPr>
      <w:rFonts w:hint="default" w:ascii="Times New Roman" w:hAnsi="Times New Roman" w:cs="Times New Roman"/>
      <w:b/>
      <w:bCs/>
      <w:color w:val="000000"/>
      <w:sz w:val="22"/>
      <w:szCs w:val="22"/>
      <w:u w:val="none"/>
    </w:rPr>
  </w:style>
  <w:style w:type="character" w:customStyle="1" w:styleId="99">
    <w:name w:val="font131"/>
    <w:basedOn w:val="31"/>
    <w:qFormat/>
    <w:uiPriority w:val="0"/>
    <w:rPr>
      <w:rFonts w:hint="eastAsia" w:ascii="宋体" w:hAnsi="宋体" w:eastAsia="宋体" w:cs="宋体"/>
      <w:b/>
      <w:bCs/>
      <w:color w:val="FF0000"/>
      <w:sz w:val="22"/>
      <w:szCs w:val="22"/>
      <w:u w:val="none"/>
    </w:rPr>
  </w:style>
  <w:style w:type="paragraph" w:customStyle="1" w:styleId="100">
    <w:name w:val="Table Paragraph"/>
    <w:basedOn w:val="1"/>
    <w:qFormat/>
    <w:uiPriority w:val="1"/>
    <w:pPr>
      <w:spacing w:before="85"/>
      <w:jc w:val="center"/>
    </w:pPr>
    <w:rPr>
      <w:rFonts w:ascii="宋体" w:hAnsi="宋体" w:eastAsia="宋体" w:cs="宋体"/>
      <w:lang w:val="zh-CN" w:eastAsia="zh-CN" w:bidi="zh-CN"/>
    </w:rPr>
  </w:style>
  <w:style w:type="paragraph" w:customStyle="1" w:styleId="101">
    <w:name w:val="Table Text"/>
    <w:basedOn w:val="1"/>
    <w:semiHidden/>
    <w:qFormat/>
    <w:uiPriority w:val="0"/>
    <w:rPr>
      <w:rFonts w:ascii="宋体" w:hAnsi="宋体" w:eastAsia="宋体" w:cs="宋体"/>
      <w:sz w:val="20"/>
      <w:szCs w:val="20"/>
      <w:lang w:val="en-US" w:eastAsia="en-US" w:bidi="ar-SA"/>
    </w:rPr>
  </w:style>
  <w:style w:type="character" w:customStyle="1" w:styleId="102">
    <w:name w:val="标题 1 字符"/>
    <w:link w:val="3"/>
    <w:qFormat/>
    <w:uiPriority w:val="0"/>
    <w:rPr>
      <w:rFonts w:ascii="宋体"/>
      <w:kern w:val="44"/>
      <w:sz w:val="32"/>
      <w:szCs w:val="20"/>
    </w:rPr>
  </w:style>
  <w:style w:type="character" w:customStyle="1" w:styleId="103">
    <w:name w:val="font111"/>
    <w:basedOn w:val="31"/>
    <w:qFormat/>
    <w:uiPriority w:val="0"/>
    <w:rPr>
      <w:rFonts w:hint="eastAsia" w:ascii="宋体" w:hAnsi="宋体" w:eastAsia="宋体" w:cs="宋体"/>
      <w:color w:val="1D41D5"/>
      <w:sz w:val="21"/>
      <w:szCs w:val="21"/>
      <w:u w:val="none"/>
    </w:rPr>
  </w:style>
  <w:style w:type="character" w:customStyle="1" w:styleId="104">
    <w:name w:val="font132"/>
    <w:basedOn w:val="31"/>
    <w:qFormat/>
    <w:uiPriority w:val="0"/>
    <w:rPr>
      <w:rFonts w:hint="default" w:ascii="Times New Roman" w:hAnsi="Times New Roman" w:cs="Times New Roman"/>
      <w:color w:val="1D41D5"/>
      <w:sz w:val="21"/>
      <w:szCs w:val="21"/>
      <w:u w:val="none"/>
    </w:rPr>
  </w:style>
  <w:style w:type="paragraph" w:styleId="10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15906</Words>
  <Characters>17101</Characters>
  <Paragraphs>2159</Paragraphs>
  <TotalTime>4</TotalTime>
  <ScaleCrop>false</ScaleCrop>
  <LinksUpToDate>false</LinksUpToDate>
  <CharactersWithSpaces>19370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回回去去789@</cp:lastModifiedBy>
  <cp:lastPrinted>2023-08-14T08:00:00Z</cp:lastPrinted>
  <dcterms:modified xsi:type="dcterms:W3CDTF">2026-04-20T02:14:44Z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0E266E85209B4248BE356FA81A7A4F7C_13</vt:lpwstr>
  </property>
  <property fmtid="{D5CDD505-2E9C-101B-9397-08002B2CF9AE}" pid="4" name="KSOTemplateDocerSaveRecord">
    <vt:lpwstr>eyJoZGlkIjoiNWY2YjhjMTk0YTZiMmU0MzZhNTI0YWM0ODJhMGFiNjUiLCJ1c2VySWQiOiI0MzYyOTQ4NjEifQ==</vt:lpwstr>
  </property>
</Properties>
</file>