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E7BC">
      <w:pPr>
        <w:tabs>
          <w:tab w:val="left" w:pos="6720"/>
        </w:tabs>
        <w:spacing w:line="276" w:lineRule="auto"/>
        <w:jc w:val="both"/>
        <w:rPr>
          <w:rFonts w:hint="eastAsia" w:ascii="宋体" w:hAnsi="宋体" w:cs="宋体"/>
          <w:b/>
          <w:bCs/>
          <w:color w:val="auto"/>
          <w:sz w:val="44"/>
          <w:szCs w:val="44"/>
          <w:highlight w:val="none"/>
        </w:rPr>
      </w:pPr>
    </w:p>
    <w:p w14:paraId="12C90147">
      <w:pPr>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cs="宋体"/>
          <w:b/>
          <w:bCs/>
          <w:color w:val="auto"/>
          <w:sz w:val="44"/>
          <w:szCs w:val="44"/>
          <w:highlight w:val="none"/>
        </w:rPr>
        <w:t>东阳耀辉工程询咨有限公司关于</w:t>
      </w:r>
      <w:r>
        <w:rPr>
          <w:rFonts w:hint="eastAsia" w:ascii="宋体" w:hAnsi="宋体" w:cs="宋体"/>
          <w:b/>
          <w:bCs/>
          <w:color w:val="auto"/>
          <w:sz w:val="44"/>
          <w:szCs w:val="44"/>
          <w:highlight w:val="none"/>
          <w:lang w:eastAsia="zh-CN"/>
        </w:rPr>
        <w:t>东阳市国土空间规划中期评估采购项目</w:t>
      </w:r>
    </w:p>
    <w:p w14:paraId="61B2EBC9">
      <w:pPr>
        <w:pStyle w:val="23"/>
        <w:ind w:firstLine="0" w:firstLineChars="0"/>
        <w:rPr>
          <w:rFonts w:hint="eastAsia" w:hAnsi="宋体" w:cs="宋体"/>
          <w:color w:val="auto"/>
          <w:highlight w:val="none"/>
        </w:rPr>
      </w:pPr>
    </w:p>
    <w:p w14:paraId="2C462A71">
      <w:pPr>
        <w:pStyle w:val="23"/>
        <w:ind w:firstLine="867"/>
        <w:rPr>
          <w:rFonts w:hint="eastAsia" w:hAnsi="宋体" w:cs="宋体"/>
          <w:b/>
          <w:bCs/>
          <w:color w:val="auto"/>
          <w:sz w:val="44"/>
          <w:szCs w:val="44"/>
          <w:highlight w:val="none"/>
        </w:rPr>
      </w:pPr>
    </w:p>
    <w:p w14:paraId="113CD8C3">
      <w:pPr>
        <w:pStyle w:val="23"/>
        <w:ind w:firstLine="867"/>
        <w:rPr>
          <w:rFonts w:hAnsi="宋体" w:cs="宋体"/>
          <w:b/>
          <w:bCs/>
          <w:color w:val="auto"/>
          <w:sz w:val="44"/>
          <w:szCs w:val="44"/>
          <w:highlight w:val="none"/>
        </w:rPr>
      </w:pPr>
    </w:p>
    <w:p w14:paraId="15F20BC8">
      <w:pPr>
        <w:pStyle w:val="23"/>
        <w:ind w:firstLine="344"/>
        <w:rPr>
          <w:rFonts w:hint="eastAsia" w:hAnsi="宋体" w:cs="宋体"/>
          <w:color w:val="auto"/>
          <w:highlight w:val="none"/>
        </w:rPr>
      </w:pPr>
    </w:p>
    <w:p w14:paraId="3C35A011">
      <w:pPr>
        <w:spacing w:before="120" w:beforeLines="50"/>
        <w:jc w:val="center"/>
        <w:rPr>
          <w:rFonts w:hint="eastAsia" w:ascii="宋体" w:hAnsi="宋体" w:eastAsia="宋体" w:cs="宋体"/>
          <w:color w:val="auto"/>
          <w:sz w:val="72"/>
          <w:szCs w:val="72"/>
          <w:highlight w:val="none"/>
          <w:lang w:eastAsia="zh-CN"/>
        </w:rPr>
      </w:pPr>
      <w:r>
        <w:rPr>
          <w:rFonts w:hint="eastAsia" w:ascii="宋体" w:hAnsi="宋体" w:cs="宋体"/>
          <w:color w:val="auto"/>
          <w:sz w:val="52"/>
          <w:szCs w:val="52"/>
          <w:highlight w:val="none"/>
        </w:rPr>
        <w:t>公开招标采购文件</w:t>
      </w:r>
    </w:p>
    <w:p w14:paraId="312481EF">
      <w:pPr>
        <w:pStyle w:val="10"/>
        <w:tabs>
          <w:tab w:val="left" w:pos="5415"/>
        </w:tabs>
        <w:snapToGrid w:val="0"/>
        <w:spacing w:before="120" w:after="120" w:line="360" w:lineRule="auto"/>
        <w:rPr>
          <w:rFonts w:hint="eastAsia" w:hAnsi="宋体" w:cs="宋体"/>
          <w:b/>
          <w:bCs/>
          <w:color w:val="auto"/>
          <w:sz w:val="30"/>
          <w:szCs w:val="30"/>
          <w:highlight w:val="none"/>
        </w:rPr>
      </w:pPr>
    </w:p>
    <w:p w14:paraId="4E70ED90">
      <w:pPr>
        <w:pStyle w:val="10"/>
        <w:tabs>
          <w:tab w:val="left" w:pos="5415"/>
        </w:tabs>
        <w:snapToGrid w:val="0"/>
        <w:spacing w:before="120" w:after="120" w:line="360" w:lineRule="auto"/>
        <w:rPr>
          <w:rFonts w:hint="eastAsia" w:hAnsi="宋体" w:cs="宋体"/>
          <w:b/>
          <w:bCs/>
          <w:color w:val="auto"/>
          <w:sz w:val="30"/>
          <w:szCs w:val="30"/>
          <w:highlight w:val="none"/>
        </w:rPr>
      </w:pPr>
      <w:r>
        <w:rPr>
          <w:rFonts w:hint="eastAsia" w:hAnsi="宋体" w:cs="宋体"/>
          <w:b/>
          <w:bCs/>
          <w:color w:val="auto"/>
          <w:sz w:val="30"/>
          <w:szCs w:val="30"/>
          <w:highlight w:val="none"/>
        </w:rPr>
        <w:tab/>
      </w:r>
    </w:p>
    <w:p w14:paraId="2E48FF99">
      <w:pPr>
        <w:pStyle w:val="10"/>
        <w:spacing w:before="120" w:after="120" w:line="600" w:lineRule="exact"/>
        <w:contextualSpacing/>
        <w:rPr>
          <w:rFonts w:hint="default" w:hAnsi="宋体" w:eastAsia="宋体" w:cs="宋体"/>
          <w:b/>
          <w:bCs/>
          <w:color w:val="auto"/>
          <w:sz w:val="30"/>
          <w:szCs w:val="30"/>
          <w:highlight w:val="none"/>
          <w:lang w:val="en-US"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DYYHCG2026-GK-009</w:t>
      </w:r>
    </w:p>
    <w:p w14:paraId="5A754C64">
      <w:pPr>
        <w:rPr>
          <w:rFonts w:hint="default"/>
          <w:color w:val="auto"/>
          <w:highlight w:val="none"/>
          <w:lang w:val="en-US" w:eastAsia="zh-CN"/>
        </w:rPr>
      </w:pPr>
    </w:p>
    <w:p w14:paraId="4919E7D8">
      <w:pPr>
        <w:rPr>
          <w:rFonts w:hint="eastAsia" w:ascii="宋体" w:hAnsi="宋体" w:cs="宋体"/>
          <w:color w:val="auto"/>
          <w:highlight w:val="none"/>
        </w:rPr>
      </w:pPr>
    </w:p>
    <w:p w14:paraId="5D0D7B03">
      <w:pPr>
        <w:pStyle w:val="10"/>
        <w:spacing w:before="120" w:after="120" w:line="600" w:lineRule="exact"/>
        <w:contextualSpacing/>
        <w:jc w:val="both"/>
        <w:rPr>
          <w:rFonts w:hint="eastAsia" w:hAnsi="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东阳市国土空间规划中期评估采购项目</w:t>
      </w:r>
      <w:r>
        <w:rPr>
          <w:rFonts w:hint="eastAsia" w:ascii="微软雅黑" w:hAnsi="微软雅黑" w:eastAsia="微软雅黑" w:cs="微软雅黑"/>
          <w:i w:val="0"/>
          <w:iCs w:val="0"/>
          <w:caps w:val="0"/>
          <w:color w:val="auto"/>
          <w:spacing w:val="0"/>
          <w:sz w:val="24"/>
          <w:szCs w:val="24"/>
          <w:highlight w:val="none"/>
        </w:rPr>
        <w:t> </w:t>
      </w:r>
    </w:p>
    <w:p w14:paraId="7F583959">
      <w:pPr>
        <w:rPr>
          <w:rFonts w:hint="eastAsia"/>
          <w:color w:val="auto"/>
          <w:highlight w:val="none"/>
          <w:lang w:eastAsia="zh-CN"/>
        </w:rPr>
      </w:pPr>
    </w:p>
    <w:p w14:paraId="387F9601">
      <w:pPr>
        <w:rPr>
          <w:rFonts w:hint="eastAsia" w:ascii="宋体" w:hAnsi="宋体" w:cs="宋体"/>
          <w:color w:val="auto"/>
          <w:highlight w:val="none"/>
        </w:rPr>
      </w:pPr>
    </w:p>
    <w:p w14:paraId="6686DB48">
      <w:pPr>
        <w:pStyle w:val="10"/>
        <w:spacing w:before="120" w:after="120" w:line="600" w:lineRule="exact"/>
        <w:contextualSpacing/>
        <w:rPr>
          <w:rFonts w:hint="eastAsia" w:hAnsi="宋体" w:eastAsia="宋体" w:cs="宋体"/>
          <w:b/>
          <w:color w:val="auto"/>
          <w:sz w:val="28"/>
          <w:highlight w:val="none"/>
          <w:lang w:eastAsia="zh-CN"/>
        </w:rPr>
      </w:pPr>
      <w:r>
        <w:rPr>
          <w:rFonts w:hint="eastAsia" w:hAnsi="宋体" w:cs="宋体"/>
          <w:b/>
          <w:bCs/>
          <w:color w:val="auto"/>
          <w:w w:val="95"/>
          <w:sz w:val="30"/>
          <w:szCs w:val="30"/>
          <w:highlight w:val="none"/>
        </w:rPr>
        <w:t>采</w:t>
      </w:r>
      <w:r>
        <w:rPr>
          <w:rFonts w:hint="eastAsia" w:hAnsi="宋体" w:cs="宋体"/>
          <w:b/>
          <w:color w:val="auto"/>
          <w:sz w:val="28"/>
          <w:highlight w:val="none"/>
          <w:lang w:eastAsia="zh-CN"/>
        </w:rPr>
        <w:t>购单位：东阳市自然资源和规划局</w:t>
      </w:r>
    </w:p>
    <w:p w14:paraId="480824E5">
      <w:pPr>
        <w:rPr>
          <w:rFonts w:hint="eastAsia"/>
          <w:color w:val="auto"/>
          <w:highlight w:val="none"/>
          <w:lang w:val="en-US" w:eastAsia="zh-CN"/>
        </w:rPr>
      </w:pPr>
    </w:p>
    <w:p w14:paraId="4EC0E468">
      <w:pPr>
        <w:rPr>
          <w:rFonts w:hint="eastAsia" w:ascii="宋体" w:hAnsi="宋体" w:cs="宋体"/>
          <w:color w:val="auto"/>
          <w:highlight w:val="none"/>
        </w:rPr>
      </w:pPr>
    </w:p>
    <w:p w14:paraId="07A4D700">
      <w:pPr>
        <w:pStyle w:val="10"/>
        <w:spacing w:before="120" w:after="120" w:line="600" w:lineRule="exact"/>
        <w:contextualSpacing/>
        <w:rPr>
          <w:rFonts w:hint="eastAsia" w:hAnsi="宋体" w:cs="宋体"/>
          <w:b/>
          <w:color w:val="auto"/>
          <w:sz w:val="30"/>
          <w:szCs w:val="48"/>
          <w:highlight w:val="none"/>
        </w:rPr>
      </w:pPr>
      <w:r>
        <w:rPr>
          <w:rFonts w:hint="eastAsia" w:hAnsi="宋体" w:cs="宋体"/>
          <w:b/>
          <w:bCs/>
          <w:color w:val="auto"/>
          <w:w w:val="95"/>
          <w:sz w:val="30"/>
          <w:szCs w:val="30"/>
          <w:highlight w:val="none"/>
        </w:rPr>
        <w:t>招标机构：</w:t>
      </w:r>
      <w:r>
        <w:rPr>
          <w:rFonts w:hint="eastAsia" w:hAnsi="宋体" w:cs="宋体"/>
          <w:b/>
          <w:color w:val="auto"/>
          <w:sz w:val="30"/>
          <w:szCs w:val="48"/>
          <w:highlight w:val="none"/>
        </w:rPr>
        <w:t>东阳耀辉工程咨询有限公司</w:t>
      </w:r>
    </w:p>
    <w:p w14:paraId="794DC0A8">
      <w:pPr>
        <w:rPr>
          <w:rFonts w:hint="eastAsia"/>
          <w:color w:val="auto"/>
          <w:highlight w:val="none"/>
        </w:rPr>
      </w:pPr>
    </w:p>
    <w:p w14:paraId="7AE3A00B">
      <w:pPr>
        <w:spacing w:line="600" w:lineRule="exact"/>
        <w:ind w:firstLine="2996" w:firstLineChars="1047"/>
        <w:contextualSpacing/>
        <w:rPr>
          <w:rFonts w:hint="eastAsia" w:ascii="宋体" w:hAnsi="宋体" w:cs="宋体"/>
          <w:b/>
          <w:bCs/>
          <w:color w:val="auto"/>
          <w:w w:val="95"/>
          <w:sz w:val="30"/>
          <w:szCs w:val="30"/>
          <w:highlight w:val="none"/>
        </w:rPr>
      </w:pPr>
    </w:p>
    <w:p w14:paraId="1F2BDBEA">
      <w:pPr>
        <w:spacing w:line="600" w:lineRule="exact"/>
        <w:contextualSpacing/>
        <w:rPr>
          <w:rFonts w:hint="eastAsia" w:ascii="宋体" w:hAnsi="宋体" w:cs="宋体"/>
          <w:b/>
          <w:color w:val="auto"/>
          <w:szCs w:val="21"/>
          <w:highlight w:val="none"/>
        </w:rPr>
      </w:pPr>
      <w:r>
        <w:rPr>
          <w:rFonts w:hint="eastAsia" w:ascii="宋体" w:hAnsi="宋体" w:cs="宋体"/>
          <w:b/>
          <w:bCs/>
          <w:color w:val="auto"/>
          <w:w w:val="95"/>
          <w:sz w:val="30"/>
          <w:szCs w:val="30"/>
          <w:highlight w:val="none"/>
        </w:rPr>
        <w:t>编制时间：</w:t>
      </w:r>
      <w:r>
        <w:rPr>
          <w:rFonts w:hint="eastAsia" w:ascii="宋体" w:hAnsi="宋体" w:cs="宋体"/>
          <w:b/>
          <w:bCs/>
          <w:color w:val="auto"/>
          <w:w w:val="95"/>
          <w:sz w:val="30"/>
          <w:szCs w:val="30"/>
          <w:highlight w:val="none"/>
          <w:lang w:eastAsia="zh-CN"/>
        </w:rPr>
        <w:t>202</w:t>
      </w:r>
      <w:r>
        <w:rPr>
          <w:rFonts w:hint="eastAsia" w:ascii="宋体" w:hAnsi="宋体" w:cs="宋体"/>
          <w:b/>
          <w:bCs/>
          <w:color w:val="auto"/>
          <w:w w:val="95"/>
          <w:sz w:val="30"/>
          <w:szCs w:val="30"/>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月</w:t>
      </w:r>
    </w:p>
    <w:p w14:paraId="789A0845">
      <w:pPr>
        <w:spacing w:before="120" w:after="120" w:line="360" w:lineRule="auto"/>
        <w:rPr>
          <w:rFonts w:hint="eastAsia" w:ascii="宋体" w:hAnsi="宋体" w:cs="宋体"/>
          <w:color w:val="auto"/>
          <w:highlight w:val="none"/>
        </w:rPr>
      </w:pPr>
    </w:p>
    <w:p w14:paraId="41FBE812">
      <w:pPr>
        <w:pStyle w:val="23"/>
        <w:ind w:firstLine="0" w:firstLineChars="0"/>
        <w:rPr>
          <w:rFonts w:hint="eastAsia" w:hAnsi="宋体" w:cs="宋体"/>
          <w:color w:val="auto"/>
          <w:highlight w:val="none"/>
        </w:rPr>
        <w:sectPr>
          <w:footerReference r:id="rId3" w:type="default"/>
          <w:pgSz w:w="11906" w:h="16838"/>
          <w:pgMar w:top="1474" w:right="1247" w:bottom="1247" w:left="1588" w:header="851" w:footer="851" w:gutter="0"/>
          <w:pgNumType w:start="1"/>
          <w:cols w:space="720" w:num="1"/>
          <w:titlePg/>
          <w:docGrid w:linePitch="312" w:charSpace="0"/>
        </w:sectPr>
      </w:pPr>
    </w:p>
    <w:p w14:paraId="77135FEF">
      <w:pPr>
        <w:pStyle w:val="23"/>
        <w:ind w:firstLine="344"/>
        <w:rPr>
          <w:rFonts w:hint="eastAsia" w:hAnsi="宋体" w:cs="宋体"/>
          <w:color w:val="auto"/>
          <w:highlight w:val="none"/>
        </w:rPr>
      </w:pPr>
    </w:p>
    <w:p w14:paraId="4FFB336B">
      <w:pPr>
        <w:spacing w:before="120" w:after="120" w:line="360" w:lineRule="auto"/>
        <w:ind w:firstLine="3960" w:firstLineChars="900"/>
        <w:rPr>
          <w:rFonts w:hint="eastAsia" w:ascii="宋体" w:hAnsi="宋体" w:cs="宋体"/>
          <w:color w:val="auto"/>
          <w:sz w:val="44"/>
          <w:szCs w:val="44"/>
          <w:highlight w:val="none"/>
        </w:rPr>
      </w:pPr>
      <w:r>
        <w:rPr>
          <w:rFonts w:hint="eastAsia" w:ascii="宋体" w:hAnsi="宋体" w:cs="宋体"/>
          <w:color w:val="auto"/>
          <w:sz w:val="44"/>
          <w:szCs w:val="44"/>
          <w:highlight w:val="none"/>
        </w:rPr>
        <w:t>目  录</w:t>
      </w:r>
    </w:p>
    <w:p w14:paraId="4019451F">
      <w:pPr>
        <w:keepNext w:val="0"/>
        <w:keepLines w:val="0"/>
        <w:pageBreakBefore w:val="0"/>
        <w:widowControl w:val="0"/>
        <w:numPr>
          <w:ilvl w:val="0"/>
          <w:numId w:val="0"/>
        </w:numPr>
        <w:tabs>
          <w:tab w:val="right" w:leader="middleDot" w:pos="5880"/>
          <w:tab w:val="right" w:leader="middleDot" w:pos="7980"/>
        </w:tabs>
        <w:kinsoku/>
        <w:wordWrap/>
        <w:overflowPunct/>
        <w:topLinePunct w:val="0"/>
        <w:autoSpaceDE/>
        <w:autoSpaceDN/>
        <w:bidi w:val="0"/>
        <w:adjustRightInd/>
        <w:snapToGrid/>
        <w:spacing w:before="120" w:beforeLines="50" w:line="480" w:lineRule="exact"/>
        <w:ind w:left="901" w:leftChars="0"/>
        <w:textAlignment w:val="auto"/>
        <w:rPr>
          <w:rFonts w:hint="eastAsia" w:ascii="宋体" w:hAnsi="宋体" w:cs="宋体"/>
          <w:color w:val="auto"/>
          <w:sz w:val="30"/>
          <w:szCs w:val="20"/>
          <w:highlight w:val="none"/>
        </w:rPr>
      </w:pPr>
      <w:r>
        <w:rPr>
          <w:rFonts w:hint="eastAsia" w:ascii="宋体" w:hAnsi="宋体" w:cs="宋体"/>
          <w:color w:val="auto"/>
          <w:sz w:val="30"/>
          <w:highlight w:val="none"/>
          <w:lang w:eastAsia="zh-CN"/>
        </w:rPr>
        <w:t>第一章</w:t>
      </w:r>
      <w:r>
        <w:rPr>
          <w:rFonts w:hint="eastAsia" w:ascii="宋体" w:hAnsi="宋体" w:cs="宋体"/>
          <w:color w:val="auto"/>
          <w:sz w:val="30"/>
          <w:highlight w:val="none"/>
        </w:rPr>
        <w:t xml:space="preserve">  公开招标采购公告</w:t>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2</w:t>
      </w:r>
    </w:p>
    <w:p w14:paraId="4BE6DC3A">
      <w:pPr>
        <w:keepNext w:val="0"/>
        <w:keepLines w:val="0"/>
        <w:pageBreakBefore w:val="0"/>
        <w:widowControl w:val="0"/>
        <w:numPr>
          <w:ilvl w:val="0"/>
          <w:numId w:val="0"/>
        </w:numPr>
        <w:tabs>
          <w:tab w:val="right" w:leader="middleDot" w:pos="5880"/>
          <w:tab w:val="right" w:leader="middleDot" w:pos="7980"/>
        </w:tabs>
        <w:kinsoku/>
        <w:wordWrap/>
        <w:overflowPunct/>
        <w:topLinePunct w:val="0"/>
        <w:autoSpaceDE/>
        <w:autoSpaceDN/>
        <w:bidi w:val="0"/>
        <w:adjustRightInd/>
        <w:snapToGrid/>
        <w:spacing w:before="120" w:beforeLines="50" w:line="480" w:lineRule="exact"/>
        <w:ind w:left="901" w:leftChars="0"/>
        <w:textAlignment w:val="auto"/>
        <w:rPr>
          <w:rFonts w:hint="eastAsia" w:ascii="宋体" w:hAnsi="宋体" w:cs="宋体"/>
          <w:color w:val="auto"/>
          <w:sz w:val="30"/>
          <w:szCs w:val="20"/>
          <w:highlight w:val="none"/>
        </w:rPr>
      </w:pPr>
      <w:r>
        <w:rPr>
          <w:rFonts w:hint="eastAsia" w:ascii="宋体" w:hAnsi="宋体" w:cs="宋体"/>
          <w:color w:val="auto"/>
          <w:sz w:val="30"/>
          <w:highlight w:val="none"/>
          <w:lang w:eastAsia="zh-CN"/>
        </w:rPr>
        <w:t>第二章</w:t>
      </w:r>
      <w:r>
        <w:rPr>
          <w:rFonts w:hint="eastAsia" w:ascii="宋体" w:hAnsi="宋体" w:cs="宋体"/>
          <w:color w:val="auto"/>
          <w:sz w:val="30"/>
          <w:highlight w:val="none"/>
        </w:rPr>
        <w:t xml:space="preserve"> </w:t>
      </w:r>
      <w:r>
        <w:rPr>
          <w:rFonts w:hint="eastAsia" w:ascii="宋体" w:hAnsi="宋体" w:cs="宋体"/>
          <w:color w:val="auto"/>
          <w:sz w:val="30"/>
          <w:highlight w:val="none"/>
          <w:lang w:val="en-US" w:eastAsia="zh-CN"/>
        </w:rPr>
        <w:t xml:space="preserve"> </w:t>
      </w:r>
      <w:r>
        <w:rPr>
          <w:rFonts w:hint="eastAsia" w:ascii="宋体" w:hAnsi="宋体" w:cs="宋体"/>
          <w:color w:val="auto"/>
          <w:sz w:val="30"/>
          <w:highlight w:val="none"/>
        </w:rPr>
        <w:t>招标需求</w:t>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7</w:t>
      </w:r>
    </w:p>
    <w:p w14:paraId="32EFCB3D">
      <w:pPr>
        <w:keepNext w:val="0"/>
        <w:keepLines w:val="0"/>
        <w:pageBreakBefore w:val="0"/>
        <w:widowControl w:val="0"/>
        <w:numPr>
          <w:ilvl w:val="0"/>
          <w:numId w:val="0"/>
        </w:numPr>
        <w:tabs>
          <w:tab w:val="right" w:leader="middleDot" w:pos="5880"/>
          <w:tab w:val="right" w:leader="middleDot" w:pos="7980"/>
        </w:tabs>
        <w:kinsoku/>
        <w:wordWrap/>
        <w:overflowPunct/>
        <w:topLinePunct w:val="0"/>
        <w:autoSpaceDE/>
        <w:autoSpaceDN/>
        <w:bidi w:val="0"/>
        <w:adjustRightInd/>
        <w:snapToGrid/>
        <w:spacing w:before="120" w:beforeLines="50" w:line="480" w:lineRule="exact"/>
        <w:ind w:left="901" w:leftChars="0"/>
        <w:textAlignment w:val="auto"/>
        <w:rPr>
          <w:rFonts w:hint="default" w:ascii="宋体" w:hAnsi="宋体" w:cs="宋体"/>
          <w:color w:val="auto"/>
          <w:sz w:val="30"/>
          <w:szCs w:val="20"/>
          <w:highlight w:val="none"/>
          <w:lang w:val="en-US"/>
        </w:rPr>
      </w:pPr>
      <w:r>
        <w:rPr>
          <w:rFonts w:hint="eastAsia" w:ascii="宋体" w:hAnsi="宋体" w:cs="宋体"/>
          <w:color w:val="auto"/>
          <w:sz w:val="30"/>
          <w:highlight w:val="none"/>
          <w:lang w:eastAsia="zh-CN"/>
        </w:rPr>
        <w:t>第三章</w:t>
      </w:r>
      <w:r>
        <w:rPr>
          <w:rFonts w:hint="eastAsia" w:ascii="宋体" w:hAnsi="宋体" w:cs="宋体"/>
          <w:color w:val="auto"/>
          <w:sz w:val="30"/>
          <w:highlight w:val="none"/>
        </w:rPr>
        <w:t xml:space="preserve">  投标人须知</w:t>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13</w:t>
      </w:r>
    </w:p>
    <w:p w14:paraId="0B4EA5AF">
      <w:pPr>
        <w:keepNext w:val="0"/>
        <w:keepLines w:val="0"/>
        <w:pageBreakBefore w:val="0"/>
        <w:widowControl w:val="0"/>
        <w:numPr>
          <w:ilvl w:val="0"/>
          <w:numId w:val="0"/>
        </w:numPr>
        <w:tabs>
          <w:tab w:val="right" w:leader="middleDot" w:pos="5880"/>
          <w:tab w:val="right" w:leader="middleDot" w:pos="7980"/>
        </w:tabs>
        <w:kinsoku/>
        <w:wordWrap/>
        <w:overflowPunct/>
        <w:topLinePunct w:val="0"/>
        <w:autoSpaceDE/>
        <w:autoSpaceDN/>
        <w:bidi w:val="0"/>
        <w:adjustRightInd/>
        <w:snapToGrid/>
        <w:spacing w:before="120" w:beforeLines="50" w:line="480" w:lineRule="exact"/>
        <w:ind w:left="901" w:leftChars="0"/>
        <w:textAlignment w:val="auto"/>
        <w:rPr>
          <w:rFonts w:hint="default" w:ascii="宋体" w:hAnsi="宋体" w:cs="宋体"/>
          <w:color w:val="auto"/>
          <w:sz w:val="30"/>
          <w:szCs w:val="20"/>
          <w:highlight w:val="none"/>
          <w:lang w:val="en-US"/>
        </w:rPr>
      </w:pPr>
      <w:r>
        <w:rPr>
          <w:rFonts w:hint="eastAsia" w:ascii="宋体" w:hAnsi="宋体" w:cs="宋体"/>
          <w:color w:val="auto"/>
          <w:sz w:val="30"/>
          <w:highlight w:val="none"/>
          <w:lang w:eastAsia="zh-CN"/>
        </w:rPr>
        <w:t>第四章</w:t>
      </w:r>
      <w:r>
        <w:rPr>
          <w:rFonts w:hint="eastAsia" w:ascii="宋体" w:hAnsi="宋体" w:cs="宋体"/>
          <w:color w:val="auto"/>
          <w:sz w:val="30"/>
          <w:highlight w:val="none"/>
        </w:rPr>
        <w:t xml:space="preserve">  评标办法及评分标准</w:t>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32</w:t>
      </w:r>
    </w:p>
    <w:p w14:paraId="1C0FEA8A">
      <w:pPr>
        <w:keepNext w:val="0"/>
        <w:keepLines w:val="0"/>
        <w:pageBreakBefore w:val="0"/>
        <w:widowControl w:val="0"/>
        <w:numPr>
          <w:ilvl w:val="0"/>
          <w:numId w:val="0"/>
        </w:numPr>
        <w:tabs>
          <w:tab w:val="right" w:leader="middleDot" w:pos="5880"/>
          <w:tab w:val="right" w:leader="middleDot" w:pos="7980"/>
        </w:tabs>
        <w:kinsoku/>
        <w:wordWrap/>
        <w:overflowPunct/>
        <w:topLinePunct w:val="0"/>
        <w:autoSpaceDE/>
        <w:autoSpaceDN/>
        <w:bidi w:val="0"/>
        <w:adjustRightInd/>
        <w:snapToGrid/>
        <w:spacing w:before="120" w:beforeLines="50" w:line="480" w:lineRule="exact"/>
        <w:ind w:left="901" w:leftChars="0"/>
        <w:textAlignment w:val="auto"/>
        <w:rPr>
          <w:rFonts w:hint="default" w:ascii="宋体" w:hAnsi="宋体" w:cs="宋体"/>
          <w:color w:val="auto"/>
          <w:sz w:val="30"/>
          <w:szCs w:val="20"/>
          <w:highlight w:val="none"/>
          <w:lang w:val="en-US"/>
        </w:rPr>
      </w:pPr>
      <w:r>
        <w:rPr>
          <w:rFonts w:hint="eastAsia" w:ascii="宋体" w:hAnsi="宋体" w:cs="宋体"/>
          <w:color w:val="auto"/>
          <w:sz w:val="30"/>
          <w:highlight w:val="none"/>
          <w:lang w:eastAsia="zh-CN"/>
        </w:rPr>
        <w:t>第五章</w:t>
      </w:r>
      <w:r>
        <w:rPr>
          <w:rFonts w:hint="eastAsia" w:ascii="宋体" w:hAnsi="宋体" w:cs="宋体"/>
          <w:color w:val="auto"/>
          <w:sz w:val="30"/>
          <w:highlight w:val="none"/>
        </w:rPr>
        <w:t xml:space="preserve">  政府采购合同主要条款</w:t>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35</w:t>
      </w:r>
    </w:p>
    <w:p w14:paraId="73896942">
      <w:pPr>
        <w:keepNext w:val="0"/>
        <w:keepLines w:val="0"/>
        <w:pageBreakBefore w:val="0"/>
        <w:widowControl w:val="0"/>
        <w:numPr>
          <w:ilvl w:val="0"/>
          <w:numId w:val="0"/>
        </w:numPr>
        <w:tabs>
          <w:tab w:val="right" w:leader="middleDot" w:pos="5880"/>
          <w:tab w:val="right" w:leader="middleDot" w:pos="7980"/>
        </w:tabs>
        <w:kinsoku/>
        <w:wordWrap/>
        <w:overflowPunct/>
        <w:topLinePunct w:val="0"/>
        <w:autoSpaceDE/>
        <w:autoSpaceDN/>
        <w:bidi w:val="0"/>
        <w:adjustRightInd/>
        <w:snapToGrid/>
        <w:spacing w:before="120" w:beforeLines="50" w:line="480" w:lineRule="exact"/>
        <w:ind w:left="901" w:leftChars="0"/>
        <w:textAlignment w:val="auto"/>
        <w:rPr>
          <w:rFonts w:hint="default" w:ascii="宋体" w:hAnsi="宋体" w:cs="宋体"/>
          <w:color w:val="auto"/>
          <w:sz w:val="30"/>
          <w:szCs w:val="20"/>
          <w:highlight w:val="none"/>
          <w:lang w:val="en-US"/>
        </w:rPr>
      </w:pPr>
      <w:r>
        <w:rPr>
          <w:rFonts w:hint="eastAsia" w:ascii="宋体" w:hAnsi="宋体" w:cs="宋体"/>
          <w:color w:val="auto"/>
          <w:sz w:val="30"/>
          <w:highlight w:val="none"/>
          <w:lang w:eastAsia="zh-CN"/>
        </w:rPr>
        <w:t>第六章</w:t>
      </w:r>
      <w:r>
        <w:rPr>
          <w:rFonts w:hint="eastAsia" w:ascii="宋体" w:hAnsi="宋体" w:cs="宋体"/>
          <w:color w:val="auto"/>
          <w:sz w:val="30"/>
          <w:highlight w:val="none"/>
        </w:rPr>
        <w:t xml:space="preserve">  投标文件格式</w:t>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ab/>
      </w:r>
      <w:r>
        <w:rPr>
          <w:rFonts w:hint="eastAsia" w:ascii="宋体" w:hAnsi="宋体" w:cs="宋体"/>
          <w:color w:val="auto"/>
          <w:sz w:val="30"/>
          <w:highlight w:val="none"/>
          <w:lang w:val="en-US" w:eastAsia="zh-CN"/>
        </w:rPr>
        <w:t>39</w:t>
      </w:r>
    </w:p>
    <w:p w14:paraId="365AB168">
      <w:pPr>
        <w:snapToGrid w:val="0"/>
        <w:spacing w:before="120" w:after="120"/>
        <w:outlineLvl w:val="0"/>
        <w:rPr>
          <w:rFonts w:hint="eastAsia" w:ascii="宋体" w:hAnsi="宋体" w:cs="宋体"/>
          <w:color w:val="auto"/>
          <w:sz w:val="30"/>
          <w:szCs w:val="30"/>
          <w:highlight w:val="none"/>
        </w:rPr>
      </w:pPr>
    </w:p>
    <w:p w14:paraId="617166EE">
      <w:pPr>
        <w:pStyle w:val="10"/>
        <w:snapToGrid w:val="0"/>
        <w:spacing w:before="120" w:after="120" w:line="360" w:lineRule="auto"/>
        <w:jc w:val="center"/>
        <w:outlineLvl w:val="0"/>
        <w:rPr>
          <w:rFonts w:hint="eastAsia" w:hAnsi="宋体" w:cs="宋体"/>
          <w:b/>
          <w:bCs/>
          <w:color w:val="auto"/>
          <w:sz w:val="32"/>
          <w:szCs w:val="32"/>
          <w:highlight w:val="none"/>
        </w:rPr>
      </w:pPr>
    </w:p>
    <w:p w14:paraId="122106F2">
      <w:pPr>
        <w:pStyle w:val="10"/>
        <w:snapToGrid w:val="0"/>
        <w:spacing w:before="120" w:after="120" w:line="360" w:lineRule="auto"/>
        <w:jc w:val="center"/>
        <w:outlineLvl w:val="0"/>
        <w:rPr>
          <w:rFonts w:hint="eastAsia" w:hAnsi="宋体" w:cs="宋体"/>
          <w:b/>
          <w:bCs/>
          <w:color w:val="auto"/>
          <w:sz w:val="32"/>
          <w:szCs w:val="32"/>
          <w:highlight w:val="none"/>
        </w:rPr>
      </w:pPr>
    </w:p>
    <w:p w14:paraId="50090ADE">
      <w:pPr>
        <w:pStyle w:val="10"/>
        <w:snapToGrid w:val="0"/>
        <w:spacing w:before="120" w:after="120" w:line="360" w:lineRule="auto"/>
        <w:jc w:val="center"/>
        <w:outlineLvl w:val="0"/>
        <w:rPr>
          <w:rFonts w:hint="eastAsia" w:hAnsi="宋体" w:cs="宋体"/>
          <w:b/>
          <w:bCs/>
          <w:color w:val="auto"/>
          <w:sz w:val="32"/>
          <w:szCs w:val="32"/>
          <w:highlight w:val="none"/>
        </w:rPr>
      </w:pPr>
    </w:p>
    <w:p w14:paraId="78050150">
      <w:pPr>
        <w:pStyle w:val="10"/>
        <w:snapToGrid w:val="0"/>
        <w:spacing w:before="120" w:after="120" w:line="360" w:lineRule="auto"/>
        <w:jc w:val="center"/>
        <w:outlineLvl w:val="0"/>
        <w:rPr>
          <w:rFonts w:hint="eastAsia" w:hAnsi="宋体" w:cs="宋体"/>
          <w:b/>
          <w:bCs/>
          <w:color w:val="auto"/>
          <w:sz w:val="32"/>
          <w:szCs w:val="32"/>
          <w:highlight w:val="none"/>
        </w:rPr>
      </w:pPr>
    </w:p>
    <w:p w14:paraId="43B3F3AA">
      <w:pPr>
        <w:pStyle w:val="10"/>
        <w:snapToGrid w:val="0"/>
        <w:spacing w:before="120" w:after="120" w:line="360" w:lineRule="auto"/>
        <w:jc w:val="center"/>
        <w:outlineLvl w:val="0"/>
        <w:rPr>
          <w:rFonts w:hint="eastAsia" w:hAnsi="宋体" w:cs="宋体"/>
          <w:b/>
          <w:bCs/>
          <w:color w:val="auto"/>
          <w:sz w:val="32"/>
          <w:szCs w:val="32"/>
          <w:highlight w:val="none"/>
        </w:rPr>
      </w:pPr>
    </w:p>
    <w:p w14:paraId="4E5B0E92">
      <w:pPr>
        <w:pStyle w:val="10"/>
        <w:snapToGrid w:val="0"/>
        <w:spacing w:before="120" w:after="120" w:line="360" w:lineRule="auto"/>
        <w:jc w:val="center"/>
        <w:outlineLvl w:val="0"/>
        <w:rPr>
          <w:rFonts w:hint="eastAsia" w:hAnsi="宋体" w:cs="宋体"/>
          <w:b/>
          <w:bCs/>
          <w:color w:val="auto"/>
          <w:sz w:val="32"/>
          <w:szCs w:val="32"/>
          <w:highlight w:val="none"/>
        </w:rPr>
      </w:pPr>
    </w:p>
    <w:p w14:paraId="1E3E40F5">
      <w:pPr>
        <w:pStyle w:val="10"/>
        <w:snapToGrid w:val="0"/>
        <w:spacing w:before="120" w:after="120" w:line="360" w:lineRule="auto"/>
        <w:jc w:val="center"/>
        <w:outlineLvl w:val="0"/>
        <w:rPr>
          <w:rFonts w:hint="eastAsia" w:hAnsi="宋体" w:cs="宋体"/>
          <w:b/>
          <w:bCs/>
          <w:color w:val="auto"/>
          <w:sz w:val="32"/>
          <w:szCs w:val="32"/>
          <w:highlight w:val="none"/>
        </w:rPr>
      </w:pPr>
    </w:p>
    <w:p w14:paraId="6F7EE805">
      <w:pPr>
        <w:pStyle w:val="10"/>
        <w:snapToGrid w:val="0"/>
        <w:spacing w:before="120" w:after="120" w:line="360" w:lineRule="auto"/>
        <w:jc w:val="center"/>
        <w:outlineLvl w:val="0"/>
        <w:rPr>
          <w:rFonts w:hint="eastAsia" w:hAnsi="宋体" w:cs="宋体"/>
          <w:b/>
          <w:bCs/>
          <w:color w:val="auto"/>
          <w:sz w:val="32"/>
          <w:szCs w:val="32"/>
          <w:highlight w:val="none"/>
        </w:rPr>
      </w:pPr>
    </w:p>
    <w:p w14:paraId="74030E56">
      <w:pPr>
        <w:pStyle w:val="10"/>
        <w:snapToGrid w:val="0"/>
        <w:spacing w:before="120" w:after="120" w:line="360" w:lineRule="auto"/>
        <w:jc w:val="center"/>
        <w:outlineLvl w:val="0"/>
        <w:rPr>
          <w:rFonts w:hint="eastAsia" w:hAnsi="宋体" w:cs="宋体"/>
          <w:b/>
          <w:bCs/>
          <w:color w:val="auto"/>
          <w:sz w:val="32"/>
          <w:szCs w:val="32"/>
          <w:highlight w:val="none"/>
        </w:rPr>
      </w:pPr>
    </w:p>
    <w:p w14:paraId="6B66371C">
      <w:pPr>
        <w:pStyle w:val="10"/>
        <w:snapToGrid w:val="0"/>
        <w:spacing w:before="120" w:after="120" w:line="360" w:lineRule="auto"/>
        <w:jc w:val="center"/>
        <w:outlineLvl w:val="0"/>
        <w:rPr>
          <w:rFonts w:hint="eastAsia" w:hAnsi="宋体" w:cs="宋体"/>
          <w:b/>
          <w:bCs/>
          <w:color w:val="auto"/>
          <w:sz w:val="32"/>
          <w:szCs w:val="32"/>
          <w:highlight w:val="none"/>
        </w:rPr>
      </w:pPr>
    </w:p>
    <w:p w14:paraId="0D68832E">
      <w:pPr>
        <w:pStyle w:val="10"/>
        <w:snapToGrid w:val="0"/>
        <w:spacing w:before="120" w:after="120" w:line="360" w:lineRule="auto"/>
        <w:jc w:val="center"/>
        <w:outlineLvl w:val="0"/>
        <w:rPr>
          <w:rFonts w:hint="eastAsia" w:hAnsi="宋体" w:cs="宋体"/>
          <w:b/>
          <w:bCs/>
          <w:color w:val="auto"/>
          <w:sz w:val="32"/>
          <w:szCs w:val="32"/>
          <w:highlight w:val="none"/>
        </w:rPr>
      </w:pPr>
    </w:p>
    <w:p w14:paraId="0869DC6F">
      <w:pPr>
        <w:pStyle w:val="10"/>
        <w:snapToGrid w:val="0"/>
        <w:spacing w:before="120" w:after="120" w:line="360" w:lineRule="auto"/>
        <w:jc w:val="center"/>
        <w:outlineLvl w:val="0"/>
        <w:rPr>
          <w:rFonts w:hint="eastAsia" w:hAnsi="宋体" w:cs="宋体"/>
          <w:b/>
          <w:bCs/>
          <w:color w:val="auto"/>
          <w:sz w:val="32"/>
          <w:szCs w:val="32"/>
          <w:highlight w:val="none"/>
        </w:rPr>
      </w:pPr>
    </w:p>
    <w:p w14:paraId="0287DA84">
      <w:pPr>
        <w:pStyle w:val="10"/>
        <w:snapToGrid w:val="0"/>
        <w:spacing w:before="120" w:after="120" w:line="360" w:lineRule="auto"/>
        <w:jc w:val="center"/>
        <w:outlineLvl w:val="0"/>
        <w:rPr>
          <w:rFonts w:hint="eastAsia" w:hAnsi="宋体" w:cs="宋体"/>
          <w:color w:val="auto"/>
          <w:sz w:val="28"/>
          <w:szCs w:val="28"/>
          <w:highlight w:val="none"/>
        </w:rPr>
      </w:pPr>
      <w:r>
        <w:rPr>
          <w:rFonts w:hint="eastAsia" w:hAnsi="宋体" w:cs="宋体"/>
          <w:b/>
          <w:bCs/>
          <w:color w:val="auto"/>
          <w:sz w:val="32"/>
          <w:szCs w:val="32"/>
          <w:highlight w:val="none"/>
        </w:rPr>
        <w:t>第一章  公开招标采购公告</w:t>
      </w:r>
    </w:p>
    <w:p w14:paraId="33EDBF6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5689B32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微软雅黑" w:hAnsi="微软雅黑" w:eastAsia="微软雅黑" w:cs="微软雅黑"/>
          <w:i w:val="0"/>
          <w:iCs w:val="0"/>
          <w:caps w:val="0"/>
          <w:color w:val="auto"/>
          <w:spacing w:val="0"/>
          <w:sz w:val="24"/>
          <w:szCs w:val="24"/>
          <w:highlight w:val="none"/>
          <w:lang w:eastAsia="zh-CN"/>
        </w:rPr>
        <w:t>东阳市国土空间规划中期评估采购项目</w:t>
      </w:r>
      <w:r>
        <w:rPr>
          <w:rFonts w:hint="eastAsia" w:ascii="宋体" w:hAnsi="宋体" w:cs="宋体"/>
          <w:color w:val="auto"/>
          <w:sz w:val="24"/>
          <w:highlight w:val="none"/>
          <w:u w:val="single"/>
        </w:rPr>
        <w:t>（经东阳市财政局[</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381</w:t>
      </w:r>
      <w:r>
        <w:rPr>
          <w:rFonts w:hint="eastAsia" w:ascii="宋体" w:hAnsi="宋体" w:cs="宋体"/>
          <w:color w:val="auto"/>
          <w:sz w:val="24"/>
          <w:highlight w:val="none"/>
          <w:u w:val="single"/>
        </w:rPr>
        <w:t>号采购计划确认书批准）</w:t>
      </w:r>
      <w:r>
        <w:rPr>
          <w:rFonts w:hint="eastAsia" w:ascii="宋体" w:hAnsi="宋体" w:cs="宋体"/>
          <w:color w:val="auto"/>
          <w:sz w:val="24"/>
          <w:highlight w:val="none"/>
        </w:rPr>
        <w:t>的潜在投标人应在（网址：浙江政府采购网:http://zfcg.czt.zj.gov.cn/、东阳市公共资源交易网:http://ggzyjy.dongyang.gov.cn/）获取招标文件，并于</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lang w:eastAsia="zh-CN"/>
        </w:rPr>
        <w:t>日</w:t>
      </w:r>
      <w:r>
        <w:rPr>
          <w:rFonts w:hint="eastAsia" w:ascii="宋体" w:hAnsi="宋体" w:cs="宋体"/>
          <w:bCs/>
          <w:color w:val="auto"/>
          <w:sz w:val="24"/>
          <w:highlight w:val="none"/>
          <w:u w:val="single"/>
          <w:lang w:val="en-US" w:eastAsia="zh-CN"/>
        </w:rPr>
        <w:t>9</w:t>
      </w:r>
      <w:r>
        <w:rPr>
          <w:rFonts w:hint="eastAsia" w:ascii="宋体" w:hAnsi="宋体" w:cs="宋体"/>
          <w:bCs/>
          <w:color w:val="auto"/>
          <w:sz w:val="24"/>
          <w:highlight w:val="none"/>
          <w:u w:val="single"/>
        </w:rPr>
        <w:t>点</w:t>
      </w:r>
      <w:r>
        <w:rPr>
          <w:rFonts w:hint="eastAsia" w:ascii="宋体" w:hAnsi="宋体" w:cs="宋体"/>
          <w:bCs/>
          <w:color w:val="auto"/>
          <w:sz w:val="24"/>
          <w:highlight w:val="none"/>
          <w:u w:val="single"/>
          <w:lang w:val="en-US" w:eastAsia="zh-CN"/>
        </w:rPr>
        <w:t>00分</w:t>
      </w:r>
      <w:r>
        <w:rPr>
          <w:rFonts w:hint="eastAsia" w:ascii="宋体" w:hAnsi="宋体" w:cs="宋体"/>
          <w:bCs/>
          <w:color w:val="auto"/>
          <w:sz w:val="24"/>
          <w:highlight w:val="none"/>
        </w:rPr>
        <w:t>（北京时间）前递交(上传)投标文件</w:t>
      </w:r>
      <w:r>
        <w:rPr>
          <w:rFonts w:hint="eastAsia" w:ascii="宋体" w:hAnsi="宋体" w:cs="宋体"/>
          <w:color w:val="auto"/>
          <w:sz w:val="24"/>
          <w:highlight w:val="none"/>
        </w:rPr>
        <w:t>。</w:t>
      </w:r>
    </w:p>
    <w:p w14:paraId="16A60E53">
      <w:pPr>
        <w:keepNext w:val="0"/>
        <w:keepLines w:val="0"/>
        <w:pageBreakBefore w:val="0"/>
        <w:kinsoku/>
        <w:wordWrap/>
        <w:overflowPunct/>
        <w:topLinePunct w:val="0"/>
        <w:autoSpaceDE/>
        <w:autoSpaceDN/>
        <w:bidi w:val="0"/>
        <w:snapToGrid w:val="0"/>
        <w:spacing w:line="380" w:lineRule="exact"/>
        <w:ind w:firstLine="241" w:firstLineChars="1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384C2050">
      <w:pPr>
        <w:keepNext w:val="0"/>
        <w:keepLines w:val="0"/>
        <w:pageBreakBefore w:val="0"/>
        <w:kinsoku/>
        <w:wordWrap/>
        <w:overflowPunct/>
        <w:topLinePunct w:val="0"/>
        <w:autoSpaceDE/>
        <w:autoSpaceDN/>
        <w:bidi w:val="0"/>
        <w:spacing w:line="380" w:lineRule="exact"/>
        <w:ind w:firstLine="482" w:firstLineChars="200"/>
        <w:textAlignment w:val="auto"/>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项目编号：</w:t>
      </w:r>
      <w:r>
        <w:rPr>
          <w:rFonts w:hint="eastAsia" w:ascii="宋体" w:hAnsi="宋体" w:cs="宋体"/>
          <w:color w:val="auto"/>
          <w:sz w:val="24"/>
          <w:highlight w:val="none"/>
          <w:lang w:eastAsia="zh-CN"/>
        </w:rPr>
        <w:t>DYYHCG2026-GK-009</w:t>
      </w:r>
    </w:p>
    <w:p w14:paraId="0A980050">
      <w:pPr>
        <w:keepNext w:val="0"/>
        <w:keepLines w:val="0"/>
        <w:pageBreakBefore w:val="0"/>
        <w:kinsoku/>
        <w:wordWrap/>
        <w:overflowPunct/>
        <w:topLinePunct w:val="0"/>
        <w:autoSpaceDE/>
        <w:autoSpaceDN/>
        <w:bidi w:val="0"/>
        <w:spacing w:line="38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东阳市国土空间规划中期评估采购项目</w:t>
      </w:r>
    </w:p>
    <w:p w14:paraId="4AEF0A29">
      <w:pPr>
        <w:keepNext w:val="0"/>
        <w:keepLines w:val="0"/>
        <w:pageBreakBefore w:val="0"/>
        <w:kinsoku/>
        <w:wordWrap/>
        <w:overflowPunct/>
        <w:topLinePunct w:val="0"/>
        <w:autoSpaceDE/>
        <w:autoSpaceDN/>
        <w:bidi w:val="0"/>
        <w:spacing w:line="380" w:lineRule="exact"/>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预算金额（元）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1500000</w:t>
      </w:r>
      <w:r>
        <w:rPr>
          <w:rFonts w:hint="eastAsia" w:ascii="宋体" w:hAnsi="宋体" w:cs="宋体"/>
          <w:color w:val="auto"/>
          <w:sz w:val="24"/>
          <w:highlight w:val="none"/>
        </w:rPr>
        <w:t>元</w:t>
      </w:r>
    </w:p>
    <w:p w14:paraId="753CA857">
      <w:pPr>
        <w:keepNext w:val="0"/>
        <w:keepLines w:val="0"/>
        <w:pageBreakBefore w:val="0"/>
        <w:kinsoku/>
        <w:wordWrap/>
        <w:overflowPunct/>
        <w:topLinePunct w:val="0"/>
        <w:autoSpaceDE/>
        <w:autoSpaceDN/>
        <w:bidi w:val="0"/>
        <w:spacing w:line="380" w:lineRule="exact"/>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最高限价（元）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1500000</w:t>
      </w:r>
      <w:r>
        <w:rPr>
          <w:rFonts w:hint="eastAsia" w:ascii="宋体" w:hAnsi="宋体" w:cs="宋体"/>
          <w:color w:val="auto"/>
          <w:sz w:val="24"/>
          <w:highlight w:val="none"/>
        </w:rPr>
        <w:t>元</w:t>
      </w:r>
    </w:p>
    <w:p w14:paraId="3A0D77D4">
      <w:pPr>
        <w:pStyle w:val="7"/>
        <w:keepNext w:val="0"/>
        <w:keepLines w:val="0"/>
        <w:pageBreakBefore w:val="0"/>
        <w:kinsoku/>
        <w:wordWrap/>
        <w:overflowPunct/>
        <w:topLinePunct w:val="0"/>
        <w:autoSpaceDE/>
        <w:autoSpaceDN/>
        <w:bidi w:val="0"/>
        <w:spacing w:line="38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采购需求：</w:t>
      </w:r>
      <w:r>
        <w:rPr>
          <w:rFonts w:hint="eastAsia" w:ascii="宋体" w:hAnsi="宋体" w:cs="宋体"/>
          <w:color w:val="auto"/>
          <w:sz w:val="27"/>
          <w:szCs w:val="27"/>
          <w:highlight w:val="none"/>
        </w:rPr>
        <w:br w:type="textWrapping"/>
      </w:r>
      <w:r>
        <w:rPr>
          <w:rFonts w:hint="eastAsia" w:ascii="宋体" w:hAnsi="宋体" w:cs="宋体"/>
          <w:color w:val="auto"/>
          <w:sz w:val="27"/>
          <w:szCs w:val="27"/>
          <w:highlight w:val="none"/>
        </w:rPr>
        <w:t> </w:t>
      </w:r>
      <w:r>
        <w:rPr>
          <w:rFonts w:hint="eastAsia" w:ascii="宋体" w:hAnsi="宋体" w:cs="宋体"/>
          <w:color w:val="auto"/>
          <w:sz w:val="27"/>
          <w:szCs w:val="27"/>
          <w:highlight w:val="none"/>
          <w:lang w:val="en-US" w:eastAsia="zh-CN"/>
        </w:rPr>
        <w:t xml:space="preserve">  </w:t>
      </w:r>
      <w:r>
        <w:rPr>
          <w:rFonts w:hint="eastAsia" w:ascii="宋体" w:hAnsi="宋体" w:cs="宋体"/>
          <w:b/>
          <w:bCs/>
          <w:color w:val="auto"/>
          <w:sz w:val="24"/>
          <w:highlight w:val="none"/>
        </w:rPr>
        <w:t>标项一:</w:t>
      </w:r>
    </w:p>
    <w:p w14:paraId="7C867FC1">
      <w:pPr>
        <w:pStyle w:val="7"/>
        <w:keepNext w:val="0"/>
        <w:keepLines w:val="0"/>
        <w:pageBreakBefore w:val="0"/>
        <w:kinsoku/>
        <w:wordWrap/>
        <w:overflowPunct/>
        <w:topLinePunct w:val="0"/>
        <w:autoSpaceDE/>
        <w:autoSpaceDN/>
        <w:bidi w:val="0"/>
        <w:spacing w:line="38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标项名称：</w:t>
      </w:r>
      <w:r>
        <w:rPr>
          <w:rFonts w:hint="eastAsia" w:ascii="宋体" w:hAnsi="宋体" w:cs="宋体"/>
          <w:color w:val="auto"/>
          <w:sz w:val="24"/>
          <w:highlight w:val="none"/>
          <w:lang w:eastAsia="zh-CN"/>
        </w:rPr>
        <w:t>东阳市国土空间规划中期评估采购项目</w:t>
      </w:r>
    </w:p>
    <w:p w14:paraId="039C39CC">
      <w:pPr>
        <w:keepNext w:val="0"/>
        <w:keepLines w:val="0"/>
        <w:pageBreakBefore w:val="0"/>
        <w:kinsoku/>
        <w:wordWrap/>
        <w:overflowPunct/>
        <w:topLinePunct w:val="0"/>
        <w:autoSpaceDE/>
        <w:autoSpaceDN/>
        <w:bidi w:val="0"/>
        <w:adjustRightInd/>
        <w:spacing w:line="380" w:lineRule="exact"/>
        <w:ind w:left="479" w:leftChars="228" w:firstLine="0" w:firstLineChars="0"/>
        <w:textAlignment w:val="auto"/>
        <w:rPr>
          <w:rFonts w:hint="eastAsia" w:ascii="宋体" w:hAnsi="宋体" w:cs="宋体"/>
          <w:color w:val="auto"/>
          <w:sz w:val="24"/>
          <w:highlight w:val="none"/>
          <w:lang w:eastAsia="zh-CN"/>
        </w:rPr>
      </w:pPr>
      <w:r>
        <w:rPr>
          <w:rFonts w:hint="eastAsia" w:ascii="宋体" w:hAnsi="宋体" w:cs="宋体"/>
          <w:color w:val="auto"/>
          <w:sz w:val="24"/>
          <w:szCs w:val="22"/>
          <w:highlight w:val="none"/>
          <w:lang w:eastAsia="zh-CN"/>
        </w:rPr>
        <w:t>范围：</w:t>
      </w:r>
      <w:r>
        <w:rPr>
          <w:rFonts w:hint="eastAsia" w:ascii="宋体" w:hAnsi="宋体" w:cs="宋体"/>
          <w:color w:val="auto"/>
          <w:sz w:val="24"/>
          <w:highlight w:val="none"/>
          <w:lang w:eastAsia="zh-CN"/>
        </w:rPr>
        <w:t>东阳市</w:t>
      </w:r>
    </w:p>
    <w:p w14:paraId="7001A0B8">
      <w:pPr>
        <w:keepNext w:val="0"/>
        <w:keepLines w:val="0"/>
        <w:pageBreakBefore w:val="0"/>
        <w:kinsoku/>
        <w:wordWrap/>
        <w:overflowPunct/>
        <w:topLinePunct w:val="0"/>
        <w:autoSpaceDE/>
        <w:autoSpaceDN/>
        <w:bidi w:val="0"/>
        <w:adjustRightInd/>
        <w:spacing w:line="380" w:lineRule="exact"/>
        <w:ind w:left="479" w:leftChars="228"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预算金额（元）：</w:t>
      </w:r>
      <w:r>
        <w:rPr>
          <w:rFonts w:hint="eastAsia" w:ascii="宋体" w:hAnsi="宋体" w:cs="宋体"/>
          <w:color w:val="auto"/>
          <w:sz w:val="24"/>
          <w:highlight w:val="none"/>
          <w:lang w:val="en-US" w:eastAsia="zh-CN"/>
        </w:rPr>
        <w:t>1500000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 xml:space="preserve">   </w:t>
      </w:r>
    </w:p>
    <w:p w14:paraId="604A5DF1">
      <w:pPr>
        <w:keepNext w:val="0"/>
        <w:keepLines w:val="0"/>
        <w:pageBreakBefore w:val="0"/>
        <w:kinsoku/>
        <w:wordWrap/>
        <w:overflowPunct/>
        <w:topLinePunct w:val="0"/>
        <w:autoSpaceDE/>
        <w:autoSpaceDN/>
        <w:bidi w:val="0"/>
        <w:adjustRightInd/>
        <w:spacing w:line="380" w:lineRule="exact"/>
        <w:ind w:left="479" w:leftChars="228" w:firstLine="0"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简要规格描述或项目基本概况介绍、用途：具体要求详见第二章招标需求</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备注：</w:t>
      </w:r>
      <w:r>
        <w:rPr>
          <w:rFonts w:hint="eastAsia" w:ascii="宋体" w:hAnsi="宋体" w:cs="宋体"/>
          <w:color w:val="auto"/>
          <w:sz w:val="24"/>
          <w:highlight w:val="none"/>
          <w:lang w:val="en-US" w:eastAsia="zh-CN"/>
        </w:rPr>
        <w:t xml:space="preserve"> </w:t>
      </w:r>
    </w:p>
    <w:p w14:paraId="06D33100">
      <w:pPr>
        <w:keepNext w:val="0"/>
        <w:keepLines w:val="0"/>
        <w:pageBreakBefore w:val="0"/>
        <w:kinsoku/>
        <w:wordWrap/>
        <w:overflowPunct/>
        <w:topLinePunct w:val="0"/>
        <w:autoSpaceDE/>
        <w:autoSpaceDN/>
        <w:bidi w:val="0"/>
        <w:adjustRightInd/>
        <w:spacing w:line="380" w:lineRule="exact"/>
        <w:ind w:left="479" w:leftChars="228" w:firstLine="0" w:firstLineChars="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合同履约期限：详见招标文件</w:t>
      </w:r>
    </w:p>
    <w:p w14:paraId="01136E97">
      <w:pPr>
        <w:keepNext w:val="0"/>
        <w:keepLines w:val="0"/>
        <w:pageBreakBefore w:val="0"/>
        <w:kinsoku/>
        <w:wordWrap/>
        <w:overflowPunct/>
        <w:topLinePunct w:val="0"/>
        <w:autoSpaceDE/>
        <w:autoSpaceDN/>
        <w:bidi w:val="0"/>
        <w:adjustRightInd w:val="0"/>
        <w:snapToGrid w:val="0"/>
        <w:spacing w:line="380" w:lineRule="exact"/>
        <w:ind w:firstLine="241" w:firstLineChars="100"/>
        <w:textAlignment w:val="auto"/>
        <w:rPr>
          <w:rFonts w:ascii="宋体" w:hAnsi="宋体" w:cs="宋体"/>
          <w:b/>
          <w:bCs/>
          <w:strike/>
          <w:color w:val="auto"/>
          <w:sz w:val="24"/>
          <w:highlight w:val="none"/>
        </w:rPr>
      </w:pPr>
      <w:r>
        <w:rPr>
          <w:rFonts w:hint="eastAsia" w:ascii="宋体" w:hAnsi="宋体" w:cs="宋体"/>
          <w:b/>
          <w:bCs/>
          <w:color w:val="auto"/>
          <w:sz w:val="24"/>
          <w:highlight w:val="none"/>
        </w:rPr>
        <w:t xml:space="preserve">二、申请人的资格要求： </w:t>
      </w:r>
    </w:p>
    <w:p w14:paraId="601D34C9">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cs="Arial"/>
          <w:color w:val="auto"/>
          <w:sz w:val="24"/>
          <w:highlight w:val="none"/>
        </w:rPr>
      </w:pPr>
      <w:r>
        <w:rPr>
          <w:rFonts w:hint="eastAsia" w:ascii="宋体" w:cs="Arial"/>
          <w:color w:val="auto"/>
          <w:sz w:val="24"/>
          <w:highlight w:val="none"/>
        </w:rPr>
        <w:t>符合《中华人民共和国政府采购法》第二十二条规定的投标人资格条件和本公告设定的特定条件。</w:t>
      </w:r>
    </w:p>
    <w:p w14:paraId="33D090EC">
      <w:pPr>
        <w:keepNext w:val="0"/>
        <w:keepLines w:val="0"/>
        <w:pageBreakBefore w:val="0"/>
        <w:kinsoku/>
        <w:wordWrap/>
        <w:overflowPunct/>
        <w:topLinePunct w:val="0"/>
        <w:autoSpaceDE/>
        <w:autoSpaceDN/>
        <w:bidi w:val="0"/>
        <w:snapToGrid w:val="0"/>
        <w:spacing w:line="380" w:lineRule="exact"/>
        <w:ind w:firstLine="482" w:firstLineChars="200"/>
        <w:textAlignment w:val="auto"/>
        <w:rPr>
          <w:rFonts w:hint="eastAsia" w:ascii="宋体" w:hAnsi="Times New Roman" w:eastAsia="宋体" w:cs="Arial"/>
          <w:b/>
          <w:bCs/>
          <w:color w:val="auto"/>
          <w:sz w:val="24"/>
          <w:highlight w:val="none"/>
        </w:rPr>
      </w:pPr>
      <w:r>
        <w:rPr>
          <w:rFonts w:hint="eastAsia" w:ascii="宋体" w:cs="Arial"/>
          <w:b/>
          <w:bCs/>
          <w:color w:val="auto"/>
          <w:sz w:val="24"/>
          <w:highlight w:val="none"/>
          <w:lang w:val="en-US" w:eastAsia="zh-CN"/>
        </w:rPr>
        <w:t>1、</w:t>
      </w:r>
      <w:r>
        <w:rPr>
          <w:rFonts w:hint="eastAsia" w:ascii="宋体" w:hAnsi="Times New Roman" w:eastAsia="宋体" w:cs="Arial"/>
          <w:b/>
          <w:bCs/>
          <w:color w:val="auto"/>
          <w:sz w:val="24"/>
          <w:highlight w:val="none"/>
        </w:rPr>
        <w:t>《中华人民共和国政府采购法》第二十二条规定的投标人资格条件：</w:t>
      </w:r>
    </w:p>
    <w:p w14:paraId="0D009159">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Times New Roman" w:eastAsia="宋体" w:cs="Arial"/>
          <w:color w:val="auto"/>
          <w:sz w:val="24"/>
          <w:highlight w:val="none"/>
          <w:lang w:eastAsia="zh-CN"/>
        </w:rPr>
      </w:pPr>
      <w:r>
        <w:rPr>
          <w:rFonts w:hint="eastAsia" w:ascii="宋体" w:hAnsi="Times New Roman" w:eastAsia="宋体" w:cs="Arial"/>
          <w:color w:val="auto"/>
          <w:sz w:val="24"/>
          <w:highlight w:val="none"/>
        </w:rPr>
        <w:t xml:space="preserve">A、具有独立承担民事责任的能力； </w:t>
      </w:r>
    </w:p>
    <w:p w14:paraId="7FEA0E9E">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Times New Roman" w:eastAsia="宋体" w:cs="Arial"/>
          <w:color w:val="auto"/>
          <w:sz w:val="24"/>
          <w:highlight w:val="none"/>
          <w:lang w:eastAsia="zh-CN"/>
        </w:rPr>
      </w:pPr>
      <w:r>
        <w:rPr>
          <w:rFonts w:hint="eastAsia" w:ascii="宋体" w:hAnsi="Times New Roman" w:eastAsia="宋体" w:cs="Arial"/>
          <w:color w:val="auto"/>
          <w:sz w:val="24"/>
          <w:highlight w:val="none"/>
        </w:rPr>
        <w:t xml:space="preserve">B、具有良好的商业信誉和健全的财务会计制度； </w:t>
      </w:r>
    </w:p>
    <w:p w14:paraId="28CE98E4">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Times New Roman" w:eastAsia="宋体" w:cs="Arial"/>
          <w:color w:val="auto"/>
          <w:sz w:val="24"/>
          <w:highlight w:val="none"/>
          <w:lang w:eastAsia="zh-CN"/>
        </w:rPr>
      </w:pPr>
      <w:r>
        <w:rPr>
          <w:rFonts w:hint="eastAsia" w:ascii="宋体" w:hAnsi="Times New Roman" w:eastAsia="宋体" w:cs="Arial"/>
          <w:color w:val="auto"/>
          <w:sz w:val="24"/>
          <w:highlight w:val="none"/>
        </w:rPr>
        <w:t xml:space="preserve">C、具有履行合同所必需的设备和专业技术能力； </w:t>
      </w:r>
    </w:p>
    <w:p w14:paraId="14231920">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Times New Roman" w:eastAsia="宋体" w:cs="Arial"/>
          <w:color w:val="auto"/>
          <w:sz w:val="24"/>
          <w:highlight w:val="none"/>
          <w:lang w:eastAsia="zh-CN"/>
        </w:rPr>
      </w:pPr>
      <w:r>
        <w:rPr>
          <w:rFonts w:hint="eastAsia" w:ascii="宋体" w:hAnsi="Times New Roman" w:eastAsia="宋体" w:cs="Arial"/>
          <w:color w:val="auto"/>
          <w:sz w:val="24"/>
          <w:highlight w:val="none"/>
        </w:rPr>
        <w:t xml:space="preserve">D、有依法缴纳税收和社会保障资金的良好记录； </w:t>
      </w:r>
    </w:p>
    <w:p w14:paraId="326F6DF0">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Times New Roman" w:eastAsia="宋体" w:cs="Arial"/>
          <w:color w:val="auto"/>
          <w:sz w:val="24"/>
          <w:highlight w:val="none"/>
          <w:lang w:eastAsia="zh-CN"/>
        </w:rPr>
      </w:pPr>
      <w:r>
        <w:rPr>
          <w:rFonts w:hint="eastAsia" w:ascii="宋体" w:hAnsi="Times New Roman" w:eastAsia="宋体" w:cs="Arial"/>
          <w:color w:val="auto"/>
          <w:sz w:val="24"/>
          <w:highlight w:val="none"/>
        </w:rPr>
        <w:t xml:space="preserve">E、参加政府采购活动前三年内，在经营活动中没有重大违法记录； </w:t>
      </w:r>
    </w:p>
    <w:p w14:paraId="2D64BC61">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Times New Roman" w:eastAsia="宋体" w:cs="Arial"/>
          <w:color w:val="auto"/>
          <w:sz w:val="24"/>
          <w:highlight w:val="none"/>
        </w:rPr>
      </w:pPr>
      <w:r>
        <w:rPr>
          <w:rFonts w:hint="eastAsia" w:ascii="宋体" w:hAnsi="Times New Roman" w:eastAsia="宋体" w:cs="Arial"/>
          <w:color w:val="auto"/>
          <w:sz w:val="24"/>
          <w:highlight w:val="none"/>
        </w:rPr>
        <w:t>F、法律、行政法规规定的其他条件。</w:t>
      </w:r>
    </w:p>
    <w:p w14:paraId="54029437">
      <w:pPr>
        <w:keepNext w:val="0"/>
        <w:keepLines w:val="0"/>
        <w:pageBreakBefore w:val="0"/>
        <w:kinsoku/>
        <w:wordWrap/>
        <w:overflowPunct/>
        <w:topLinePunct w:val="0"/>
        <w:autoSpaceDE/>
        <w:autoSpaceDN/>
        <w:bidi w:val="0"/>
        <w:snapToGrid w:val="0"/>
        <w:spacing w:line="380" w:lineRule="exact"/>
        <w:ind w:firstLine="482" w:firstLineChars="200"/>
        <w:textAlignment w:val="auto"/>
        <w:rPr>
          <w:rFonts w:hint="eastAsia" w:ascii="宋体" w:hAnsi="Times New Roman" w:eastAsia="宋体" w:cs="Arial"/>
          <w:b/>
          <w:bCs/>
          <w:color w:val="auto"/>
          <w:sz w:val="24"/>
          <w:highlight w:val="none"/>
        </w:rPr>
      </w:pPr>
      <w:r>
        <w:rPr>
          <w:rFonts w:hint="eastAsia" w:ascii="宋体" w:cs="Arial"/>
          <w:b/>
          <w:bCs/>
          <w:color w:val="auto"/>
          <w:sz w:val="24"/>
          <w:highlight w:val="none"/>
          <w:lang w:val="en-US" w:eastAsia="zh-CN"/>
        </w:rPr>
        <w:t>2、</w:t>
      </w:r>
      <w:r>
        <w:rPr>
          <w:rFonts w:hint="eastAsia" w:ascii="宋体" w:hAnsi="Times New Roman" w:eastAsia="宋体" w:cs="Arial"/>
          <w:b/>
          <w:bCs/>
          <w:color w:val="auto"/>
          <w:sz w:val="24"/>
          <w:highlight w:val="none"/>
        </w:rPr>
        <w:t>落实政府采购政策需满足的资格要求：</w:t>
      </w:r>
    </w:p>
    <w:p w14:paraId="7ABECDC1">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Times New Roman" w:eastAsia="宋体" w:cs="Arial"/>
          <w:color w:val="auto"/>
          <w:sz w:val="24"/>
          <w:highlight w:val="none"/>
        </w:rPr>
      </w:pPr>
      <w:bookmarkStart w:id="0" w:name="OLE_LINK4"/>
      <w:r>
        <w:rPr>
          <w:rFonts w:hint="eastAsia" w:ascii="宋体" w:hAnsi="Times New Roman" w:eastAsia="宋体" w:cs="Arial"/>
          <w:color w:val="auto"/>
          <w:sz w:val="24"/>
          <w:highlight w:val="none"/>
        </w:rPr>
        <w:t>A、</w:t>
      </w:r>
      <w:r>
        <w:rPr>
          <w:rFonts w:hint="eastAsia" w:ascii="宋体" w:hAnsi="Times New Roman" w:eastAsia="宋体" w:cs="Arial"/>
          <w:color w:val="auto"/>
          <w:sz w:val="24"/>
          <w:highlight w:val="none"/>
          <w:lang w:eastAsia="zh-CN"/>
        </w:rPr>
        <w:t>本项目</w:t>
      </w:r>
      <w:r>
        <w:rPr>
          <w:rFonts w:hint="eastAsia" w:ascii="宋体" w:cs="Arial"/>
          <w:color w:val="auto"/>
          <w:sz w:val="24"/>
          <w:highlight w:val="none"/>
          <w:lang w:eastAsia="zh-CN"/>
        </w:rPr>
        <w:t>不限，所有大中小企业均可参加</w:t>
      </w:r>
      <w:r>
        <w:rPr>
          <w:rFonts w:hint="eastAsia" w:ascii="宋体" w:hAnsi="Times New Roman" w:eastAsia="宋体" w:cs="Arial"/>
          <w:color w:val="auto"/>
          <w:sz w:val="24"/>
          <w:highlight w:val="none"/>
        </w:rPr>
        <w:t>。</w:t>
      </w:r>
    </w:p>
    <w:p w14:paraId="20C71BEE">
      <w:pPr>
        <w:spacing w:line="360" w:lineRule="auto"/>
        <w:ind w:firstLine="480" w:firstLineChars="200"/>
        <w:rPr>
          <w:rFonts w:hint="eastAsia" w:ascii="宋体" w:cs="Arial"/>
          <w:color w:val="auto"/>
          <w:sz w:val="24"/>
          <w:highlight w:val="none"/>
        </w:rPr>
      </w:pPr>
      <w:r>
        <w:rPr>
          <w:rFonts w:hint="eastAsia" w:ascii="宋体" w:hAnsi="Times New Roman" w:eastAsia="宋体" w:cs="Arial"/>
          <w:color w:val="auto"/>
          <w:sz w:val="24"/>
          <w:highlight w:val="none"/>
        </w:rPr>
        <w:t>B、接受</w:t>
      </w:r>
      <w:r>
        <w:rPr>
          <w:rFonts w:hint="eastAsia" w:ascii="宋体" w:cs="Arial"/>
          <w:color w:val="auto"/>
          <w:sz w:val="24"/>
          <w:highlight w:val="none"/>
          <w:lang w:eastAsia="zh-CN"/>
        </w:rPr>
        <w:t>大</w:t>
      </w:r>
      <w:r>
        <w:rPr>
          <w:rFonts w:hint="eastAsia" w:ascii="宋体" w:hAnsi="Times New Roman" w:eastAsia="宋体" w:cs="Arial"/>
          <w:color w:val="auto"/>
          <w:sz w:val="24"/>
          <w:highlight w:val="none"/>
        </w:rPr>
        <w:t>型企业与</w:t>
      </w:r>
      <w:r>
        <w:rPr>
          <w:rFonts w:hint="eastAsia" w:ascii="宋体" w:cs="Arial"/>
          <w:color w:val="auto"/>
          <w:sz w:val="24"/>
          <w:highlight w:val="none"/>
          <w:lang w:eastAsia="zh-CN"/>
        </w:rPr>
        <w:t>中</w:t>
      </w:r>
      <w:r>
        <w:rPr>
          <w:rFonts w:hint="eastAsia" w:ascii="宋体" w:hAnsi="Times New Roman" w:eastAsia="宋体" w:cs="Arial"/>
          <w:color w:val="auto"/>
          <w:sz w:val="24"/>
          <w:highlight w:val="none"/>
        </w:rPr>
        <w:t>小微企业组成联合体投标，接受</w:t>
      </w:r>
      <w:r>
        <w:rPr>
          <w:rFonts w:hint="eastAsia" w:ascii="宋体" w:cs="Arial"/>
          <w:color w:val="auto"/>
          <w:sz w:val="24"/>
          <w:highlight w:val="none"/>
          <w:lang w:eastAsia="zh-CN"/>
        </w:rPr>
        <w:t>大</w:t>
      </w:r>
      <w:r>
        <w:rPr>
          <w:rFonts w:hint="eastAsia" w:ascii="宋体" w:hAnsi="Times New Roman" w:eastAsia="宋体" w:cs="Arial"/>
          <w:color w:val="auto"/>
          <w:sz w:val="24"/>
          <w:highlight w:val="none"/>
        </w:rPr>
        <w:t>型企业向一家或者多家小</w:t>
      </w:r>
      <w:r>
        <w:rPr>
          <w:rFonts w:hint="eastAsia" w:ascii="宋体" w:cs="Arial"/>
          <w:color w:val="auto"/>
          <w:sz w:val="24"/>
          <w:highlight w:val="none"/>
        </w:rPr>
        <w:t>微企业分包。组成联合体投标的，需提供联合协议和中小企业声明函；向小微企业分包的，提供分包意向协议和中小企业声明函。</w:t>
      </w:r>
    </w:p>
    <w:p w14:paraId="342013DD">
      <w:pPr>
        <w:spacing w:line="360" w:lineRule="auto"/>
        <w:ind w:firstLine="480" w:firstLineChars="200"/>
        <w:rPr>
          <w:rFonts w:hint="eastAsia" w:ascii="宋体" w:cs="Arial"/>
          <w:color w:val="auto"/>
          <w:sz w:val="24"/>
          <w:highlight w:val="none"/>
        </w:rPr>
      </w:pPr>
      <w:r>
        <w:rPr>
          <w:rFonts w:hint="eastAsia" w:ascii="宋体" w:cs="Arial"/>
          <w:color w:val="auto"/>
          <w:sz w:val="24"/>
          <w:highlight w:val="none"/>
        </w:rPr>
        <w:t>C、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0CABE17">
      <w:pPr>
        <w:spacing w:line="360" w:lineRule="auto"/>
        <w:ind w:firstLine="480" w:firstLineChars="200"/>
        <w:rPr>
          <w:rFonts w:hint="eastAsia" w:ascii="宋体" w:cs="宋体"/>
          <w:b/>
          <w:color w:val="auto"/>
          <w:sz w:val="24"/>
          <w:highlight w:val="none"/>
        </w:rPr>
      </w:pPr>
      <w:r>
        <w:rPr>
          <w:rFonts w:hint="eastAsia" w:ascii="宋体" w:cs="Arial"/>
          <w:color w:val="auto"/>
          <w:sz w:val="24"/>
          <w:highlight w:val="none"/>
        </w:rPr>
        <w:t>D、中小企业享受扶持政策获得政府采购合同的，小微企业不得将合同分包给大中型企业，中型企业不得将合同分包给大型企业。组成联合体或者接受分包的中小微企业与联合体内其他大中型企业、分包的大中型企业之间存在直接控股、管理关系的，不享受《政府采购促进中小企业发展管理办法》规定的优惠政策。</w:t>
      </w:r>
    </w:p>
    <w:p w14:paraId="354EA0FB">
      <w:pPr>
        <w:spacing w:line="360" w:lineRule="auto"/>
        <w:ind w:firstLine="480" w:firstLineChars="200"/>
        <w:rPr>
          <w:rFonts w:hint="eastAsia" w:ascii="宋体" w:hAnsi="Times New Roman" w:eastAsia="宋体" w:cs="Arial"/>
          <w:color w:val="auto"/>
          <w:sz w:val="24"/>
          <w:highlight w:val="none"/>
          <w:lang w:eastAsia="zh-CN"/>
        </w:rPr>
      </w:pPr>
      <w:r>
        <w:rPr>
          <w:rFonts w:hint="eastAsia" w:ascii="宋体" w:hAnsi="Times New Roman" w:eastAsia="宋体" w:cs="Arial"/>
          <w:color w:val="auto"/>
          <w:sz w:val="24"/>
          <w:highlight w:val="none"/>
        </w:rPr>
        <w:t>E、采购项目需要落实的政府采购政策：执行节约能源、保护环境相关的节能产品政府强制采购和优先采购政策，执行环境标志产品政府优先采购政策；执行扶持不发达地区和少数民族地区、促进中小企业发展、支持监狱企业发展、促进残疾人就业、支持中小企业信用融资等政府采购政策。</w:t>
      </w:r>
      <w:bookmarkEnd w:id="0"/>
    </w:p>
    <w:p w14:paraId="4B1B310A">
      <w:pPr>
        <w:keepNext w:val="0"/>
        <w:keepLines w:val="0"/>
        <w:pageBreakBefore w:val="0"/>
        <w:kinsoku/>
        <w:wordWrap/>
        <w:overflowPunct/>
        <w:topLinePunct w:val="0"/>
        <w:autoSpaceDE/>
        <w:autoSpaceDN/>
        <w:bidi w:val="0"/>
        <w:adjustRightInd w:val="0"/>
        <w:snapToGrid w:val="0"/>
        <w:spacing w:line="380" w:lineRule="exact"/>
        <w:ind w:firstLine="482" w:firstLineChars="200"/>
        <w:textAlignment w:val="auto"/>
        <w:rPr>
          <w:rFonts w:hint="eastAsia" w:ascii="宋体" w:hAnsi="宋体" w:eastAsia="宋体" w:cs="宋体"/>
          <w:color w:val="auto"/>
          <w:sz w:val="24"/>
          <w:highlight w:val="none"/>
          <w:lang w:val="en-US" w:eastAsia="zh-CN"/>
        </w:rPr>
      </w:pPr>
      <w:r>
        <w:rPr>
          <w:rFonts w:hint="eastAsia" w:ascii="宋体" w:hAnsi="Times New Roman" w:eastAsia="宋体" w:cs="Arial"/>
          <w:b/>
          <w:bCs/>
          <w:color w:val="auto"/>
          <w:sz w:val="24"/>
          <w:highlight w:val="none"/>
        </w:rPr>
        <w:t>▲</w:t>
      </w:r>
      <w:r>
        <w:rPr>
          <w:rFonts w:hint="eastAsia" w:ascii="宋体" w:cs="Arial"/>
          <w:b/>
          <w:bCs/>
          <w:color w:val="auto"/>
          <w:sz w:val="24"/>
          <w:highlight w:val="none"/>
          <w:lang w:val="en-US" w:eastAsia="zh-CN"/>
        </w:rPr>
        <w:t>3</w:t>
      </w:r>
      <w:r>
        <w:rPr>
          <w:rFonts w:hint="eastAsia" w:ascii="宋体" w:hAnsi="宋体" w:eastAsia="宋体" w:cs="宋体"/>
          <w:color w:val="auto"/>
          <w:sz w:val="24"/>
          <w:highlight w:val="none"/>
          <w:lang w:val="en-US" w:eastAsia="zh-CN"/>
        </w:rPr>
        <w:t>、投标人的特定条件：</w:t>
      </w:r>
    </w:p>
    <w:p w14:paraId="33D1CFF0">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Times New Roman" w:eastAsia="宋体" w:cs="Arial"/>
          <w:color w:val="auto"/>
          <w:sz w:val="24"/>
          <w:highlight w:val="none"/>
        </w:rPr>
      </w:pPr>
      <w:r>
        <w:rPr>
          <w:rFonts w:hint="eastAsia" w:ascii="宋体" w:cs="Arial"/>
          <w:color w:val="auto"/>
          <w:sz w:val="24"/>
          <w:highlight w:val="none"/>
          <w:lang w:val="en-US" w:eastAsia="zh-CN"/>
        </w:rPr>
        <w:t>A、</w:t>
      </w:r>
      <w:r>
        <w:rPr>
          <w:rFonts w:hint="eastAsia" w:ascii="宋体" w:hAnsi="Times New Roman" w:eastAsia="宋体" w:cs="Arial"/>
          <w:color w:val="auto"/>
          <w:sz w:val="24"/>
          <w:highlight w:val="none"/>
        </w:rPr>
        <w:t>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失信主体、政府采购严重违法失信行为记录名单。近三年各行政部门处罚的以上两网未记录的其他重大违法记录，经举报查实的，取消中标资格。</w:t>
      </w:r>
    </w:p>
    <w:p w14:paraId="798041A8">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cs="Arial"/>
          <w:color w:val="auto"/>
          <w:sz w:val="24"/>
          <w:highlight w:val="none"/>
          <w:lang w:val="en-US" w:eastAsia="zh-CN"/>
        </w:rPr>
        <w:t>B、</w:t>
      </w:r>
      <w:r>
        <w:rPr>
          <w:rFonts w:hint="eastAsia" w:ascii="宋体" w:hAnsi="宋体" w:cs="宋体"/>
          <w:color w:val="auto"/>
          <w:sz w:val="24"/>
          <w:highlight w:val="none"/>
        </w:rPr>
        <w:t>投标人须</w:t>
      </w:r>
      <w:r>
        <w:rPr>
          <w:rFonts w:hint="eastAsia" w:ascii="宋体" w:hAnsi="宋体" w:eastAsia="宋体" w:cs="宋体"/>
          <w:color w:val="auto"/>
          <w:kern w:val="2"/>
          <w:sz w:val="24"/>
          <w:szCs w:val="24"/>
          <w:highlight w:val="none"/>
          <w:lang w:val="en-US" w:eastAsia="zh-CN" w:bidi="ar-SA"/>
        </w:rPr>
        <w:t>具备</w:t>
      </w:r>
      <w:r>
        <w:rPr>
          <w:rFonts w:hint="eastAsia" w:ascii="宋体" w:hAnsi="宋体" w:cs="宋体"/>
          <w:color w:val="auto"/>
          <w:sz w:val="24"/>
          <w:highlight w:val="none"/>
        </w:rPr>
        <w:t>城乡规划编制甲级资质或土地规划编制甲级资质</w:t>
      </w:r>
      <w:r>
        <w:rPr>
          <w:rFonts w:hint="eastAsia" w:ascii="宋体" w:hAnsi="宋体" w:cs="宋体"/>
          <w:color w:val="auto"/>
          <w:sz w:val="24"/>
          <w:highlight w:val="none"/>
          <w:lang w:eastAsia="zh-CN"/>
        </w:rPr>
        <w:t>。</w:t>
      </w:r>
    </w:p>
    <w:p w14:paraId="2B8D8D98">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Times New Roman" w:eastAsia="宋体" w:cs="Arial"/>
          <w:color w:val="auto"/>
          <w:sz w:val="24"/>
          <w:highlight w:val="none"/>
        </w:rPr>
      </w:pPr>
      <w:r>
        <w:rPr>
          <w:rFonts w:hint="eastAsia" w:ascii="宋体" w:cs="Arial"/>
          <w:color w:val="auto"/>
          <w:sz w:val="24"/>
          <w:highlight w:val="none"/>
          <w:lang w:val="en-US" w:eastAsia="zh-CN"/>
        </w:rPr>
        <w:t>C、</w:t>
      </w:r>
      <w:r>
        <w:rPr>
          <w:rFonts w:hint="eastAsia" w:ascii="宋体" w:hAnsi="Times New Roman" w:eastAsia="宋体" w:cs="Arial"/>
          <w:color w:val="auto"/>
          <w:sz w:val="24"/>
          <w:highlight w:val="none"/>
        </w:rPr>
        <w:t>本项目接受联合体投标，联合体协议书内容、权力和义务、分工等必须明确、具体。</w:t>
      </w:r>
    </w:p>
    <w:p w14:paraId="613D276D">
      <w:pPr>
        <w:keepNext w:val="0"/>
        <w:keepLines w:val="0"/>
        <w:pageBreakBefore w:val="0"/>
        <w:kinsoku/>
        <w:wordWrap/>
        <w:overflowPunct/>
        <w:topLinePunct w:val="0"/>
        <w:autoSpaceDE/>
        <w:autoSpaceDN/>
        <w:bidi w:val="0"/>
        <w:snapToGrid w:val="0"/>
        <w:spacing w:line="38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 xml:space="preserve">▲三、获取招标文件： </w:t>
      </w:r>
    </w:p>
    <w:p w14:paraId="6D10C8FB">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color w:val="auto"/>
          <w:sz w:val="24"/>
          <w:highlight w:val="none"/>
        </w:rPr>
      </w:pPr>
      <w:r>
        <w:rPr>
          <w:rFonts w:hint="eastAsia" w:ascii="宋体"/>
          <w:color w:val="auto"/>
          <w:sz w:val="24"/>
          <w:highlight w:val="none"/>
        </w:rPr>
        <w:t>招标人不再向投标人提供纸质招标文件，请投标人自行在下列网址下载电子版的招标文件，招标文件不收工本费。</w:t>
      </w:r>
    </w:p>
    <w:p w14:paraId="7A0E6572">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地点（网址）：浙江政府采购网（http://zfcg.czt.zj.gov.cn/）； 东阳市公共资源交易网</w:t>
      </w:r>
      <w:r>
        <w:rPr>
          <w:rFonts w:hint="eastAsia" w:ascii="宋体" w:hAnsi="宋体" w:cs="Arial"/>
          <w:color w:val="auto"/>
          <w:sz w:val="24"/>
          <w:highlight w:val="none"/>
        </w:rPr>
        <w:t>(</w:t>
      </w:r>
      <w:r>
        <w:rPr>
          <w:rFonts w:hint="eastAsia" w:ascii="宋体" w:hAnsi="宋体" w:cs="宋体"/>
          <w:color w:val="auto"/>
          <w:sz w:val="24"/>
          <w:highlight w:val="none"/>
          <w:u w:val="single"/>
        </w:rPr>
        <w:t>http://www.dongyang.gov.cn/ggzyjy/index.html</w:t>
      </w:r>
      <w:r>
        <w:rPr>
          <w:rFonts w:hint="eastAsia" w:ascii="宋体" w:hAnsi="宋体" w:cs="Arial"/>
          <w:color w:val="auto"/>
          <w:sz w:val="24"/>
          <w:highlight w:val="none"/>
        </w:rPr>
        <w:t>)。</w:t>
      </w:r>
    </w:p>
    <w:p w14:paraId="0FCC4E0E">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方式：1、由投标人通过登录浙江省政府采购网(http://zfcg.czt.zj.gov.cn/)上的政采云系统进行获取（首次参加投标的单位应先登录浙江省政府采购网(http://zfcg.czt.zj.gov.cn/)进行账户注册，注册完毕待审核成功后方可登录政采云系统获取；注册流程见网址</w:t>
      </w:r>
    </w:p>
    <w:p w14:paraId="32470A7C">
      <w:pPr>
        <w:keepNext w:val="0"/>
        <w:keepLines w:val="0"/>
        <w:pageBreakBefore w:val="0"/>
        <w:kinsoku/>
        <w:wordWrap/>
        <w:overflowPunct/>
        <w:topLinePunct w:val="0"/>
        <w:autoSpaceDE/>
        <w:autoSpaceDN/>
        <w:bidi w:val="0"/>
        <w:snapToGrid w:val="0"/>
        <w:spacing w:line="38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http://zfcg.czt.zj.gov.cn/register/2017-07-24/6728.html?_=2017-11-13%2011:10:28）；</w:t>
      </w:r>
    </w:p>
    <w:p w14:paraId="7154AF9E">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highlight w:val="none"/>
        </w:rPr>
      </w:pPr>
      <w:r>
        <w:rPr>
          <w:rFonts w:hint="eastAsia" w:ascii="宋体" w:hAnsi="宋体" w:cs="宋体"/>
          <w:color w:val="auto"/>
          <w:sz w:val="24"/>
          <w:highlight w:val="none"/>
        </w:rPr>
        <w:t>2、招标文件获取流程：浙江政府采购网-政采云用户登录-用户中心-项目采购-获取采购文件管理。</w:t>
      </w:r>
    </w:p>
    <w:p w14:paraId="0CDFE7CD">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3、浙江政府采购网上以“游客”身份获取的采购文件仅供阅览；潜在供应商应按上述方式获取采购文件；未按上述方式获取采购文件的，不得对采购文件提起质疑投诉。</w:t>
      </w:r>
    </w:p>
    <w:p w14:paraId="364699A4">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售价（元）：0</w:t>
      </w:r>
    </w:p>
    <w:p w14:paraId="27D326FB">
      <w:pPr>
        <w:keepNext w:val="0"/>
        <w:keepLines w:val="0"/>
        <w:pageBreakBefore w:val="0"/>
        <w:kinsoku/>
        <w:wordWrap/>
        <w:overflowPunct/>
        <w:topLinePunct w:val="0"/>
        <w:autoSpaceDE/>
        <w:autoSpaceDN/>
        <w:bidi w:val="0"/>
        <w:snapToGrid w:val="0"/>
        <w:spacing w:line="38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416C79D8">
      <w:pPr>
        <w:keepNext w:val="0"/>
        <w:keepLines w:val="0"/>
        <w:pageBreakBefore w:val="0"/>
        <w:kinsoku/>
        <w:wordWrap/>
        <w:overflowPunct/>
        <w:topLinePunct w:val="0"/>
        <w:autoSpaceDE/>
        <w:autoSpaceDN/>
        <w:bidi w:val="0"/>
        <w:snapToGrid w:val="0"/>
        <w:spacing w:line="3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rPr>
        <w:t>投标地点（网址）：政采云平台</w:t>
      </w:r>
      <w:r>
        <w:rPr>
          <w:rFonts w:hint="eastAsia" w:ascii="宋体" w:hAnsi="宋体" w:eastAsia="宋体" w:cs="宋体"/>
          <w:b/>
          <w:bCs/>
          <w:color w:val="auto"/>
          <w:sz w:val="24"/>
          <w:highlight w:val="none"/>
        </w:rPr>
        <w:t>（https://www.zcygov.cn/）</w:t>
      </w:r>
    </w:p>
    <w:p w14:paraId="1CD57974">
      <w:pPr>
        <w:keepNext w:val="0"/>
        <w:keepLines w:val="0"/>
        <w:pageBreakBefore w:val="0"/>
        <w:kinsoku/>
        <w:wordWrap/>
        <w:overflowPunct/>
        <w:topLinePunct w:val="0"/>
        <w:autoSpaceDE/>
        <w:autoSpaceDN/>
        <w:bidi w:val="0"/>
        <w:snapToGrid w:val="0"/>
        <w:spacing w:line="3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提交投标文件截止时间：</w:t>
      </w:r>
      <w:r>
        <w:rPr>
          <w:rFonts w:hint="eastAsia" w:ascii="宋体" w:hAnsi="宋体" w:cs="宋体"/>
          <w:b/>
          <w:bCs/>
          <w:color w:val="auto"/>
          <w:sz w:val="24"/>
          <w:highlight w:val="none"/>
          <w:lang w:eastAsia="zh-CN"/>
        </w:rPr>
        <w:t>2026年</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lang w:eastAsia="zh-CN"/>
        </w:rPr>
        <w:t>月</w:t>
      </w:r>
      <w:r>
        <w:rPr>
          <w:rFonts w:hint="eastAsia" w:ascii="宋体" w:hAnsi="宋体" w:cs="宋体"/>
          <w:b/>
          <w:bCs/>
          <w:color w:val="auto"/>
          <w:sz w:val="24"/>
          <w:highlight w:val="none"/>
          <w:lang w:val="en-US" w:eastAsia="zh-CN"/>
        </w:rPr>
        <w:t>23</w:t>
      </w:r>
      <w:r>
        <w:rPr>
          <w:rFonts w:hint="eastAsia" w:ascii="宋体" w:hAnsi="宋体" w:cs="宋体"/>
          <w:b/>
          <w:bCs/>
          <w:color w:val="auto"/>
          <w:sz w:val="24"/>
          <w:highlight w:val="none"/>
          <w:lang w:eastAsia="zh-CN"/>
        </w:rPr>
        <w:t>日</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点</w:t>
      </w:r>
      <w:r>
        <w:rPr>
          <w:rFonts w:hint="eastAsia" w:ascii="宋体" w:hAnsi="宋体" w:eastAsia="宋体" w:cs="宋体"/>
          <w:b/>
          <w:bCs/>
          <w:color w:val="auto"/>
          <w:sz w:val="24"/>
          <w:highlight w:val="none"/>
          <w:lang w:val="en-US" w:eastAsia="zh-CN"/>
        </w:rPr>
        <w:t>00分</w:t>
      </w:r>
      <w:r>
        <w:rPr>
          <w:rFonts w:hint="eastAsia" w:ascii="宋体" w:hAnsi="宋体" w:eastAsia="宋体" w:cs="宋体"/>
          <w:b/>
          <w:bCs/>
          <w:color w:val="auto"/>
          <w:sz w:val="24"/>
          <w:highlight w:val="none"/>
        </w:rPr>
        <w:t>（北京时间）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应当在投标截止时间前完成电子投标文件的传输递交，投标截止时间前可以补充、修改或者撤回电子投标文件。补充或者修改电子投标文件的，应当先行撤回原电子投标文件，补充、修改后重新传输递交。投标截止时间前未完成传输的，视为撤回投标文件。</w:t>
      </w:r>
    </w:p>
    <w:p w14:paraId="07D25D32">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投标人可以在投标截止时间前将电子备份投标文件（经政采云电子交易客户端和CA驱动制作出的后缀名为“bfbs”的加密电子备份投标文件）发送至邮箱：</w:t>
      </w:r>
      <w:r>
        <w:rPr>
          <w:rFonts w:hint="eastAsia" w:ascii="宋体" w:hAnsi="宋体" w:eastAsia="宋体" w:cs="宋体"/>
          <w:color w:val="auto"/>
          <w:sz w:val="24"/>
          <w:highlight w:val="none"/>
          <w:lang w:val="en-US" w:eastAsia="zh-CN"/>
        </w:rPr>
        <w:t>1722002832</w:t>
      </w:r>
      <w:r>
        <w:rPr>
          <w:rFonts w:hint="eastAsia" w:ascii="宋体" w:hAnsi="宋体" w:eastAsia="宋体" w:cs="宋体"/>
          <w:color w:val="auto"/>
          <w:sz w:val="24"/>
          <w:highlight w:val="none"/>
        </w:rPr>
        <w:t>@qq.com，逾期发送或发错后缀名的备份投标文件将被视为无效；电子备份投标文件的提交不作强制要求。</w:t>
      </w:r>
    </w:p>
    <w:p w14:paraId="3FBE4B33">
      <w:pPr>
        <w:keepNext w:val="0"/>
        <w:keepLines w:val="0"/>
        <w:pageBreakBefore w:val="0"/>
        <w:kinsoku/>
        <w:wordWrap/>
        <w:overflowPunct/>
        <w:topLinePunct w:val="0"/>
        <w:autoSpaceDE/>
        <w:autoSpaceDN/>
        <w:bidi w:val="0"/>
        <w:snapToGrid w:val="0"/>
        <w:spacing w:line="380" w:lineRule="exact"/>
        <w:ind w:firstLine="481"/>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开标地点（网址）：政采云平台</w:t>
      </w:r>
      <w:r>
        <w:rPr>
          <w:rFonts w:hint="eastAsia" w:ascii="宋体" w:hAnsi="宋体" w:eastAsia="宋体" w:cs="宋体"/>
          <w:b/>
          <w:bCs/>
          <w:color w:val="auto"/>
          <w:sz w:val="24"/>
          <w:highlight w:val="none"/>
        </w:rPr>
        <w:t>（https://www.zcygov.cn/）</w:t>
      </w:r>
    </w:p>
    <w:p w14:paraId="063C2EF2">
      <w:pPr>
        <w:keepNext w:val="0"/>
        <w:keepLines w:val="0"/>
        <w:pageBreakBefore w:val="0"/>
        <w:kinsoku/>
        <w:wordWrap/>
        <w:overflowPunct/>
        <w:topLinePunct w:val="0"/>
        <w:autoSpaceDE/>
        <w:autoSpaceDN/>
        <w:bidi w:val="0"/>
        <w:snapToGrid w:val="0"/>
        <w:spacing w:line="380" w:lineRule="exact"/>
        <w:ind w:firstLine="482" w:firstLine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rPr>
        <w:t>开标时间：</w:t>
      </w:r>
      <w:r>
        <w:rPr>
          <w:rFonts w:hint="eastAsia" w:ascii="宋体" w:hAnsi="宋体" w:cs="宋体"/>
          <w:b/>
          <w:bCs/>
          <w:color w:val="auto"/>
          <w:sz w:val="24"/>
          <w:highlight w:val="none"/>
          <w:u w:val="single"/>
          <w:lang w:eastAsia="zh-CN"/>
        </w:rPr>
        <w:t>2026年</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lang w:eastAsia="zh-CN"/>
        </w:rPr>
        <w:t>月</w:t>
      </w:r>
      <w:r>
        <w:rPr>
          <w:rFonts w:hint="eastAsia" w:ascii="宋体" w:hAnsi="宋体" w:cs="宋体"/>
          <w:b/>
          <w:bCs/>
          <w:color w:val="auto"/>
          <w:sz w:val="24"/>
          <w:highlight w:val="none"/>
          <w:u w:val="single"/>
          <w:lang w:val="en-US" w:eastAsia="zh-CN"/>
        </w:rPr>
        <w:t>23</w:t>
      </w:r>
      <w:r>
        <w:rPr>
          <w:rFonts w:hint="eastAsia" w:ascii="宋体" w:hAnsi="宋体" w:cs="宋体"/>
          <w:b/>
          <w:bCs/>
          <w:color w:val="auto"/>
          <w:sz w:val="24"/>
          <w:highlight w:val="none"/>
          <w:u w:val="single"/>
          <w:lang w:eastAsia="zh-CN"/>
        </w:rPr>
        <w:t>日</w:t>
      </w:r>
      <w:r>
        <w:rPr>
          <w:rFonts w:hint="eastAsia" w:ascii="宋体" w:hAnsi="宋体" w:cs="宋体"/>
          <w:b/>
          <w:bCs/>
          <w:color w:val="auto"/>
          <w:sz w:val="24"/>
          <w:highlight w:val="none"/>
          <w:u w:val="single"/>
          <w:lang w:val="en-US" w:eastAsia="zh-CN"/>
        </w:rPr>
        <w:t>9</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00分</w:t>
      </w:r>
      <w:r>
        <w:rPr>
          <w:rFonts w:hint="eastAsia" w:ascii="宋体" w:hAnsi="宋体" w:eastAsia="宋体" w:cs="宋体"/>
          <w:b/>
          <w:bCs/>
          <w:color w:val="auto"/>
          <w:sz w:val="24"/>
          <w:highlight w:val="none"/>
        </w:rPr>
        <w:t>（北京时间）</w:t>
      </w:r>
      <w:r>
        <w:rPr>
          <w:rFonts w:hint="eastAsia" w:ascii="宋体" w:hAnsi="宋体" w:cs="宋体"/>
          <w:bCs/>
          <w:color w:val="auto"/>
          <w:sz w:val="24"/>
          <w:highlight w:val="none"/>
          <w:u w:val="none"/>
          <w:lang w:val="en-US" w:eastAsia="zh-CN"/>
        </w:rPr>
        <w:t>，</w:t>
      </w:r>
      <w:r>
        <w:rPr>
          <w:rFonts w:hint="eastAsia" w:ascii="宋体" w:hAnsi="宋体" w:eastAsia="宋体" w:cs="宋体"/>
          <w:color w:val="auto"/>
          <w:sz w:val="24"/>
          <w:highlight w:val="none"/>
        </w:rPr>
        <w:t>本项目不要求投标人到开标现场开标，但投标人应派法定代表人或委托代理人【委托代理人应当是投标人的在职正式职工（以社保网站拉具的含授权代表的投标单位社保清单为准，无社保网站拉具的投标单位社保清单的，可以提供投标人注册所在地社保部门出具的投标人本单位缴纳社保花名册）】准时在线出席电子开标会议，随时关注开标进度，如在开标过程中有电子询标，应在规定的时间内对电子询标函进行澄清、答复。</w:t>
      </w:r>
    </w:p>
    <w:p w14:paraId="01733364">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投标人未按招标文件要求派代表参加电子开标会议的，视同认可开标结果，不得对开标过程及开标结果提出质疑。</w:t>
      </w:r>
    </w:p>
    <w:p w14:paraId="6D80D465">
      <w:pPr>
        <w:keepNext w:val="0"/>
        <w:keepLines w:val="0"/>
        <w:pageBreakBefore w:val="0"/>
        <w:numPr>
          <w:ilvl w:val="0"/>
          <w:numId w:val="0"/>
        </w:numPr>
        <w:kinsoku/>
        <w:wordWrap/>
        <w:overflowPunct/>
        <w:topLinePunct w:val="0"/>
        <w:autoSpaceDE/>
        <w:autoSpaceDN/>
        <w:bidi w:val="0"/>
        <w:snapToGrid w:val="0"/>
        <w:spacing w:line="380" w:lineRule="exac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五、</w:t>
      </w:r>
      <w:r>
        <w:rPr>
          <w:rFonts w:hint="eastAsia" w:ascii="宋体" w:hAnsi="宋体" w:eastAsia="宋体" w:cs="宋体"/>
          <w:b/>
          <w:bCs/>
          <w:color w:val="auto"/>
          <w:sz w:val="24"/>
          <w:highlight w:val="none"/>
          <w:lang w:val="en-US" w:eastAsia="zh-CN"/>
        </w:rPr>
        <w:t>采购意向公开链接</w:t>
      </w:r>
    </w:p>
    <w:p w14:paraId="7411DD84">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"https://zfcg.czt.zj.gov.cn/site/detail?parentId=600007&amp;articleId=4207XPh1PD6pQRTvOjo8mQ%3D%3D" </w:instrText>
      </w:r>
      <w:r>
        <w:rPr>
          <w:rFonts w:hint="eastAsia" w:ascii="宋体" w:hAnsi="宋体" w:eastAsia="宋体" w:cs="宋体"/>
          <w:color w:val="auto"/>
          <w:sz w:val="24"/>
          <w:highlight w:val="none"/>
        </w:rPr>
        <w:fldChar w:fldCharType="separate"/>
      </w:r>
      <w:r>
        <w:rPr>
          <w:rStyle w:val="28"/>
          <w:rFonts w:hint="eastAsia" w:ascii="宋体" w:hAnsi="宋体" w:eastAsia="宋体" w:cs="宋体"/>
          <w:color w:val="auto"/>
          <w:sz w:val="24"/>
          <w:highlight w:val="none"/>
        </w:rPr>
        <w:t>https://zfcg.czt.zj.gov.cn/site/detail?parentId=600007&amp;articleId=4207XPh1PD6pQRTvOjo8mQ%3D%3D</w:t>
      </w:r>
      <w:r>
        <w:rPr>
          <w:rFonts w:hint="eastAsia" w:ascii="宋体" w:hAnsi="宋体" w:eastAsia="宋体" w:cs="宋体"/>
          <w:color w:val="auto"/>
          <w:sz w:val="24"/>
          <w:highlight w:val="none"/>
        </w:rPr>
        <w:fldChar w:fldCharType="end"/>
      </w:r>
    </w:p>
    <w:p w14:paraId="4CED387B">
      <w:pPr>
        <w:keepNext w:val="0"/>
        <w:keepLines w:val="0"/>
        <w:pageBreakBefore w:val="0"/>
        <w:kinsoku/>
        <w:wordWrap/>
        <w:overflowPunct/>
        <w:topLinePunct w:val="0"/>
        <w:autoSpaceDE/>
        <w:autoSpaceDN/>
        <w:bidi w:val="0"/>
        <w:snapToGrid w:val="0"/>
        <w:spacing w:line="380" w:lineRule="exact"/>
        <w:textAlignment w:val="auto"/>
        <w:rPr>
          <w:rFonts w:ascii="宋体" w:hAnsi="宋体" w:cs="宋体"/>
          <w:b/>
          <w:bCs/>
          <w:color w:val="auto"/>
          <w:sz w:val="24"/>
          <w:highlight w:val="none"/>
        </w:rPr>
      </w:pPr>
      <w:r>
        <w:rPr>
          <w:rFonts w:hint="eastAsia" w:ascii="宋体" w:hAnsi="宋体" w:cs="宋体"/>
          <w:b/>
          <w:bCs/>
          <w:color w:val="auto"/>
          <w:sz w:val="24"/>
          <w:highlight w:val="none"/>
          <w:lang w:eastAsia="zh-CN"/>
        </w:rPr>
        <w:t>六</w:t>
      </w:r>
      <w:r>
        <w:rPr>
          <w:rFonts w:hint="eastAsia" w:ascii="宋体" w:hAnsi="宋体" w:cs="宋体"/>
          <w:b/>
          <w:bCs/>
          <w:color w:val="auto"/>
          <w:sz w:val="24"/>
          <w:highlight w:val="none"/>
        </w:rPr>
        <w:t>、公告期限</w:t>
      </w:r>
    </w:p>
    <w:p w14:paraId="2593819C">
      <w:pPr>
        <w:keepNext w:val="0"/>
        <w:keepLines w:val="0"/>
        <w:pageBreakBefore w:val="0"/>
        <w:numPr>
          <w:ilvl w:val="0"/>
          <w:numId w:val="0"/>
        </w:numPr>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3EBAA308">
      <w:pPr>
        <w:keepNext w:val="0"/>
        <w:keepLines w:val="0"/>
        <w:pageBreakBefore w:val="0"/>
        <w:numPr>
          <w:ilvl w:val="0"/>
          <w:numId w:val="0"/>
        </w:numPr>
        <w:kinsoku/>
        <w:wordWrap/>
        <w:overflowPunct/>
        <w:topLinePunct w:val="0"/>
        <w:autoSpaceDE/>
        <w:autoSpaceDN/>
        <w:bidi w:val="0"/>
        <w:snapToGrid w:val="0"/>
        <w:spacing w:line="380" w:lineRule="exact"/>
        <w:textAlignment w:val="auto"/>
        <w:rPr>
          <w:rFonts w:ascii="宋体" w:hAnsi="宋体" w:cs="宋体"/>
          <w:b/>
          <w:bCs/>
          <w:color w:val="auto"/>
          <w:sz w:val="24"/>
          <w:highlight w:val="none"/>
        </w:rPr>
      </w:pPr>
      <w:r>
        <w:rPr>
          <w:rFonts w:hint="eastAsia" w:ascii="宋体" w:hAnsi="宋体" w:cs="宋体"/>
          <w:b/>
          <w:bCs/>
          <w:color w:val="auto"/>
          <w:sz w:val="24"/>
          <w:highlight w:val="none"/>
          <w:lang w:eastAsia="zh-CN"/>
        </w:rPr>
        <w:t>七、</w:t>
      </w:r>
      <w:r>
        <w:rPr>
          <w:rFonts w:hint="eastAsia" w:ascii="宋体" w:hAnsi="宋体" w:cs="宋体"/>
          <w:b/>
          <w:bCs/>
          <w:color w:val="auto"/>
          <w:sz w:val="24"/>
          <w:highlight w:val="none"/>
        </w:rPr>
        <w:t>其他补充事宜</w:t>
      </w:r>
    </w:p>
    <w:p w14:paraId="3343B9B4">
      <w:pPr>
        <w:keepNext w:val="0"/>
        <w:keepLines w:val="0"/>
        <w:pageBreakBefore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w:t>
      </w:r>
      <w:r>
        <w:rPr>
          <w:rFonts w:hint="eastAsia" w:ascii="宋体" w:hAnsi="宋体" w:cs="宋体"/>
          <w:color w:val="auto"/>
          <w:sz w:val="24"/>
          <w:highlight w:val="none"/>
        </w:rPr>
        <w:t>应商认为采购文件使自己的权益受到损害的，可以自获取采购文件之日或者采购文件公告期限届满之日（公告期限届满后获取采购文件的，以公告期限届满之日为准）起7个工作日内，以书面形式</w:t>
      </w:r>
      <w:r>
        <w:rPr>
          <w:rFonts w:hint="eastAsia" w:ascii="宋体" w:hAnsi="宋体" w:eastAsia="宋体" w:cs="宋体"/>
          <w:color w:val="auto"/>
          <w:sz w:val="24"/>
          <w:highlight w:val="none"/>
        </w:rPr>
        <w:t>（纸质）一次性向采</w:t>
      </w:r>
      <w:r>
        <w:rPr>
          <w:rFonts w:hint="eastAsia" w:ascii="宋体" w:hAnsi="宋体" w:cs="宋体"/>
          <w:color w:val="auto"/>
          <w:sz w:val="24"/>
          <w:highlight w:val="none"/>
        </w:rPr>
        <w:t>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E6568D4">
      <w:pPr>
        <w:keepNext w:val="0"/>
        <w:keepLines w:val="0"/>
        <w:pageBreakBefore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供应商应知其权益受到损害之日，是指：</w:t>
      </w:r>
    </w:p>
    <w:p w14:paraId="2F366DC3">
      <w:pPr>
        <w:keepNext w:val="0"/>
        <w:keepLines w:val="0"/>
        <w:pageBreakBefore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（1）对可以质疑的采购文件提出质疑的，为获取采购文件之日（采购公告期限届满之日后获取采购文件的为采购公告期限届满之日）。</w:t>
      </w:r>
    </w:p>
    <w:p w14:paraId="26F2EF88">
      <w:pPr>
        <w:keepNext w:val="0"/>
        <w:keepLines w:val="0"/>
        <w:pageBreakBefore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14:paraId="06233046">
      <w:pPr>
        <w:keepNext w:val="0"/>
        <w:keepLines w:val="0"/>
        <w:pageBreakBefore w:val="0"/>
        <w:kinsoku/>
        <w:wordWrap/>
        <w:overflowPunct/>
        <w:topLinePunct w:val="0"/>
        <w:autoSpaceDE/>
        <w:autoSpaceDN/>
        <w:bidi w:val="0"/>
        <w:adjustRightInd w:val="0"/>
        <w:snapToGrid w:val="0"/>
        <w:spacing w:line="380" w:lineRule="exact"/>
        <w:ind w:firstLine="480" w:firstLineChars="200"/>
        <w:textAlignment w:val="auto"/>
        <w:rPr>
          <w:color w:val="auto"/>
          <w:highlight w:val="none"/>
        </w:rPr>
      </w:pPr>
      <w:r>
        <w:rPr>
          <w:rFonts w:hint="eastAsia" w:ascii="宋体" w:hAnsi="宋体" w:eastAsia="宋体" w:cs="宋体"/>
          <w:color w:val="auto"/>
          <w:sz w:val="24"/>
          <w:highlight w:val="none"/>
        </w:rPr>
        <w:t>（3）对成交结果提出质疑的，为成交结果公告期限届满之日。</w:t>
      </w:r>
    </w:p>
    <w:p w14:paraId="296F879C">
      <w:pPr>
        <w:keepNext w:val="0"/>
        <w:keepLines w:val="0"/>
        <w:pageBreakBefore w:val="0"/>
        <w:kinsoku/>
        <w:wordWrap/>
        <w:overflowPunct/>
        <w:topLinePunct w:val="0"/>
        <w:autoSpaceDE/>
        <w:autoSpaceDN/>
        <w:bidi w:val="0"/>
        <w:adjustRightInd w:val="0"/>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573F8C05">
      <w:pPr>
        <w:keepNext w:val="0"/>
        <w:keepLines w:val="0"/>
        <w:pageBreakBefore w:val="0"/>
        <w:kinsoku/>
        <w:wordWrap/>
        <w:overflowPunct/>
        <w:topLinePunct w:val="0"/>
        <w:autoSpaceDE/>
        <w:autoSpaceDN/>
        <w:bidi w:val="0"/>
        <w:adjustRightInd w:val="0"/>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0FFF9D5">
      <w:pPr>
        <w:keepNext w:val="0"/>
        <w:keepLines w:val="0"/>
        <w:pageBreakBefore w:val="0"/>
        <w:kinsoku/>
        <w:wordWrap/>
        <w:overflowPunct/>
        <w:topLinePunct w:val="0"/>
        <w:autoSpaceDE/>
        <w:autoSpaceDN/>
        <w:bidi w:val="0"/>
        <w:adjustRightInd w:val="0"/>
        <w:snapToGrid w:val="0"/>
        <w:spacing w:line="380" w:lineRule="exact"/>
        <w:ind w:firstLine="480" w:firstLineChars="200"/>
        <w:jc w:val="left"/>
        <w:textAlignment w:val="auto"/>
        <w:rPr>
          <w:color w:val="auto"/>
          <w:highlight w:val="none"/>
        </w:rPr>
      </w:pPr>
      <w:r>
        <w:rPr>
          <w:rFonts w:hint="eastAsia" w:ascii="宋体" w:hAnsi="宋体" w:cs="宋体"/>
          <w:color w:val="auto"/>
          <w:sz w:val="24"/>
          <w:szCs w:val="22"/>
          <w:highlight w:val="none"/>
        </w:rPr>
        <w:t>4、需要落实的政府采购政策：包括节约资源、保护环境、支持创新、促进中小企业发展等。</w:t>
      </w:r>
    </w:p>
    <w:p w14:paraId="6EDBE7E7">
      <w:pPr>
        <w:keepNext w:val="0"/>
        <w:keepLines w:val="0"/>
        <w:pageBreakBefore w:val="0"/>
        <w:kinsoku/>
        <w:wordWrap/>
        <w:overflowPunct/>
        <w:topLinePunct w:val="0"/>
        <w:autoSpaceDE/>
        <w:autoSpaceDN/>
        <w:bidi w:val="0"/>
        <w:adjustRightInd w:val="0"/>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实行电子投标，投标文件应按照本项目招标文件和政采云平台的要求编制、加密并递交。投标人在使用系统进行投标的过程中遇到涉及平台使用的任何问题，可致电政采云平台技术支持热线咨询，联系方式：400-881-7190。</w:t>
      </w:r>
    </w:p>
    <w:p w14:paraId="2EC6C926">
      <w:pPr>
        <w:keepNext w:val="0"/>
        <w:keepLines w:val="0"/>
        <w:pageBreakBefore w:val="0"/>
        <w:kinsoku/>
        <w:wordWrap/>
        <w:overflowPunct/>
        <w:topLinePunct w:val="0"/>
        <w:autoSpaceDE/>
        <w:autoSpaceDN/>
        <w:bidi w:val="0"/>
        <w:adjustRightInd w:val="0"/>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6、投 标 人 应 在 开 标 前 完 成 CA 数 字 证 书 办 理 。 （ 办 理 流 程 详 见http://zfcg.czt.zj.gov.cn/bidClientTemplate/2019-05-27/12945.html）。完成 CA 数字证书办理预计一周左右，建议各投标人抓紧时间办理。</w:t>
      </w:r>
    </w:p>
    <w:p w14:paraId="4CF4E39F">
      <w:pPr>
        <w:keepNext w:val="0"/>
        <w:keepLines w:val="0"/>
        <w:pageBreakBefore w:val="0"/>
        <w:kinsoku/>
        <w:wordWrap/>
        <w:overflowPunct/>
        <w:topLinePunct w:val="0"/>
        <w:autoSpaceDE/>
        <w:autoSpaceDN/>
        <w:bidi w:val="0"/>
        <w:adjustRightInd w:val="0"/>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7、投标人通过政采云平台电子投标工具制作投标文件，电子投标工具请供应商自行前往浙江省政府采购网下载并安装，（下载网址：http://zfcg.czt.zj.gov.cn/bidClientTemplate/2019-08-30/12975.html），</w:t>
      </w:r>
    </w:p>
    <w:p w14:paraId="01EBF1CB">
      <w:pPr>
        <w:keepNext w:val="0"/>
        <w:keepLines w:val="0"/>
        <w:pageBreakBefore w:val="0"/>
        <w:kinsoku/>
        <w:wordWrap/>
        <w:overflowPunct/>
        <w:topLinePunct w:val="0"/>
        <w:autoSpaceDE/>
        <w:autoSpaceDN/>
        <w:bidi w:val="0"/>
        <w:adjustRightInd w:val="0"/>
        <w:snapToGrid w:val="0"/>
        <w:spacing w:line="38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（电 子 投 标 相 关 学 习 网 址 ： </w:t>
      </w:r>
      <w:r>
        <w:rPr>
          <w:color w:val="auto"/>
          <w:highlight w:val="none"/>
        </w:rPr>
        <w:fldChar w:fldCharType="begin"/>
      </w:r>
      <w:r>
        <w:rPr>
          <w:color w:val="auto"/>
          <w:highlight w:val="none"/>
        </w:rPr>
        <w:instrText xml:space="preserve"> HYPERLINK "https://edu.zcygov.cn/luban/e-biding?utm=a0004.2ef5001f.0001.0109.2d44db10df9111e9b92b0f36d4889416。）" </w:instrText>
      </w:r>
      <w:r>
        <w:rPr>
          <w:color w:val="auto"/>
          <w:highlight w:val="none"/>
        </w:rPr>
        <w:fldChar w:fldCharType="separate"/>
      </w:r>
      <w:r>
        <w:rPr>
          <w:rStyle w:val="28"/>
          <w:rFonts w:hint="eastAsia" w:ascii="宋体" w:hAnsi="宋体" w:cs="宋体"/>
          <w:color w:val="auto"/>
          <w:sz w:val="24"/>
          <w:highlight w:val="none"/>
        </w:rPr>
        <w:t>https://edu.zcygov.cn/luban/e-biding?utm=a0004.2ef5001f.0001.0109.2d44db10df9111e9b92b0f36d4889416。）</w:t>
      </w:r>
      <w:r>
        <w:rPr>
          <w:rStyle w:val="28"/>
          <w:rFonts w:hint="eastAsia" w:ascii="宋体" w:hAnsi="宋体" w:cs="宋体"/>
          <w:color w:val="auto"/>
          <w:sz w:val="24"/>
          <w:highlight w:val="none"/>
        </w:rPr>
        <w:fldChar w:fldCharType="end"/>
      </w:r>
    </w:p>
    <w:p w14:paraId="23EEA9BA">
      <w:pPr>
        <w:keepNext w:val="0"/>
        <w:keepLines w:val="0"/>
        <w:pageBreakBefore w:val="0"/>
        <w:kinsoku/>
        <w:wordWrap/>
        <w:overflowPunct/>
        <w:topLinePunct w:val="0"/>
        <w:autoSpaceDE/>
        <w:autoSpaceDN/>
        <w:bidi w:val="0"/>
        <w:adjustRightInd w:val="0"/>
        <w:snapToGrid w:val="0"/>
        <w:spacing w:line="380" w:lineRule="exact"/>
        <w:ind w:left="210" w:leftChars="100"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8、企业信用融资：省财政厅、浙江银监局、省金融办制定了《浙江省政府采购支</w:t>
      </w:r>
    </w:p>
    <w:p w14:paraId="7AAA3B4B">
      <w:pPr>
        <w:keepNext w:val="0"/>
        <w:keepLines w:val="0"/>
        <w:pageBreakBefore w:val="0"/>
        <w:kinsoku/>
        <w:wordWrap/>
        <w:overflowPunct/>
        <w:topLinePunct w:val="0"/>
        <w:autoSpaceDE/>
        <w:autoSpaceDN/>
        <w:bidi w:val="0"/>
        <w:adjustRightInd w:val="0"/>
        <w:snapToGrid w:val="0"/>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录浙江政府采购( (tp:/www zizfcg gov.cn)的中小企业信用融资栏目了解相关信息。 供应商可以通过浙江政府采购网(https://zfcg. czt.zj. gov.cn/)首页的“浙江政采贷”模块进入申请，还可以通过政府采购云平台(https://wwwzcygov.cn/)首页的“金融服务”模块进入申请。</w:t>
      </w:r>
    </w:p>
    <w:p w14:paraId="4BB94EE9">
      <w:pPr>
        <w:keepNext w:val="0"/>
        <w:keepLines w:val="0"/>
        <w:pageBreakBefore w:val="0"/>
        <w:kinsoku/>
        <w:wordWrap/>
        <w:overflowPunct/>
        <w:topLinePunct w:val="0"/>
        <w:autoSpaceDE/>
        <w:autoSpaceDN/>
        <w:bidi w:val="0"/>
        <w:adjustRightInd w:val="0"/>
        <w:snapToGrid w:val="0"/>
        <w:spacing w:line="38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9、本采购项目，中标单位与采购单位签订的政府采购合同适用于政府采购贷款政策，简称“政采贷”，具体内容详见附件《政府采购支持中小企业信用融资相关事项通知》。本项目中的预付款保函也可通过政采云系统办理。</w:t>
      </w:r>
    </w:p>
    <w:p w14:paraId="26C52A8F">
      <w:pPr>
        <w:keepNext w:val="0"/>
        <w:keepLines w:val="0"/>
        <w:pageBreakBefore w:val="0"/>
        <w:kinsoku/>
        <w:wordWrap/>
        <w:overflowPunct/>
        <w:topLinePunct w:val="0"/>
        <w:autoSpaceDE/>
        <w:autoSpaceDN/>
        <w:bidi w:val="0"/>
        <w:adjustRightInd w:val="0"/>
        <w:snapToGrid w:val="0"/>
        <w:spacing w:line="38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 xml:space="preserve">为扩大政府采购金融服务面，除政采云网上金融服务合作银行外，东阳市范围内增加线下合作银行，具体信息如下：   </w:t>
      </w:r>
    </w:p>
    <w:p w14:paraId="2E67A781">
      <w:pPr>
        <w:keepNext w:val="0"/>
        <w:keepLines w:val="0"/>
        <w:pageBreakBefore w:val="0"/>
        <w:kinsoku/>
        <w:wordWrap/>
        <w:overflowPunct/>
        <w:topLinePunct w:val="0"/>
        <w:autoSpaceDE/>
        <w:autoSpaceDN/>
        <w:bidi w:val="0"/>
        <w:adjustRightInd w:val="0"/>
        <w:snapToGrid w:val="0"/>
        <w:spacing w:line="38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浙商银行金华东阳支行联系人：许燕  联系电话：13967983441  0579-86222992</w:t>
      </w:r>
    </w:p>
    <w:p w14:paraId="001CA3A1">
      <w:pPr>
        <w:pStyle w:val="7"/>
        <w:keepNext w:val="0"/>
        <w:keepLines w:val="0"/>
        <w:pageBreakBefore w:val="0"/>
        <w:numPr>
          <w:ilvl w:val="0"/>
          <w:numId w:val="1"/>
        </w:numPr>
        <w:kinsoku/>
        <w:wordWrap/>
        <w:overflowPunct/>
        <w:topLinePunct w:val="0"/>
        <w:autoSpaceDE/>
        <w:autoSpaceDN/>
        <w:bidi w:val="0"/>
        <w:adjustRightInd w:val="0"/>
        <w:snapToGrid w:val="0"/>
        <w:spacing w:after="0"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供应商在线投诉渠道（</w:t>
      </w:r>
      <w:r>
        <w:rPr>
          <w:color w:val="auto"/>
          <w:highlight w:val="none"/>
        </w:rPr>
        <w:fldChar w:fldCharType="begin"/>
      </w:r>
      <w:r>
        <w:rPr>
          <w:color w:val="auto"/>
          <w:highlight w:val="none"/>
        </w:rPr>
        <w:instrText xml:space="preserve"> HYPERLINK "http://www.zjzwfw.gov.cn/zjservice/item/detail/index.do?localInnerCode=2ca19a7a-aa2d-4cca-a191-a5edf3bf69f8" </w:instrText>
      </w:r>
      <w:r>
        <w:rPr>
          <w:color w:val="auto"/>
          <w:highlight w:val="none"/>
        </w:rPr>
        <w:fldChar w:fldCharType="separate"/>
      </w:r>
      <w:r>
        <w:rPr>
          <w:rStyle w:val="28"/>
          <w:rFonts w:hint="eastAsia" w:ascii="宋体" w:hAnsi="宋体" w:cs="宋体"/>
          <w:color w:val="auto"/>
          <w:sz w:val="24"/>
          <w:highlight w:val="none"/>
        </w:rPr>
        <w:t>http://www.zjzwfw.gov.cn/zjservice/item/detail/index.do?localInnerCode=2ca19a7a-aa2d-4cca-a191-a5edf3bf69f8</w:t>
      </w:r>
      <w:r>
        <w:rPr>
          <w:rStyle w:val="28"/>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54F32EBF">
      <w:pPr>
        <w:keepNext w:val="0"/>
        <w:keepLines w:val="0"/>
        <w:pageBreakBefore w:val="0"/>
        <w:kinsoku/>
        <w:wordWrap/>
        <w:overflowPunct/>
        <w:topLinePunct w:val="0"/>
        <w:autoSpaceDE/>
        <w:autoSpaceDN/>
        <w:bidi w:val="0"/>
        <w:adjustRightInd w:val="0"/>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11、根据《浙江省财政厅关于进一步加大政府采购支持中小企业力度 助力扎实稳住经济的通知》（浙财采监〔2022〕8号）简化对政府采购供应商资格条件的形式审查，供应商书面承诺符合参与政府采购活动资格条件的，不需要再提供财务状况报告、依法缴纳税收和社会保障资金记录、无重大违法记录等证明材料。</w:t>
      </w:r>
    </w:p>
    <w:p w14:paraId="5C83E7DF">
      <w:pPr>
        <w:keepNext w:val="0"/>
        <w:keepLines w:val="0"/>
        <w:pageBreakBefore w:val="0"/>
        <w:kinsoku/>
        <w:wordWrap/>
        <w:overflowPunct/>
        <w:topLinePunct w:val="0"/>
        <w:autoSpaceDE/>
        <w:autoSpaceDN/>
        <w:bidi w:val="0"/>
        <w:spacing w:line="380" w:lineRule="exact"/>
        <w:textAlignment w:val="auto"/>
        <w:rPr>
          <w:rFonts w:hint="eastAsia" w:ascii="宋体" w:hAnsi="宋体" w:cs="宋体"/>
          <w:b/>
          <w:color w:val="auto"/>
          <w:sz w:val="28"/>
          <w:szCs w:val="28"/>
          <w:highlight w:val="none"/>
        </w:rPr>
      </w:pPr>
      <w:r>
        <w:rPr>
          <w:rFonts w:hint="eastAsia" w:ascii="宋体" w:hAnsi="宋体" w:cs="宋体"/>
          <w:b/>
          <w:color w:val="auto"/>
          <w:sz w:val="24"/>
          <w:highlight w:val="none"/>
          <w:lang w:eastAsia="zh-CN"/>
        </w:rPr>
        <w:t>八</w:t>
      </w:r>
      <w:r>
        <w:rPr>
          <w:rFonts w:hint="eastAsia" w:ascii="宋体" w:hAnsi="宋体" w:cs="宋体"/>
          <w:b/>
          <w:color w:val="auto"/>
          <w:sz w:val="24"/>
          <w:highlight w:val="none"/>
        </w:rPr>
        <w:t>、对本次采购提出询问、质疑、投诉，请按以下方式联系。</w:t>
      </w:r>
    </w:p>
    <w:p w14:paraId="5AD91A17">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代理机构：东阳耀辉工程咨询有限公司 </w:t>
      </w:r>
    </w:p>
    <w:p w14:paraId="277BAFB8">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联系人：</w:t>
      </w:r>
      <w:bookmarkStart w:id="1" w:name="OLE_LINK9"/>
      <w:r>
        <w:rPr>
          <w:rFonts w:hint="eastAsia" w:ascii="宋体" w:hAnsi="宋体" w:cs="宋体"/>
          <w:color w:val="auto"/>
          <w:sz w:val="24"/>
          <w:highlight w:val="none"/>
          <w:lang w:eastAsia="zh-CN"/>
        </w:rPr>
        <w:t>卢昊梖</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王骏娅</w:t>
      </w:r>
      <w:r>
        <w:rPr>
          <w:rFonts w:hint="eastAsia" w:ascii="宋体" w:hAnsi="宋体" w:cs="宋体"/>
          <w:color w:val="auto"/>
          <w:sz w:val="24"/>
          <w:highlight w:val="none"/>
        </w:rPr>
        <w:t xml:space="preserve">  朱良红</w:t>
      </w:r>
      <w:bookmarkEnd w:id="1"/>
      <w:r>
        <w:rPr>
          <w:rFonts w:hint="eastAsia" w:ascii="宋体" w:hAnsi="宋体" w:cs="宋体"/>
          <w:color w:val="auto"/>
          <w:sz w:val="24"/>
          <w:highlight w:val="none"/>
        </w:rPr>
        <w:t xml:space="preserve">  </w:t>
      </w:r>
    </w:p>
    <w:p w14:paraId="3F947E33">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0579-86633677</w:t>
      </w:r>
    </w:p>
    <w:p w14:paraId="6E40DDFF">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电子邮箱：</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"mailto:1722002832@qq.com"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17220</w:t>
      </w:r>
      <w:r>
        <w:rPr>
          <w:rFonts w:hint="eastAsia" w:ascii="宋体" w:hAnsi="宋体" w:cs="宋体"/>
          <w:color w:val="auto"/>
          <w:sz w:val="24"/>
          <w:highlight w:val="none"/>
          <w:lang w:eastAsia="zh-CN"/>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8</w:t>
      </w:r>
      <w:r>
        <w:rPr>
          <w:rFonts w:hint="eastAsia" w:ascii="宋体" w:hAnsi="宋体" w:cs="宋体"/>
          <w:color w:val="auto"/>
          <w:sz w:val="24"/>
          <w:highlight w:val="none"/>
        </w:rPr>
        <w:t>32@qq.com</w:t>
      </w:r>
      <w:r>
        <w:rPr>
          <w:rFonts w:hint="eastAsia" w:ascii="宋体" w:hAnsi="宋体" w:cs="宋体"/>
          <w:color w:val="auto"/>
          <w:sz w:val="24"/>
          <w:highlight w:val="none"/>
        </w:rPr>
        <w:fldChar w:fldCharType="end"/>
      </w:r>
    </w:p>
    <w:p w14:paraId="7CBAB043">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cs="宋体"/>
          <w:color w:val="auto"/>
          <w:sz w:val="24"/>
          <w:highlight w:val="none"/>
          <w:lang w:eastAsia="zh-CN"/>
        </w:rPr>
        <w:t>许文辉</w:t>
      </w:r>
      <w:r>
        <w:rPr>
          <w:rFonts w:hint="eastAsia" w:ascii="宋体" w:hAnsi="宋体" w:cs="宋体"/>
          <w:color w:val="auto"/>
          <w:sz w:val="24"/>
          <w:highlight w:val="none"/>
        </w:rPr>
        <w:t xml:space="preserve">                </w:t>
      </w:r>
    </w:p>
    <w:p w14:paraId="4C72DD54">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13906793055</w:t>
      </w:r>
    </w:p>
    <w:p w14:paraId="11391A7C">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采购单位：东阳市自然资源和规划局</w:t>
      </w:r>
    </w:p>
    <w:p w14:paraId="4702711D">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w:t>
      </w:r>
      <w:r>
        <w:rPr>
          <w:rFonts w:hint="default" w:ascii="宋体" w:hAnsi="宋体" w:cs="宋体"/>
          <w:color w:val="auto"/>
          <w:sz w:val="24"/>
          <w:highlight w:val="none"/>
          <w:lang w:eastAsia="zh-CN"/>
          <w:woUserID w:val="2"/>
        </w:rPr>
        <w:t>陈青红</w:t>
      </w:r>
      <w:r>
        <w:rPr>
          <w:rFonts w:hint="eastAsia" w:ascii="宋体" w:hAnsi="宋体" w:cs="宋体"/>
          <w:color w:val="auto"/>
          <w:sz w:val="24"/>
          <w:highlight w:val="none"/>
          <w:lang w:val="en-US" w:eastAsia="zh-CN"/>
        </w:rPr>
        <w:t xml:space="preserve">              </w:t>
      </w:r>
    </w:p>
    <w:p w14:paraId="2504362B">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w:t>
      </w:r>
      <w:r>
        <w:rPr>
          <w:rFonts w:hint="default" w:ascii="宋体" w:hAnsi="宋体" w:cs="宋体"/>
          <w:color w:val="auto"/>
          <w:sz w:val="24"/>
          <w:highlight w:val="none"/>
          <w:lang w:eastAsia="zh-CN"/>
          <w:woUserID w:val="2"/>
        </w:rPr>
        <w:t>0579-86625230</w:t>
      </w:r>
      <w:r>
        <w:rPr>
          <w:rFonts w:hint="eastAsia" w:ascii="宋体" w:hAnsi="宋体" w:cs="宋体"/>
          <w:color w:val="auto"/>
          <w:sz w:val="24"/>
          <w:highlight w:val="none"/>
          <w:lang w:val="en-US" w:eastAsia="zh-CN"/>
        </w:rPr>
        <w:t xml:space="preserve"> </w:t>
      </w:r>
    </w:p>
    <w:p w14:paraId="39149C16">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质疑联系人：</w:t>
      </w:r>
      <w:r>
        <w:rPr>
          <w:rFonts w:hint="default" w:ascii="宋体" w:hAnsi="宋体" w:cs="宋体"/>
          <w:color w:val="auto"/>
          <w:sz w:val="24"/>
          <w:highlight w:val="none"/>
          <w:lang w:eastAsia="zh-CN"/>
          <w:woUserID w:val="2"/>
        </w:rPr>
        <w:t>赵云杰</w:t>
      </w:r>
      <w:r>
        <w:rPr>
          <w:rFonts w:hint="eastAsia" w:ascii="宋体" w:hAnsi="宋体" w:cs="宋体"/>
          <w:color w:val="auto"/>
          <w:sz w:val="24"/>
          <w:highlight w:val="none"/>
          <w:lang w:val="en-US" w:eastAsia="zh-CN"/>
        </w:rPr>
        <w:t xml:space="preserve">           </w:t>
      </w:r>
    </w:p>
    <w:p w14:paraId="1C8A9C97">
      <w:pPr>
        <w:keepNext w:val="0"/>
        <w:keepLines w:val="0"/>
        <w:pageBreakBefore w:val="0"/>
        <w:tabs>
          <w:tab w:val="left" w:pos="345"/>
        </w:tabs>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质疑联系方式：</w:t>
      </w:r>
      <w:r>
        <w:rPr>
          <w:rFonts w:hint="default" w:ascii="宋体" w:hAnsi="宋体" w:cs="宋体"/>
          <w:color w:val="auto"/>
          <w:sz w:val="24"/>
          <w:highlight w:val="none"/>
          <w:lang w:eastAsia="zh-CN"/>
          <w:woUserID w:val="2"/>
        </w:rPr>
        <w:t>0579-86625230</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p w14:paraId="1A0458F2">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政府采购行政监管及投诉受理部门</w:t>
      </w:r>
    </w:p>
    <w:p w14:paraId="1D6C404B">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东阳市财政局采购办            </w:t>
      </w:r>
    </w:p>
    <w:p w14:paraId="04A71FC1">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联系电话：0579-86662677</w:t>
      </w:r>
    </w:p>
    <w:p w14:paraId="1AC3DDD4">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东阳市公共资源交易管理委员会办公室</w:t>
      </w:r>
    </w:p>
    <w:p w14:paraId="70B94279">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 东阳市行政服务中心（艺海北路388号）C幢10楼督查科</w:t>
      </w:r>
    </w:p>
    <w:p w14:paraId="751511FB">
      <w:pPr>
        <w:keepNext w:val="0"/>
        <w:keepLines w:val="0"/>
        <w:pageBreakBefore w:val="0"/>
        <w:kinsoku/>
        <w:wordWrap/>
        <w:overflowPunct/>
        <w:topLinePunct w:val="0"/>
        <w:autoSpaceDE/>
        <w:autoSpaceDN/>
        <w:bidi w:val="0"/>
        <w:spacing w:line="380" w:lineRule="exact"/>
        <w:ind w:firstLine="480" w:firstLineChars="200"/>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联系电话：0579-86691835</w:t>
      </w:r>
      <w:r>
        <w:rPr>
          <w:rFonts w:hint="eastAsia" w:ascii="宋体" w:hAnsi="宋体" w:cs="宋体"/>
          <w:color w:val="auto"/>
          <w:sz w:val="24"/>
          <w:highlight w:val="none"/>
        </w:rPr>
        <w:t xml:space="preserve">      </w:t>
      </w:r>
    </w:p>
    <w:p w14:paraId="731E6579">
      <w:pPr>
        <w:keepNext w:val="0"/>
        <w:keepLines w:val="0"/>
        <w:pageBreakBefore w:val="0"/>
        <w:tabs>
          <w:tab w:val="left" w:pos="345"/>
        </w:tabs>
        <w:kinsoku/>
        <w:wordWrap/>
        <w:overflowPunct/>
        <w:topLinePunct w:val="0"/>
        <w:autoSpaceDE/>
        <w:autoSpaceDN/>
        <w:bidi w:val="0"/>
        <w:snapToGrid w:val="0"/>
        <w:spacing w:line="380" w:lineRule="exact"/>
        <w:ind w:firstLine="5520" w:firstLineChars="2300"/>
        <w:textAlignment w:val="auto"/>
        <w:rPr>
          <w:rFonts w:hint="eastAsia"/>
          <w:color w:val="auto"/>
          <w:highlight w:val="none"/>
          <w:lang w:eastAsia="zh-CN"/>
        </w:rPr>
      </w:pPr>
      <w:r>
        <w:rPr>
          <w:rFonts w:hint="eastAsia" w:ascii="宋体" w:hAnsi="宋体" w:cs="宋体"/>
          <w:color w:val="auto"/>
          <w:sz w:val="24"/>
          <w:highlight w:val="none"/>
          <w:lang w:eastAsia="zh-CN"/>
        </w:rPr>
        <w:t>东阳市自然资源和规划局</w:t>
      </w:r>
    </w:p>
    <w:p w14:paraId="545A7879">
      <w:pPr>
        <w:keepNext w:val="0"/>
        <w:keepLines w:val="0"/>
        <w:pageBreakBefore w:val="0"/>
        <w:kinsoku/>
        <w:wordWrap/>
        <w:overflowPunct/>
        <w:topLinePunct w:val="0"/>
        <w:autoSpaceDE/>
        <w:autoSpaceDN/>
        <w:bidi w:val="0"/>
        <w:spacing w:line="380" w:lineRule="exact"/>
        <w:ind w:firstLine="360" w:firstLineChars="15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东阳耀辉工程咨询有限公司</w:t>
      </w:r>
    </w:p>
    <w:p w14:paraId="3AE74992">
      <w:pPr>
        <w:keepNext w:val="0"/>
        <w:keepLines w:val="0"/>
        <w:pageBreakBefore w:val="0"/>
        <w:kinsoku/>
        <w:wordWrap/>
        <w:overflowPunct/>
        <w:topLinePunct w:val="0"/>
        <w:autoSpaceDE/>
        <w:autoSpaceDN/>
        <w:bidi w:val="0"/>
        <w:spacing w:line="380" w:lineRule="exact"/>
        <w:ind w:firstLine="360" w:firstLineChars="150"/>
        <w:contextualSpacing/>
        <w:textAlignment w:val="auto"/>
        <w:rPr>
          <w:rFonts w:hint="eastAsia" w:ascii="宋体" w:hAnsi="宋体" w:cs="宋体"/>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月                                           </w:t>
      </w:r>
    </w:p>
    <w:p w14:paraId="0B783FBB">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若对项目采购电子交易系统操作有疑问，可登录政采云（https://www.zcygov.cn/），点击右侧咨询小采，获取采小蜜智能服务管家帮助，或拨打政采云服务热线400-881-7190获取热线服务帮助。       </w:t>
      </w:r>
    </w:p>
    <w:p w14:paraId="0F372E81">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cs="宋体"/>
          <w:b/>
          <w:bCs/>
          <w:color w:val="auto"/>
          <w:sz w:val="32"/>
          <w:szCs w:val="32"/>
          <w:highlight w:val="none"/>
        </w:rPr>
      </w:pPr>
      <w:r>
        <w:rPr>
          <w:rFonts w:hint="eastAsia" w:ascii="宋体" w:hAnsi="宋体" w:cs="宋体"/>
          <w:color w:val="auto"/>
          <w:kern w:val="0"/>
          <w:sz w:val="24"/>
          <w:szCs w:val="24"/>
          <w:highlight w:val="none"/>
          <w:lang w:bidi="ar"/>
        </w:rPr>
        <w:t>CA问题联系电话（人工）：汇信CA 400-888-4636；天谷CA 400-087-8198。</w:t>
      </w:r>
      <w:r>
        <w:rPr>
          <w:rFonts w:hint="eastAsia" w:ascii="宋体" w:hAnsi="宋体" w:cs="宋体"/>
          <w:color w:val="auto"/>
          <w:sz w:val="24"/>
          <w:highlight w:val="none"/>
        </w:rPr>
        <w:t xml:space="preserve">                                           </w:t>
      </w:r>
    </w:p>
    <w:p w14:paraId="56FCBBCA">
      <w:pPr>
        <w:tabs>
          <w:tab w:val="left" w:pos="2920"/>
        </w:tabs>
        <w:snapToGrid w:val="0"/>
        <w:spacing w:line="480" w:lineRule="auto"/>
        <w:jc w:val="center"/>
        <w:rPr>
          <w:rFonts w:hint="eastAsia" w:ascii="宋体" w:hAnsi="宋体" w:cs="宋体"/>
          <w:b/>
          <w:bCs/>
          <w:color w:val="auto"/>
          <w:sz w:val="32"/>
          <w:szCs w:val="32"/>
          <w:highlight w:val="none"/>
        </w:rPr>
      </w:pPr>
    </w:p>
    <w:p w14:paraId="4148E53F">
      <w:pPr>
        <w:tabs>
          <w:tab w:val="left" w:pos="2920"/>
        </w:tabs>
        <w:snapToGrid w:val="0"/>
        <w:spacing w:line="48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第二章   招 标 需 求</w:t>
      </w:r>
    </w:p>
    <w:p w14:paraId="759F59F5">
      <w:pPr>
        <w:keepNext w:val="0"/>
        <w:keepLines w:val="0"/>
        <w:pageBreakBefore w:val="0"/>
        <w:widowControl w:val="0"/>
        <w:kinsoku/>
        <w:wordWrap/>
        <w:overflowPunct/>
        <w:topLinePunct w:val="0"/>
        <w:autoSpaceDE/>
        <w:autoSpaceDN/>
        <w:bidi w:val="0"/>
        <w:adjustRightInd w:val="0"/>
        <w:snapToGrid w:val="0"/>
        <w:spacing w:line="400" w:lineRule="exact"/>
        <w:ind w:firstLine="569" w:firstLineChars="236"/>
        <w:textAlignment w:val="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一、项目概述</w:t>
      </w:r>
    </w:p>
    <w:p w14:paraId="5837A639">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为保障国土空间规划有效实施，建立健全国土空间规划动态监测评估预警和实施监管机制，根据《中共中央国务院关 于建立国土空间规划体系并监督实施的若干意见》《浙江省国土空间规划条例》《国土空间规划城市体检评估规程》《浙江省县级国土空间规划实施体检评估和动态维护方案编制指南（试行)》等规定，结合国民经济和社会发展规划确定的相关目标，对国土空间规划各项目标和指标落实、强制性内容执行、各项政策机制的建立和对规划实施的影响等方面进行系统深入分析，全面掌握各地国土空间总体规划实施情况，及时发现国土空间开发保护中存在的问题。</w:t>
      </w:r>
    </w:p>
    <w:p w14:paraId="620BF43B">
      <w:pPr>
        <w:keepNext w:val="0"/>
        <w:keepLines w:val="0"/>
        <w:pageBreakBefore w:val="0"/>
        <w:widowControl w:val="0"/>
        <w:kinsoku/>
        <w:wordWrap/>
        <w:overflowPunct/>
        <w:topLinePunct w:val="0"/>
        <w:autoSpaceDE/>
        <w:autoSpaceDN/>
        <w:bidi w:val="0"/>
        <w:adjustRightInd w:val="0"/>
        <w:snapToGrid w:val="0"/>
        <w:spacing w:line="400" w:lineRule="exact"/>
        <w:ind w:firstLine="569" w:firstLineChars="236"/>
        <w:textAlignment w:val="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二、项目范围</w:t>
      </w:r>
    </w:p>
    <w:p w14:paraId="4A373E5A">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东阳市域行政管辖范围，面积约1746.8平方公里。</w:t>
      </w:r>
    </w:p>
    <w:p w14:paraId="1FB4C8C0">
      <w:pPr>
        <w:keepNext w:val="0"/>
        <w:keepLines w:val="0"/>
        <w:pageBreakBefore w:val="0"/>
        <w:widowControl w:val="0"/>
        <w:kinsoku/>
        <w:wordWrap/>
        <w:overflowPunct/>
        <w:topLinePunct w:val="0"/>
        <w:autoSpaceDE/>
        <w:autoSpaceDN/>
        <w:bidi w:val="0"/>
        <w:adjustRightInd w:val="0"/>
        <w:snapToGrid w:val="0"/>
        <w:spacing w:line="400" w:lineRule="exact"/>
        <w:ind w:firstLine="569" w:firstLineChars="236"/>
        <w:textAlignment w:val="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三、项目主要内容</w:t>
      </w:r>
    </w:p>
    <w:p w14:paraId="0813EFAF">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（一）东阳市城市体检评估和总体规划五年评估工作</w:t>
      </w:r>
    </w:p>
    <w:p w14:paraId="7985E18E">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1.城市体检和总体规划五年评估。依据《国土空间规划城市体检评估规程(2025年修订版)》《浙江省自然资源厅关于开展国土空间总体规划评估有关工作的通知》等要求，对东阳市国土空间总体规划实施情况开展系统分析和全面体检，全面评估国土空间总体规划实施性、支撑性、适应性，针对战略定位、底线管控、规模结构、空间布局、支撑体系和实施保障等方面，剖析规划实施成效、存在问题及产生原因，提出体检评估结论及相关建议，形成国土空间总体规划五年评估成果。</w:t>
      </w:r>
    </w:p>
    <w:p w14:paraId="5358EDE0">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2.城区镇区范围划定。按照《城区范围确定规范（试行）》《镇区范围确定规程（报批稿）》等文件要求，开展东阳市城区镇区实体地域和城区镇区范围划定工作，形成相关成果。</w:t>
      </w:r>
    </w:p>
    <w:p w14:paraId="4EBE48A3">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（二）国土空间总体规划动态维护</w:t>
      </w:r>
    </w:p>
    <w:p w14:paraId="6D49EAC0">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按照《浙江省县级国土空间规划实施体检评估和动态维护方案编制指南（试行)》要求，基于国土空间总体规划年度体检和评估结论，严格落实“数量、质量、生态”三位一体耕地保护要求，开展东阳市国土空间总体规划动态维护方案编制。</w:t>
      </w:r>
    </w:p>
    <w:p w14:paraId="4E9F52A6">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1.国土空间布局优化研究。以全域统筹、科学配置自然资源要素，一体谋划发展规划与空间布局协同推进为原则，开展东阳市县级国土空间布局优化研究，主要围绕增产创、控居住、兴文旅、富农林、提质效五大重点任务，探索空间布局优化潜力和优化方向，保障县域高质量发展空间需求。</w:t>
      </w:r>
    </w:p>
    <w:p w14:paraId="069B96F2">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hint="eastAsia" w:hAnsi="宋体"/>
          <w:b/>
          <w:color w:val="auto"/>
          <w:sz w:val="24"/>
          <w:highlight w:val="none"/>
          <w:lang w:val="en-US" w:eastAsia="zh-CN"/>
        </w:rPr>
      </w:pPr>
      <w:r>
        <w:rPr>
          <w:rFonts w:hint="eastAsia" w:ascii="宋体" w:hAnsi="宋体" w:eastAsia="宋体"/>
          <w:color w:val="auto"/>
          <w:sz w:val="24"/>
          <w:szCs w:val="28"/>
          <w:highlight w:val="none"/>
        </w:rPr>
        <w:t>2.国土空间年度动态维护方案。坚持安全底线、问题导向、系统思维和数字赋能，立足对国家和省级重大战略的支撑与适应，基于国土空间总体规划年度体检、评估结论，严格落实“数量、质量、生态”三位一体耕地保护要求，聚焦目标战略、重要控制线、规划用途分区、中心城区功能体系、城乡融合发展和重点项目清单进行动态维护，提升空间治理系统性、协调性和科学性，进一步加强国土空间规划的权威性和适应性。</w:t>
      </w:r>
      <w:r>
        <w:rPr>
          <w:rFonts w:hint="eastAsia" w:hAnsi="宋体"/>
          <w:b/>
          <w:color w:val="auto"/>
          <w:sz w:val="24"/>
          <w:highlight w:val="none"/>
          <w:lang w:val="en-US" w:eastAsia="zh-CN"/>
        </w:rPr>
        <w:t xml:space="preserve">     </w:t>
      </w:r>
    </w:p>
    <w:p w14:paraId="4214635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color w:val="auto"/>
          <w:sz w:val="24"/>
          <w:highlight w:val="none"/>
        </w:rPr>
      </w:pPr>
      <w:r>
        <w:rPr>
          <w:rFonts w:hint="eastAsia" w:hAnsi="宋体"/>
          <w:b/>
          <w:color w:val="auto"/>
          <w:sz w:val="24"/>
          <w:highlight w:val="none"/>
          <w:lang w:eastAsia="zh-CN"/>
        </w:rPr>
        <w:t>四、</w:t>
      </w:r>
      <w:r>
        <w:rPr>
          <w:rFonts w:hint="eastAsia" w:ascii="宋体" w:hAnsi="宋体" w:cs="宋体"/>
          <w:b/>
          <w:bCs/>
          <w:color w:val="auto"/>
          <w:sz w:val="24"/>
          <w:highlight w:val="none"/>
        </w:rPr>
        <w:t>服务要求</w:t>
      </w:r>
    </w:p>
    <w:p w14:paraId="56793564">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36"/>
        <w:textAlignment w:val="auto"/>
        <w:rPr>
          <w:rFonts w:ascii="宋体" w:hAnsi="宋体" w:cs="宋体"/>
          <w:b/>
          <w:bCs/>
          <w:color w:val="auto"/>
          <w:sz w:val="24"/>
          <w:highlight w:val="none"/>
        </w:rPr>
      </w:pPr>
      <w:r>
        <w:rPr>
          <w:rFonts w:hint="eastAsia" w:ascii="宋体" w:hAnsi="宋体" w:cs="宋体"/>
          <w:color w:val="auto"/>
          <w:sz w:val="24"/>
          <w:highlight w:val="none"/>
        </w:rPr>
        <w:t>服务计划：制定中标后的服务工作计划，且有具体工作计划和时间安排。项目调研和对接应由项目负责人带队，50%以上团队成员参加。中标单位应按采购人的要求修改方案内容，以达到提交专家部门评审的基本要求。</w:t>
      </w:r>
    </w:p>
    <w:p w14:paraId="26D203D3">
      <w:pPr>
        <w:keepNext w:val="0"/>
        <w:keepLines w:val="0"/>
        <w:pageBreakBefore w:val="0"/>
        <w:widowControl w:val="0"/>
        <w:kinsoku/>
        <w:wordWrap/>
        <w:overflowPunct/>
        <w:topLinePunct w:val="0"/>
        <w:autoSpaceDE/>
        <w:autoSpaceDN/>
        <w:bidi w:val="0"/>
        <w:adjustRightInd w:val="0"/>
        <w:snapToGrid w:val="0"/>
        <w:spacing w:line="400" w:lineRule="exact"/>
        <w:ind w:left="357" w:leftChars="17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五</w:t>
      </w:r>
      <w:r>
        <w:rPr>
          <w:rFonts w:hint="eastAsia" w:ascii="宋体" w:hAnsi="宋体" w:cs="宋体"/>
          <w:b/>
          <w:bCs/>
          <w:color w:val="auto"/>
          <w:sz w:val="24"/>
          <w:highlight w:val="none"/>
        </w:rPr>
        <w:t>、成果要求</w:t>
      </w:r>
    </w:p>
    <w:p w14:paraId="453E4309">
      <w:pPr>
        <w:pStyle w:val="45"/>
        <w:keepNext w:val="0"/>
        <w:keepLines w:val="0"/>
        <w:pageBreakBefore w:val="0"/>
        <w:widowControl w:val="0"/>
        <w:kinsoku/>
        <w:wordWrap/>
        <w:overflowPunct/>
        <w:topLinePunct w:val="0"/>
        <w:autoSpaceDE/>
        <w:autoSpaceDN/>
        <w:bidi w:val="0"/>
        <w:adjustRightInd w:val="0"/>
        <w:snapToGrid w:val="0"/>
        <w:spacing w:line="400" w:lineRule="exact"/>
        <w:ind w:firstLine="484" w:firstLineChars="202"/>
        <w:textAlignment w:val="auto"/>
        <w:rPr>
          <w:rFonts w:hint="eastAsia" w:ascii="宋体" w:hAnsi="宋体" w:cs="宋体"/>
          <w:color w:val="auto"/>
          <w:sz w:val="24"/>
          <w:szCs w:val="21"/>
          <w:highlight w:val="none"/>
        </w:rPr>
      </w:pPr>
      <w:r>
        <w:rPr>
          <w:rFonts w:hint="eastAsia" w:ascii="宋体" w:hAnsi="宋体" w:cs="宋体"/>
          <w:color w:val="auto"/>
          <w:sz w:val="24"/>
          <w:szCs w:val="21"/>
          <w:highlight w:val="none"/>
        </w:rPr>
        <w:t>提供规划成果包括纸质文件和电子文档，规划文本、规划图集纸质文件一式六套，同样内容电子文档一套。</w:t>
      </w:r>
    </w:p>
    <w:p w14:paraId="588A903F">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outlineLvl w:val="1"/>
        <w:rPr>
          <w:rFonts w:ascii="宋体" w:hAnsi="宋体" w:cs="宋体"/>
          <w:b/>
          <w:bCs/>
          <w:color w:val="auto"/>
          <w:sz w:val="24"/>
          <w:highlight w:val="none"/>
        </w:rPr>
      </w:pPr>
      <w:r>
        <w:rPr>
          <w:rFonts w:hint="eastAsia" w:ascii="宋体" w:hAnsi="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、商务要求</w:t>
      </w:r>
    </w:p>
    <w:p w14:paraId="7FD1F48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▲1、投标报价要求</w:t>
      </w:r>
    </w:p>
    <w:p w14:paraId="02011FC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（1）投标报价</w:t>
      </w:r>
      <w:r>
        <w:rPr>
          <w:rFonts w:hint="eastAsia" w:ascii="宋体" w:hAnsi="宋体" w:eastAsia="宋体" w:cs="宋体"/>
          <w:color w:val="auto"/>
          <w:sz w:val="24"/>
          <w:szCs w:val="24"/>
          <w:highlight w:val="none"/>
          <w:lang w:eastAsia="zh-CN"/>
        </w:rPr>
        <w:t>包括因领取基础资料、现场踏勘等需要产生的食、宿、交通等费用，以及</w:t>
      </w:r>
      <w:r>
        <w:rPr>
          <w:rFonts w:hint="eastAsia" w:ascii="宋体" w:hAnsi="宋体" w:eastAsia="宋体" w:cs="宋体"/>
          <w:color w:val="auto"/>
          <w:sz w:val="24"/>
          <w:szCs w:val="24"/>
          <w:highlight w:val="none"/>
        </w:rPr>
        <w:t>市场调研、规划设计、项目设计、配合业主通过有关政府部门审批的相关服务等全部项目的费用、内业数据整理、外业调查、资料费、成果验收费、交通费、专家咨询费、</w:t>
      </w:r>
      <w:r>
        <w:rPr>
          <w:rFonts w:hint="default" w:ascii="宋体" w:hAnsi="宋体" w:cs="宋体"/>
          <w:color w:val="auto"/>
          <w:sz w:val="24"/>
          <w:szCs w:val="24"/>
          <w:highlight w:val="none"/>
          <w:woUserID w:val="1"/>
        </w:rPr>
        <w:t>过程及</w:t>
      </w:r>
      <w:r>
        <w:rPr>
          <w:rFonts w:hint="eastAsia" w:ascii="宋体" w:hAnsi="宋体" w:eastAsia="宋体" w:cs="宋体"/>
          <w:color w:val="auto"/>
          <w:sz w:val="24"/>
          <w:szCs w:val="24"/>
          <w:highlight w:val="none"/>
        </w:rPr>
        <w:t>成果印制费、差旅费、管理费、利润、税费等完成本项目的其它费用和政策性文件规定及合同包含的所有风险、责任等各项应有费用</w:t>
      </w:r>
      <w:r>
        <w:rPr>
          <w:rFonts w:hint="eastAsia" w:ascii="宋体" w:hAnsi="宋体" w:eastAsia="宋体" w:cs="宋体"/>
          <w:color w:val="auto"/>
          <w:sz w:val="24"/>
          <w:szCs w:val="24"/>
          <w:highlight w:val="none"/>
          <w:lang w:eastAsia="zh-CN"/>
        </w:rPr>
        <w:t>，如有漏项，视同已包含在其它项目中，合同价不作调整。</w:t>
      </w:r>
    </w:p>
    <w:p w14:paraId="39F4CAD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（2）按国家规定由中标人缴纳的各种税收已包含在投标总价内，由中标人向税务机关缴纳。</w:t>
      </w:r>
    </w:p>
    <w:p w14:paraId="464AF6C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Arial"/>
          <w:b w:val="0"/>
          <w:bCs w:val="0"/>
          <w:color w:val="auto"/>
          <w:sz w:val="24"/>
          <w:highlight w:val="none"/>
          <w:lang w:val="en-US" w:eastAsia="zh-CN"/>
        </w:rPr>
        <w:t>2</w:t>
      </w:r>
      <w:r>
        <w:rPr>
          <w:rFonts w:hint="eastAsia" w:ascii="宋体" w:hAnsi="宋体" w:cs="Arial"/>
          <w:b w:val="0"/>
          <w:bCs w:val="0"/>
          <w:color w:val="auto"/>
          <w:sz w:val="24"/>
          <w:highlight w:val="none"/>
        </w:rPr>
        <w:t>、</w:t>
      </w:r>
      <w:r>
        <w:rPr>
          <w:rFonts w:hint="eastAsia" w:ascii="宋体" w:hAnsi="宋体" w:cs="Arial"/>
          <w:b w:val="0"/>
          <w:bCs w:val="0"/>
          <w:color w:val="auto"/>
          <w:sz w:val="24"/>
          <w:highlight w:val="none"/>
          <w:lang w:eastAsia="zh-CN"/>
        </w:rPr>
        <w:t>服务周期</w:t>
      </w:r>
      <w:r>
        <w:rPr>
          <w:rFonts w:hint="eastAsia" w:ascii="宋体" w:hAnsi="宋体" w:cs="Arial"/>
          <w:b w:val="0"/>
          <w:bCs w:val="0"/>
          <w:color w:val="auto"/>
          <w:sz w:val="24"/>
          <w:highlight w:val="none"/>
        </w:rPr>
        <w:t>：</w:t>
      </w:r>
      <w:bookmarkStart w:id="2" w:name="OLE_LINK2"/>
      <w:r>
        <w:rPr>
          <w:rFonts w:hint="eastAsia" w:ascii="宋体" w:hAnsi="宋体" w:eastAsia="宋体"/>
          <w:color w:val="auto"/>
          <w:sz w:val="24"/>
          <w:szCs w:val="28"/>
          <w:highlight w:val="none"/>
        </w:rPr>
        <w:t>202</w:t>
      </w:r>
      <w:r>
        <w:rPr>
          <w:rFonts w:hint="eastAsia" w:ascii="宋体" w:hAnsi="宋体"/>
          <w:color w:val="auto"/>
          <w:sz w:val="24"/>
          <w:szCs w:val="28"/>
          <w:highlight w:val="none"/>
          <w:lang w:val="en-US" w:eastAsia="zh-CN"/>
        </w:rPr>
        <w:t>6</w:t>
      </w:r>
      <w:r>
        <w:rPr>
          <w:rFonts w:hint="eastAsia" w:ascii="宋体" w:hAnsi="宋体" w:eastAsia="宋体"/>
          <w:color w:val="auto"/>
          <w:sz w:val="24"/>
          <w:szCs w:val="28"/>
          <w:highlight w:val="none"/>
        </w:rPr>
        <w:t>年</w:t>
      </w:r>
      <w:r>
        <w:rPr>
          <w:rFonts w:hint="default" w:ascii="宋体" w:hAnsi="宋体"/>
          <w:color w:val="auto"/>
          <w:sz w:val="24"/>
          <w:szCs w:val="28"/>
          <w:highlight w:val="none"/>
          <w:woUserID w:val="1"/>
        </w:rPr>
        <w:t>12</w:t>
      </w:r>
      <w:r>
        <w:rPr>
          <w:rFonts w:hint="eastAsia" w:ascii="宋体" w:hAnsi="宋体" w:eastAsia="宋体"/>
          <w:color w:val="auto"/>
          <w:sz w:val="24"/>
          <w:szCs w:val="28"/>
          <w:highlight w:val="none"/>
        </w:rPr>
        <w:t>月底，具体时间以浙江省自然资源厅要求上报时间为准</w:t>
      </w:r>
      <w:bookmarkEnd w:id="2"/>
      <w:r>
        <w:rPr>
          <w:rFonts w:hint="eastAsia" w:ascii="宋体" w:hAnsi="宋体"/>
          <w:color w:val="auto"/>
          <w:sz w:val="24"/>
          <w:szCs w:val="28"/>
          <w:highlight w:val="none"/>
          <w:lang w:eastAsia="zh-CN"/>
        </w:rPr>
        <w:t>。</w:t>
      </w:r>
    </w:p>
    <w:p w14:paraId="10B265A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、付款方式</w:t>
      </w:r>
    </w:p>
    <w:p w14:paraId="479CEC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cs="宋体"/>
          <w:color w:val="auto"/>
          <w:sz w:val="24"/>
          <w:highlight w:val="none"/>
          <w:woUserID w:val="1"/>
        </w:rPr>
      </w:pPr>
      <w:bookmarkStart w:id="3" w:name="OLE_LINK1"/>
      <w:r>
        <w:rPr>
          <w:rFonts w:hint="eastAsia" w:ascii="宋体" w:hAnsi="宋体" w:cs="宋体"/>
          <w:color w:val="auto"/>
          <w:sz w:val="24"/>
          <w:highlight w:val="none"/>
        </w:rPr>
        <w:t>签订合同以及具备实施条件后7个工作日内采购人支付合同价款的</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0%；成果通过相关部门验收或上报省自然资源厅后7个工作日内支付合同价款的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0%；成果经省自然资源厅审核通过且数据回流后7个工作日内支付合同价款的30%</w:t>
      </w:r>
      <w:bookmarkEnd w:id="3"/>
      <w:r>
        <w:rPr>
          <w:rFonts w:hint="eastAsia" w:ascii="宋体" w:hAnsi="宋体" w:cs="宋体"/>
          <w:color w:val="auto"/>
          <w:sz w:val="24"/>
          <w:highlight w:val="none"/>
        </w:rPr>
        <w:t>。</w:t>
      </w:r>
    </w:p>
    <w:p w14:paraId="01BF6936">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、验收</w:t>
      </w:r>
    </w:p>
    <w:p w14:paraId="2CEF0E8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b/>
          <w:bCs/>
          <w:color w:val="auto"/>
          <w:sz w:val="32"/>
          <w:szCs w:val="32"/>
          <w:highlight w:val="none"/>
        </w:rPr>
      </w:pPr>
      <w:r>
        <w:rPr>
          <w:rFonts w:hint="eastAsia" w:ascii="宋体" w:hAnsi="宋体" w:cs="宋体"/>
          <w:bCs/>
          <w:color w:val="auto"/>
          <w:sz w:val="24"/>
          <w:highlight w:val="none"/>
        </w:rPr>
        <w:t xml:space="preserve">根据中华人民共和国现行技术标准，按招标文件、投标文件以及合同规定的验收评定标准等规范。 </w:t>
      </w:r>
    </w:p>
    <w:p w14:paraId="657BAE7B">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Ansi="宋体"/>
          <w:b/>
          <w:bCs/>
          <w:color w:val="auto"/>
          <w:sz w:val="24"/>
          <w:highlight w:val="none"/>
        </w:rPr>
      </w:pPr>
      <w:r>
        <w:rPr>
          <w:rFonts w:hint="eastAsia" w:hAnsi="宋体"/>
          <w:b/>
          <w:bCs/>
          <w:color w:val="auto"/>
          <w:sz w:val="24"/>
          <w:highlight w:val="none"/>
          <w:lang w:val="en-US" w:eastAsia="zh-CN"/>
        </w:rPr>
        <w:t>八</w:t>
      </w:r>
      <w:r>
        <w:rPr>
          <w:rFonts w:hint="eastAsia" w:hAnsi="宋体"/>
          <w:b/>
          <w:bCs/>
          <w:color w:val="auto"/>
          <w:sz w:val="24"/>
          <w:highlight w:val="none"/>
        </w:rPr>
        <w:t>、保密</w:t>
      </w:r>
    </w:p>
    <w:p w14:paraId="5F5731D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color w:val="auto"/>
          <w:sz w:val="24"/>
          <w:highlight w:val="none"/>
        </w:rPr>
      </w:pPr>
      <w:r>
        <w:rPr>
          <w:rFonts w:hint="eastAsia" w:hAnsi="宋体"/>
          <w:color w:val="auto"/>
          <w:sz w:val="24"/>
          <w:highlight w:val="none"/>
        </w:rPr>
        <w:t>招投标双方应分别为对方的投标文件和招标文件中涉及的商业和技术等秘密保密，违者应对由此造成的后果承担责任。</w:t>
      </w:r>
    </w:p>
    <w:p w14:paraId="0E896F85">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eastAsia="宋体"/>
          <w:color w:val="auto"/>
          <w:highlight w:val="none"/>
          <w:lang w:eastAsia="zh-CN"/>
        </w:rPr>
      </w:pPr>
      <w:r>
        <w:rPr>
          <w:rFonts w:hint="eastAsia" w:ascii="Times New Roman" w:hAnsi="宋体"/>
          <w:b/>
          <w:bCs/>
          <w:color w:val="auto"/>
          <w:highlight w:val="none"/>
        </w:rPr>
        <w:t>▲</w:t>
      </w:r>
      <w:r>
        <w:rPr>
          <w:rFonts w:hint="eastAsia" w:ascii="Times New Roman" w:hAnsi="宋体"/>
          <w:b/>
          <w:bCs/>
          <w:color w:val="auto"/>
          <w:highlight w:val="none"/>
          <w:lang w:val="en-US" w:eastAsia="zh-CN"/>
        </w:rPr>
        <w:t>九</w:t>
      </w:r>
      <w:r>
        <w:rPr>
          <w:rFonts w:hint="eastAsia" w:ascii="Times New Roman" w:hAnsi="宋体"/>
          <w:b/>
          <w:bCs/>
          <w:color w:val="auto"/>
          <w:highlight w:val="none"/>
        </w:rPr>
        <w:t>、合同</w:t>
      </w:r>
      <w:r>
        <w:rPr>
          <w:rFonts w:hint="eastAsia"/>
          <w:b/>
          <w:bCs/>
          <w:color w:val="auto"/>
          <w:highlight w:val="none"/>
        </w:rPr>
        <w:t>签</w:t>
      </w:r>
      <w:r>
        <w:rPr>
          <w:rFonts w:hint="eastAsia"/>
          <w:b/>
          <w:bCs/>
          <w:color w:val="auto"/>
          <w:highlight w:val="none"/>
          <w:lang w:eastAsia="zh-CN"/>
        </w:rPr>
        <w:t>订</w:t>
      </w:r>
    </w:p>
    <w:p w14:paraId="0A76038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中标单位在收到《中标通知书》后20日内与东阳市自然资源和规划局签订合同。</w:t>
      </w:r>
    </w:p>
    <w:p w14:paraId="3F815404">
      <w:pPr>
        <w:spacing w:line="360" w:lineRule="exact"/>
        <w:ind w:firstLine="480" w:firstLineChars="200"/>
        <w:rPr>
          <w:rFonts w:hint="eastAsia" w:ascii="Times New Roman" w:hAnsi="宋体" w:eastAsia="宋体" w:cs="Times New Roman"/>
          <w:color w:val="auto"/>
          <w:sz w:val="24"/>
          <w:highlight w:val="none"/>
        </w:rPr>
      </w:pPr>
    </w:p>
    <w:p w14:paraId="6A8E15D9">
      <w:pPr>
        <w:spacing w:before="120" w:beforeLines="50" w:after="120" w:afterLines="50" w:line="440" w:lineRule="exact"/>
        <w:contextualSpacing/>
        <w:jc w:val="center"/>
        <w:rPr>
          <w:rFonts w:hint="eastAsia" w:ascii="宋体" w:hAnsi="宋体" w:cs="宋体"/>
          <w:b/>
          <w:bCs/>
          <w:color w:val="auto"/>
          <w:sz w:val="32"/>
          <w:szCs w:val="32"/>
          <w:highlight w:val="none"/>
        </w:rPr>
      </w:pPr>
    </w:p>
    <w:p w14:paraId="572A0A7C">
      <w:pPr>
        <w:spacing w:before="120" w:beforeLines="50" w:after="120" w:afterLines="50" w:line="440" w:lineRule="exact"/>
        <w:contextualSpacing/>
        <w:jc w:val="center"/>
        <w:rPr>
          <w:rFonts w:hint="eastAsia" w:ascii="宋体" w:hAnsi="宋体" w:cs="宋体"/>
          <w:b/>
          <w:bCs/>
          <w:color w:val="auto"/>
          <w:sz w:val="32"/>
          <w:szCs w:val="32"/>
          <w:highlight w:val="none"/>
        </w:rPr>
      </w:pPr>
    </w:p>
    <w:p w14:paraId="582E0A22">
      <w:pPr>
        <w:spacing w:before="120" w:beforeLines="50" w:after="120" w:afterLines="50" w:line="440" w:lineRule="exact"/>
        <w:contextualSpacing/>
        <w:jc w:val="center"/>
        <w:rPr>
          <w:rFonts w:hint="eastAsia" w:ascii="宋体" w:hAnsi="宋体" w:cs="宋体"/>
          <w:b/>
          <w:bCs/>
          <w:color w:val="auto"/>
          <w:sz w:val="32"/>
          <w:szCs w:val="32"/>
          <w:highlight w:val="none"/>
        </w:rPr>
      </w:pPr>
    </w:p>
    <w:p w14:paraId="18530643">
      <w:pPr>
        <w:spacing w:before="120" w:beforeLines="50" w:after="120" w:afterLines="50" w:line="440" w:lineRule="exact"/>
        <w:contextualSpacing/>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第三章  投标人须知</w:t>
      </w:r>
    </w:p>
    <w:p w14:paraId="1C8B7563">
      <w:pPr>
        <w:snapToGrid w:val="0"/>
        <w:spacing w:before="120" w:beforeLines="50" w:after="120" w:afterLines="50"/>
        <w:ind w:left="238"/>
        <w:outlineLvl w:val="1"/>
        <w:rPr>
          <w:rFonts w:hint="eastAsia" w:ascii="宋体" w:hAnsi="宋体" w:cs="宋体"/>
          <w:b/>
          <w:color w:val="auto"/>
          <w:sz w:val="24"/>
          <w:highlight w:val="none"/>
        </w:rPr>
      </w:pPr>
      <w:r>
        <w:rPr>
          <w:rFonts w:hint="eastAsia" w:ascii="宋体" w:hAnsi="宋体" w:cs="宋体"/>
          <w:b/>
          <w:color w:val="auto"/>
          <w:sz w:val="24"/>
          <w:highlight w:val="none"/>
        </w:rPr>
        <w:t xml:space="preserve">                                前  附  表</w:t>
      </w:r>
    </w:p>
    <w:tbl>
      <w:tblPr>
        <w:tblStyle w:val="25"/>
        <w:tblW w:w="97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8930"/>
      </w:tblGrid>
      <w:tr w14:paraId="4EC19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7B0821D">
            <w:pPr>
              <w:snapToGrid w:val="0"/>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61C30704">
            <w:pPr>
              <w:snapToGrid w:val="0"/>
              <w:jc w:val="center"/>
              <w:rPr>
                <w:rFonts w:hint="eastAsia" w:ascii="宋体" w:hAnsi="宋体" w:cs="宋体"/>
                <w:b/>
                <w:bCs/>
                <w:color w:val="auto"/>
                <w:sz w:val="24"/>
                <w:highlight w:val="none"/>
              </w:rPr>
            </w:pPr>
            <w:r>
              <w:rPr>
                <w:rFonts w:hint="eastAsia" w:ascii="宋体" w:hAnsi="宋体" w:cs="宋体"/>
                <w:b/>
                <w:bCs/>
                <w:color w:val="auto"/>
                <w:sz w:val="24"/>
                <w:highlight w:val="none"/>
              </w:rPr>
              <w:t>内容、要求</w:t>
            </w:r>
          </w:p>
        </w:tc>
      </w:tr>
      <w:tr w14:paraId="3A70B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C04DA3B">
            <w:pPr>
              <w:snapToGrid w:val="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57EE71BA">
            <w:pPr>
              <w:snapToGrid w:val="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东阳市国土空间规划中期评估采购项目采购</w:t>
            </w:r>
          </w:p>
        </w:tc>
      </w:tr>
      <w:tr w14:paraId="45C43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79E7C1E">
            <w:pPr>
              <w:snapToGrid w:val="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34D64FBF">
            <w:pPr>
              <w:rPr>
                <w:rFonts w:hint="eastAsia" w:ascii="宋体" w:hAnsi="宋体" w:cs="宋体"/>
                <w:color w:val="auto"/>
                <w:sz w:val="24"/>
                <w:highlight w:val="none"/>
              </w:rPr>
            </w:pPr>
            <w:r>
              <w:rPr>
                <w:rFonts w:hint="eastAsia" w:ascii="宋体" w:hAnsi="宋体" w:cs="宋体"/>
                <w:color w:val="auto"/>
                <w:sz w:val="24"/>
                <w:highlight w:val="none"/>
              </w:rPr>
              <w:t>投标报价及费用：1、本项目投标应以人民币报价；2、不论投标结果如何，投标人均应自行承担所有与投标有关的全部费用；3、投标费用：本项目代理服务费按照本章第五条收费标准向中标单位收取。</w:t>
            </w:r>
          </w:p>
        </w:tc>
      </w:tr>
      <w:tr w14:paraId="73363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64DC6EE">
            <w:pPr>
              <w:snapToGrid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3A6BA5BD">
            <w:pPr>
              <w:rPr>
                <w:rFonts w:hint="eastAsia"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z w:val="24"/>
                <w:highlight w:val="none"/>
                <w:lang w:eastAsia="zh-CN"/>
              </w:rPr>
              <w:t>不限，所有大中小企业均可参加。</w:t>
            </w:r>
          </w:p>
        </w:tc>
      </w:tr>
      <w:tr w14:paraId="418D0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6FBEB4D">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434F004B">
            <w:pPr>
              <w:snapToGrid w:val="0"/>
              <w:rPr>
                <w:rFonts w:hint="eastAsia" w:ascii="宋体" w:hAnsi="宋体" w:cs="宋体"/>
                <w:color w:val="auto"/>
                <w:sz w:val="24"/>
                <w:highlight w:val="none"/>
              </w:rPr>
            </w:pPr>
            <w:r>
              <w:rPr>
                <w:rFonts w:hint="eastAsia" w:ascii="宋体" w:hAnsi="宋体" w:cs="宋体"/>
                <w:color w:val="auto"/>
                <w:sz w:val="24"/>
                <w:highlight w:val="none"/>
              </w:rPr>
              <w:t>答疑与澄清：投标人如认为招标文件表述不清晰、存在歧视性、排他性或者其他违法内容的，应当</w:t>
            </w:r>
            <w:r>
              <w:rPr>
                <w:rFonts w:hint="eastAsia" w:ascii="宋体" w:hAnsi="宋体" w:cs="宋体"/>
                <w:color w:val="auto"/>
                <w:sz w:val="24"/>
                <w:highlight w:val="none"/>
                <w:shd w:val="clear" w:color="auto" w:fill="FFFFFF"/>
              </w:rPr>
              <w:t>于</w:t>
            </w:r>
            <w:r>
              <w:rPr>
                <w:rFonts w:hint="eastAsia" w:ascii="宋体" w:hAnsi="宋体" w:cs="宋体"/>
                <w:b/>
                <w:bCs/>
                <w:color w:val="auto"/>
                <w:sz w:val="24"/>
                <w:highlight w:val="none"/>
                <w:u w:val="single"/>
                <w:shd w:val="clear" w:color="auto" w:fill="FFFFFF"/>
              </w:rPr>
              <w:t>质疑期限届满之日</w:t>
            </w:r>
            <w:r>
              <w:rPr>
                <w:rFonts w:hint="eastAsia" w:ascii="宋体" w:hAnsi="宋体" w:cs="宋体"/>
                <w:color w:val="auto"/>
                <w:sz w:val="24"/>
                <w:highlight w:val="none"/>
                <w:shd w:val="clear" w:color="auto" w:fill="FFFFFF"/>
              </w:rPr>
              <w:t>前，</w:t>
            </w:r>
            <w:r>
              <w:rPr>
                <w:rFonts w:hint="eastAsia" w:ascii="宋体" w:hAnsi="宋体" w:cs="宋体"/>
                <w:color w:val="auto"/>
                <w:sz w:val="24"/>
                <w:highlight w:val="none"/>
              </w:rPr>
              <w:t>以书面形式要求招标采购单位作出书面解释、澄清或者</w:t>
            </w:r>
            <w:r>
              <w:rPr>
                <w:rFonts w:hint="eastAsia" w:ascii="宋体" w:hAnsi="宋体" w:eastAsia="宋体" w:cs="宋体"/>
                <w:color w:val="auto"/>
                <w:sz w:val="24"/>
                <w:highlight w:val="none"/>
              </w:rPr>
              <w:t>一次性</w:t>
            </w:r>
            <w:r>
              <w:rPr>
                <w:rFonts w:hint="eastAsia" w:ascii="宋体" w:hAnsi="宋体" w:cs="宋体"/>
                <w:color w:val="auto"/>
                <w:sz w:val="24"/>
                <w:highlight w:val="none"/>
              </w:rPr>
              <w:t>向招标采购单位提出书面质疑（</w:t>
            </w:r>
            <w:r>
              <w:rPr>
                <w:rFonts w:hint="eastAsia" w:ascii="宋体" w:hAnsi="宋体" w:cs="宋体"/>
                <w:b/>
                <w:color w:val="auto"/>
                <w:sz w:val="24"/>
                <w:highlight w:val="none"/>
              </w:rPr>
              <w:t>超过此规定时间的质疑函将不予受理）</w:t>
            </w:r>
            <w:r>
              <w:rPr>
                <w:rFonts w:hint="eastAsia" w:ascii="宋体" w:hAnsi="宋体" w:cs="宋体"/>
                <w:color w:val="auto"/>
                <w:sz w:val="24"/>
                <w:highlight w:val="none"/>
              </w:rPr>
              <w:t>；招标采购单位将于</w:t>
            </w:r>
            <w:r>
              <w:rPr>
                <w:rFonts w:hint="eastAsia" w:ascii="宋体" w:hAnsi="宋体" w:cs="宋体"/>
                <w:b/>
                <w:bCs/>
                <w:color w:val="auto"/>
                <w:sz w:val="24"/>
                <w:highlight w:val="none"/>
                <w:u w:val="single"/>
                <w:shd w:val="clear" w:color="auto" w:fill="FFFFFF"/>
              </w:rPr>
              <w:t>答疑期限届满之日</w:t>
            </w:r>
            <w:r>
              <w:rPr>
                <w:rFonts w:hint="eastAsia" w:ascii="宋体" w:hAnsi="宋体" w:cs="宋体"/>
                <w:b/>
                <w:bCs/>
                <w:color w:val="auto"/>
                <w:sz w:val="24"/>
                <w:highlight w:val="none"/>
                <w:shd w:val="clear" w:color="auto" w:fill="FFFFFF"/>
              </w:rPr>
              <w:t>前</w:t>
            </w:r>
            <w:r>
              <w:rPr>
                <w:rFonts w:hint="eastAsia" w:ascii="宋体" w:hAnsi="宋体" w:cs="宋体"/>
                <w:color w:val="auto"/>
                <w:sz w:val="24"/>
                <w:highlight w:val="none"/>
                <w:shd w:val="clear" w:color="auto" w:fill="FFFFFF"/>
              </w:rPr>
              <w:t>将答疑内容以传真或网上发布公告的形式通知所有已报名的投标人；答疑内容是招标</w:t>
            </w:r>
            <w:r>
              <w:rPr>
                <w:rFonts w:hint="eastAsia" w:ascii="宋体" w:hAnsi="宋体" w:cs="宋体"/>
                <w:color w:val="auto"/>
                <w:sz w:val="24"/>
                <w:highlight w:val="none"/>
              </w:rPr>
              <w:t>文件的组成部分；因其他紧急情况影响本项目正常招标活动的，招标采购单位将于投标截止日期5天前书面通知所有已报名的投标人。</w:t>
            </w:r>
          </w:p>
        </w:tc>
      </w:tr>
      <w:tr w14:paraId="08C23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F7EDB48">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244EA59D">
            <w:pPr>
              <w:rPr>
                <w:rFonts w:hint="eastAsia" w:ascii="宋体" w:hAnsi="宋体" w:cs="宋体"/>
                <w:color w:val="auto"/>
                <w:sz w:val="24"/>
                <w:highlight w:val="none"/>
              </w:rPr>
            </w:pPr>
            <w:r>
              <w:rPr>
                <w:rFonts w:hint="eastAsia" w:ascii="宋体" w:hAnsi="宋体" w:cs="宋体"/>
                <w:color w:val="auto"/>
                <w:sz w:val="24"/>
                <w:highlight w:val="none"/>
              </w:rPr>
              <w:t>本项目投标文件由资格</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文件、商务</w:t>
            </w:r>
            <w:r>
              <w:rPr>
                <w:rFonts w:hint="eastAsia" w:ascii="宋体" w:hAnsi="宋体" w:cs="宋体"/>
                <w:color w:val="auto"/>
                <w:sz w:val="24"/>
                <w:highlight w:val="none"/>
                <w:lang w:val="en-US" w:eastAsia="zh-CN"/>
              </w:rPr>
              <w:t>资信</w:t>
            </w:r>
            <w:r>
              <w:rPr>
                <w:rFonts w:hint="eastAsia" w:ascii="宋体" w:hAnsi="宋体" w:cs="宋体"/>
                <w:color w:val="auto"/>
                <w:sz w:val="24"/>
                <w:highlight w:val="none"/>
              </w:rPr>
              <w:t>技术文件和报价文件三部分组成。投标人应按以下方式递交投标文件：</w:t>
            </w:r>
          </w:p>
          <w:p w14:paraId="560FCF44">
            <w:pPr>
              <w:rPr>
                <w:rFonts w:hint="eastAsia" w:ascii="宋体" w:hAnsi="宋体" w:cs="宋体"/>
                <w:color w:val="auto"/>
                <w:sz w:val="24"/>
                <w:highlight w:val="none"/>
              </w:rPr>
            </w:pPr>
            <w:r>
              <w:rPr>
                <w:rFonts w:hint="eastAsia" w:ascii="宋体" w:hAnsi="宋体" w:cs="宋体"/>
                <w:color w:val="auto"/>
                <w:sz w:val="24"/>
                <w:highlight w:val="none"/>
              </w:rPr>
              <w:t>▲1、本项目实行“网上投标、电子评标”，投标人应于投标截止时间前在“政采云”（电子交易平台）上传输、递交电子版投标文件（包括资格</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文件、商务</w:t>
            </w:r>
            <w:r>
              <w:rPr>
                <w:rFonts w:hint="eastAsia" w:ascii="宋体" w:hAnsi="宋体" w:cs="宋体"/>
                <w:color w:val="auto"/>
                <w:sz w:val="24"/>
                <w:highlight w:val="none"/>
                <w:lang w:val="en-US" w:eastAsia="zh-CN"/>
              </w:rPr>
              <w:t>资信</w:t>
            </w:r>
            <w:r>
              <w:rPr>
                <w:rFonts w:hint="eastAsia" w:ascii="宋体" w:hAnsi="宋体" w:cs="宋体"/>
                <w:color w:val="auto"/>
                <w:sz w:val="24"/>
                <w:highlight w:val="none"/>
              </w:rPr>
              <w:t>技术文件和报价文件）；</w:t>
            </w:r>
          </w:p>
          <w:p w14:paraId="701E7017">
            <w:pPr>
              <w:rPr>
                <w:rFonts w:hint="eastAsia" w:ascii="宋体" w:hAnsi="宋体" w:cs="宋体"/>
                <w:color w:val="auto"/>
                <w:sz w:val="24"/>
                <w:highlight w:val="none"/>
              </w:rPr>
            </w:pPr>
            <w:r>
              <w:rPr>
                <w:rFonts w:hint="eastAsia" w:ascii="宋体" w:hAnsi="宋体" w:cs="宋体"/>
                <w:color w:val="auto"/>
                <w:sz w:val="24"/>
                <w:highlight w:val="none"/>
              </w:rPr>
              <w:t>2、为了避免由于电子交易平台无法正常运行等技术、安全故障原因造成投标文件无法解密或解密失败，导致投标无效的情况，投标人可以在投标截止时间前将电子备份投标文件（经政采云电子交易客户端和CA驱动制作出的后缀名为“bfbs”的加密电子备份投标文件）发送至东阳耀辉工程咨询有限公司邮箱：17220</w:t>
            </w:r>
            <w:r>
              <w:rPr>
                <w:rFonts w:hint="eastAsia" w:ascii="宋体" w:hAnsi="宋体" w:cs="宋体"/>
                <w:color w:val="auto"/>
                <w:sz w:val="24"/>
                <w:highlight w:val="none"/>
                <w:lang w:eastAsia="zh-CN"/>
              </w:rPr>
              <w:t>0</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32@qq.com，逾期发送或发错后缀名的备份投标文件将被视为无效；</w:t>
            </w:r>
          </w:p>
          <w:p w14:paraId="7BDFDFE2">
            <w:pPr>
              <w:rPr>
                <w:rFonts w:hint="eastAsia" w:ascii="宋体" w:hAnsi="宋体" w:cs="宋体"/>
                <w:color w:val="auto"/>
                <w:sz w:val="24"/>
                <w:highlight w:val="none"/>
              </w:rPr>
            </w:pPr>
            <w:r>
              <w:rPr>
                <w:rFonts w:hint="eastAsia" w:ascii="宋体" w:hAnsi="宋体" w:cs="宋体"/>
                <w:color w:val="auto"/>
                <w:sz w:val="24"/>
                <w:highlight w:val="none"/>
              </w:rPr>
              <w:t>3、投标人仅提交电子备份投标文件的，投标无效；</w:t>
            </w:r>
          </w:p>
          <w:p w14:paraId="55A3E3F3">
            <w:pPr>
              <w:rPr>
                <w:rFonts w:hint="eastAsia" w:ascii="宋体" w:hAnsi="宋体" w:cs="宋体"/>
                <w:color w:val="auto"/>
                <w:sz w:val="24"/>
                <w:highlight w:val="none"/>
              </w:rPr>
            </w:pPr>
            <w:r>
              <w:rPr>
                <w:rFonts w:hint="eastAsia" w:ascii="宋体" w:hAnsi="宋体" w:cs="宋体"/>
                <w:color w:val="auto"/>
                <w:sz w:val="24"/>
                <w:highlight w:val="none"/>
              </w:rPr>
              <w:t>4、本项目不强制投标人提交电子备份投标文件；如在开评标时出现电子投标文件无法解密或解密失败等情况，因投标人未提供电子备份投标文件而造成投标无效等一切后果和风险由投标人自行承担。</w:t>
            </w:r>
          </w:p>
        </w:tc>
      </w:tr>
      <w:tr w14:paraId="77A45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5BF370F">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558C247B">
            <w:pPr>
              <w:rPr>
                <w:rFonts w:hint="eastAsia" w:ascii="宋体" w:hAnsi="宋体" w:cs="宋体"/>
                <w:bCs/>
                <w:color w:val="auto"/>
                <w:sz w:val="24"/>
                <w:highlight w:val="none"/>
                <w:u w:val="none"/>
                <w:lang w:val="en-US" w:eastAsia="zh-CN"/>
              </w:rPr>
            </w:pPr>
            <w:r>
              <w:rPr>
                <w:rFonts w:hint="eastAsia" w:ascii="宋体" w:hAnsi="宋体" w:cs="宋体"/>
                <w:color w:val="auto"/>
                <w:sz w:val="24"/>
                <w:highlight w:val="none"/>
              </w:rPr>
              <w:t>投标截止时间：</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lang w:eastAsia="zh-CN"/>
              </w:rPr>
              <w:t>日</w:t>
            </w:r>
            <w:r>
              <w:rPr>
                <w:rFonts w:hint="eastAsia" w:ascii="宋体" w:hAnsi="宋体" w:cs="宋体"/>
                <w:bCs/>
                <w:color w:val="auto"/>
                <w:sz w:val="24"/>
                <w:highlight w:val="none"/>
                <w:u w:val="single"/>
                <w:lang w:val="en-US" w:eastAsia="zh-CN"/>
              </w:rPr>
              <w:t>9</w:t>
            </w:r>
            <w:r>
              <w:rPr>
                <w:rFonts w:hint="eastAsia" w:ascii="宋体" w:hAnsi="宋体" w:cs="宋体"/>
                <w:bCs/>
                <w:color w:val="auto"/>
                <w:sz w:val="24"/>
                <w:highlight w:val="none"/>
                <w:u w:val="single"/>
              </w:rPr>
              <w:t>点</w:t>
            </w:r>
            <w:r>
              <w:rPr>
                <w:rFonts w:hint="eastAsia" w:ascii="宋体" w:hAnsi="宋体" w:cs="宋体"/>
                <w:bCs/>
                <w:color w:val="auto"/>
                <w:sz w:val="24"/>
                <w:highlight w:val="none"/>
                <w:u w:val="single"/>
                <w:lang w:val="en-US" w:eastAsia="zh-CN"/>
              </w:rPr>
              <w:t>00分</w:t>
            </w:r>
            <w:r>
              <w:rPr>
                <w:rFonts w:hint="eastAsia" w:ascii="宋体" w:hAnsi="宋体" w:cs="宋体"/>
                <w:bCs/>
                <w:color w:val="auto"/>
                <w:sz w:val="24"/>
                <w:highlight w:val="none"/>
                <w:u w:val="none"/>
                <w:lang w:val="en-US" w:eastAsia="zh-CN"/>
              </w:rPr>
              <w:t>（北京时间）</w:t>
            </w:r>
          </w:p>
          <w:p w14:paraId="29C7879F">
            <w:pPr>
              <w:rPr>
                <w:rFonts w:hint="eastAsia" w:ascii="宋体" w:hAnsi="宋体" w:cs="宋体"/>
                <w:color w:val="auto"/>
                <w:sz w:val="24"/>
                <w:highlight w:val="none"/>
              </w:rPr>
            </w:pPr>
            <w:r>
              <w:rPr>
                <w:rFonts w:hint="eastAsia" w:ascii="宋体" w:hAnsi="宋体" w:cs="宋体"/>
                <w:color w:val="auto"/>
                <w:sz w:val="24"/>
                <w:highlight w:val="none"/>
              </w:rPr>
              <w:t>1、投标人应当在</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lang w:eastAsia="zh-CN"/>
              </w:rPr>
              <w:t>日</w:t>
            </w:r>
            <w:r>
              <w:rPr>
                <w:rFonts w:hint="eastAsia" w:ascii="宋体" w:hAnsi="宋体" w:cs="宋体"/>
                <w:bCs/>
                <w:color w:val="auto"/>
                <w:sz w:val="24"/>
                <w:highlight w:val="none"/>
                <w:u w:val="single"/>
                <w:lang w:val="en-US" w:eastAsia="zh-CN"/>
              </w:rPr>
              <w:t>9</w:t>
            </w:r>
            <w:r>
              <w:rPr>
                <w:rFonts w:hint="eastAsia" w:ascii="宋体" w:hAnsi="宋体" w:cs="宋体"/>
                <w:bCs/>
                <w:color w:val="auto"/>
                <w:sz w:val="24"/>
                <w:highlight w:val="none"/>
                <w:u w:val="single"/>
              </w:rPr>
              <w:t>点</w:t>
            </w:r>
            <w:r>
              <w:rPr>
                <w:rFonts w:hint="eastAsia" w:ascii="宋体" w:hAnsi="宋体" w:cs="宋体"/>
                <w:bCs/>
                <w:color w:val="auto"/>
                <w:sz w:val="24"/>
                <w:highlight w:val="none"/>
                <w:u w:val="single"/>
                <w:lang w:val="en-US" w:eastAsia="zh-CN"/>
              </w:rPr>
              <w:t>00分</w:t>
            </w:r>
            <w:r>
              <w:rPr>
                <w:rFonts w:hint="eastAsia" w:ascii="宋体" w:hAnsi="宋体" w:cs="宋体"/>
                <w:color w:val="auto"/>
                <w:sz w:val="24"/>
                <w:highlight w:val="none"/>
              </w:rPr>
              <w:t>前在“政采云”（电子交易平台）上自行上传加密的电子投标文件。投标截止时间后递交的电子投标文件，将被政采云平台拒收。</w:t>
            </w:r>
          </w:p>
          <w:p w14:paraId="60FA51D1">
            <w:pPr>
              <w:rPr>
                <w:rFonts w:hint="eastAsia" w:ascii="宋体" w:hAnsi="宋体" w:cs="宋体"/>
                <w:color w:val="auto"/>
                <w:sz w:val="24"/>
                <w:highlight w:val="none"/>
              </w:rPr>
            </w:pPr>
            <w:r>
              <w:rPr>
                <w:rFonts w:hint="eastAsia" w:ascii="宋体" w:hAnsi="宋体" w:cs="宋体"/>
                <w:color w:val="auto"/>
                <w:sz w:val="24"/>
                <w:highlight w:val="none"/>
              </w:rPr>
              <w:t>2、电子备份投标文件的递交时间：投标人应当在</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lang w:eastAsia="zh-CN"/>
              </w:rPr>
              <w:t>日</w:t>
            </w:r>
            <w:r>
              <w:rPr>
                <w:rFonts w:hint="eastAsia" w:ascii="宋体" w:hAnsi="宋体" w:cs="宋体"/>
                <w:bCs/>
                <w:color w:val="auto"/>
                <w:sz w:val="24"/>
                <w:highlight w:val="none"/>
                <w:u w:val="single"/>
                <w:lang w:val="en-US" w:eastAsia="zh-CN"/>
              </w:rPr>
              <w:t>9</w:t>
            </w:r>
            <w:r>
              <w:rPr>
                <w:rFonts w:hint="eastAsia" w:ascii="宋体" w:hAnsi="宋体" w:cs="宋体"/>
                <w:bCs/>
                <w:color w:val="auto"/>
                <w:sz w:val="24"/>
                <w:highlight w:val="none"/>
                <w:u w:val="single"/>
              </w:rPr>
              <w:t>点</w:t>
            </w:r>
            <w:r>
              <w:rPr>
                <w:rFonts w:hint="eastAsia" w:ascii="宋体" w:hAnsi="宋体" w:cs="宋体"/>
                <w:bCs/>
                <w:color w:val="auto"/>
                <w:sz w:val="24"/>
                <w:highlight w:val="none"/>
                <w:u w:val="single"/>
                <w:lang w:val="en-US" w:eastAsia="zh-CN"/>
              </w:rPr>
              <w:t>00分</w:t>
            </w:r>
            <w:r>
              <w:rPr>
                <w:rFonts w:hint="eastAsia" w:ascii="宋体" w:hAnsi="宋体" w:cs="宋体"/>
                <w:color w:val="auto"/>
                <w:sz w:val="24"/>
                <w:highlight w:val="none"/>
              </w:rPr>
              <w:t>前，逾期未递交的视为自动放弃。</w:t>
            </w:r>
          </w:p>
        </w:tc>
      </w:tr>
      <w:tr w14:paraId="12DB6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00343E5">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755F974F">
            <w:pPr>
              <w:rPr>
                <w:rFonts w:hint="eastAsia"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lang w:eastAsia="zh-CN"/>
              </w:rPr>
              <w:t>日</w:t>
            </w:r>
            <w:r>
              <w:rPr>
                <w:rFonts w:hint="eastAsia" w:ascii="宋体" w:hAnsi="宋体" w:cs="宋体"/>
                <w:bCs/>
                <w:color w:val="auto"/>
                <w:sz w:val="24"/>
                <w:highlight w:val="none"/>
                <w:u w:val="single"/>
                <w:lang w:val="en-US" w:eastAsia="zh-CN"/>
              </w:rPr>
              <w:t>9</w:t>
            </w:r>
            <w:r>
              <w:rPr>
                <w:rFonts w:hint="eastAsia" w:ascii="宋体" w:hAnsi="宋体" w:cs="宋体"/>
                <w:bCs/>
                <w:color w:val="auto"/>
                <w:sz w:val="24"/>
                <w:highlight w:val="none"/>
                <w:u w:val="single"/>
              </w:rPr>
              <w:t>点</w:t>
            </w:r>
            <w:r>
              <w:rPr>
                <w:rFonts w:hint="eastAsia" w:ascii="宋体" w:hAnsi="宋体" w:cs="宋体"/>
                <w:bCs/>
                <w:color w:val="auto"/>
                <w:sz w:val="24"/>
                <w:highlight w:val="none"/>
                <w:u w:val="single"/>
                <w:lang w:val="en-US" w:eastAsia="zh-CN"/>
              </w:rPr>
              <w:t>00分</w:t>
            </w:r>
            <w:r>
              <w:rPr>
                <w:rFonts w:hint="eastAsia" w:ascii="宋体" w:hAnsi="宋体" w:cs="宋体"/>
                <w:bCs/>
                <w:color w:val="auto"/>
                <w:sz w:val="24"/>
                <w:highlight w:val="none"/>
                <w:u w:val="none"/>
                <w:lang w:val="en-US" w:eastAsia="zh-CN"/>
              </w:rPr>
              <w:t>（北京时间）</w:t>
            </w:r>
          </w:p>
          <w:p w14:paraId="23E32BB8">
            <w:pPr>
              <w:rPr>
                <w:rFonts w:hint="eastAsia" w:ascii="宋体" w:hAnsi="宋体" w:cs="宋体"/>
                <w:color w:val="auto"/>
                <w:sz w:val="24"/>
                <w:highlight w:val="none"/>
              </w:rPr>
            </w:pPr>
            <w:r>
              <w:rPr>
                <w:rFonts w:hint="eastAsia" w:ascii="宋体" w:hAnsi="宋体" w:cs="宋体"/>
                <w:color w:val="auto"/>
                <w:sz w:val="24"/>
                <w:highlight w:val="none"/>
              </w:rPr>
              <w:t>截止开标时间，政采云（电子交易平台）自动提取所有投标文件，投标人须在开标时间截止后30分钟内对上传政采云的投标文件进行解密，所有投标人在规定的解密时限内解密完成或解密时限到后，采购代理机构开启投标文件；投标人超过解密时限的，系统默认自动放弃。</w:t>
            </w:r>
          </w:p>
        </w:tc>
      </w:tr>
      <w:tr w14:paraId="16BC8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5CF3F14">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357DDC5B">
            <w:pPr>
              <w:rPr>
                <w:rFonts w:hint="eastAsia" w:ascii="宋体" w:hAnsi="宋体" w:cs="宋体"/>
                <w:color w:val="auto"/>
                <w:sz w:val="24"/>
                <w:highlight w:val="none"/>
              </w:rPr>
            </w:pPr>
            <w:r>
              <w:rPr>
                <w:rFonts w:hint="eastAsia" w:ascii="宋体" w:hAnsi="宋体" w:cs="宋体"/>
                <w:color w:val="auto"/>
                <w:sz w:val="24"/>
                <w:highlight w:val="none"/>
              </w:rPr>
              <w:t>评标办法：综合评分法</w:t>
            </w:r>
          </w:p>
        </w:tc>
      </w:tr>
      <w:tr w14:paraId="33AEE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EEC9647">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06A6EAF3">
            <w:pPr>
              <w:rPr>
                <w:rFonts w:hint="eastAsia" w:ascii="宋体" w:hAnsi="宋体" w:cs="宋体"/>
                <w:color w:val="auto"/>
                <w:sz w:val="24"/>
                <w:highlight w:val="none"/>
              </w:rPr>
            </w:pPr>
            <w:r>
              <w:rPr>
                <w:rFonts w:hint="eastAsia" w:ascii="宋体" w:hAnsi="宋体" w:cs="宋体"/>
                <w:color w:val="auto"/>
                <w:sz w:val="24"/>
                <w:highlight w:val="none"/>
              </w:rPr>
              <w:t>中标结果公告：自中标人确定之日起2个工作日内，中标结果公告于浙江省政府采购网(</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"http://www.zjzfcg.gov.cn/"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www.zjzfcg.gov.cn</w:t>
            </w:r>
            <w:r>
              <w:rPr>
                <w:rFonts w:hint="eastAsia" w:ascii="宋体" w:hAnsi="宋体" w:cs="宋体"/>
                <w:color w:val="auto"/>
                <w:sz w:val="24"/>
                <w:highlight w:val="none"/>
              </w:rPr>
              <w:fldChar w:fldCharType="end"/>
            </w:r>
            <w:r>
              <w:rPr>
                <w:rFonts w:hint="eastAsia" w:ascii="宋体" w:hAnsi="宋体" w:cs="宋体"/>
                <w:color w:val="auto"/>
                <w:sz w:val="24"/>
                <w:highlight w:val="none"/>
              </w:rPr>
              <w:t>)、东阳市公共资源交易网</w:t>
            </w:r>
            <w:r>
              <w:rPr>
                <w:rFonts w:hint="eastAsia" w:ascii="宋体" w:hAnsi="宋体" w:cs="Arial"/>
                <w:color w:val="auto"/>
                <w:sz w:val="24"/>
                <w:highlight w:val="none"/>
              </w:rPr>
              <w:t>(</w:t>
            </w:r>
            <w:r>
              <w:rPr>
                <w:rFonts w:hint="eastAsia" w:ascii="宋体" w:hAnsi="宋体" w:cs="宋体"/>
                <w:color w:val="auto"/>
                <w:sz w:val="24"/>
                <w:highlight w:val="none"/>
                <w:u w:val="single"/>
              </w:rPr>
              <w:t>http://www.dongyang.gov.cn/ggzyjy/index.html</w:t>
            </w:r>
            <w:r>
              <w:rPr>
                <w:rFonts w:hint="eastAsia" w:ascii="宋体" w:hAnsi="宋体" w:cs="Arial"/>
                <w:color w:val="auto"/>
                <w:sz w:val="24"/>
                <w:highlight w:val="none"/>
              </w:rPr>
              <w:t>)</w:t>
            </w:r>
            <w:r>
              <w:rPr>
                <w:rFonts w:hint="eastAsia" w:ascii="宋体" w:hAnsi="宋体" w:cs="宋体"/>
                <w:color w:val="auto"/>
                <w:sz w:val="24"/>
                <w:highlight w:val="none"/>
              </w:rPr>
              <w:t>，公告1个工作日。</w:t>
            </w:r>
          </w:p>
        </w:tc>
      </w:tr>
      <w:tr w14:paraId="19CED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550EAA2">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19A5940D">
            <w:pPr>
              <w:rPr>
                <w:rFonts w:hint="eastAsia" w:ascii="宋体" w:hAnsi="宋体" w:cs="宋体"/>
                <w:color w:val="auto"/>
                <w:sz w:val="24"/>
                <w:highlight w:val="none"/>
              </w:rPr>
            </w:pPr>
            <w:r>
              <w:rPr>
                <w:rFonts w:hint="eastAsia" w:ascii="宋体" w:hAnsi="宋体" w:cs="宋体"/>
                <w:color w:val="auto"/>
                <w:sz w:val="24"/>
                <w:highlight w:val="none"/>
              </w:rPr>
              <w:t>中标通知书：确定中标人后，中标人应在三个工作日内，向招标人领取《中标通知书》，否则按放弃中标资格处理。</w:t>
            </w:r>
          </w:p>
        </w:tc>
      </w:tr>
      <w:tr w14:paraId="75A44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1C33ADE">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155F4B9C">
            <w:pPr>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投标保证金：本项目不收取投标保证金</w:t>
            </w:r>
          </w:p>
          <w:p w14:paraId="41C51FC3">
            <w:pPr>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 本项目不收取履约保证金</w:t>
            </w:r>
          </w:p>
        </w:tc>
      </w:tr>
      <w:tr w14:paraId="7F38D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EC3D5CF">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06894C94">
            <w:pPr>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签订合同时间：中标通知书发出后20日内。</w:t>
            </w:r>
          </w:p>
        </w:tc>
      </w:tr>
      <w:tr w14:paraId="774CF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85F3FEC">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53B709FF">
            <w:pPr>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付款方式：</w:t>
            </w:r>
            <w:r>
              <w:rPr>
                <w:rFonts w:hint="eastAsia" w:ascii="宋体" w:hAnsi="宋体" w:cs="宋体"/>
                <w:color w:val="auto"/>
                <w:sz w:val="24"/>
                <w:highlight w:val="none"/>
              </w:rPr>
              <w:t>签订合同以及具备实施条件后7个工作日内采购人支付合同价款的</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0%；成果通过相关部门验收或上报省自然资源厅后7个工作日内支付合同价款的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0%；成果经省自然资源厅审核通过且数据回流后7个工作日内支付合同价款的30%</w:t>
            </w:r>
            <w:r>
              <w:rPr>
                <w:rFonts w:hint="eastAsia" w:ascii="宋体" w:hAnsi="宋体" w:eastAsia="宋体" w:cs="宋体"/>
                <w:color w:val="auto"/>
                <w:sz w:val="24"/>
                <w:highlight w:val="none"/>
                <w:lang w:val="en-US" w:eastAsia="zh-CN"/>
              </w:rPr>
              <w:t>。</w:t>
            </w:r>
          </w:p>
          <w:p w14:paraId="693CC9E4">
            <w:pPr>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在签订合同时，中标方明确表示无需预付款或者主动要求降低预付款比例的，采购单位可不支付或减少预付款支付比例。</w:t>
            </w:r>
          </w:p>
        </w:tc>
      </w:tr>
      <w:tr w14:paraId="26B85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FB623B1">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148AFE24">
            <w:pPr>
              <w:snapToGrid w:val="0"/>
              <w:rPr>
                <w:rFonts w:hint="eastAsia" w:ascii="宋体" w:hAnsi="宋体" w:cs="宋体"/>
                <w:color w:val="auto"/>
                <w:sz w:val="24"/>
                <w:highlight w:val="none"/>
              </w:rPr>
            </w:pPr>
            <w:r>
              <w:rPr>
                <w:rFonts w:hint="eastAsia" w:ascii="宋体" w:hAnsi="宋体" w:cs="宋体"/>
                <w:color w:val="auto"/>
                <w:sz w:val="24"/>
                <w:highlight w:val="none"/>
              </w:rPr>
              <w:t>服务地点：东阳市内，采购人指定的地点。</w:t>
            </w:r>
          </w:p>
          <w:p w14:paraId="10EED48E">
            <w:pPr>
              <w:snapToGrid w:val="0"/>
              <w:rPr>
                <w:rFonts w:hint="eastAsia" w:ascii="宋体" w:hAnsi="宋体" w:cs="宋体"/>
                <w:color w:val="auto"/>
                <w:sz w:val="24"/>
                <w:highlight w:val="none"/>
              </w:rPr>
            </w:pPr>
            <w:r>
              <w:rPr>
                <w:rFonts w:hint="eastAsia" w:ascii="宋体" w:hAnsi="宋体" w:cs="宋体"/>
                <w:color w:val="auto"/>
                <w:sz w:val="24"/>
                <w:highlight w:val="none"/>
              </w:rPr>
              <w:t>根据中华人民共和国现行技术标准，按招标文件以及合同规定的验收评定标准等规范，由采购人组织相关人员进行验收，验收合格后，采购人出具验收报告；验收费用由中标人承担；采购人出具一式二份验收报告，一份由中标人保管，一份由东阳耀辉工程咨询有限公司（原件）存档。</w:t>
            </w:r>
          </w:p>
        </w:tc>
      </w:tr>
      <w:tr w14:paraId="10F88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1FED8C8">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6512A5E5">
            <w:pPr>
              <w:snapToGrid w:val="0"/>
              <w:rPr>
                <w:rFonts w:hint="eastAsia" w:ascii="宋体" w:hAnsi="宋体" w:cs="宋体"/>
                <w:color w:val="auto"/>
                <w:sz w:val="24"/>
                <w:highlight w:val="none"/>
              </w:rPr>
            </w:pPr>
            <w:r>
              <w:rPr>
                <w:rFonts w:hint="eastAsia" w:ascii="宋体" w:hAnsi="宋体" w:cs="宋体"/>
                <w:color w:val="auto"/>
                <w:sz w:val="24"/>
                <w:highlight w:val="none"/>
              </w:rPr>
              <w:t>投标文件有效期：</w:t>
            </w:r>
            <w:r>
              <w:rPr>
                <w:rFonts w:hint="eastAsia" w:ascii="宋体" w:hAnsi="宋体" w:cs="宋体"/>
                <w:color w:val="auto"/>
                <w:sz w:val="24"/>
                <w:highlight w:val="none"/>
                <w:u w:val="single"/>
              </w:rPr>
              <w:t xml:space="preserve"> 60 </w:t>
            </w:r>
            <w:r>
              <w:rPr>
                <w:rFonts w:hint="eastAsia" w:ascii="宋体" w:hAnsi="宋体" w:cs="宋体"/>
                <w:color w:val="auto"/>
                <w:sz w:val="24"/>
                <w:highlight w:val="none"/>
              </w:rPr>
              <w:t>天</w:t>
            </w:r>
          </w:p>
        </w:tc>
      </w:tr>
      <w:tr w14:paraId="41812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652D693">
            <w:pPr>
              <w:snapToGrid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0F8BE45F">
            <w:pPr>
              <w:snapToGri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中小企业信用融资：为支持和促进中小企业发展，进一步发挥政府采购政策功能，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录浙江政府采购( (tp:/www zizfcg gov.cn)的中小企业信用融资栏目了解相关信息。 供应商可以通过浙江政府采购网(https://zfcg. czt.zj. gov.cn/)首页的“浙江政采贷”模块进入申请，还可以通过政府采购云平台(https://wwwzcygov.cn/)首页的“金融服务”模块进入申请。</w:t>
            </w:r>
          </w:p>
          <w:p w14:paraId="1F5A7CD1">
            <w:pPr>
              <w:snapToGri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为扩大政府采购金融服务面，除政采云网上金融服务合作银行外，东阳市范围内增加浙商银行金华分行东阳支行作为线下合作银行。   </w:t>
            </w:r>
          </w:p>
          <w:p w14:paraId="5AB4F0A9">
            <w:pPr>
              <w:snapToGri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浙商银行金华东阳支行联系人：许燕  联系电话：13967983441  0579-86222992</w:t>
            </w:r>
          </w:p>
        </w:tc>
      </w:tr>
      <w:tr w14:paraId="70DF7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716467C">
            <w:pPr>
              <w:keepNext w:val="0"/>
              <w:keepLines w:val="0"/>
              <w:pageBreakBefore w:val="0"/>
              <w:widowControl w:val="0"/>
              <w:kinsoku/>
              <w:wordWrap/>
              <w:overflowPunct/>
              <w:topLinePunct w:val="0"/>
              <w:bidi w:val="0"/>
              <w:adjustRightInd/>
              <w:snapToGrid/>
              <w:spacing w:line="38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2B1C2364">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根据</w:t>
            </w:r>
            <w:r>
              <w:rPr>
                <w:rFonts w:hint="eastAsia" w:ascii="宋体" w:hAnsi="宋体" w:cs="宋体"/>
                <w:color w:val="auto"/>
                <w:sz w:val="24"/>
                <w:highlight w:val="none"/>
              </w:rPr>
              <w:t>《关于印发&lt;政府采购促进中小企业发展管理办法&gt;的通知》(财库〔2020〕46号)文件、《财政部、司法部关于政府采购支持监狱企业发展有关问题的通知》（财库〔2014〕68号）文件及《财政部、民政部、中国残疾人联合会关于促进残疾人就业政府采购政策的通知》（财库〔2017〕141号）的规定，对小型和微型企业、监狱企业、残疾人福</w:t>
            </w:r>
            <w:r>
              <w:rPr>
                <w:rFonts w:hint="eastAsia" w:ascii="宋体" w:hAnsi="宋体" w:eastAsia="宋体" w:cs="宋体"/>
                <w:color w:val="auto"/>
                <w:sz w:val="24"/>
                <w:highlight w:val="none"/>
                <w:lang w:eastAsia="zh-CN"/>
              </w:rPr>
              <w:t>利性单位价格给予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%扣除，用扣除后的</w:t>
            </w:r>
            <w:r>
              <w:rPr>
                <w:rFonts w:hint="eastAsia" w:ascii="宋体" w:hAnsi="宋体" w:cs="宋体"/>
                <w:color w:val="auto"/>
                <w:sz w:val="24"/>
                <w:highlight w:val="none"/>
                <w:lang w:eastAsia="zh-CN"/>
              </w:rPr>
              <w:t>价格参与评审，但不重复享受价格扣除。</w:t>
            </w:r>
          </w:p>
          <w:p w14:paraId="38AF0D2E">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大中型企业与小微企业组成联合体或者允许大中型企业向一家或者多家小微企业分包的政府采购货物或服务项目，对于联合</w:t>
            </w:r>
            <w:r>
              <w:rPr>
                <w:rFonts w:hint="eastAsia" w:ascii="宋体" w:hAnsi="宋体" w:cs="宋体"/>
                <w:color w:val="auto"/>
                <w:sz w:val="24"/>
                <w:highlight w:val="none"/>
                <w:lang w:eastAsia="zh-CN"/>
              </w:rPr>
              <w:t>体</w:t>
            </w:r>
            <w:r>
              <w:rPr>
                <w:rFonts w:hint="eastAsia" w:ascii="宋体" w:hAnsi="宋体" w:cs="宋体"/>
                <w:color w:val="auto"/>
                <w:sz w:val="24"/>
                <w:highlight w:val="none"/>
              </w:rPr>
              <w:t>协议或者分包意向协议约定小微企业的合同份额占到合同总金额</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0%以上的，对联合体或者大中型企业的报价给予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0D2BBB93">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小型和微型企业是指投标文件中提供了中小企业声明函且符合《关于印发&lt;政府采购促进中小企业发展管理办法&gt;的通知》(财库〔2020〕46号)规定的要求。残疾人福利性单位是指投标文件中提供了残疾人福利性单位声明函且符合《财政部、民政部、中国残疾人联合会关于促进残疾人就业政府采购政策的通知》（财库〔2017〕141号）规定的企业。监狱企业是指投标文件中提供了由省级以上监狱管理局、戒毒管理局（含新疆生产建设兵团）出具的属于监狱企业的证明文件的企业。</w:t>
            </w:r>
          </w:p>
        </w:tc>
      </w:tr>
      <w:tr w14:paraId="2C9C4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5A38740">
            <w:pPr>
              <w:keepNext w:val="0"/>
              <w:keepLines w:val="0"/>
              <w:pageBreakBefore w:val="0"/>
              <w:widowControl w:val="0"/>
              <w:kinsoku/>
              <w:wordWrap/>
              <w:overflowPunct/>
              <w:topLinePunct w:val="0"/>
              <w:bidi w:val="0"/>
              <w:adjustRightInd/>
              <w:snapToGrid/>
              <w:spacing w:line="38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5F445EEB">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根据《关于在政府采购活动中查询及使用信用记录有关问题的通知》财库[2016]125号的规定：</w:t>
            </w:r>
          </w:p>
          <w:p w14:paraId="73037E07">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（1）招标人或采购代理机构将对本项目供应商的信用记录进行查询。查询渠道为信用中国网站（www.creditchina.gov.cn）、中国政府采购网（www.ccgp.gov.cn）；</w:t>
            </w:r>
          </w:p>
          <w:p w14:paraId="33046F29">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（2）截止时点：提交投标文件（响应文件）截止时间前3年内；</w:t>
            </w:r>
          </w:p>
          <w:p w14:paraId="7A000A79">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（3）查询记录和证据的留存：信用信息查询记录和证据以网页截图等方式留存。</w:t>
            </w:r>
          </w:p>
          <w:p w14:paraId="15E1C8CB">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4FD7F68F">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（5）联合体成员任意一方存在不良信用记录的，视同联合体存在不良信用记录。</w:t>
            </w:r>
          </w:p>
        </w:tc>
      </w:tr>
      <w:tr w14:paraId="12A22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C8A10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19</w:t>
            </w:r>
          </w:p>
        </w:tc>
        <w:tc>
          <w:tcPr>
            <w:tcW w:w="8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89DB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根据《浙江省财政厅关于印发浙江省政府采购询问和质疑实施办法的通知》（浙财采监〔2025〕11号）文件规定：</w:t>
            </w:r>
          </w:p>
          <w:p w14:paraId="23C40FF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供应商在全国范围12个月内三次以上质疑不成立提起投诉查无实据的，由财政部门列入不良行为记录名单。列入不良行为记录名单的供应商参加浙江政府采购活动须按照《中华人民共和国政府采购法实施条例》第三十三条、第四十八条规定缴纳投标保证金（不超过项目预算金额的2%）、履约保证金（不超过合同金额的10%）。</w:t>
            </w:r>
          </w:p>
          <w:p w14:paraId="76467A0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本项目投标保证金为项目预算金额的2%，履约保证金为合同金额的10%。</w:t>
            </w:r>
          </w:p>
          <w:p w14:paraId="2F6D022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投标保证金缴纳账户名称：</w:t>
            </w:r>
            <w:r>
              <w:rPr>
                <w:rFonts w:hint="eastAsia" w:ascii="宋体" w:hAnsi="宋体" w:eastAsia="宋体" w:cs="宋体"/>
                <w:color w:val="auto"/>
                <w:sz w:val="24"/>
                <w:szCs w:val="24"/>
                <w:highlight w:val="none"/>
              </w:rPr>
              <w:t>东阳耀辉工程咨询有限公司</w:t>
            </w:r>
          </w:p>
          <w:p w14:paraId="384FFC7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eastAsia="宋体" w:cs="宋体"/>
                <w:color w:val="auto"/>
                <w:sz w:val="24"/>
                <w:szCs w:val="24"/>
                <w:highlight w:val="none"/>
              </w:rPr>
              <w:t>中国农业银行东阳吴宁支行</w:t>
            </w:r>
          </w:p>
          <w:p w14:paraId="5913D07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银行帐号：</w:t>
            </w:r>
            <w:r>
              <w:rPr>
                <w:rFonts w:hint="eastAsia" w:ascii="宋体" w:hAnsi="宋体" w:eastAsia="宋体" w:cs="宋体"/>
                <w:color w:val="auto"/>
                <w:sz w:val="24"/>
                <w:szCs w:val="24"/>
                <w:highlight w:val="none"/>
              </w:rPr>
              <w:t>19635601040010736</w:t>
            </w:r>
            <w:r>
              <w:rPr>
                <w:rFonts w:hint="eastAsia" w:ascii="宋体" w:hAnsi="宋体" w:cs="宋体"/>
                <w:color w:val="auto"/>
                <w:sz w:val="24"/>
                <w:highlight w:val="none"/>
              </w:rPr>
              <w:t xml:space="preserve">                                              </w:t>
            </w:r>
          </w:p>
          <w:p w14:paraId="77F2BFA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注：投标人存在不良行为记录参与投标的，应如实缴纳投标保证金，如未按要求缴纳投标保证金的其投标文件按无效标处理。</w:t>
            </w:r>
          </w:p>
        </w:tc>
      </w:tr>
      <w:tr w14:paraId="49068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CD09B0">
            <w:pPr>
              <w:keepNext w:val="0"/>
              <w:keepLines w:val="0"/>
              <w:pageBreakBefore w:val="0"/>
              <w:widowControl w:val="0"/>
              <w:kinsoku/>
              <w:wordWrap/>
              <w:overflowPunct/>
              <w:topLinePunct w:val="0"/>
              <w:bidi w:val="0"/>
              <w:adjustRightInd/>
              <w:snapToGrid/>
              <w:spacing w:line="38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20</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3E8DCF7D">
            <w:pPr>
              <w:keepNext w:val="0"/>
              <w:keepLines w:val="0"/>
              <w:pageBreakBefore w:val="0"/>
              <w:widowControl w:val="0"/>
              <w:kinsoku/>
              <w:wordWrap/>
              <w:overflowPunct/>
              <w:topLinePunct w:val="0"/>
              <w:bidi w:val="0"/>
              <w:adjustRightInd/>
              <w:snapToGrid/>
              <w:spacing w:line="3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根据《关于印发中小企业划型标准规定的通知》（工信部联企业〔2011〕300号）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采购标的对应的中小企业划分标准所属行业，</w:t>
            </w:r>
            <w:r>
              <w:rPr>
                <w:rFonts w:hint="eastAsia" w:ascii="宋体" w:hAnsi="宋体" w:eastAsia="宋体" w:cs="宋体"/>
                <w:color w:val="auto"/>
                <w:sz w:val="24"/>
                <w:highlight w:val="none"/>
                <w:lang w:eastAsia="zh-CN"/>
              </w:rPr>
              <w:t>本项目</w:t>
            </w:r>
            <w:r>
              <w:rPr>
                <w:rFonts w:hint="eastAsia" w:ascii="宋体" w:hAnsi="宋体" w:eastAsia="宋体" w:cs="宋体"/>
                <w:color w:val="auto"/>
                <w:sz w:val="24"/>
                <w:highlight w:val="none"/>
              </w:rPr>
              <w:t>属于其他未列明行业；</w:t>
            </w:r>
          </w:p>
          <w:p w14:paraId="0964F3F8">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eastAsia="宋体" w:cs="宋体"/>
                <w:color w:val="auto"/>
                <w:sz w:val="24"/>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tc>
      </w:tr>
      <w:tr w14:paraId="16B81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DA7AE">
            <w:pPr>
              <w:keepNext w:val="0"/>
              <w:keepLines w:val="0"/>
              <w:pageBreakBefore w:val="0"/>
              <w:widowControl w:val="0"/>
              <w:kinsoku/>
              <w:wordWrap/>
              <w:overflowPunct/>
              <w:topLinePunct w:val="0"/>
              <w:bidi w:val="0"/>
              <w:adjustRightInd/>
              <w:snapToGrid/>
              <w:spacing w:line="38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21</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718BA9A3">
            <w:pPr>
              <w:snapToGrid w:val="0"/>
              <w:rPr>
                <w:rFonts w:ascii="宋体" w:hAnsi="宋体" w:cs="宋体"/>
                <w:b/>
                <w:bCs/>
                <w:color w:val="auto"/>
                <w:sz w:val="24"/>
                <w:highlight w:val="none"/>
              </w:rPr>
            </w:pPr>
            <w:r>
              <w:rPr>
                <w:rFonts w:hint="eastAsia" w:ascii="宋体" w:hAnsi="宋体" w:cs="宋体"/>
                <w:b/>
                <w:bCs/>
                <w:color w:val="auto"/>
                <w:sz w:val="24"/>
                <w:highlight w:val="none"/>
              </w:rPr>
              <w:t>节能产品、环境标志产品的强制采购政策</w:t>
            </w:r>
          </w:p>
          <w:p w14:paraId="48BE1BE9">
            <w:pPr>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4FC3C851">
            <w:pPr>
              <w:snapToGrid w:val="0"/>
              <w:rPr>
                <w:rFonts w:ascii="宋体" w:hAnsi="宋体" w:cs="宋体"/>
                <w:b/>
                <w:bCs/>
                <w:color w:val="auto"/>
                <w:sz w:val="24"/>
                <w:highlight w:val="none"/>
              </w:rPr>
            </w:pPr>
            <w:r>
              <w:rPr>
                <w:rFonts w:hint="eastAsia" w:ascii="宋体" w:hAnsi="宋体" w:cs="宋体"/>
                <w:b/>
                <w:bCs/>
                <w:color w:val="auto"/>
                <w:sz w:val="24"/>
                <w:highlight w:val="none"/>
              </w:rPr>
              <w:t>节能产品、环境标志产品的优先采购政策</w:t>
            </w:r>
          </w:p>
          <w:p w14:paraId="6DBAD5E5">
            <w:pPr>
              <w:keepNext w:val="0"/>
              <w:keepLines w:val="0"/>
              <w:pageBreakBefore w:val="0"/>
              <w:widowControl w:val="0"/>
              <w:kinsoku/>
              <w:wordWrap/>
              <w:overflowPunct/>
              <w:topLinePunct w:val="0"/>
              <w:bidi w:val="0"/>
              <w:adjustRightInd/>
              <w:snapToGrid/>
              <w:spacing w:line="38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投标人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63357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0E91F">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22</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78F8CBFE">
            <w:pPr>
              <w:keepNext w:val="0"/>
              <w:keepLines w:val="0"/>
              <w:pageBreakBefore w:val="0"/>
              <w:widowControl w:val="0"/>
              <w:kinsoku/>
              <w:wordWrap/>
              <w:overflowPunct/>
              <w:topLinePunct w:val="0"/>
              <w:bidi w:val="0"/>
              <w:adjustRightInd/>
              <w:snapToGrid/>
              <w:spacing w:line="3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节能产品：□ 强制采购节能产品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优先采购节能产品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 xml:space="preserve"> 不适用</w:t>
            </w:r>
          </w:p>
          <w:p w14:paraId="3BA2053A">
            <w:pPr>
              <w:keepNext w:val="0"/>
              <w:keepLines w:val="0"/>
              <w:pageBreakBefore w:val="0"/>
              <w:widowControl w:val="0"/>
              <w:kinsoku/>
              <w:wordWrap/>
              <w:overflowPunct/>
              <w:topLinePunct w:val="0"/>
              <w:bidi w:val="0"/>
              <w:adjustRightInd/>
              <w:snapToGrid/>
              <w:spacing w:line="3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环境标志产品：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优先采购环境标志产品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 xml:space="preserve"> 不适用</w:t>
            </w:r>
          </w:p>
        </w:tc>
      </w:tr>
      <w:tr w14:paraId="12932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08793">
            <w:pPr>
              <w:keepNext w:val="0"/>
              <w:keepLines w:val="0"/>
              <w:pageBreakBefore w:val="0"/>
              <w:widowControl w:val="0"/>
              <w:kinsoku/>
              <w:wordWrap/>
              <w:overflowPunct/>
              <w:topLinePunct w:val="0"/>
              <w:bidi w:val="0"/>
              <w:adjustRightInd/>
              <w:snapToGrid/>
              <w:spacing w:line="38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23</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5E95BD7E">
            <w:pPr>
              <w:snapToGri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DA4B16">
            <w:pPr>
              <w:snapToGri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2.采购人可以邀请参加本项目的其他供应商或者第三方机构参与验收。参与验收的供应商或者第三方机构的意见作为验收书的参考资料一并存档。</w:t>
            </w:r>
          </w:p>
          <w:p w14:paraId="4CB7A8C5">
            <w:pPr>
              <w:snapToGri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46F63FC">
            <w:pPr>
              <w:snapToGri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4.采购人原则上应当在履约验收之日起2个工作日内，将履约验收结果在浙江政府采购网上公告。</w:t>
            </w:r>
          </w:p>
          <w:p w14:paraId="0461207F">
            <w:pPr>
              <w:snapToGri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5.验收合格的项目，采购人将根据采购合同的约定及时向供应商支付采购资金、退还履约保证金。</w:t>
            </w:r>
          </w:p>
          <w:p w14:paraId="2C48B047">
            <w:pPr>
              <w:snapToGri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tc>
      </w:tr>
      <w:tr w14:paraId="6AEBE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CA6A18D">
            <w:pPr>
              <w:keepNext w:val="0"/>
              <w:keepLines w:val="0"/>
              <w:pageBreakBefore w:val="0"/>
              <w:widowControl w:val="0"/>
              <w:kinsoku/>
              <w:wordWrap/>
              <w:overflowPunct/>
              <w:topLinePunct w:val="0"/>
              <w:bidi w:val="0"/>
              <w:adjustRightInd/>
              <w:snapToGrid/>
              <w:spacing w:line="3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8930" w:type="dxa"/>
            <w:tcBorders>
              <w:top w:val="single" w:color="auto" w:sz="4" w:space="0"/>
              <w:left w:val="single" w:color="auto" w:sz="4" w:space="0"/>
              <w:bottom w:val="single" w:color="auto" w:sz="4" w:space="0"/>
              <w:right w:val="single" w:color="auto" w:sz="4" w:space="0"/>
            </w:tcBorders>
            <w:noWrap w:val="0"/>
            <w:vAlign w:val="center"/>
          </w:tcPr>
          <w:p w14:paraId="054314BF">
            <w:pPr>
              <w:keepNext w:val="0"/>
              <w:keepLines w:val="0"/>
              <w:pageBreakBefore w:val="0"/>
              <w:widowControl w:val="0"/>
              <w:kinsoku/>
              <w:wordWrap/>
              <w:overflowPunct/>
              <w:topLinePunct w:val="0"/>
              <w:bidi w:val="0"/>
              <w:adjustRightInd/>
              <w:snapToGrid/>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采购人和招标代理机构的任何工作人员对投标人所作的任何口头解释、介绍、答复，仅供投标人参考，不作为招标依据，对采购人、招标代理机构和投标人无任何约束力，一切以网上公告及书面形式为准。</w:t>
            </w:r>
          </w:p>
        </w:tc>
      </w:tr>
    </w:tbl>
    <w:p w14:paraId="1D663606">
      <w:pPr>
        <w:snapToGrid w:val="0"/>
        <w:spacing w:line="480" w:lineRule="auto"/>
        <w:rPr>
          <w:rFonts w:hint="eastAsia" w:ascii="宋体" w:hAnsi="宋体" w:cs="宋体"/>
          <w:b/>
          <w:color w:val="auto"/>
          <w:sz w:val="28"/>
          <w:szCs w:val="28"/>
          <w:highlight w:val="none"/>
        </w:rPr>
      </w:pPr>
      <w:r>
        <w:rPr>
          <w:rFonts w:hint="eastAsia" w:ascii="宋体" w:hAnsi="宋体" w:cs="宋体"/>
          <w:b/>
          <w:color w:val="auto"/>
          <w:sz w:val="24"/>
          <w:highlight w:val="none"/>
        </w:rPr>
        <w:t>注：如本招标文件后面的条款与本表有矛盾的以本表的内容为准。</w:t>
      </w:r>
      <w:r>
        <w:rPr>
          <w:rFonts w:hint="eastAsia" w:ascii="宋体" w:hAnsi="宋体" w:cs="宋体"/>
          <w:b/>
          <w:color w:val="auto"/>
          <w:sz w:val="28"/>
          <w:szCs w:val="28"/>
          <w:highlight w:val="none"/>
        </w:rPr>
        <w:t xml:space="preserve"> </w:t>
      </w:r>
    </w:p>
    <w:p w14:paraId="64F18E01">
      <w:pPr>
        <w:snapToGrid w:val="0"/>
        <w:spacing w:line="480" w:lineRule="auto"/>
        <w:rPr>
          <w:rFonts w:hint="eastAsia" w:ascii="宋体" w:hAnsi="宋体" w:cs="宋体"/>
          <w:b/>
          <w:color w:val="auto"/>
          <w:sz w:val="28"/>
          <w:szCs w:val="28"/>
          <w:highlight w:val="none"/>
        </w:rPr>
      </w:pPr>
    </w:p>
    <w:p w14:paraId="7CC07DFD">
      <w:pPr>
        <w:snapToGrid w:val="0"/>
        <w:spacing w:line="480" w:lineRule="auto"/>
        <w:rPr>
          <w:rFonts w:hint="eastAsia" w:ascii="宋体" w:hAnsi="宋体" w:cs="宋体"/>
          <w:b/>
          <w:color w:val="auto"/>
          <w:sz w:val="28"/>
          <w:szCs w:val="28"/>
          <w:highlight w:val="none"/>
        </w:rPr>
      </w:pPr>
    </w:p>
    <w:p w14:paraId="2862D2C8">
      <w:pPr>
        <w:snapToGrid w:val="0"/>
        <w:spacing w:line="480" w:lineRule="auto"/>
        <w:rPr>
          <w:rFonts w:hint="eastAsia" w:ascii="宋体" w:hAnsi="宋体" w:cs="宋体"/>
          <w:b/>
          <w:color w:val="auto"/>
          <w:sz w:val="28"/>
          <w:szCs w:val="28"/>
          <w:highlight w:val="none"/>
        </w:rPr>
      </w:pPr>
    </w:p>
    <w:p w14:paraId="57D41850">
      <w:pPr>
        <w:keepLines w:val="0"/>
        <w:pageBreakBefore w:val="0"/>
        <w:kinsoku/>
        <w:wordWrap/>
        <w:overflowPunct/>
        <w:topLinePunct w:val="0"/>
        <w:autoSpaceDE/>
        <w:autoSpaceDN/>
        <w:bidi w:val="0"/>
        <w:snapToGrid w:val="0"/>
        <w:spacing w:line="360" w:lineRule="exact"/>
        <w:textAlignment w:val="auto"/>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rPr>
        <w:t>一、总则</w:t>
      </w:r>
    </w:p>
    <w:p w14:paraId="30F30987">
      <w:pPr>
        <w:keepLines w:val="0"/>
        <w:pageBreakBefore w:val="0"/>
        <w:kinsoku/>
        <w:wordWrap/>
        <w:overflowPunct/>
        <w:topLinePunct w:val="0"/>
        <w:autoSpaceDE/>
        <w:autoSpaceDN/>
        <w:bidi w:val="0"/>
        <w:snapToGrid w:val="0"/>
        <w:spacing w:line="360" w:lineRule="exact"/>
        <w:ind w:firstLine="472" w:firstLineChars="196"/>
        <w:jc w:val="left"/>
        <w:textAlignment w:val="auto"/>
        <w:outlineLvl w:val="1"/>
        <w:rPr>
          <w:rFonts w:hint="eastAsia" w:ascii="宋体" w:hAnsi="宋体" w:cs="宋体"/>
          <w:b/>
          <w:color w:val="auto"/>
          <w:sz w:val="24"/>
          <w:szCs w:val="20"/>
          <w:highlight w:val="none"/>
        </w:rPr>
      </w:pPr>
      <w:r>
        <w:rPr>
          <w:rFonts w:hint="eastAsia" w:ascii="宋体" w:hAnsi="宋体" w:cs="宋体"/>
          <w:b/>
          <w:color w:val="auto"/>
          <w:sz w:val="24"/>
          <w:highlight w:val="none"/>
        </w:rPr>
        <w:t>（一） 适用范围</w:t>
      </w:r>
    </w:p>
    <w:p w14:paraId="49842DBB">
      <w:pPr>
        <w:keepLines w:val="0"/>
        <w:pageBreakBefore w:val="0"/>
        <w:kinsoku/>
        <w:wordWrap/>
        <w:overflowPunct/>
        <w:topLinePunct w:val="0"/>
        <w:autoSpaceDE/>
        <w:autoSpaceDN/>
        <w:bidi w:val="0"/>
        <w:snapToGrid w:val="0"/>
        <w:spacing w:line="360" w:lineRule="exact"/>
        <w:ind w:firstLine="480" w:firstLineChars="200"/>
        <w:jc w:val="left"/>
        <w:textAlignment w:val="auto"/>
        <w:rPr>
          <w:rFonts w:hint="eastAsia" w:ascii="宋体" w:hAnsi="宋体" w:cs="宋体"/>
          <w:color w:val="auto"/>
          <w:sz w:val="24"/>
          <w:szCs w:val="20"/>
          <w:highlight w:val="none"/>
        </w:rPr>
      </w:pPr>
      <w:r>
        <w:rPr>
          <w:rFonts w:hint="eastAsia" w:ascii="宋体" w:hAnsi="宋体" w:cs="宋体"/>
          <w:color w:val="auto"/>
          <w:sz w:val="24"/>
          <w:highlight w:val="none"/>
        </w:rPr>
        <w:t>本招标文件适用于</w:t>
      </w:r>
      <w:r>
        <w:rPr>
          <w:rFonts w:hint="eastAsia" w:ascii="宋体" w:hAnsi="宋体" w:cs="宋体"/>
          <w:color w:val="auto"/>
          <w:sz w:val="24"/>
          <w:highlight w:val="none"/>
          <w:lang w:eastAsia="zh-CN"/>
        </w:rPr>
        <w:t>东阳市国土空间规划中期评估采购项目</w:t>
      </w:r>
      <w:r>
        <w:rPr>
          <w:rFonts w:hint="eastAsia" w:ascii="宋体" w:hAnsi="宋体" w:cs="宋体"/>
          <w:color w:val="auto"/>
          <w:sz w:val="24"/>
          <w:highlight w:val="none"/>
        </w:rPr>
        <w:t>的招标、投标、评标、定标、验收、合同履约、付款等行为（法律、法规另有规定的，从其规定）。</w:t>
      </w:r>
    </w:p>
    <w:p w14:paraId="5DB5E444">
      <w:pPr>
        <w:keepLines w:val="0"/>
        <w:pageBreakBefore w:val="0"/>
        <w:kinsoku/>
        <w:wordWrap/>
        <w:overflowPunct/>
        <w:topLinePunct w:val="0"/>
        <w:autoSpaceDE/>
        <w:autoSpaceDN/>
        <w:bidi w:val="0"/>
        <w:snapToGrid w:val="0"/>
        <w:spacing w:before="120" w:beforeLines="50" w:line="360" w:lineRule="exact"/>
        <w:ind w:firstLine="354" w:firstLineChars="147"/>
        <w:jc w:val="left"/>
        <w:textAlignment w:val="auto"/>
        <w:outlineLvl w:val="1"/>
        <w:rPr>
          <w:rFonts w:hint="eastAsia" w:ascii="宋体" w:hAnsi="宋体" w:cs="宋体"/>
          <w:b/>
          <w:color w:val="auto"/>
          <w:sz w:val="24"/>
          <w:szCs w:val="20"/>
          <w:highlight w:val="none"/>
        </w:rPr>
      </w:pPr>
      <w:r>
        <w:rPr>
          <w:rFonts w:hint="eastAsia" w:ascii="宋体" w:hAnsi="宋体" w:cs="宋体"/>
          <w:b/>
          <w:color w:val="auto"/>
          <w:sz w:val="24"/>
          <w:highlight w:val="none"/>
        </w:rPr>
        <w:t>（二）定义</w:t>
      </w:r>
    </w:p>
    <w:p w14:paraId="47E72766">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szCs w:val="20"/>
          <w:highlight w:val="none"/>
        </w:rPr>
      </w:pPr>
      <w:r>
        <w:rPr>
          <w:rFonts w:hint="eastAsia" w:ascii="宋体" w:hAnsi="宋体" w:cs="宋体"/>
          <w:color w:val="auto"/>
          <w:sz w:val="24"/>
          <w:highlight w:val="none"/>
        </w:rPr>
        <w:t>1.招标采购单位系指组织本次招标的</w:t>
      </w:r>
      <w:r>
        <w:rPr>
          <w:rFonts w:hint="eastAsia" w:ascii="宋体" w:hAnsi="宋体" w:cs="宋体"/>
          <w:color w:val="auto"/>
          <w:sz w:val="24"/>
          <w:highlight w:val="none"/>
          <w:lang w:eastAsia="zh-CN"/>
        </w:rPr>
        <w:t>东阳市自然资源和规划局</w:t>
      </w:r>
      <w:r>
        <w:rPr>
          <w:rFonts w:hint="eastAsia" w:ascii="宋体" w:hAnsi="宋体" w:cs="宋体"/>
          <w:color w:val="auto"/>
          <w:sz w:val="24"/>
          <w:highlight w:val="none"/>
        </w:rPr>
        <w:t>（“采购人”）和东阳耀辉工程咨询有限公司（“采购代理机构”）。</w:t>
      </w:r>
    </w:p>
    <w:p w14:paraId="5FFF0513">
      <w:pPr>
        <w:keepLines w:val="0"/>
        <w:pageBreakBefore w:val="0"/>
        <w:kinsoku/>
        <w:wordWrap/>
        <w:overflowPunct/>
        <w:topLinePunct w:val="0"/>
        <w:autoSpaceDE/>
        <w:autoSpaceDN/>
        <w:bidi w:val="0"/>
        <w:snapToGrid w:val="0"/>
        <w:spacing w:line="360" w:lineRule="exact"/>
        <w:ind w:firstLine="480" w:firstLineChars="200"/>
        <w:jc w:val="left"/>
        <w:textAlignment w:val="auto"/>
        <w:rPr>
          <w:rFonts w:hint="eastAsia" w:ascii="宋体" w:hAnsi="宋体" w:cs="宋体"/>
          <w:color w:val="auto"/>
          <w:sz w:val="24"/>
          <w:szCs w:val="20"/>
          <w:highlight w:val="none"/>
        </w:rPr>
      </w:pPr>
      <w:r>
        <w:rPr>
          <w:rFonts w:hint="eastAsia" w:ascii="宋体" w:hAnsi="宋体" w:cs="宋体"/>
          <w:color w:val="auto"/>
          <w:sz w:val="24"/>
          <w:highlight w:val="none"/>
        </w:rPr>
        <w:t>2.“投标人”系指向招标方提交投标文件的单位。</w:t>
      </w:r>
    </w:p>
    <w:p w14:paraId="6E4DDC0D">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3.“产品”系指供方按招标文件规定，须向采购人提供的一切设备、保险、税金、备品备件、工具、手册及其它有关技术资料和材料。</w:t>
      </w:r>
    </w:p>
    <w:p w14:paraId="738D9847">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4.“服务”系指招标文件规定投标人须承担的安装、调试、技术协助、校准、培训、技术指导以及其他类似的义务。</w:t>
      </w:r>
    </w:p>
    <w:p w14:paraId="2364E1B7">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5.“项目”系指投标人按招标文件规定向采购人提供的产品和服务。</w:t>
      </w:r>
    </w:p>
    <w:p w14:paraId="1525D391">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6.“书面形式”包括信函、传真、邮箱等。</w:t>
      </w:r>
    </w:p>
    <w:p w14:paraId="71E63063">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7.“▲”系指实质性要求条款。</w:t>
      </w:r>
    </w:p>
    <w:p w14:paraId="7E42E906">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采购项目需要落实的政府采购政策</w:t>
      </w:r>
      <w:r>
        <w:rPr>
          <w:rFonts w:hint="eastAsia" w:ascii="宋体" w:hAnsi="宋体" w:cs="宋体"/>
          <w:color w:val="auto"/>
          <w:sz w:val="24"/>
          <w:highlight w:val="none"/>
          <w:lang w:eastAsia="zh-CN"/>
        </w:rPr>
        <w:t>：</w:t>
      </w:r>
    </w:p>
    <w:p w14:paraId="314CD492">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本项目原则上采购本国生产的货物、工程和服务，不允许采购进口产品。除非采购人采购进口产品，已经在采购活动开始前向财政部门提出申请并获得财政部门审核同意，且在采购需求中明确规定可以采购进口产品，未明确视同不得采购进口产品（但如果因信息不对称等原因，仍有满足需求的国内产品要求参与采购竞争的，采购人、采购机构不会对其加以限制，仍将按照公平竞争原则实施采购）。</w:t>
      </w:r>
    </w:p>
    <w:p w14:paraId="5F2724C5">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支持绿色发展</w:t>
      </w:r>
    </w:p>
    <w:p w14:paraId="29BA0398">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采购人拟采购的产品属于政府强制采购的节能产品品目清单范围的，供应商未按采购文件要求提供国家确定的认证机构出具的、处于有效期之内的节能产品认证证书的，投标无效。</w:t>
      </w:r>
    </w:p>
    <w:p w14:paraId="0EF9D365">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2D14132F">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支持中小企业发展</w:t>
      </w:r>
    </w:p>
    <w:p w14:paraId="2B9589DC">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0DECAD9">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符合中小企业划分标准的个体工商户，在政府采购活动中视同中小企业。</w:t>
      </w:r>
    </w:p>
    <w:p w14:paraId="17CF35A9">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3.2在政府采购活动中，供应商提供的货物、工程或者服务符合下列情形的，享受中小企业扶持政策：</w:t>
      </w:r>
    </w:p>
    <w:p w14:paraId="1749A730">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3.2.1在货物采购项目中，货物由中小企业制造，即货物由中小企业生产且使用该中小企业商号或者注册商标；</w:t>
      </w:r>
    </w:p>
    <w:p w14:paraId="409027C4">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3.2.2在工程采购项目中，工程由中小企业承建，即工程施工单位为中小企业；</w:t>
      </w:r>
    </w:p>
    <w:p w14:paraId="69278C11">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3.2.3在服务采购项目中，服务由中小企业承接，即提供服务的人员为中小企业依照《中华人民共和国劳动合同法》订立劳动合同的从业人员。</w:t>
      </w:r>
    </w:p>
    <w:p w14:paraId="70104C72">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在货物采购项目中，供应商提供的货物既有中小企业制造货物，也有大型企业制造货物的，不享受中小企业扶持政策。</w:t>
      </w:r>
    </w:p>
    <w:p w14:paraId="0C39DFEA">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以联合体形式参加政府采购活动，联合体各方均为中小企业的，联合体视同中小企业。其中，联合体各方均为小微企业的，联合体视同小微企业。</w:t>
      </w:r>
    </w:p>
    <w:p w14:paraId="4631EFBF">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B8FC520">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3.4符合《关于促进残疾人就业政府采购政策的通知》（财库〔2017〕141号）规定的条件并提供《残疾人福利性单位声明函》（附件1）的残疾人福利性单位视同小型、微型企业。</w:t>
      </w:r>
    </w:p>
    <w:p w14:paraId="4E0EC265">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93A8ABB">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3.6可享受中小企业扶持政策的供应商应按照采购文件格式要求提供《中小企业声明函》，供应商提供的《中小企业声明函》与实际情况不符的，供应商未按采购文件要求提供国家确定的认证机构出具的、处于有效期之内的产品认证证书的，不享受中小企业扶持政策。声明内容不实的，属于提供虚假材料谋取中标、成交的，依法承担法律责任。</w:t>
      </w:r>
    </w:p>
    <w:p w14:paraId="2E002436">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3.7中小企业享受扶持政策获得政府采购合同的，小微企业不得将合同分包给大中型企业，中型企业不得将合同分包给大型企业。</w:t>
      </w:r>
    </w:p>
    <w:p w14:paraId="28088A4D">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支持创新发展</w:t>
      </w:r>
    </w:p>
    <w:p w14:paraId="1CD7CD6A">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4.1 采购人优先采购被认定为首台套产品和“制造精品”的自主创新产品。</w:t>
      </w:r>
    </w:p>
    <w:p w14:paraId="77315409">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4.2首台套产品被纳入《首台套产品推广应用指导目录》之日起2年内以及产品核心技术高于国内领先水平，并具有明晰自主知识产权的“制造精品”产品，自认定之日起2年内视同已具备相应销售业绩，参加政府采购活动时业绩分值为满分。</w:t>
      </w:r>
    </w:p>
    <w:p w14:paraId="0350640A">
      <w:pPr>
        <w:keepLines w:val="0"/>
        <w:pageBreakBefore w:val="0"/>
        <w:tabs>
          <w:tab w:val="left" w:pos="345"/>
        </w:tabs>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en" w:eastAsia="zh-CN"/>
        </w:rPr>
        <w:t>）</w:t>
      </w:r>
      <w:r>
        <w:rPr>
          <w:rFonts w:hint="eastAsia" w:ascii="宋体" w:hAnsi="宋体" w:cs="宋体"/>
          <w:color w:val="auto"/>
          <w:sz w:val="24"/>
          <w:highlight w:val="none"/>
          <w:lang w:val="en-US" w:eastAsia="zh-CN"/>
        </w:rPr>
        <w:t>中小企业信用融资：为支持和促进中小企业发展，进一步发挥政府采购政策功能，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录浙江政府采购( (tp:/www zizfcg gov.cn)的中小企业信用融资栏目了解相关信息。 供应商可以通过浙江政府采购网(https://zfcg. czt.zj. gov.cn/)首页的“浙江政采贷”模块进入申请，还可以通过政府采购云平台(https://wwwzcygov.cn/)首页的“金融服务”模块进入申请。</w:t>
      </w:r>
    </w:p>
    <w:p w14:paraId="0A404FB2">
      <w:pPr>
        <w:keepLines w:val="0"/>
        <w:pageBreakBefore w:val="0"/>
        <w:kinsoku/>
        <w:wordWrap/>
        <w:overflowPunct/>
        <w:topLinePunct w:val="0"/>
        <w:autoSpaceDE/>
        <w:autoSpaceDN/>
        <w:bidi w:val="0"/>
        <w:snapToGrid w:val="0"/>
        <w:spacing w:before="120" w:beforeLines="50" w:line="360" w:lineRule="exact"/>
        <w:ind w:firstLine="472" w:firstLineChars="196"/>
        <w:jc w:val="left"/>
        <w:textAlignment w:val="auto"/>
        <w:outlineLvl w:val="1"/>
        <w:rPr>
          <w:rFonts w:hint="eastAsia" w:ascii="宋体" w:hAnsi="宋体" w:cs="宋体"/>
          <w:b/>
          <w:color w:val="auto"/>
          <w:sz w:val="24"/>
          <w:szCs w:val="20"/>
          <w:highlight w:val="none"/>
        </w:rPr>
      </w:pPr>
      <w:r>
        <w:rPr>
          <w:rFonts w:hint="eastAsia" w:ascii="宋体" w:hAnsi="宋体" w:cs="宋体"/>
          <w:b/>
          <w:color w:val="auto"/>
          <w:sz w:val="24"/>
          <w:highlight w:val="none"/>
        </w:rPr>
        <w:t>（三）招标方式</w:t>
      </w:r>
    </w:p>
    <w:p w14:paraId="16E82448">
      <w:pPr>
        <w:keepLines w:val="0"/>
        <w:pageBreakBefore w:val="0"/>
        <w:kinsoku/>
        <w:wordWrap/>
        <w:overflowPunct/>
        <w:topLinePunct w:val="0"/>
        <w:autoSpaceDE/>
        <w:autoSpaceDN/>
        <w:bidi w:val="0"/>
        <w:snapToGrid w:val="0"/>
        <w:spacing w:line="360" w:lineRule="exact"/>
        <w:ind w:firstLine="480" w:firstLineChars="200"/>
        <w:jc w:val="left"/>
        <w:textAlignment w:val="auto"/>
        <w:rPr>
          <w:rFonts w:hint="eastAsia" w:ascii="宋体" w:hAnsi="宋体" w:cs="宋体"/>
          <w:color w:val="auto"/>
          <w:sz w:val="24"/>
          <w:szCs w:val="20"/>
          <w:highlight w:val="none"/>
        </w:rPr>
      </w:pPr>
      <w:r>
        <w:rPr>
          <w:rFonts w:hint="eastAsia" w:ascii="宋体" w:hAnsi="宋体" w:cs="宋体"/>
          <w:color w:val="auto"/>
          <w:sz w:val="24"/>
          <w:highlight w:val="none"/>
        </w:rPr>
        <w:t>本次招标采用公开招标方式进行。</w:t>
      </w:r>
    </w:p>
    <w:p w14:paraId="3A3A831E">
      <w:pPr>
        <w:keepLines w:val="0"/>
        <w:pageBreakBefore w:val="0"/>
        <w:kinsoku/>
        <w:wordWrap/>
        <w:overflowPunct/>
        <w:topLinePunct w:val="0"/>
        <w:autoSpaceDE/>
        <w:autoSpaceDN/>
        <w:bidi w:val="0"/>
        <w:snapToGrid w:val="0"/>
        <w:spacing w:before="120" w:beforeLines="50" w:line="360" w:lineRule="exact"/>
        <w:ind w:firstLine="472" w:firstLineChars="196"/>
        <w:jc w:val="left"/>
        <w:textAlignment w:val="auto"/>
        <w:outlineLvl w:val="1"/>
        <w:rPr>
          <w:rFonts w:hint="eastAsia" w:ascii="宋体" w:hAnsi="宋体" w:cs="宋体"/>
          <w:b/>
          <w:color w:val="auto"/>
          <w:sz w:val="24"/>
          <w:szCs w:val="20"/>
          <w:highlight w:val="none"/>
        </w:rPr>
      </w:pPr>
      <w:r>
        <w:rPr>
          <w:rFonts w:hint="eastAsia" w:ascii="宋体" w:hAnsi="宋体" w:cs="宋体"/>
          <w:b/>
          <w:color w:val="auto"/>
          <w:sz w:val="24"/>
          <w:highlight w:val="none"/>
        </w:rPr>
        <w:t>（四）投标委托</w:t>
      </w:r>
    </w:p>
    <w:p w14:paraId="03F6F996">
      <w:pPr>
        <w:keepLines w:val="0"/>
        <w:pageBreakBefore w:val="0"/>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要求投标人到开标现场开标，但投标人应派法定代表人或委托代理人【委托代理人应当是投标人的在职正式职工（以社保网站拉具的含授权代表的投标单位社保清单为准，无社保网站拉具的投标单位社保清单的，可以提供投标人注册所在地社保部门出具的投标人本单位缴纳社保花名册）】准时在线出席电子开标会议，随时关注开标进度，如在开标过程中有电子询标，应在规定的时间内对电子询标函进行澄清、答复。超过规定时间的询标函将不予接受，评标为委员会可以作出不利于被询标人的决定。评标委员会只对投标文件内容进行询问，不接受外部补充证据，评标委员会认为投标人不符合招标文件实质性要求明确时，可不经过询标而直接予以无效标认定，但代理机构应将无效标原因当场告知投标人。</w:t>
      </w:r>
    </w:p>
    <w:p w14:paraId="4648BD49">
      <w:pPr>
        <w:keepLines w:val="0"/>
        <w:pageBreakBefore w:val="0"/>
        <w:kinsoku/>
        <w:wordWrap/>
        <w:overflowPunct/>
        <w:topLinePunct w:val="0"/>
        <w:autoSpaceDE/>
        <w:autoSpaceDN/>
        <w:bidi w:val="0"/>
        <w:snapToGrid w:val="0"/>
        <w:spacing w:before="120" w:beforeLines="50" w:line="360" w:lineRule="exact"/>
        <w:ind w:firstLine="470" w:firstLineChars="196"/>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投标人未按招标文件要求派代表参加电子开标会议的，视同认可开标结果，不得对开标过程及开标结果提出质疑</w:t>
      </w:r>
      <w:r>
        <w:rPr>
          <w:rFonts w:hint="eastAsia" w:ascii="宋体" w:hAnsi="宋体" w:eastAsia="宋体" w:cs="宋体"/>
          <w:color w:val="auto"/>
          <w:sz w:val="24"/>
          <w:szCs w:val="24"/>
          <w:highlight w:val="none"/>
        </w:rPr>
        <w:t>。</w:t>
      </w:r>
    </w:p>
    <w:p w14:paraId="640598B9">
      <w:pPr>
        <w:keepLines w:val="0"/>
        <w:pageBreakBefore w:val="0"/>
        <w:kinsoku/>
        <w:wordWrap/>
        <w:overflowPunct/>
        <w:topLinePunct w:val="0"/>
        <w:autoSpaceDE/>
        <w:autoSpaceDN/>
        <w:bidi w:val="0"/>
        <w:snapToGrid w:val="0"/>
        <w:spacing w:before="120" w:beforeLines="50" w:line="360" w:lineRule="exact"/>
        <w:ind w:firstLine="472" w:firstLineChars="196"/>
        <w:jc w:val="left"/>
        <w:textAlignment w:val="auto"/>
        <w:outlineLvl w:val="1"/>
        <w:rPr>
          <w:rFonts w:hint="eastAsia" w:ascii="宋体" w:hAnsi="宋体" w:cs="宋体"/>
          <w:b/>
          <w:color w:val="auto"/>
          <w:sz w:val="24"/>
          <w:szCs w:val="20"/>
          <w:highlight w:val="none"/>
        </w:rPr>
      </w:pPr>
      <w:r>
        <w:rPr>
          <w:rFonts w:hint="eastAsia" w:ascii="宋体" w:hAnsi="宋体" w:cs="宋体"/>
          <w:b/>
          <w:color w:val="auto"/>
          <w:sz w:val="24"/>
          <w:highlight w:val="none"/>
        </w:rPr>
        <w:t>（五）投标费用</w:t>
      </w:r>
    </w:p>
    <w:p w14:paraId="3B9ECE26">
      <w:pPr>
        <w:keepLines w:val="0"/>
        <w:pageBreakBefore w:val="0"/>
        <w:kinsoku/>
        <w:wordWrap/>
        <w:overflowPunct/>
        <w:topLinePunct w:val="0"/>
        <w:autoSpaceDE/>
        <w:autoSpaceDN/>
        <w:bidi w:val="0"/>
        <w:snapToGrid w:val="0"/>
        <w:spacing w:line="3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不论投标结果如何，投标人均应自行承担所有与投标有关的全部费用（招标文件有相关规定除外）。</w:t>
      </w:r>
    </w:p>
    <w:p w14:paraId="7BDA16CF">
      <w:pPr>
        <w:keepLines w:val="0"/>
        <w:pageBreakBefore w:val="0"/>
        <w:kinsoku/>
        <w:wordWrap/>
        <w:overflowPunct/>
        <w:topLinePunct w:val="0"/>
        <w:autoSpaceDE/>
        <w:autoSpaceDN/>
        <w:bidi w:val="0"/>
        <w:spacing w:line="360" w:lineRule="exact"/>
        <w:ind w:firstLine="470" w:firstLineChars="196"/>
        <w:textAlignment w:val="auto"/>
        <w:rPr>
          <w:rFonts w:hint="eastAsia"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东阳耀辉工程咨询有限公司按差额定率累进法计算（详见本条下列表格收费标准），向中标单位收取中标服务费，在领取中标通知书前交纳。</w:t>
      </w:r>
    </w:p>
    <w:tbl>
      <w:tblPr>
        <w:tblStyle w:val="25"/>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6"/>
        <w:gridCol w:w="4282"/>
      </w:tblGrid>
      <w:tr w14:paraId="7EFE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376" w:type="dxa"/>
            <w:tcBorders>
              <w:top w:val="single" w:color="auto" w:sz="4" w:space="0"/>
              <w:left w:val="single" w:color="auto" w:sz="4" w:space="0"/>
              <w:bottom w:val="single" w:color="auto" w:sz="4" w:space="0"/>
              <w:right w:val="single" w:color="auto" w:sz="4" w:space="0"/>
            </w:tcBorders>
            <w:vAlign w:val="center"/>
          </w:tcPr>
          <w:p w14:paraId="789C226C">
            <w:pPr>
              <w:tabs>
                <w:tab w:val="left" w:pos="762"/>
                <w:tab w:val="center" w:pos="2007"/>
              </w:tabs>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收费标准</w:t>
            </w:r>
          </w:p>
        </w:tc>
        <w:tc>
          <w:tcPr>
            <w:tcW w:w="4282" w:type="dxa"/>
            <w:tcBorders>
              <w:top w:val="single" w:color="auto" w:sz="4" w:space="0"/>
              <w:left w:val="single" w:color="auto" w:sz="4" w:space="0"/>
              <w:bottom w:val="single" w:color="auto" w:sz="4" w:space="0"/>
              <w:right w:val="single" w:color="auto" w:sz="4" w:space="0"/>
            </w:tcBorders>
            <w:vAlign w:val="center"/>
          </w:tcPr>
          <w:p w14:paraId="29FD233F">
            <w:pPr>
              <w:tabs>
                <w:tab w:val="left" w:pos="762"/>
                <w:tab w:val="center" w:pos="2007"/>
              </w:tabs>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服务招标</w:t>
            </w:r>
          </w:p>
        </w:tc>
      </w:tr>
      <w:tr w14:paraId="17F7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376" w:type="dxa"/>
            <w:tcBorders>
              <w:top w:val="single" w:color="auto" w:sz="4" w:space="0"/>
              <w:left w:val="single" w:color="auto" w:sz="4" w:space="0"/>
              <w:bottom w:val="single" w:color="auto" w:sz="4" w:space="0"/>
              <w:right w:val="single" w:color="auto" w:sz="4" w:space="0"/>
            </w:tcBorders>
          </w:tcPr>
          <w:p w14:paraId="549D3C5D">
            <w:pPr>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100万以下</w:t>
            </w:r>
          </w:p>
        </w:tc>
        <w:tc>
          <w:tcPr>
            <w:tcW w:w="4282" w:type="dxa"/>
            <w:tcBorders>
              <w:top w:val="single" w:color="auto" w:sz="4" w:space="0"/>
              <w:left w:val="single" w:color="auto" w:sz="4" w:space="0"/>
              <w:bottom w:val="single" w:color="auto" w:sz="4" w:space="0"/>
              <w:right w:val="single" w:color="auto" w:sz="4" w:space="0"/>
            </w:tcBorders>
          </w:tcPr>
          <w:p w14:paraId="7D6DA637">
            <w:pPr>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1.5%</w:t>
            </w:r>
          </w:p>
        </w:tc>
      </w:tr>
      <w:tr w14:paraId="302B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376" w:type="dxa"/>
            <w:tcBorders>
              <w:top w:val="single" w:color="auto" w:sz="4" w:space="0"/>
              <w:left w:val="single" w:color="auto" w:sz="4" w:space="0"/>
              <w:bottom w:val="single" w:color="auto" w:sz="4" w:space="0"/>
              <w:right w:val="single" w:color="auto" w:sz="4" w:space="0"/>
            </w:tcBorders>
            <w:shd w:val="clear" w:color="auto" w:fill="auto"/>
            <w:vAlign w:val="top"/>
          </w:tcPr>
          <w:p w14:paraId="6165E7F5">
            <w:pPr>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100万元-500万元</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top"/>
          </w:tcPr>
          <w:p w14:paraId="2600AAE7">
            <w:pPr>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0.8%</w:t>
            </w:r>
          </w:p>
        </w:tc>
      </w:tr>
    </w:tbl>
    <w:p w14:paraId="39A56FB9">
      <w:pPr>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中标服务费由中标人汇至以下账户：</w:t>
      </w:r>
    </w:p>
    <w:p w14:paraId="1442F09C">
      <w:pPr>
        <w:keepLines w:val="0"/>
        <w:pageBreakBefore w:val="0"/>
        <w:kinsoku/>
        <w:wordWrap/>
        <w:overflowPunct/>
        <w:topLinePunct w:val="0"/>
        <w:autoSpaceDE/>
        <w:autoSpaceDN/>
        <w:bidi w:val="0"/>
        <w:spacing w:line="36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账户名称：东阳耀辉工程咨询有限公司</w:t>
      </w:r>
    </w:p>
    <w:p w14:paraId="2F445D3C">
      <w:pPr>
        <w:keepLines w:val="0"/>
        <w:pageBreakBefore w:val="0"/>
        <w:kinsoku/>
        <w:wordWrap/>
        <w:overflowPunct/>
        <w:topLinePunct w:val="0"/>
        <w:autoSpaceDE/>
        <w:autoSpaceDN/>
        <w:bidi w:val="0"/>
        <w:spacing w:line="36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开户银行：中国农业银行东阳吴宁支行</w:t>
      </w:r>
    </w:p>
    <w:p w14:paraId="621A8351">
      <w:pPr>
        <w:keepLines w:val="0"/>
        <w:pageBreakBefore w:val="0"/>
        <w:kinsoku/>
        <w:wordWrap/>
        <w:overflowPunct/>
        <w:topLinePunct w:val="0"/>
        <w:autoSpaceDE/>
        <w:autoSpaceDN/>
        <w:bidi w:val="0"/>
        <w:spacing w:line="360" w:lineRule="exact"/>
        <w:ind w:firstLine="480"/>
        <w:textAlignment w:val="auto"/>
        <w:rPr>
          <w:rFonts w:hint="eastAsia" w:ascii="宋体" w:hAnsi="宋体" w:cs="宋体"/>
          <w:b/>
          <w:bCs/>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u w:val="single"/>
        </w:rPr>
        <w:t>19635601040010736</w:t>
      </w:r>
    </w:p>
    <w:p w14:paraId="72E6A75B">
      <w:pPr>
        <w:keepLines w:val="0"/>
        <w:pageBreakBefore w:val="0"/>
        <w:kinsoku/>
        <w:wordWrap/>
        <w:overflowPunct/>
        <w:topLinePunct w:val="0"/>
        <w:autoSpaceDE/>
        <w:autoSpaceDN/>
        <w:bidi w:val="0"/>
        <w:snapToGrid w:val="0"/>
        <w:spacing w:before="120" w:beforeLines="50" w:line="360" w:lineRule="exact"/>
        <w:ind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（六）联合体投标</w:t>
      </w:r>
    </w:p>
    <w:p w14:paraId="3D51836D">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本项目接受联合体投标。</w:t>
      </w:r>
    </w:p>
    <w:p w14:paraId="4E7D9E81">
      <w:pPr>
        <w:keepLines w:val="0"/>
        <w:pageBreakBefore w:val="0"/>
        <w:kinsoku/>
        <w:wordWrap/>
        <w:overflowPunct/>
        <w:topLinePunct w:val="0"/>
        <w:autoSpaceDE/>
        <w:autoSpaceDN/>
        <w:bidi w:val="0"/>
        <w:snapToGrid w:val="0"/>
        <w:spacing w:line="360" w:lineRule="exact"/>
        <w:ind w:firstLine="482" w:firstLineChars="200"/>
        <w:textAlignment w:val="auto"/>
        <w:rPr>
          <w:rFonts w:hint="eastAsia" w:ascii="宋体" w:hAnsi="宋体" w:cs="宋体"/>
          <w:b/>
          <w:color w:val="auto"/>
          <w:kern w:val="0"/>
          <w:sz w:val="24"/>
          <w:szCs w:val="20"/>
          <w:highlight w:val="none"/>
        </w:rPr>
      </w:pPr>
      <w:r>
        <w:rPr>
          <w:rFonts w:hint="eastAsia" w:ascii="宋体" w:hAnsi="宋体" w:cs="宋体"/>
          <w:b/>
          <w:color w:val="auto"/>
          <w:sz w:val="24"/>
          <w:highlight w:val="none"/>
        </w:rPr>
        <w:t>（七）</w:t>
      </w:r>
      <w:r>
        <w:rPr>
          <w:rFonts w:hint="eastAsia" w:ascii="宋体" w:hAnsi="宋体" w:cs="宋体"/>
          <w:b/>
          <w:color w:val="auto"/>
          <w:kern w:val="0"/>
          <w:sz w:val="24"/>
          <w:highlight w:val="none"/>
        </w:rPr>
        <w:t>转包与分包</w:t>
      </w:r>
    </w:p>
    <w:p w14:paraId="0A889025">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kern w:val="0"/>
          <w:sz w:val="24"/>
          <w:szCs w:val="20"/>
          <w:highlight w:val="none"/>
        </w:rPr>
      </w:pPr>
      <w:r>
        <w:rPr>
          <w:rFonts w:hint="eastAsia" w:ascii="宋体" w:hAnsi="宋体" w:cs="宋体"/>
          <w:color w:val="auto"/>
          <w:kern w:val="0"/>
          <w:sz w:val="24"/>
          <w:highlight w:val="none"/>
        </w:rPr>
        <w:t>1.本项目不允许转包。</w:t>
      </w:r>
    </w:p>
    <w:p w14:paraId="72444CEF">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b/>
          <w:color w:val="auto"/>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本项目分包按照浙财采监[2022]3号文件执行。</w:t>
      </w:r>
    </w:p>
    <w:p w14:paraId="5B1673EF">
      <w:pPr>
        <w:keepLines w:val="0"/>
        <w:pageBreakBefore w:val="0"/>
        <w:kinsoku/>
        <w:wordWrap/>
        <w:overflowPunct/>
        <w:topLinePunct w:val="0"/>
        <w:autoSpaceDE/>
        <w:autoSpaceDN/>
        <w:bidi w:val="0"/>
        <w:snapToGrid w:val="0"/>
        <w:spacing w:before="120" w:beforeLines="50" w:line="360" w:lineRule="exact"/>
        <w:ind w:firstLine="472" w:firstLineChars="196"/>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（八）特别说明</w:t>
      </w:r>
    </w:p>
    <w:p w14:paraId="17BF67F8">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▲1.多家投标人参加投标，如其中两家或两家以上投标人的法定代表人为同一人或相互之间存在投资关系且达到控股的，应当按一个投标人认定。</w:t>
      </w:r>
    </w:p>
    <w:p w14:paraId="2204D4C0">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时，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本招标文件规定的方式（第三章第六节“定标”）确定一个投标人获得中标人推荐资格，招标文件未规定的采取随机抽取方式确定，其他同品牌投标人不作为中标候选人。</w:t>
      </w:r>
    </w:p>
    <w:p w14:paraId="16DCC095">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多家代理商或经销商参加投标，如其中两家或两家以上供应商存在分级代理或代销关系，且提供的是其所代理品牌产品的，评审时，按上述规定确定其中一家为有效供应商。</w:t>
      </w:r>
    </w:p>
    <w:p w14:paraId="551C6988">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非单一产品采购项目，多家投标人提供相同品牌核心产品的，按前款规定处理。</w:t>
      </w:r>
    </w:p>
    <w:p w14:paraId="66DB8148">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▲2.投标人投标所使用的资</w:t>
      </w:r>
      <w:r>
        <w:rPr>
          <w:rFonts w:hint="eastAsia" w:ascii="宋体" w:hAnsi="宋体" w:cs="宋体"/>
          <w:color w:val="auto"/>
          <w:sz w:val="24"/>
          <w:highlight w:val="none"/>
        </w:rPr>
        <w:t>格、信誉、荣誉、业绩与企业认证必须为本投标单位所拥有。投标人投标所使用的采购项目实施人员必须为本法人员工（或必须为本法人或控股公司正式员工）。</w:t>
      </w:r>
    </w:p>
    <w:p w14:paraId="0B9D13BE">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▲3.投标人应仔细阅读招标文件的所有内容，按照招标文件的要求提交投标文件，并对所提供的全部资料的真实性承担法律责任。</w:t>
      </w:r>
    </w:p>
    <w:p w14:paraId="40CBDDA5">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14:paraId="3EE25E66">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评标委员会认为投标人的报价明显低于其他通过符合性审查投标人的报价，有可能影响成果质量或者不能诚信履约的，应当要求其在评标现场合理的时间内提供书面说明，投标人不能证明其报价合理性的，评标委员会应当将其作为无效投标处理。</w:t>
      </w:r>
    </w:p>
    <w:p w14:paraId="19FD28A4">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▲6.招标方不保证最低报价者为中标方。</w:t>
      </w:r>
    </w:p>
    <w:p w14:paraId="7E0080D8">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cs="宋体"/>
          <w:color w:val="auto"/>
          <w:highlight w:val="none"/>
        </w:rPr>
      </w:pPr>
      <w:r>
        <w:rPr>
          <w:rFonts w:hint="eastAsia" w:ascii="宋体" w:hAnsi="宋体" w:cs="宋体"/>
          <w:color w:val="auto"/>
          <w:sz w:val="24"/>
          <w:highlight w:val="none"/>
        </w:rPr>
        <w:t>▲7.为维护国家利益及招标方自身利益，允许招标方在合同签订之前仍有选择或拒绝任何或全部投标的权力。</w:t>
      </w:r>
    </w:p>
    <w:p w14:paraId="20866CA4">
      <w:pPr>
        <w:keepLines w:val="0"/>
        <w:pageBreakBefore w:val="0"/>
        <w:kinsoku/>
        <w:wordWrap/>
        <w:overflowPunct/>
        <w:topLinePunct w:val="0"/>
        <w:autoSpaceDE/>
        <w:autoSpaceDN/>
        <w:bidi w:val="0"/>
        <w:snapToGrid w:val="0"/>
        <w:spacing w:line="360" w:lineRule="exact"/>
        <w:ind w:left="2" w:leftChars="1" w:firstLine="480" w:firstLineChars="200"/>
        <w:textAlignment w:val="auto"/>
        <w:rPr>
          <w:rFonts w:hint="eastAsia" w:ascii="宋体" w:hAnsi="宋体" w:cs="宋体"/>
          <w:color w:val="auto"/>
          <w:highlight w:val="none"/>
        </w:rPr>
      </w:pPr>
      <w:r>
        <w:rPr>
          <w:rFonts w:hint="eastAsia" w:ascii="宋体" w:hAnsi="宋体" w:cs="宋体"/>
          <w:color w:val="auto"/>
          <w:sz w:val="24"/>
          <w:highlight w:val="none"/>
        </w:rPr>
        <w:t>▲8.“政采云”平台运营机构以及与该机构有直接控股或者管理关系可能影响采购公正性的任何单位和个人，不得在该平台进行的政府采购项目电子交易中投标、响应政府采购项目。</w:t>
      </w:r>
    </w:p>
    <w:p w14:paraId="6FEB819F">
      <w:pPr>
        <w:keepLines w:val="0"/>
        <w:pageBreakBefore w:val="0"/>
        <w:kinsoku/>
        <w:wordWrap/>
        <w:overflowPunct/>
        <w:topLinePunct w:val="0"/>
        <w:autoSpaceDE/>
        <w:autoSpaceDN/>
        <w:bidi w:val="0"/>
        <w:snapToGrid w:val="0"/>
        <w:spacing w:line="360" w:lineRule="exact"/>
        <w:ind w:firstLine="472" w:firstLineChars="196"/>
        <w:textAlignment w:val="auto"/>
        <w:outlineLvl w:val="1"/>
        <w:rPr>
          <w:rFonts w:hint="eastAsia" w:ascii="宋体" w:hAnsi="宋体" w:cs="宋体"/>
          <w:b/>
          <w:bCs/>
          <w:color w:val="auto"/>
          <w:sz w:val="24"/>
          <w:highlight w:val="none"/>
        </w:rPr>
      </w:pPr>
      <w:r>
        <w:rPr>
          <w:rFonts w:hint="eastAsia" w:ascii="宋体" w:hAnsi="宋体" w:cs="宋体"/>
          <w:b/>
          <w:bCs/>
          <w:color w:val="auto"/>
          <w:sz w:val="24"/>
          <w:highlight w:val="none"/>
        </w:rPr>
        <w:t>（九）质疑和投诉</w:t>
      </w:r>
    </w:p>
    <w:p w14:paraId="38B5016C">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1.投标人认为招标文件、招标过程或中标结果使自己的合法权益受到损害的，应当在知道或者应知其权益受到损害之日起七个工作日内，以书面形式向采购人、招标方提出质疑。</w:t>
      </w:r>
      <w:r>
        <w:rPr>
          <w:rFonts w:hint="eastAsia" w:ascii="宋体" w:hAnsi="宋体" w:cs="宋体"/>
          <w:color w:val="auto"/>
          <w:sz w:val="24"/>
          <w:highlight w:val="none"/>
        </w:rPr>
        <w:t>投标人对招标采购单位的质疑答复不满意或者招标采购单位未在规定时间内作出答复的，可以在答复期满后十五个工作日内向同级采购监管部门投诉。</w:t>
      </w:r>
    </w:p>
    <w:p w14:paraId="2060CF36">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4073A8BC">
      <w:pPr>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highlight w:val="none"/>
        </w:rPr>
      </w:pPr>
      <w:r>
        <w:rPr>
          <w:rFonts w:hint="eastAsia" w:ascii="宋体" w:hAnsi="宋体" w:cs="宋体"/>
          <w:color w:val="auto"/>
          <w:sz w:val="24"/>
          <w:highlight w:val="none"/>
        </w:rPr>
        <w:t>3.采购人、招标方应当按照《浙江省政府采购供应商质疑处理办法》、中华人民共和国财政部第94号令《政府采购质疑和投诉办法》进行受理与答复质疑。</w:t>
      </w:r>
    </w:p>
    <w:p w14:paraId="6D6366C2">
      <w:pPr>
        <w:keepLines w:val="0"/>
        <w:pageBreakBefore w:val="0"/>
        <w:kinsoku/>
        <w:wordWrap/>
        <w:overflowPunct/>
        <w:topLinePunct w:val="0"/>
        <w:autoSpaceDE/>
        <w:autoSpaceDN/>
        <w:bidi w:val="0"/>
        <w:snapToGrid w:val="0"/>
        <w:spacing w:line="360" w:lineRule="exact"/>
        <w:ind w:firstLine="551" w:firstLineChars="196"/>
        <w:textAlignment w:val="auto"/>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rPr>
        <w:t>二、招标文件</w:t>
      </w:r>
    </w:p>
    <w:p w14:paraId="6A9737F7">
      <w:pPr>
        <w:keepLines w:val="0"/>
        <w:pageBreakBefore w:val="0"/>
        <w:kinsoku/>
        <w:wordWrap/>
        <w:overflowPunct/>
        <w:topLinePunct w:val="0"/>
        <w:autoSpaceDE/>
        <w:autoSpaceDN/>
        <w:bidi w:val="0"/>
        <w:snapToGrid w:val="0"/>
        <w:spacing w:line="360" w:lineRule="exact"/>
        <w:ind w:firstLine="472" w:firstLineChars="196"/>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t>（一）招标文件的构成。本招标文件由以下部</w:t>
      </w:r>
      <w:r>
        <w:rPr>
          <w:rFonts w:hint="eastAsia" w:ascii="宋体" w:hAnsi="宋体" w:cs="宋体"/>
          <w:b/>
          <w:color w:val="auto"/>
          <w:sz w:val="24"/>
          <w:highlight w:val="none"/>
          <w:lang w:eastAsia="zh-CN"/>
        </w:rPr>
        <w:t>分</w:t>
      </w:r>
      <w:r>
        <w:rPr>
          <w:rFonts w:hint="eastAsia" w:ascii="宋体" w:hAnsi="宋体" w:cs="宋体"/>
          <w:b/>
          <w:color w:val="auto"/>
          <w:sz w:val="24"/>
          <w:highlight w:val="none"/>
        </w:rPr>
        <w:t>组成：</w:t>
      </w:r>
    </w:p>
    <w:p w14:paraId="6843FF23">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1.招标公告</w:t>
      </w:r>
    </w:p>
    <w:p w14:paraId="10B2CC3C">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2.招标需求</w:t>
      </w:r>
    </w:p>
    <w:p w14:paraId="08502A86">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3.投标人须知</w:t>
      </w:r>
    </w:p>
    <w:p w14:paraId="5C42B0E3">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4.评标办法及标准</w:t>
      </w:r>
    </w:p>
    <w:p w14:paraId="40CAAAD7">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5.合同主要条款</w:t>
      </w:r>
    </w:p>
    <w:p w14:paraId="222B5954">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6.投标文件格式</w:t>
      </w:r>
    </w:p>
    <w:p w14:paraId="52A98AFC">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7.本项目招标文件的澄清、答复、修改、补充的内容</w:t>
      </w:r>
    </w:p>
    <w:p w14:paraId="49CE5F7B">
      <w:pPr>
        <w:keepLines w:val="0"/>
        <w:pageBreakBefore w:val="0"/>
        <w:kinsoku/>
        <w:wordWrap/>
        <w:overflowPunct/>
        <w:topLinePunct w:val="0"/>
        <w:autoSpaceDE/>
        <w:autoSpaceDN/>
        <w:bidi w:val="0"/>
        <w:snapToGrid w:val="0"/>
        <w:spacing w:before="120" w:beforeLines="50" w:line="360" w:lineRule="exact"/>
        <w:ind w:firstLine="472" w:firstLineChars="196"/>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t>（二）投标人的风险</w:t>
      </w:r>
    </w:p>
    <w:p w14:paraId="52265BF5">
      <w:pPr>
        <w:pStyle w:val="37"/>
        <w:keepLines w:val="0"/>
        <w:pageBreakBefore w:val="0"/>
        <w:kinsoku/>
        <w:wordWrap/>
        <w:overflowPunct/>
        <w:topLinePunct w:val="0"/>
        <w:autoSpaceDE/>
        <w:autoSpaceDN/>
        <w:bidi w:val="0"/>
        <w:spacing w:line="360" w:lineRule="exact"/>
        <w:jc w:val="left"/>
        <w:textAlignment w:val="auto"/>
        <w:rPr>
          <w:rFonts w:hint="eastAsia" w:ascii="宋体" w:hAnsi="宋体" w:cs="宋体"/>
          <w:color w:val="auto"/>
          <w:spacing w:val="0"/>
          <w:kern w:val="2"/>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pacing w:val="0"/>
          <w:kern w:val="2"/>
          <w:szCs w:val="24"/>
          <w:highlight w:val="none"/>
        </w:rPr>
        <w:t>投标人没有按照招标文件要求提供全部资料，或者投标人没有对招标文件在各方面作出实质性响应是投标人的风险，并可能导致其投标被拒绝。</w:t>
      </w:r>
    </w:p>
    <w:p w14:paraId="0578020D">
      <w:pPr>
        <w:pStyle w:val="11"/>
        <w:keepLines w:val="0"/>
        <w:pageBreakBefore w:val="0"/>
        <w:kinsoku/>
        <w:wordWrap/>
        <w:overflowPunct/>
        <w:topLinePunct w:val="0"/>
        <w:autoSpaceDE/>
        <w:autoSpaceDN/>
        <w:bidi w:val="0"/>
        <w:snapToGrid w:val="0"/>
        <w:spacing w:before="120" w:beforeLines="50" w:line="360" w:lineRule="exact"/>
        <w:ind w:leftChars="0" w:firstLine="477" w:firstLineChars="198"/>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（三）招标文件的澄清与修改 </w:t>
      </w:r>
    </w:p>
    <w:p w14:paraId="4398A5FC">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投标人应认真阅读本招标文件，发现其中有误或有不合理要求的，投标人应当按照公开招标公告第八条规定以书面形式要求招标方澄清。招标方对已发出的招标文件进行必要澄清、答复、修改或补充的，应当在招标文件要求提交投标文件截止时间15日前，在财政部门指定的政府采购信息发布媒体上发布更正公告，并以书面形式通知所有招标文件收受人。</w:t>
      </w:r>
    </w:p>
    <w:p w14:paraId="002CFF00">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2.招标方必须以书面形式答复投标人要求澄清的问题，并将不包含问题来源的答复书面通知所有购买招标文件的投标人；除书面答复以外的其他澄清方式及澄清内容均无效。</w:t>
      </w:r>
    </w:p>
    <w:p w14:paraId="32CFA179">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3.招标文件澄清、答复、修改、补充的内容为招标文件的组成部分。当招标文件与招标文件的答复、澄清、修改、补充通知就同一内容的表述不一致时，以最后发出的书面文件为准。</w:t>
      </w:r>
    </w:p>
    <w:p w14:paraId="57A887B5">
      <w:pPr>
        <w:keepLines w:val="0"/>
        <w:pageBreakBefore w:val="0"/>
        <w:kinsoku/>
        <w:wordWrap/>
        <w:overflowPunct/>
        <w:topLinePunct w:val="0"/>
        <w:autoSpaceDE/>
        <w:autoSpaceDN/>
        <w:bidi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4.招标文件的澄清、答复、修改或补充都应该通过本招标机构以法定形式发布，采购人非通过本机构，不得擅自澄清、答复、修改或补充招标文件。</w:t>
      </w:r>
    </w:p>
    <w:p w14:paraId="2AAE7A52">
      <w:pPr>
        <w:keepLines w:val="0"/>
        <w:pageBreakBefore w:val="0"/>
        <w:kinsoku/>
        <w:wordWrap/>
        <w:overflowPunct/>
        <w:topLinePunct w:val="0"/>
        <w:autoSpaceDE/>
        <w:autoSpaceDN/>
        <w:bidi w:val="0"/>
        <w:snapToGrid w:val="0"/>
        <w:spacing w:line="360" w:lineRule="exact"/>
        <w:ind w:firstLine="551" w:firstLineChars="196"/>
        <w:textAlignment w:val="auto"/>
        <w:outlineLvl w:val="1"/>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三、投标文件的编制</w:t>
      </w:r>
    </w:p>
    <w:p w14:paraId="6F6AEFE6">
      <w:pPr>
        <w:keepLines w:val="0"/>
        <w:pageBreakBefore w:val="0"/>
        <w:kinsoku/>
        <w:wordWrap/>
        <w:overflowPunct/>
        <w:topLinePunct w:val="0"/>
        <w:autoSpaceDE/>
        <w:autoSpaceDN/>
        <w:bidi w:val="0"/>
        <w:snapToGrid w:val="0"/>
        <w:spacing w:line="360" w:lineRule="exact"/>
        <w:ind w:firstLine="472" w:firstLineChars="196"/>
        <w:jc w:val="left"/>
        <w:textAlignment w:val="auto"/>
        <w:outlineLvl w:val="0"/>
        <w:rPr>
          <w:rFonts w:hint="eastAsia" w:ascii="宋体" w:hAnsi="宋体" w:cs="宋体"/>
          <w:b/>
          <w:color w:val="auto"/>
          <w:sz w:val="24"/>
          <w:szCs w:val="20"/>
          <w:highlight w:val="none"/>
        </w:rPr>
      </w:pPr>
      <w:r>
        <w:rPr>
          <w:rFonts w:hint="eastAsia" w:ascii="宋体" w:hAnsi="宋体" w:cs="宋体"/>
          <w:b/>
          <w:color w:val="auto"/>
          <w:sz w:val="24"/>
          <w:highlight w:val="none"/>
        </w:rPr>
        <w:t>（一）投标文件的组成</w:t>
      </w:r>
    </w:p>
    <w:p w14:paraId="04B69B98">
      <w:pPr>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投标文件由资格</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文件、商务资信技术文件、报价文件三部分组成。</w:t>
      </w:r>
    </w:p>
    <w:p w14:paraId="2009FE3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.资格</w:t>
      </w:r>
      <w:r>
        <w:rPr>
          <w:rFonts w:hint="eastAsia" w:ascii="宋体" w:hAnsi="宋体" w:cs="宋体"/>
          <w:b/>
          <w:color w:val="auto"/>
          <w:sz w:val="24"/>
          <w:highlight w:val="none"/>
          <w:lang w:eastAsia="zh-CN"/>
        </w:rPr>
        <w:t>响应</w:t>
      </w:r>
      <w:r>
        <w:rPr>
          <w:rFonts w:hint="eastAsia" w:ascii="宋体" w:hAnsi="宋体" w:eastAsia="宋体" w:cs="宋体"/>
          <w:b/>
          <w:color w:val="auto"/>
          <w:sz w:val="24"/>
          <w:highlight w:val="none"/>
        </w:rPr>
        <w:t>文件</w:t>
      </w:r>
    </w:p>
    <w:p w14:paraId="0D8DF3B8">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bookmarkStart w:id="4" w:name="OLE_LINK10"/>
      <w:r>
        <w:rPr>
          <w:rFonts w:hint="eastAsia" w:ascii="宋体" w:hAnsi="宋体" w:eastAsia="宋体" w:cs="宋体"/>
          <w:bCs/>
          <w:color w:val="auto"/>
          <w:sz w:val="24"/>
          <w:highlight w:val="none"/>
        </w:rPr>
        <w:t>有效的企业法人营业执照副本</w:t>
      </w:r>
      <w:r>
        <w:rPr>
          <w:rFonts w:hint="eastAsia" w:ascii="宋体" w:hAnsi="宋体" w:eastAsia="宋体" w:cs="宋体"/>
          <w:color w:val="auto"/>
          <w:sz w:val="24"/>
          <w:szCs w:val="21"/>
          <w:highlight w:val="none"/>
        </w:rPr>
        <w:t>(或事业法人登记证书或其它工商</w:t>
      </w:r>
      <w:r>
        <w:rPr>
          <w:rFonts w:hint="eastAsia" w:ascii="宋体" w:hAnsi="宋体" w:cs="宋体"/>
          <w:color w:val="auto"/>
          <w:sz w:val="24"/>
          <w:szCs w:val="21"/>
          <w:highlight w:val="none"/>
          <w:lang w:eastAsia="zh-CN"/>
        </w:rPr>
        <w:t>民政</w:t>
      </w:r>
      <w:r>
        <w:rPr>
          <w:rFonts w:hint="eastAsia" w:ascii="宋体" w:hAnsi="宋体" w:eastAsia="宋体" w:cs="宋体"/>
          <w:color w:val="auto"/>
          <w:sz w:val="24"/>
          <w:szCs w:val="21"/>
          <w:highlight w:val="none"/>
        </w:rPr>
        <w:t>等登记证明材料；自然人参与提供身份证)</w:t>
      </w:r>
      <w:r>
        <w:rPr>
          <w:rFonts w:hint="eastAsia" w:ascii="宋体" w:hAnsi="宋体" w:eastAsia="宋体" w:cs="宋体"/>
          <w:bCs/>
          <w:color w:val="auto"/>
          <w:sz w:val="24"/>
          <w:highlight w:val="none"/>
        </w:rPr>
        <w:t>复印件</w:t>
      </w:r>
      <w:bookmarkEnd w:id="4"/>
      <w:r>
        <w:rPr>
          <w:rFonts w:hint="eastAsia" w:ascii="宋体" w:hAnsi="宋体" w:eastAsia="宋体" w:cs="宋体"/>
          <w:bCs/>
          <w:color w:val="auto"/>
          <w:sz w:val="24"/>
          <w:highlight w:val="none"/>
        </w:rPr>
        <w:t>；</w:t>
      </w:r>
    </w:p>
    <w:p w14:paraId="39C0410B">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bookmarkStart w:id="5" w:name="OLE_LINK11"/>
      <w:r>
        <w:rPr>
          <w:rFonts w:hint="eastAsia" w:ascii="宋体" w:hAnsi="宋体" w:eastAsia="宋体" w:cs="宋体"/>
          <w:bCs/>
          <w:color w:val="auto"/>
          <w:sz w:val="24"/>
          <w:highlight w:val="none"/>
        </w:rPr>
        <w:t>法定代表人授权委托书(格式见附件)</w:t>
      </w:r>
      <w:bookmarkEnd w:id="5"/>
      <w:r>
        <w:rPr>
          <w:rFonts w:hint="eastAsia" w:ascii="宋体" w:hAnsi="宋体" w:eastAsia="宋体" w:cs="宋体"/>
          <w:bCs/>
          <w:color w:val="auto"/>
          <w:sz w:val="24"/>
          <w:highlight w:val="none"/>
        </w:rPr>
        <w:t>；</w:t>
      </w:r>
    </w:p>
    <w:p w14:paraId="0F52C745">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bookmarkStart w:id="6" w:name="OLE_LINK12"/>
      <w:r>
        <w:rPr>
          <w:rFonts w:hint="eastAsia" w:ascii="宋体" w:hAnsi="宋体" w:eastAsia="宋体" w:cs="宋体"/>
          <w:bCs/>
          <w:color w:val="auto"/>
          <w:sz w:val="24"/>
          <w:highlight w:val="none"/>
        </w:rPr>
        <w:t>法定代表人身份证复印件或被授权人身份证复印件</w:t>
      </w:r>
      <w:bookmarkEnd w:id="6"/>
      <w:r>
        <w:rPr>
          <w:rFonts w:hint="eastAsia" w:ascii="宋体" w:hAnsi="宋体" w:eastAsia="宋体" w:cs="宋体"/>
          <w:bCs/>
          <w:color w:val="auto"/>
          <w:sz w:val="24"/>
          <w:highlight w:val="none"/>
        </w:rPr>
        <w:t>；</w:t>
      </w:r>
    </w:p>
    <w:p w14:paraId="2FEF51A8">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bookmarkStart w:id="7" w:name="OLE_LINK13"/>
      <w:r>
        <w:rPr>
          <w:rFonts w:hint="eastAsia" w:ascii="宋体" w:hAnsi="宋体" w:eastAsia="宋体" w:cs="宋体"/>
          <w:color w:val="auto"/>
          <w:sz w:val="24"/>
          <w:szCs w:val="21"/>
          <w:highlight w:val="none"/>
        </w:rPr>
        <w:t>信用记录网络查询页面截图（信用中国与中国政府采购网）</w:t>
      </w:r>
      <w:bookmarkEnd w:id="7"/>
      <w:r>
        <w:rPr>
          <w:rFonts w:hint="eastAsia" w:ascii="宋体" w:hAnsi="宋体" w:eastAsia="宋体" w:cs="宋体"/>
          <w:color w:val="auto"/>
          <w:sz w:val="24"/>
          <w:szCs w:val="21"/>
          <w:highlight w:val="none"/>
          <w:lang w:eastAsia="zh-CN"/>
        </w:rPr>
        <w:t>；</w:t>
      </w:r>
    </w:p>
    <w:p w14:paraId="4A8BD913">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default" w:ascii="宋体" w:hAnsi="宋体" w:eastAsia="宋体" w:cs="宋体"/>
          <w:color w:val="auto"/>
          <w:sz w:val="24"/>
          <w:szCs w:val="21"/>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提供有效的</w:t>
      </w:r>
      <w:r>
        <w:rPr>
          <w:rFonts w:hint="eastAsia" w:ascii="宋体" w:hAnsi="宋体" w:cs="宋体"/>
          <w:color w:val="auto"/>
          <w:sz w:val="24"/>
          <w:highlight w:val="none"/>
        </w:rPr>
        <w:t>城乡规划编制甲级资质或土地规划编制甲级资质</w:t>
      </w:r>
      <w:r>
        <w:rPr>
          <w:rFonts w:hint="eastAsia" w:ascii="宋体" w:hAnsi="宋体" w:cs="宋体"/>
          <w:color w:val="auto"/>
          <w:sz w:val="24"/>
          <w:highlight w:val="none"/>
          <w:lang w:val="en-US" w:eastAsia="zh-CN"/>
        </w:rPr>
        <w:t>复印件</w:t>
      </w:r>
      <w:bookmarkStart w:id="31" w:name="_GoBack"/>
      <w:bookmarkEnd w:id="31"/>
      <w:r>
        <w:rPr>
          <w:rFonts w:hint="eastAsia" w:ascii="宋体" w:hAnsi="宋体" w:cs="宋体"/>
          <w:color w:val="auto"/>
          <w:sz w:val="24"/>
          <w:highlight w:val="none"/>
          <w:lang w:val="en-US" w:eastAsia="zh-CN"/>
        </w:rPr>
        <w:t>；</w:t>
      </w:r>
    </w:p>
    <w:p w14:paraId="07BF3849">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6</w:t>
      </w:r>
      <w:r>
        <w:rPr>
          <w:rFonts w:hint="eastAsia" w:ascii="宋体" w:hAnsi="宋体" w:eastAsia="宋体" w:cs="宋体"/>
          <w:color w:val="auto"/>
          <w:sz w:val="24"/>
          <w:szCs w:val="21"/>
          <w:highlight w:val="none"/>
        </w:rPr>
        <w:t>）</w:t>
      </w:r>
      <w:bookmarkStart w:id="8" w:name="OLE_LINK15"/>
      <w:r>
        <w:rPr>
          <w:rFonts w:hint="eastAsia" w:ascii="宋体" w:hAnsi="宋体" w:eastAsia="宋体" w:cs="宋体"/>
          <w:color w:val="auto"/>
          <w:sz w:val="24"/>
          <w:szCs w:val="21"/>
          <w:highlight w:val="none"/>
        </w:rPr>
        <w:t>浙江政府采购网注册正式供应商的网络截图或承诺书</w:t>
      </w:r>
      <w:bookmarkEnd w:id="8"/>
      <w:r>
        <w:rPr>
          <w:rFonts w:hint="eastAsia" w:ascii="宋体" w:hAnsi="宋体" w:eastAsia="宋体" w:cs="宋体"/>
          <w:color w:val="auto"/>
          <w:sz w:val="24"/>
          <w:szCs w:val="21"/>
          <w:highlight w:val="none"/>
        </w:rPr>
        <w:t>；</w:t>
      </w:r>
    </w:p>
    <w:p w14:paraId="1C096E31">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7</w:t>
      </w:r>
      <w:bookmarkStart w:id="9" w:name="OLE_LINK16"/>
      <w:r>
        <w:rPr>
          <w:rFonts w:hint="eastAsia" w:ascii="宋体" w:hAnsi="宋体" w:eastAsia="宋体" w:cs="宋体"/>
          <w:color w:val="auto"/>
          <w:sz w:val="24"/>
          <w:szCs w:val="21"/>
          <w:highlight w:val="none"/>
        </w:rPr>
        <w:t>）政府采购活动现场确认声明书 (格式见附件)</w:t>
      </w:r>
      <w:bookmarkEnd w:id="9"/>
      <w:r>
        <w:rPr>
          <w:rFonts w:hint="eastAsia" w:ascii="宋体" w:hAnsi="宋体" w:eastAsia="宋体" w:cs="宋体"/>
          <w:color w:val="auto"/>
          <w:sz w:val="24"/>
          <w:szCs w:val="21"/>
          <w:highlight w:val="none"/>
        </w:rPr>
        <w:t xml:space="preserve"> ；</w:t>
      </w:r>
    </w:p>
    <w:p w14:paraId="3F98A36A">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8</w:t>
      </w:r>
      <w:r>
        <w:rPr>
          <w:rFonts w:hint="eastAsia" w:ascii="宋体" w:hAnsi="宋体" w:eastAsia="宋体" w:cs="宋体"/>
          <w:color w:val="auto"/>
          <w:sz w:val="24"/>
          <w:szCs w:val="21"/>
          <w:highlight w:val="none"/>
        </w:rPr>
        <w:t>）</w:t>
      </w:r>
      <w:bookmarkStart w:id="10" w:name="OLE_LINK17"/>
      <w:r>
        <w:rPr>
          <w:rFonts w:hint="eastAsia" w:ascii="宋体" w:hAnsi="宋体" w:eastAsia="宋体" w:cs="宋体"/>
          <w:color w:val="auto"/>
          <w:sz w:val="24"/>
          <w:szCs w:val="21"/>
          <w:highlight w:val="none"/>
        </w:rPr>
        <w:t>符合参加政府采购活动应当具备的一般条件的承诺函（格式见附件）</w:t>
      </w:r>
      <w:bookmarkEnd w:id="10"/>
      <w:r>
        <w:rPr>
          <w:rFonts w:hint="eastAsia" w:ascii="宋体" w:hAnsi="宋体" w:eastAsia="宋体" w:cs="宋体"/>
          <w:color w:val="auto"/>
          <w:sz w:val="24"/>
          <w:szCs w:val="21"/>
          <w:highlight w:val="none"/>
        </w:rPr>
        <w:t>；</w:t>
      </w:r>
    </w:p>
    <w:p w14:paraId="538786C2">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cs="宋体"/>
          <w:color w:val="auto"/>
          <w:sz w:val="24"/>
          <w:szCs w:val="21"/>
          <w:highlight w:val="none"/>
          <w:lang w:val="en-US" w:eastAsia="zh-CN"/>
        </w:rPr>
        <w:t>9</w:t>
      </w:r>
      <w:r>
        <w:rPr>
          <w:rFonts w:hint="eastAsia" w:ascii="宋体" w:hAnsi="宋体" w:eastAsia="宋体" w:cs="宋体"/>
          <w:color w:val="auto"/>
          <w:sz w:val="24"/>
          <w:szCs w:val="21"/>
          <w:highlight w:val="none"/>
          <w:lang w:eastAsia="zh-CN"/>
        </w:rPr>
        <w:t>）</w:t>
      </w:r>
      <w:bookmarkStart w:id="11" w:name="OLE_LINK18"/>
      <w:r>
        <w:rPr>
          <w:rFonts w:hint="eastAsia" w:ascii="宋体" w:hAnsi="宋体" w:eastAsia="宋体" w:cs="宋体"/>
          <w:color w:val="auto"/>
          <w:sz w:val="24"/>
          <w:szCs w:val="21"/>
          <w:highlight w:val="none"/>
        </w:rPr>
        <w:t>投标人依法缴纳税收和社保费、无失信行为的声明函(格式见附件)</w:t>
      </w:r>
      <w:bookmarkEnd w:id="11"/>
      <w:r>
        <w:rPr>
          <w:rFonts w:hint="eastAsia" w:ascii="宋体" w:hAnsi="宋体" w:eastAsia="宋体" w:cs="宋体"/>
          <w:color w:val="auto"/>
          <w:sz w:val="24"/>
          <w:szCs w:val="21"/>
          <w:highlight w:val="none"/>
        </w:rPr>
        <w:t>；</w:t>
      </w:r>
    </w:p>
    <w:p w14:paraId="60DB93E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eastAsia="zh-CN"/>
        </w:rPr>
        <w:t>）</w:t>
      </w:r>
      <w:bookmarkStart w:id="12" w:name="OLE_LINK19"/>
      <w:r>
        <w:rPr>
          <w:rFonts w:hint="eastAsia" w:ascii="宋体" w:hAnsi="宋体" w:eastAsia="宋体" w:cs="宋体"/>
          <w:bCs/>
          <w:color w:val="auto"/>
          <w:sz w:val="24"/>
          <w:highlight w:val="none"/>
        </w:rPr>
        <w:t>政府采购代理机构考评表(格式见附件)</w:t>
      </w:r>
      <w:bookmarkEnd w:id="12"/>
      <w:r>
        <w:rPr>
          <w:rFonts w:hint="eastAsia" w:ascii="宋体" w:hAnsi="宋体" w:eastAsia="宋体" w:cs="宋体"/>
          <w:bCs/>
          <w:color w:val="auto"/>
          <w:sz w:val="24"/>
          <w:highlight w:val="none"/>
          <w:lang w:eastAsia="zh-CN"/>
        </w:rPr>
        <w:t>；</w:t>
      </w:r>
    </w:p>
    <w:p w14:paraId="5C6BA177">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eastAsia="zh-CN"/>
        </w:rPr>
        <w:t>）</w:t>
      </w:r>
      <w:bookmarkStart w:id="13" w:name="OLE_LINK20"/>
      <w:r>
        <w:rPr>
          <w:rFonts w:hint="eastAsia" w:ascii="宋体" w:hAnsi="宋体" w:eastAsia="宋体" w:cs="宋体"/>
          <w:bCs/>
          <w:color w:val="auto"/>
          <w:sz w:val="24"/>
          <w:highlight w:val="none"/>
        </w:rPr>
        <w:t>联合体协议（联合体投标时提供，格式见附件）</w:t>
      </w:r>
      <w:bookmarkEnd w:id="13"/>
      <w:r>
        <w:rPr>
          <w:rFonts w:hint="eastAsia" w:ascii="宋体" w:hAnsi="宋体" w:eastAsia="宋体" w:cs="宋体"/>
          <w:bCs/>
          <w:color w:val="auto"/>
          <w:sz w:val="24"/>
          <w:highlight w:val="none"/>
          <w:lang w:eastAsia="zh-CN"/>
        </w:rPr>
        <w:t>；</w:t>
      </w:r>
    </w:p>
    <w:p w14:paraId="4DC752C8">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eastAsia="zh-CN"/>
        </w:rPr>
        <w:t>）</w:t>
      </w:r>
      <w:bookmarkStart w:id="14" w:name="OLE_LINK21"/>
      <w:r>
        <w:rPr>
          <w:rFonts w:hint="eastAsia" w:ascii="宋体" w:hAnsi="宋体" w:eastAsia="宋体" w:cs="宋体"/>
          <w:bCs/>
          <w:color w:val="auto"/>
          <w:sz w:val="24"/>
          <w:highlight w:val="none"/>
        </w:rPr>
        <w:t>分包协议（分包时提供，格式见附件）</w:t>
      </w:r>
      <w:bookmarkEnd w:id="14"/>
      <w:r>
        <w:rPr>
          <w:rFonts w:hint="eastAsia" w:ascii="宋体" w:hAnsi="宋体" w:eastAsia="宋体" w:cs="宋体"/>
          <w:bCs/>
          <w:color w:val="auto"/>
          <w:sz w:val="24"/>
          <w:highlight w:val="none"/>
          <w:lang w:eastAsia="zh-CN"/>
        </w:rPr>
        <w:t>；</w:t>
      </w:r>
    </w:p>
    <w:p w14:paraId="0C1C0960">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w:t>
      </w:r>
      <w:bookmarkStart w:id="15" w:name="OLE_LINK22"/>
      <w:r>
        <w:rPr>
          <w:rFonts w:hint="eastAsia" w:ascii="宋体" w:hAnsi="宋体" w:eastAsia="宋体" w:cs="宋体"/>
          <w:bCs/>
          <w:color w:val="auto"/>
          <w:sz w:val="24"/>
          <w:highlight w:val="none"/>
        </w:rPr>
        <w:t>中小企业声明函（</w:t>
      </w:r>
      <w:r>
        <w:rPr>
          <w:rFonts w:hint="eastAsia" w:ascii="宋体" w:hAnsi="宋体" w:cs="宋体"/>
          <w:bCs/>
          <w:color w:val="auto"/>
          <w:sz w:val="24"/>
          <w:highlight w:val="none"/>
          <w:lang w:val="en-US" w:eastAsia="zh-CN"/>
        </w:rPr>
        <w:t>如是，</w:t>
      </w:r>
      <w:r>
        <w:rPr>
          <w:rFonts w:hint="eastAsia" w:ascii="宋体" w:hAnsi="宋体" w:eastAsia="宋体" w:cs="宋体"/>
          <w:bCs/>
          <w:color w:val="auto"/>
          <w:sz w:val="24"/>
          <w:highlight w:val="none"/>
        </w:rPr>
        <w:t>格式见附件）</w:t>
      </w:r>
      <w:bookmarkEnd w:id="15"/>
      <w:r>
        <w:rPr>
          <w:rFonts w:hint="eastAsia" w:ascii="宋体" w:hAnsi="宋体" w:eastAsia="宋体" w:cs="宋体"/>
          <w:bCs/>
          <w:color w:val="auto"/>
          <w:sz w:val="24"/>
          <w:highlight w:val="none"/>
          <w:lang w:eastAsia="zh-CN"/>
        </w:rPr>
        <w:t>；</w:t>
      </w:r>
    </w:p>
    <w:p w14:paraId="6BAB2905">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投标人认为有必要提供的其它文件</w:t>
      </w:r>
      <w:r>
        <w:rPr>
          <w:rFonts w:hint="eastAsia" w:ascii="宋体" w:hAnsi="宋体" w:eastAsia="宋体" w:cs="宋体"/>
          <w:bCs/>
          <w:color w:val="auto"/>
          <w:sz w:val="24"/>
          <w:highlight w:val="none"/>
          <w:lang w:eastAsia="zh-CN"/>
        </w:rPr>
        <w:t>。</w:t>
      </w:r>
    </w:p>
    <w:p w14:paraId="32B66B54">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.商务资信技术文件</w:t>
      </w:r>
    </w:p>
    <w:p w14:paraId="4B7DE12D">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（1）评分响应表（格式见附件）；</w:t>
      </w:r>
    </w:p>
    <w:p w14:paraId="69B5C279">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（2）投标声明书 (格式见附件)；</w:t>
      </w:r>
    </w:p>
    <w:p w14:paraId="1A1DE517">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szCs w:val="21"/>
          <w:highlight w:val="none"/>
        </w:rPr>
        <w:t>（3）法定代表人授权</w:t>
      </w:r>
      <w:r>
        <w:rPr>
          <w:rFonts w:hint="eastAsia" w:ascii="宋体" w:hAnsi="宋体" w:eastAsia="宋体" w:cs="宋体"/>
          <w:bCs/>
          <w:color w:val="auto"/>
          <w:sz w:val="24"/>
          <w:highlight w:val="none"/>
        </w:rPr>
        <w:t>委托书(格式见附件)；</w:t>
      </w:r>
    </w:p>
    <w:p w14:paraId="2407A021">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（4）投标单位情况表(格式见附件)；</w:t>
      </w:r>
    </w:p>
    <w:p w14:paraId="4DCCCDB6">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zh-CN"/>
        </w:rPr>
        <w:t>（</w:t>
      </w:r>
      <w:r>
        <w:rPr>
          <w:rFonts w:hint="eastAsia" w:ascii="宋体" w:hAnsi="宋体" w:cs="宋体"/>
          <w:color w:val="auto"/>
          <w:sz w:val="24"/>
          <w:szCs w:val="21"/>
          <w:highlight w:val="none"/>
          <w:lang w:val="en-US" w:eastAsia="zh-CN"/>
        </w:rPr>
        <w:t>5</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1"/>
          <w:highlight w:val="none"/>
        </w:rPr>
        <w:t>无重大违法记录声明书(格式见附件)；</w:t>
      </w:r>
    </w:p>
    <w:p w14:paraId="06E23A27">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zh-CN"/>
        </w:rPr>
        <w:t>（</w:t>
      </w:r>
      <w:r>
        <w:rPr>
          <w:rFonts w:hint="eastAsia" w:ascii="宋体" w:hAnsi="宋体" w:cs="宋体"/>
          <w:color w:val="auto"/>
          <w:sz w:val="24"/>
          <w:szCs w:val="21"/>
          <w:highlight w:val="none"/>
          <w:lang w:val="en-US" w:eastAsia="zh-CN"/>
        </w:rPr>
        <w:t>6</w:t>
      </w:r>
      <w:r>
        <w:rPr>
          <w:rFonts w:hint="eastAsia" w:ascii="宋体" w:hAnsi="宋体" w:eastAsia="宋体" w:cs="宋体"/>
          <w:color w:val="auto"/>
          <w:sz w:val="24"/>
          <w:szCs w:val="21"/>
          <w:highlight w:val="none"/>
          <w:lang w:val="zh-CN"/>
        </w:rPr>
        <w:t>）政府采购供应商诚信承诺书（格式见附件）；</w:t>
      </w:r>
    </w:p>
    <w:p w14:paraId="67AD38CC">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7</w:t>
      </w:r>
      <w:r>
        <w:rPr>
          <w:rFonts w:hint="eastAsia" w:ascii="宋体" w:hAnsi="宋体" w:eastAsia="宋体" w:cs="宋体"/>
          <w:color w:val="auto"/>
          <w:sz w:val="24"/>
          <w:szCs w:val="21"/>
          <w:highlight w:val="none"/>
        </w:rPr>
        <w:t>）中标服务费承诺书（格式见附件）；</w:t>
      </w:r>
    </w:p>
    <w:p w14:paraId="1C7645A8">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8</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eastAsia="zh-CN"/>
        </w:rPr>
        <w:t>技术</w:t>
      </w:r>
      <w:r>
        <w:rPr>
          <w:rFonts w:hint="eastAsia" w:ascii="宋体" w:hAnsi="宋体" w:eastAsia="宋体" w:cs="宋体"/>
          <w:color w:val="auto"/>
          <w:sz w:val="24"/>
          <w:szCs w:val="21"/>
          <w:highlight w:val="none"/>
        </w:rPr>
        <w:t>响应表（格式见附件）；</w:t>
      </w:r>
    </w:p>
    <w:p w14:paraId="77A2EA11">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9</w:t>
      </w:r>
      <w:r>
        <w:rPr>
          <w:rFonts w:hint="eastAsia" w:ascii="宋体" w:hAnsi="宋体" w:eastAsia="宋体" w:cs="宋体"/>
          <w:color w:val="auto"/>
          <w:sz w:val="24"/>
          <w:szCs w:val="21"/>
          <w:highlight w:val="none"/>
        </w:rPr>
        <w:t>）商务响应表</w:t>
      </w:r>
      <w:r>
        <w:rPr>
          <w:rFonts w:hint="eastAsia" w:ascii="宋体" w:hAnsi="宋体" w:eastAsia="宋体" w:cs="宋体"/>
          <w:color w:val="auto"/>
          <w:sz w:val="24"/>
          <w:szCs w:val="21"/>
          <w:highlight w:val="none"/>
          <w:lang w:val="zh-CN"/>
        </w:rPr>
        <w:t>（格式见附件）；</w:t>
      </w:r>
    </w:p>
    <w:p w14:paraId="3F7E8928">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1</w:t>
      </w:r>
      <w:r>
        <w:rPr>
          <w:rFonts w:hint="eastAsia" w:ascii="宋体" w:hAnsi="宋体" w:cs="宋体"/>
          <w:color w:val="auto"/>
          <w:sz w:val="24"/>
          <w:szCs w:val="21"/>
          <w:highlight w:val="none"/>
          <w:lang w:val="en-US" w:eastAsia="zh-CN"/>
        </w:rPr>
        <w:t>0</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lang w:val="zh-CN"/>
        </w:rPr>
        <w:t>同类业绩一览表</w:t>
      </w:r>
      <w:r>
        <w:rPr>
          <w:rFonts w:hint="eastAsia" w:ascii="宋体" w:hAnsi="宋体" w:eastAsia="宋体" w:cs="宋体"/>
          <w:color w:val="auto"/>
          <w:sz w:val="24"/>
          <w:szCs w:val="21"/>
          <w:highlight w:val="none"/>
        </w:rPr>
        <w:t>（格式见附件）；</w:t>
      </w:r>
    </w:p>
    <w:p w14:paraId="50A93BA1">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项目实施人员一览表</w:t>
      </w:r>
      <w:r>
        <w:rPr>
          <w:rFonts w:hint="eastAsia" w:ascii="宋体" w:hAnsi="宋体" w:eastAsia="宋体" w:cs="宋体"/>
          <w:color w:val="auto"/>
          <w:sz w:val="24"/>
          <w:szCs w:val="21"/>
          <w:highlight w:val="none"/>
        </w:rPr>
        <w:t>（格式见附件）；</w:t>
      </w:r>
    </w:p>
    <w:p w14:paraId="659D55DB">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zh-CN"/>
        </w:rPr>
        <w:t>技术部分（至少包括技术方案、售后服务</w:t>
      </w:r>
      <w:r>
        <w:rPr>
          <w:rFonts w:hint="eastAsia" w:ascii="宋体" w:hAnsi="宋体" w:eastAsia="宋体" w:cs="宋体"/>
          <w:color w:val="auto"/>
          <w:sz w:val="24"/>
          <w:szCs w:val="21"/>
          <w:highlight w:val="none"/>
        </w:rPr>
        <w:t>等内容）；</w:t>
      </w:r>
    </w:p>
    <w:p w14:paraId="42B3C75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）其它按照评标办法可加分的内容说明、证明文件；</w:t>
      </w:r>
    </w:p>
    <w:p w14:paraId="4BE591A3">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）投标人需要说明的其他文件和说明。</w:t>
      </w:r>
    </w:p>
    <w:p w14:paraId="523EBE7A">
      <w:pPr>
        <w:keepLines w:val="0"/>
        <w:pageBreakBefore w:val="0"/>
        <w:kinsoku/>
        <w:wordWrap/>
        <w:overflowPunct/>
        <w:topLinePunct w:val="0"/>
        <w:autoSpaceDE/>
        <w:autoSpaceDN/>
        <w:bidi w:val="0"/>
        <w:snapToGrid w:val="0"/>
        <w:spacing w:line="360" w:lineRule="exact"/>
        <w:ind w:firstLine="472" w:firstLineChars="196"/>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t>3.报价文件</w:t>
      </w:r>
    </w:p>
    <w:p w14:paraId="238DA6DD">
      <w:pPr>
        <w:keepLines w:val="0"/>
        <w:pageBreakBefore w:val="0"/>
        <w:kinsoku/>
        <w:wordWrap/>
        <w:overflowPunct/>
        <w:topLinePunct w:val="0"/>
        <w:autoSpaceDE/>
        <w:autoSpaceDN/>
        <w:bidi w:val="0"/>
        <w:snapToGrid w:val="0"/>
        <w:spacing w:before="120" w:beforeLines="50" w:line="360" w:lineRule="exact"/>
        <w:ind w:left="412" w:leftChars="196"/>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（1）投标函（格式见附件）； </w:t>
      </w:r>
    </w:p>
    <w:p w14:paraId="33A8E22C">
      <w:pPr>
        <w:keepLines w:val="0"/>
        <w:pageBreakBefore w:val="0"/>
        <w:kinsoku/>
        <w:wordWrap/>
        <w:overflowPunct/>
        <w:topLinePunct w:val="0"/>
        <w:autoSpaceDE/>
        <w:autoSpaceDN/>
        <w:bidi w:val="0"/>
        <w:snapToGrid w:val="0"/>
        <w:spacing w:before="120" w:beforeLines="50" w:line="360" w:lineRule="exact"/>
        <w:ind w:left="412" w:leftChars="196"/>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（2）开标一览表（格式见附件）；</w:t>
      </w:r>
    </w:p>
    <w:p w14:paraId="670FDEE8">
      <w:pPr>
        <w:keepLines w:val="0"/>
        <w:pageBreakBefore w:val="0"/>
        <w:kinsoku/>
        <w:wordWrap/>
        <w:overflowPunct/>
        <w:topLinePunct w:val="0"/>
        <w:autoSpaceDE/>
        <w:autoSpaceDN/>
        <w:bidi w:val="0"/>
        <w:snapToGrid w:val="0"/>
        <w:spacing w:before="120" w:beforeLines="50" w:line="360" w:lineRule="exact"/>
        <w:ind w:left="412" w:leftChars="196"/>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）投标人针对报价需要说明的其他文件和说明（不允许含报价）。</w:t>
      </w:r>
    </w:p>
    <w:p w14:paraId="2D7206F5">
      <w:pPr>
        <w:keepLines w:val="0"/>
        <w:pageBreakBefore w:val="0"/>
        <w:kinsoku/>
        <w:wordWrap/>
        <w:overflowPunct/>
        <w:topLinePunct w:val="0"/>
        <w:autoSpaceDE/>
        <w:autoSpaceDN/>
        <w:bidi w:val="0"/>
        <w:snapToGrid w:val="0"/>
        <w:spacing w:before="120" w:beforeLines="50" w:line="360" w:lineRule="exact"/>
        <w:ind w:firstLine="472" w:firstLineChars="196"/>
        <w:jc w:val="left"/>
        <w:textAlignment w:val="auto"/>
        <w:outlineLvl w:val="0"/>
        <w:rPr>
          <w:rFonts w:hint="eastAsia" w:ascii="宋体" w:hAnsi="宋体" w:cs="宋体"/>
          <w:b/>
          <w:color w:val="auto"/>
          <w:sz w:val="24"/>
          <w:highlight w:val="none"/>
        </w:rPr>
      </w:pPr>
      <w:r>
        <w:rPr>
          <w:rFonts w:hint="eastAsia" w:ascii="宋体" w:hAnsi="宋体" w:cs="宋体"/>
          <w:b/>
          <w:color w:val="auto"/>
          <w:sz w:val="24"/>
          <w:highlight w:val="none"/>
        </w:rPr>
        <w:t>（二）投标文件的语言及计量</w:t>
      </w:r>
    </w:p>
    <w:p w14:paraId="2BE58BEC">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color w:val="auto"/>
          <w:sz w:val="24"/>
          <w:szCs w:val="20"/>
          <w:highlight w:val="none"/>
        </w:rPr>
      </w:pPr>
      <w:r>
        <w:rPr>
          <w:rFonts w:hint="eastAsia" w:ascii="宋体" w:hAnsi="宋体" w:cs="宋体"/>
          <w:color w:val="auto"/>
          <w:sz w:val="24"/>
          <w:highlight w:val="none"/>
        </w:rPr>
        <w:t>▲1.投标文件以及投标方与招标方就有关投标事宜的所有来往函电，均应以中文汉语书写。除签名、盖章、专用名称等特殊情形外，以中文汉语以外的文字表述的投标文件视同未提供。</w:t>
      </w:r>
    </w:p>
    <w:p w14:paraId="68EBF911">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color w:val="auto"/>
          <w:sz w:val="24"/>
          <w:szCs w:val="20"/>
          <w:highlight w:val="none"/>
        </w:rPr>
      </w:pPr>
      <w:r>
        <w:rPr>
          <w:rFonts w:hint="eastAsia" w:ascii="宋体" w:hAnsi="宋体" w:cs="宋体"/>
          <w:color w:val="auto"/>
          <w:sz w:val="24"/>
          <w:highlight w:val="none"/>
        </w:rPr>
        <w:t>▲2.投标计量单位，应采用中华人民共和国法定计量单位（货币单位：人民币元），否则视同未响应。</w:t>
      </w:r>
    </w:p>
    <w:p w14:paraId="73524D7E">
      <w:pPr>
        <w:keepNext w:val="0"/>
        <w:keepLines w:val="0"/>
        <w:pageBreakBefore w:val="0"/>
        <w:kinsoku/>
        <w:wordWrap/>
        <w:overflowPunct/>
        <w:topLinePunct w:val="0"/>
        <w:autoSpaceDE/>
        <w:autoSpaceDN/>
        <w:bidi w:val="0"/>
        <w:adjustRightInd w:val="0"/>
        <w:snapToGrid w:val="0"/>
        <w:spacing w:before="120" w:beforeLines="50" w:line="400" w:lineRule="exact"/>
        <w:ind w:firstLine="472" w:firstLineChars="196"/>
        <w:jc w:val="left"/>
        <w:textAlignment w:val="auto"/>
        <w:outlineLvl w:val="0"/>
        <w:rPr>
          <w:rFonts w:hint="eastAsia" w:ascii="宋体" w:hAnsi="宋体" w:cs="宋体"/>
          <w:b/>
          <w:color w:val="auto"/>
          <w:sz w:val="24"/>
          <w:szCs w:val="20"/>
          <w:highlight w:val="none"/>
        </w:rPr>
      </w:pPr>
      <w:r>
        <w:rPr>
          <w:rFonts w:hint="eastAsia" w:ascii="宋体" w:hAnsi="宋体" w:cs="宋体"/>
          <w:b/>
          <w:color w:val="auto"/>
          <w:sz w:val="24"/>
          <w:highlight w:val="none"/>
        </w:rPr>
        <w:t>（三）投标报价</w:t>
      </w:r>
    </w:p>
    <w:p w14:paraId="58F04F24">
      <w:pPr>
        <w:keepNext w:val="0"/>
        <w:keepLines w:val="0"/>
        <w:pageBreakBefore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cs="宋体"/>
          <w:b/>
          <w:color w:val="auto"/>
          <w:sz w:val="24"/>
          <w:highlight w:val="none"/>
        </w:rPr>
      </w:pPr>
      <w:r>
        <w:rPr>
          <w:rFonts w:hint="eastAsia" w:ascii="宋体" w:hAnsi="宋体" w:cs="宋体"/>
          <w:color w:val="auto"/>
          <w:sz w:val="24"/>
          <w:highlight w:val="none"/>
        </w:rPr>
        <w:t>1.投标报价应按招标文件中相关附表格式填写。</w:t>
      </w:r>
    </w:p>
    <w:p w14:paraId="488E45B7">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eastAsia="宋体" w:cs="宋体"/>
          <w:color w:val="auto"/>
          <w:sz w:val="24"/>
          <w:szCs w:val="22"/>
          <w:highlight w:val="none"/>
        </w:rPr>
        <w:t>投标报价是履行合同的最终价格，应为承包完成本次投标需完成全部工作所发生的所有费用，并承担一切风险责任，</w:t>
      </w:r>
      <w:r>
        <w:rPr>
          <w:rFonts w:hint="eastAsia" w:ascii="宋体" w:hAnsi="宋体" w:eastAsia="宋体" w:cs="宋体"/>
          <w:color w:val="auto"/>
          <w:sz w:val="24"/>
          <w:szCs w:val="24"/>
          <w:highlight w:val="none"/>
        </w:rPr>
        <w:t>报价包括因领取基础资料、现场踏勘等需要产生的食、宿、交通等费用，</w:t>
      </w:r>
      <w:r>
        <w:rPr>
          <w:rFonts w:hint="eastAsia" w:ascii="宋体" w:hAnsi="宋体" w:eastAsia="宋体" w:cs="宋体"/>
          <w:color w:val="auto"/>
          <w:sz w:val="24"/>
          <w:szCs w:val="24"/>
          <w:highlight w:val="none"/>
          <w:lang w:eastAsia="zh-CN"/>
        </w:rPr>
        <w:t>编制</w:t>
      </w:r>
      <w:r>
        <w:rPr>
          <w:rFonts w:hint="eastAsia" w:ascii="宋体" w:hAnsi="宋体" w:eastAsia="宋体" w:cs="宋体"/>
          <w:color w:val="auto"/>
          <w:sz w:val="24"/>
          <w:szCs w:val="24"/>
          <w:highlight w:val="none"/>
        </w:rPr>
        <w:t>服务费、服务成果打印、</w:t>
      </w:r>
      <w:r>
        <w:rPr>
          <w:rFonts w:hint="eastAsia" w:ascii="宋体" w:hAnsi="宋体" w:eastAsia="宋体" w:cs="宋体"/>
          <w:b w:val="0"/>
          <w:bCs w:val="0"/>
          <w:color w:val="auto"/>
          <w:kern w:val="2"/>
          <w:sz w:val="24"/>
          <w:szCs w:val="24"/>
          <w:highlight w:val="none"/>
          <w:lang w:val="en-US" w:eastAsia="zh-CN" w:bidi="ar-SA"/>
        </w:rPr>
        <w:t>人员劳务费（含人身意外保险费）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代理服务费、</w:t>
      </w:r>
      <w:r>
        <w:rPr>
          <w:rFonts w:hint="eastAsia" w:ascii="宋体" w:hAnsi="宋体" w:eastAsia="宋体" w:cs="宋体"/>
          <w:color w:val="auto"/>
          <w:sz w:val="24"/>
          <w:szCs w:val="24"/>
          <w:highlight w:val="none"/>
        </w:rPr>
        <w:t>售后服务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税金等一切</w:t>
      </w:r>
      <w:r>
        <w:rPr>
          <w:rFonts w:hint="eastAsia" w:ascii="宋体" w:hAnsi="宋体" w:cs="宋体"/>
          <w:color w:val="auto"/>
          <w:sz w:val="24"/>
          <w:szCs w:val="24"/>
          <w:highlight w:val="none"/>
          <w:lang w:eastAsia="zh-CN"/>
        </w:rPr>
        <w:t>与本项目相关的</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2"/>
          <w:highlight w:val="none"/>
        </w:rPr>
        <w:t>。投标人所投报的投标报价为投标人所能承受的整个项目的最终最低报价，如有漏项，视同已包含在其它项目中，合同价不作调整。</w:t>
      </w:r>
    </w:p>
    <w:p w14:paraId="3D808BCA">
      <w:pPr>
        <w:keepNext w:val="0"/>
        <w:keepLines w:val="0"/>
        <w:pageBreakBefore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cs="宋体"/>
          <w:b/>
          <w:bCs/>
          <w:color w:val="auto"/>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3.高于或等于预算价的按无效标处理。</w:t>
      </w:r>
    </w:p>
    <w:p w14:paraId="56C0E175">
      <w:pPr>
        <w:pStyle w:val="11"/>
        <w:keepNext w:val="0"/>
        <w:keepLines w:val="0"/>
        <w:pageBreakBefore w:val="0"/>
        <w:kinsoku/>
        <w:wordWrap/>
        <w:overflowPunct/>
        <w:topLinePunct w:val="0"/>
        <w:autoSpaceDE/>
        <w:autoSpaceDN/>
        <w:bidi w:val="0"/>
        <w:adjustRightInd w:val="0"/>
        <w:snapToGrid w:val="0"/>
        <w:spacing w:before="120" w:beforeLines="50" w:line="400" w:lineRule="exact"/>
        <w:ind w:left="78" w:leftChars="37" w:firstLine="141" w:firstLineChars="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（四）投标文件的有效期</w:t>
      </w:r>
    </w:p>
    <w:p w14:paraId="2270BF9B">
      <w:pPr>
        <w:pStyle w:val="11"/>
        <w:keepNext w:val="0"/>
        <w:keepLines w:val="0"/>
        <w:pageBreakBefore w:val="0"/>
        <w:kinsoku/>
        <w:wordWrap/>
        <w:overflowPunct/>
        <w:topLinePunct w:val="0"/>
        <w:autoSpaceDE/>
        <w:autoSpaceDN/>
        <w:bidi w:val="0"/>
        <w:adjustRightInd w:val="0"/>
        <w:snapToGrid w:val="0"/>
        <w:spacing w:line="400" w:lineRule="exact"/>
        <w:ind w:lef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▲1.自投标截止日起</w:t>
      </w:r>
      <w:r>
        <w:rPr>
          <w:rFonts w:hint="eastAsia" w:ascii="宋体" w:hAnsi="宋体" w:eastAsia="宋体" w:cs="宋体"/>
          <w:color w:val="auto"/>
          <w:sz w:val="24"/>
          <w:szCs w:val="24"/>
          <w:highlight w:val="none"/>
          <w:u w:val="single"/>
        </w:rPr>
        <w:t xml:space="preserve"> 60</w:t>
      </w:r>
      <w:r>
        <w:rPr>
          <w:rFonts w:hint="eastAsia" w:ascii="宋体" w:hAnsi="宋体" w:eastAsia="宋体" w:cs="宋体"/>
          <w:color w:val="auto"/>
          <w:sz w:val="24"/>
          <w:szCs w:val="24"/>
          <w:highlight w:val="none"/>
        </w:rPr>
        <w:t>天投标文件应保持有效。有效期不足的投标文件将被拒绝。</w:t>
      </w:r>
    </w:p>
    <w:p w14:paraId="69D9C8CB">
      <w:pPr>
        <w:pStyle w:val="11"/>
        <w:keepNext w:val="0"/>
        <w:keepLines w:val="0"/>
        <w:pageBreakBefore w:val="0"/>
        <w:kinsoku/>
        <w:wordWrap/>
        <w:overflowPunct/>
        <w:topLinePunct w:val="0"/>
        <w:autoSpaceDE/>
        <w:autoSpaceDN/>
        <w:bidi w:val="0"/>
        <w:adjustRightInd w:val="0"/>
        <w:snapToGrid w:val="0"/>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2.在特殊情况下，招标人可与投标人协商延长投标书的有效期，这种要求和答复均以书面形式进行。</w:t>
      </w:r>
    </w:p>
    <w:p w14:paraId="33BE2E22">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0"/>
        <w:rPr>
          <w:rFonts w:hint="eastAsia" w:ascii="宋体" w:hAnsi="宋体" w:cs="宋体"/>
          <w:b/>
          <w:color w:val="auto"/>
          <w:sz w:val="24"/>
          <w:szCs w:val="20"/>
          <w:highlight w:val="none"/>
        </w:rPr>
      </w:pPr>
      <w:r>
        <w:rPr>
          <w:rFonts w:hint="eastAsia" w:ascii="宋体" w:hAnsi="宋体" w:cs="宋体"/>
          <w:color w:val="auto"/>
          <w:sz w:val="24"/>
          <w:highlight w:val="none"/>
        </w:rPr>
        <w:t>3.投标人可拒绝接受延期要求。同意延长有效期的投标人不能修改投标文件。</w:t>
      </w:r>
      <w:r>
        <w:rPr>
          <w:rFonts w:hint="eastAsia" w:ascii="宋体" w:hAnsi="宋体" w:cs="宋体"/>
          <w:b/>
          <w:color w:val="auto"/>
          <w:sz w:val="24"/>
          <w:highlight w:val="none"/>
        </w:rPr>
        <w:t xml:space="preserve"> </w:t>
      </w:r>
    </w:p>
    <w:p w14:paraId="1D527487">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0"/>
        <w:rPr>
          <w:rFonts w:hint="eastAsia" w:ascii="宋体" w:hAnsi="宋体" w:cs="宋体"/>
          <w:b/>
          <w:color w:val="auto"/>
          <w:sz w:val="24"/>
          <w:highlight w:val="none"/>
        </w:rPr>
      </w:pPr>
      <w:r>
        <w:rPr>
          <w:rFonts w:hint="eastAsia" w:ascii="宋体" w:hAnsi="宋体" w:cs="宋体"/>
          <w:color w:val="auto"/>
          <w:sz w:val="24"/>
          <w:highlight w:val="none"/>
        </w:rPr>
        <w:t>4.中标人的投标文件自开标之日起至合同履行完毕止均应保持有效。</w:t>
      </w:r>
    </w:p>
    <w:p w14:paraId="35C16CAA">
      <w:pPr>
        <w:keepNext w:val="0"/>
        <w:keepLines w:val="0"/>
        <w:pageBreakBefore w:val="0"/>
        <w:kinsoku/>
        <w:wordWrap/>
        <w:overflowPunct/>
        <w:topLinePunct w:val="0"/>
        <w:autoSpaceDE/>
        <w:autoSpaceDN/>
        <w:bidi w:val="0"/>
        <w:adjustRightInd w:val="0"/>
        <w:snapToGrid w:val="0"/>
        <w:spacing w:before="120" w:beforeLines="50" w:line="400" w:lineRule="exact"/>
        <w:ind w:firstLine="472" w:firstLineChars="196"/>
        <w:jc w:val="left"/>
        <w:textAlignment w:val="auto"/>
        <w:outlineLvl w:val="0"/>
        <w:rPr>
          <w:rFonts w:hint="eastAsia" w:ascii="宋体" w:hAnsi="宋体" w:cs="宋体"/>
          <w:b/>
          <w:color w:val="auto"/>
          <w:sz w:val="24"/>
          <w:szCs w:val="20"/>
          <w:highlight w:val="none"/>
        </w:rPr>
      </w:pPr>
      <w:r>
        <w:rPr>
          <w:rFonts w:hint="eastAsia" w:ascii="宋体" w:hAnsi="宋体" w:cs="宋体"/>
          <w:b/>
          <w:color w:val="auto"/>
          <w:sz w:val="24"/>
          <w:highlight w:val="none"/>
        </w:rPr>
        <w:t>（五）投标文件的签署</w:t>
      </w:r>
    </w:p>
    <w:p w14:paraId="5B8D50AB">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投标人应认真阅读招标文件所有内容，按本招标文件规定的要求、编制顺序和统一格式编制投标文件并标注页码，</w:t>
      </w:r>
      <w:r>
        <w:rPr>
          <w:rFonts w:hint="eastAsia" w:ascii="宋体" w:hAnsi="宋体" w:cs="宋体"/>
          <w:b/>
          <w:bCs/>
          <w:color w:val="auto"/>
          <w:sz w:val="24"/>
          <w:highlight w:val="none"/>
        </w:rPr>
        <w:t>电子投标文件须根据评分标准进行关联定位。</w:t>
      </w:r>
      <w:r>
        <w:rPr>
          <w:rFonts w:hint="eastAsia" w:ascii="宋体" w:hAnsi="宋体" w:cs="宋体"/>
          <w:color w:val="auto"/>
          <w:sz w:val="24"/>
          <w:highlight w:val="none"/>
        </w:rPr>
        <w:t>投标文件因内容不完整、编排混乱，</w:t>
      </w:r>
      <w:r>
        <w:rPr>
          <w:rFonts w:hint="eastAsia" w:ascii="宋体" w:hAnsi="宋体" w:cs="宋体"/>
          <w:b/>
          <w:bCs/>
          <w:color w:val="auto"/>
          <w:sz w:val="24"/>
          <w:highlight w:val="none"/>
        </w:rPr>
        <w:t>或者电子投标文件未按评分标准进行关联定位或者关联定位不准确，</w:t>
      </w:r>
      <w:r>
        <w:rPr>
          <w:rFonts w:hint="eastAsia" w:ascii="宋体" w:hAnsi="宋体" w:cs="宋体"/>
          <w:color w:val="auto"/>
          <w:sz w:val="24"/>
          <w:highlight w:val="none"/>
        </w:rPr>
        <w:t>导致投标文件被误读、漏读或者查找不到相关内容的，是投标人的责任。</w:t>
      </w:r>
      <w:r>
        <w:rPr>
          <w:rFonts w:hint="eastAsia" w:ascii="宋体" w:hAnsi="宋体" w:cs="宋体"/>
          <w:b/>
          <w:color w:val="auto"/>
          <w:sz w:val="24"/>
          <w:highlight w:val="none"/>
        </w:rPr>
        <w:t>电子投标文件须</w:t>
      </w:r>
      <w:r>
        <w:rPr>
          <w:rFonts w:hint="eastAsia" w:ascii="宋体" w:hAnsi="宋体" w:cs="宋体"/>
          <w:b/>
          <w:bCs/>
          <w:color w:val="auto"/>
          <w:sz w:val="24"/>
          <w:highlight w:val="none"/>
        </w:rPr>
        <w:t>按政采云平台供应商项目采购-电子招投标操作指南</w:t>
      </w:r>
      <w:r>
        <w:rPr>
          <w:rFonts w:hint="eastAsia" w:ascii="宋体" w:hAnsi="宋体" w:cs="宋体"/>
          <w:b/>
          <w:color w:val="auto"/>
          <w:sz w:val="24"/>
          <w:highlight w:val="none"/>
        </w:rPr>
        <w:t>及本招标文件要求制作和加密。</w:t>
      </w:r>
      <w:r>
        <w:rPr>
          <w:rFonts w:hint="eastAsia" w:ascii="宋体" w:hAnsi="宋体" w:cs="宋体"/>
          <w:b/>
          <w:bCs/>
          <w:color w:val="auto"/>
          <w:sz w:val="24"/>
          <w:highlight w:val="none"/>
        </w:rPr>
        <w:t>（操作指南下载网址：</w:t>
      </w:r>
    </w:p>
    <w:p w14:paraId="41E3E842">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https://help.zcygov.cn/web/site_2/2018/12-28/2573.html）</w:t>
      </w:r>
    </w:p>
    <w:p w14:paraId="56A48CB4">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.投标文件需盖章签字的地方必须由投标人法定代表人或法定代表人的授权委托人签署并加盖单位公章，投标人应写全称。</w:t>
      </w:r>
    </w:p>
    <w:p w14:paraId="547C622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.投标文件不得涂改，若有修改错漏处，须加盖单位公章和由法定代表人或授权委托人签字或盖章。投标文件因字迹潦草或表达不清所引起的后果由投标人负责。</w:t>
      </w:r>
    </w:p>
    <w:p w14:paraId="5C2E044C">
      <w:pPr>
        <w:keepNext w:val="0"/>
        <w:keepLines w:val="0"/>
        <w:pageBreakBefore w:val="0"/>
        <w:kinsoku/>
        <w:wordWrap/>
        <w:overflowPunct/>
        <w:topLinePunct w:val="0"/>
        <w:autoSpaceDE/>
        <w:autoSpaceDN/>
        <w:bidi w:val="0"/>
        <w:adjustRightInd w:val="0"/>
        <w:snapToGrid w:val="0"/>
        <w:spacing w:line="400" w:lineRule="exact"/>
        <w:ind w:firstLine="482" w:firstLineChars="200"/>
        <w:jc w:val="left"/>
        <w:textAlignment w:val="auto"/>
        <w:rPr>
          <w:rFonts w:hint="eastAsia"/>
          <w:color w:val="auto"/>
          <w:highlight w:val="none"/>
        </w:rPr>
      </w:pP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.招标文件对签字、盖章有特别要求的地方，纸质版本投标文件无论正本或副本（副本可以是正本的复印件）必须由投标人法定代表人或法定代表人的授权委托人签署并加盖单位公章。</w:t>
      </w:r>
      <w:r>
        <w:rPr>
          <w:rFonts w:hint="eastAsia" w:ascii="宋体" w:hAnsi="宋体" w:cs="宋体"/>
          <w:b/>
          <w:bCs/>
          <w:color w:val="auto"/>
          <w:sz w:val="24"/>
          <w:highlight w:val="none"/>
        </w:rPr>
        <w:t>电子投标文件中有签字要求的部分，投标人可以将签字后的扫描件上传至政采云系统，有</w:t>
      </w:r>
      <w:r>
        <w:rPr>
          <w:rFonts w:hint="eastAsia" w:ascii="宋体" w:hAnsi="宋体" w:cs="宋体"/>
          <w:b/>
          <w:color w:val="auto"/>
          <w:sz w:val="24"/>
          <w:highlight w:val="none"/>
        </w:rPr>
        <w:t>盖章要求的部分，</w:t>
      </w:r>
      <w:r>
        <w:rPr>
          <w:rFonts w:hint="eastAsia" w:ascii="宋体" w:hAnsi="宋体" w:cs="宋体"/>
          <w:b/>
          <w:bCs/>
          <w:color w:val="auto"/>
          <w:sz w:val="24"/>
          <w:highlight w:val="none"/>
        </w:rPr>
        <w:t>要求采用CA签章。</w:t>
      </w:r>
      <w:r>
        <w:rPr>
          <w:rFonts w:hint="eastAsia" w:ascii="宋体" w:hAnsi="宋体" w:cs="宋体"/>
          <w:b/>
          <w:color w:val="auto"/>
          <w:sz w:val="24"/>
          <w:highlight w:val="none"/>
        </w:rPr>
        <w:t>投标人应写全称。</w:t>
      </w:r>
    </w:p>
    <w:p w14:paraId="2BD80B4E">
      <w:pPr>
        <w:keepNext w:val="0"/>
        <w:keepLines w:val="0"/>
        <w:pageBreakBefore w:val="0"/>
        <w:kinsoku/>
        <w:wordWrap/>
        <w:overflowPunct/>
        <w:topLinePunct w:val="0"/>
        <w:autoSpaceDE/>
        <w:autoSpaceDN/>
        <w:bidi w:val="0"/>
        <w:adjustRightInd w:val="0"/>
        <w:snapToGrid w:val="0"/>
        <w:spacing w:before="120" w:beforeLines="50" w:line="400" w:lineRule="exact"/>
        <w:ind w:firstLine="354" w:firstLineChars="147"/>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t>（六）投标文件的包装、递交、修改和撤回</w:t>
      </w:r>
    </w:p>
    <w:p w14:paraId="51725C33">
      <w:pPr>
        <w:keepNext w:val="0"/>
        <w:keepLines w:val="0"/>
        <w:pageBreakBefore w:val="0"/>
        <w:kinsoku/>
        <w:wordWrap/>
        <w:overflowPunct/>
        <w:topLinePunct w:val="0"/>
        <w:autoSpaceDE/>
        <w:autoSpaceDN/>
        <w:bidi w:val="0"/>
        <w:adjustRightInd w:val="0"/>
        <w:snapToGrid w:val="0"/>
        <w:spacing w:line="400" w:lineRule="exact"/>
        <w:ind w:firstLine="495"/>
        <w:textAlignment w:val="auto"/>
        <w:rPr>
          <w:rFonts w:hint="eastAsia" w:ascii="宋体" w:hAnsi="宋体" w:cs="宋体"/>
          <w:color w:val="auto"/>
          <w:sz w:val="24"/>
          <w:highlight w:val="none"/>
        </w:rPr>
      </w:pPr>
      <w:r>
        <w:rPr>
          <w:rFonts w:hint="eastAsia" w:ascii="宋体" w:hAnsi="宋体" w:cs="宋体"/>
          <w:color w:val="auto"/>
          <w:sz w:val="24"/>
          <w:highlight w:val="none"/>
        </w:rPr>
        <w:t>1.投标人应当在投标截止时间前在“政采云”（电子交易平台）上自行上传加密的电子投标文件。</w:t>
      </w:r>
    </w:p>
    <w:p w14:paraId="4DD1183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2.未按规定上传的投标文件将被拒绝，由此造成投标文件解密失败或被误投的风险由投标人承担。</w:t>
      </w:r>
    </w:p>
    <w:p w14:paraId="55D107F5">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3.投标人未在“政采云”（电子交易平台）上自行上传加密的电子投标文件，仅提交电子备份投标文件的，投标无效。</w:t>
      </w:r>
    </w:p>
    <w:p w14:paraId="0EACD5C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上传的投标响应文件，将被政采云平台拒收。</w:t>
      </w:r>
    </w:p>
    <w:p w14:paraId="159D5F4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投标人在投标截止时间之前，可以对已提交的电子备份投标文件进行修改或撤回，并书面通知招标采购单位；修改后重新递交的电子备份投标文件应当按本招标文件的要求签署、盖章。投标截止时间后，投标人不得撤回、修改电子备份投标文件。</w:t>
      </w:r>
    </w:p>
    <w:p w14:paraId="1FE48395">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截止开标时间，政采云（电子交易平台）自动提取所有投标文件，投标人须在开标时间截止后30分钟内对上传政采云的投标文件进行解密，所有投标人在规定的解密时限内解密完成或解密时限到后，采购代理机构开启投标文件；投标人超过解密时限的，系统默认自动放弃。</w:t>
      </w:r>
    </w:p>
    <w:p w14:paraId="64D209F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6.电子投标文件无法解密或解密失败时，投标人提供了电子备份投标文件的，以电子备份投标文件作为评审依据，否则视为投标文件撤回。投标文件已按时解密的，电子备份投标文件自动失效。</w:t>
      </w:r>
    </w:p>
    <w:p w14:paraId="4909ACA0">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ascii="宋体" w:hAnsi="宋体" w:cs="宋体"/>
          <w:b/>
          <w:bCs/>
          <w:color w:val="auto"/>
          <w:sz w:val="24"/>
          <w:highlight w:val="none"/>
        </w:rPr>
      </w:pPr>
      <w:r>
        <w:rPr>
          <w:rFonts w:hint="eastAsia" w:ascii="宋体" w:hAnsi="宋体" w:cs="宋体"/>
          <w:b/>
          <w:bCs/>
          <w:color w:val="auto"/>
          <w:sz w:val="24"/>
          <w:highlight w:val="none"/>
        </w:rPr>
        <w:t>（七）投标无效的情形</w:t>
      </w:r>
    </w:p>
    <w:p w14:paraId="1748DC9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限期内不补正或经补正后仍不符合招标文件要求的，应认定其投标无效。投标人修改、补正投标文件后，不影响评标委员会对其投标文件所作的评价和评分结果。</w:t>
      </w:r>
    </w:p>
    <w:p w14:paraId="7642E537">
      <w:pPr>
        <w:snapToGrid w:val="0"/>
        <w:spacing w:line="312" w:lineRule="auto"/>
        <w:ind w:firstLine="472" w:firstLineChars="196"/>
        <w:rPr>
          <w:rFonts w:hint="eastAsia" w:ascii="宋体"/>
          <w:b/>
          <w:color w:val="auto"/>
          <w:sz w:val="24"/>
          <w:highlight w:val="none"/>
        </w:rPr>
      </w:pPr>
      <w:r>
        <w:rPr>
          <w:rFonts w:hint="eastAsia" w:ascii="宋体"/>
          <w:b/>
          <w:color w:val="auto"/>
          <w:sz w:val="24"/>
          <w:highlight w:val="none"/>
        </w:rPr>
        <w:t>1.有下列情形之一的，视为投标人串通投标，其投标无效：</w:t>
      </w:r>
    </w:p>
    <w:p w14:paraId="7084F17F">
      <w:pPr>
        <w:keepLines w:val="0"/>
        <w:pageBreakBefore w:val="0"/>
        <w:kinsoku/>
        <w:wordWrap/>
        <w:overflowPunct/>
        <w:topLinePunct w:val="0"/>
        <w:autoSpaceDE/>
        <w:autoSpaceDN/>
        <w:bidi w:val="0"/>
        <w:snapToGrid w:val="0"/>
        <w:spacing w:line="380" w:lineRule="exact"/>
        <w:ind w:firstLine="470" w:firstLineChars="196"/>
        <w:textAlignment w:val="auto"/>
        <w:rPr>
          <w:rFonts w:hint="eastAsia" w:ascii="宋体"/>
          <w:color w:val="auto"/>
          <w:sz w:val="24"/>
          <w:highlight w:val="none"/>
        </w:rPr>
      </w:pPr>
      <w:r>
        <w:rPr>
          <w:rFonts w:hint="eastAsia" w:ascii="宋体"/>
          <w:color w:val="auto"/>
          <w:sz w:val="24"/>
          <w:highlight w:val="none"/>
          <w:lang w:eastAsia="zh-CN"/>
        </w:rPr>
        <w:t>（</w:t>
      </w:r>
      <w:r>
        <w:rPr>
          <w:rFonts w:hint="eastAsia" w:ascii="宋体"/>
          <w:color w:val="auto"/>
          <w:sz w:val="24"/>
          <w:highlight w:val="none"/>
          <w:lang w:val="en-US" w:eastAsia="zh-CN"/>
        </w:rPr>
        <w:t>1</w:t>
      </w:r>
      <w:r>
        <w:rPr>
          <w:rFonts w:hint="eastAsia" w:ascii="宋体"/>
          <w:color w:val="auto"/>
          <w:sz w:val="24"/>
          <w:highlight w:val="none"/>
          <w:lang w:eastAsia="zh-CN"/>
        </w:rPr>
        <w:t>）</w:t>
      </w:r>
      <w:r>
        <w:rPr>
          <w:rFonts w:hint="eastAsia" w:ascii="宋体"/>
          <w:color w:val="auto"/>
          <w:sz w:val="24"/>
          <w:highlight w:val="none"/>
        </w:rPr>
        <w:t>不同投标人的投标文件由同一单位或者个人编制；</w:t>
      </w:r>
    </w:p>
    <w:p w14:paraId="6A75C138">
      <w:pPr>
        <w:keepLines w:val="0"/>
        <w:pageBreakBefore w:val="0"/>
        <w:kinsoku/>
        <w:wordWrap/>
        <w:overflowPunct/>
        <w:topLinePunct w:val="0"/>
        <w:autoSpaceDE/>
        <w:autoSpaceDN/>
        <w:bidi w:val="0"/>
        <w:snapToGrid w:val="0"/>
        <w:spacing w:line="380" w:lineRule="exact"/>
        <w:ind w:firstLine="470" w:firstLineChars="196"/>
        <w:textAlignment w:val="auto"/>
        <w:rPr>
          <w:rFonts w:hint="eastAsia" w:ascii="宋体"/>
          <w:color w:val="auto"/>
          <w:sz w:val="24"/>
          <w:highlight w:val="none"/>
        </w:rPr>
      </w:pPr>
      <w:r>
        <w:rPr>
          <w:rFonts w:hint="eastAsia" w:ascii="宋体"/>
          <w:color w:val="auto"/>
          <w:sz w:val="24"/>
          <w:highlight w:val="none"/>
          <w:lang w:eastAsia="zh-CN"/>
        </w:rPr>
        <w:t>（</w:t>
      </w:r>
      <w:r>
        <w:rPr>
          <w:rFonts w:hint="eastAsia" w:ascii="宋体"/>
          <w:color w:val="auto"/>
          <w:sz w:val="24"/>
          <w:highlight w:val="none"/>
          <w:lang w:val="en-US" w:eastAsia="zh-CN"/>
        </w:rPr>
        <w:t>2</w:t>
      </w:r>
      <w:r>
        <w:rPr>
          <w:rFonts w:hint="eastAsia" w:ascii="宋体"/>
          <w:color w:val="auto"/>
          <w:sz w:val="24"/>
          <w:highlight w:val="none"/>
          <w:lang w:eastAsia="zh-CN"/>
        </w:rPr>
        <w:t>）</w:t>
      </w:r>
      <w:r>
        <w:rPr>
          <w:rFonts w:hint="eastAsia" w:ascii="宋体"/>
          <w:color w:val="auto"/>
          <w:sz w:val="24"/>
          <w:highlight w:val="none"/>
        </w:rPr>
        <w:t>不同投标人委托同一单位或者个人办理投标事宜；</w:t>
      </w:r>
    </w:p>
    <w:p w14:paraId="4EB2ED62">
      <w:pPr>
        <w:keepLines w:val="0"/>
        <w:pageBreakBefore w:val="0"/>
        <w:kinsoku/>
        <w:wordWrap/>
        <w:overflowPunct/>
        <w:topLinePunct w:val="0"/>
        <w:autoSpaceDE/>
        <w:autoSpaceDN/>
        <w:bidi w:val="0"/>
        <w:snapToGrid w:val="0"/>
        <w:spacing w:line="380" w:lineRule="exact"/>
        <w:ind w:firstLine="470" w:firstLineChars="196"/>
        <w:textAlignment w:val="auto"/>
        <w:rPr>
          <w:rFonts w:hint="eastAsia" w:ascii="宋体"/>
          <w:color w:val="auto"/>
          <w:sz w:val="24"/>
          <w:highlight w:val="none"/>
        </w:rPr>
      </w:pPr>
      <w:r>
        <w:rPr>
          <w:rFonts w:hint="eastAsia" w:ascii="宋体"/>
          <w:color w:val="auto"/>
          <w:sz w:val="24"/>
          <w:highlight w:val="none"/>
          <w:lang w:eastAsia="zh-CN"/>
        </w:rPr>
        <w:t>（</w:t>
      </w:r>
      <w:r>
        <w:rPr>
          <w:rFonts w:hint="eastAsia" w:ascii="宋体"/>
          <w:color w:val="auto"/>
          <w:sz w:val="24"/>
          <w:highlight w:val="none"/>
          <w:lang w:val="en-US" w:eastAsia="zh-CN"/>
        </w:rPr>
        <w:t>3</w:t>
      </w:r>
      <w:r>
        <w:rPr>
          <w:rFonts w:hint="eastAsia" w:ascii="宋体"/>
          <w:color w:val="auto"/>
          <w:sz w:val="24"/>
          <w:highlight w:val="none"/>
          <w:lang w:eastAsia="zh-CN"/>
        </w:rPr>
        <w:t>）</w:t>
      </w:r>
      <w:r>
        <w:rPr>
          <w:rFonts w:hint="eastAsia" w:ascii="宋体"/>
          <w:color w:val="auto"/>
          <w:sz w:val="24"/>
          <w:highlight w:val="none"/>
        </w:rPr>
        <w:t>不同投标人的投标文件载明的项目管理成员或者联系人员为同一人；</w:t>
      </w:r>
    </w:p>
    <w:p w14:paraId="27D4FC5D">
      <w:pPr>
        <w:keepLines w:val="0"/>
        <w:pageBreakBefore w:val="0"/>
        <w:kinsoku/>
        <w:wordWrap/>
        <w:overflowPunct/>
        <w:topLinePunct w:val="0"/>
        <w:autoSpaceDE/>
        <w:autoSpaceDN/>
        <w:bidi w:val="0"/>
        <w:snapToGrid w:val="0"/>
        <w:spacing w:line="380" w:lineRule="exact"/>
        <w:ind w:firstLine="470" w:firstLineChars="196"/>
        <w:textAlignment w:val="auto"/>
        <w:rPr>
          <w:rFonts w:hint="eastAsia" w:ascii="宋体"/>
          <w:color w:val="auto"/>
          <w:sz w:val="24"/>
          <w:highlight w:val="none"/>
        </w:rPr>
      </w:pPr>
      <w:r>
        <w:rPr>
          <w:rFonts w:hint="eastAsia" w:ascii="宋体"/>
          <w:color w:val="auto"/>
          <w:sz w:val="24"/>
          <w:highlight w:val="none"/>
          <w:lang w:eastAsia="zh-CN"/>
        </w:rPr>
        <w:t>（</w:t>
      </w:r>
      <w:r>
        <w:rPr>
          <w:rFonts w:hint="eastAsia" w:ascii="宋体"/>
          <w:color w:val="auto"/>
          <w:sz w:val="24"/>
          <w:highlight w:val="none"/>
          <w:lang w:val="en-US" w:eastAsia="zh-CN"/>
        </w:rPr>
        <w:t>4</w:t>
      </w:r>
      <w:r>
        <w:rPr>
          <w:rFonts w:hint="eastAsia" w:ascii="宋体"/>
          <w:color w:val="auto"/>
          <w:sz w:val="24"/>
          <w:highlight w:val="none"/>
          <w:lang w:eastAsia="zh-CN"/>
        </w:rPr>
        <w:t>）</w:t>
      </w:r>
      <w:r>
        <w:rPr>
          <w:rFonts w:hint="eastAsia" w:ascii="宋体"/>
          <w:color w:val="auto"/>
          <w:sz w:val="24"/>
          <w:highlight w:val="none"/>
        </w:rPr>
        <w:t xml:space="preserve">不同投标人的投标文件异常一致或者投标报价呈规律性差异； </w:t>
      </w:r>
    </w:p>
    <w:p w14:paraId="2018785F">
      <w:pPr>
        <w:keepLines w:val="0"/>
        <w:pageBreakBefore w:val="0"/>
        <w:kinsoku/>
        <w:wordWrap/>
        <w:overflowPunct/>
        <w:topLinePunct w:val="0"/>
        <w:autoSpaceDE/>
        <w:autoSpaceDN/>
        <w:bidi w:val="0"/>
        <w:snapToGrid w:val="0"/>
        <w:spacing w:line="380" w:lineRule="exact"/>
        <w:ind w:firstLine="470" w:firstLineChars="196"/>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lang w:val="en-US" w:eastAsia="zh-CN"/>
        </w:rPr>
        <w:t>5</w:t>
      </w: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rPr>
        <w:t>不同投标人的投标文件相互混装；</w:t>
      </w:r>
    </w:p>
    <w:p w14:paraId="4542C9AA">
      <w:pPr>
        <w:keepLines w:val="0"/>
        <w:pageBreakBefore w:val="0"/>
        <w:kinsoku/>
        <w:wordWrap/>
        <w:overflowPunct/>
        <w:topLinePunct w:val="0"/>
        <w:autoSpaceDE/>
        <w:autoSpaceDN/>
        <w:bidi w:val="0"/>
        <w:snapToGrid w:val="0"/>
        <w:spacing w:line="380" w:lineRule="exact"/>
        <w:ind w:firstLine="470" w:firstLineChars="196"/>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lang w:val="en-US" w:eastAsia="zh-CN"/>
        </w:rPr>
        <w:t>6</w:t>
      </w: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rPr>
        <w:t>其他严重扰乱招投标程序的。</w:t>
      </w:r>
    </w:p>
    <w:p w14:paraId="0B8D8154">
      <w:pPr>
        <w:keepLines w:val="0"/>
        <w:pageBreakBefore w:val="0"/>
        <w:kinsoku/>
        <w:wordWrap/>
        <w:overflowPunct/>
        <w:topLinePunct w:val="0"/>
        <w:autoSpaceDE/>
        <w:autoSpaceDN/>
        <w:bidi w:val="0"/>
        <w:snapToGrid w:val="0"/>
        <w:spacing w:line="380" w:lineRule="exact"/>
        <w:ind w:firstLine="470" w:firstLineChars="196"/>
        <w:textAlignment w:val="auto"/>
        <w:rPr>
          <w:rFonts w:hint="eastAsia" w:ascii="宋体" w:hAnsi="Times New Roman" w:eastAsia="宋体" w:cs="Times New Roman"/>
          <w:color w:val="auto"/>
          <w:sz w:val="24"/>
          <w:highlight w:val="none"/>
          <w:lang w:eastAsia="zh-CN"/>
        </w:rPr>
      </w:pP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lang w:val="en-US" w:eastAsia="zh-CN"/>
        </w:rPr>
        <w:t>7</w:t>
      </w:r>
      <w:r>
        <w:rPr>
          <w:rFonts w:hint="eastAsia" w:ascii="宋体" w:hAnsi="Times New Roman" w:eastAsia="宋体" w:cs="Times New Roman"/>
          <w:color w:val="auto"/>
          <w:sz w:val="24"/>
          <w:highlight w:val="none"/>
          <w:lang w:eastAsia="zh-CN"/>
        </w:rPr>
        <w:t>）参加同一个标段（包）的供应商存在下列情形之一的，其投标（响应）文件无效：（一）不同供应商制作电子投标（响应）文件的计算机网卡MAC地址相同的；（二）不同供应商制作电子投标（响应）文件的计算机硬盘序列号相同的；（三）不同供应商的投标（响应）文件的内容存在两处以上细节错误一致，且无法合理解释的。</w:t>
      </w:r>
    </w:p>
    <w:p w14:paraId="4CD2DBFC">
      <w:pPr>
        <w:snapToGrid w:val="0"/>
        <w:spacing w:line="360" w:lineRule="auto"/>
        <w:ind w:firstLine="472" w:firstLineChars="196"/>
        <w:rPr>
          <w:rFonts w:hint="eastAsia" w:ascii="宋体"/>
          <w:b/>
          <w:bCs/>
          <w:color w:val="auto"/>
          <w:sz w:val="24"/>
          <w:highlight w:val="none"/>
        </w:rPr>
      </w:pPr>
      <w:r>
        <w:rPr>
          <w:rFonts w:hint="eastAsia" w:ascii="宋体"/>
          <w:b/>
          <w:bCs/>
          <w:color w:val="auto"/>
          <w:sz w:val="24"/>
          <w:highlight w:val="none"/>
        </w:rPr>
        <w:t>2.在符合性审查和商务评审时，如发现下列情形之一的，投标文件将被视为无效：</w:t>
      </w:r>
    </w:p>
    <w:p w14:paraId="00C10672">
      <w:pPr>
        <w:snapToGrid w:val="0"/>
        <w:spacing w:line="360" w:lineRule="auto"/>
        <w:ind w:firstLine="470" w:firstLineChars="196"/>
        <w:rPr>
          <w:rFonts w:hint="eastAsia" w:ascii="宋体"/>
          <w:color w:val="auto"/>
          <w:sz w:val="24"/>
          <w:highlight w:val="none"/>
        </w:rPr>
      </w:pPr>
      <w:r>
        <w:rPr>
          <w:rFonts w:hint="eastAsia" w:ascii="宋体"/>
          <w:color w:val="auto"/>
          <w:sz w:val="24"/>
          <w:highlight w:val="none"/>
        </w:rPr>
        <w:t>（1）资格响应文件和商务技术响应文件内有商务报价出现的；</w:t>
      </w:r>
    </w:p>
    <w:p w14:paraId="7EAA5851">
      <w:pPr>
        <w:snapToGrid w:val="0"/>
        <w:spacing w:line="360" w:lineRule="auto"/>
        <w:ind w:firstLine="470" w:firstLineChars="196"/>
        <w:rPr>
          <w:rFonts w:hint="eastAsia" w:ascii="宋体"/>
          <w:color w:val="auto"/>
          <w:sz w:val="24"/>
          <w:highlight w:val="none"/>
        </w:rPr>
      </w:pPr>
      <w:r>
        <w:rPr>
          <w:rFonts w:hint="eastAsia" w:ascii="宋体"/>
          <w:color w:val="auto"/>
          <w:sz w:val="24"/>
          <w:highlight w:val="none"/>
        </w:rPr>
        <w:t>（2）资格证明文件不全的，或者不符合招标文件标明的资格要求的；</w:t>
      </w:r>
    </w:p>
    <w:p w14:paraId="07F1748B">
      <w:pPr>
        <w:snapToGrid w:val="0"/>
        <w:spacing w:line="360" w:lineRule="auto"/>
        <w:ind w:firstLine="470" w:firstLineChars="196"/>
        <w:rPr>
          <w:rFonts w:hint="eastAsia" w:ascii="宋体"/>
          <w:bCs/>
          <w:color w:val="auto"/>
          <w:kern w:val="0"/>
          <w:sz w:val="24"/>
          <w:highlight w:val="none"/>
        </w:rPr>
      </w:pPr>
      <w:r>
        <w:rPr>
          <w:rFonts w:hint="eastAsia" w:ascii="宋体"/>
          <w:color w:val="auto"/>
          <w:sz w:val="24"/>
          <w:highlight w:val="none"/>
        </w:rPr>
        <w:t>（3）投标文件无法定代表人（或营业执照上注明的企业负责人）签字,或未</w:t>
      </w:r>
      <w:r>
        <w:rPr>
          <w:rFonts w:hint="eastAsia" w:ascii="宋体"/>
          <w:bCs/>
          <w:color w:val="auto"/>
          <w:kern w:val="0"/>
          <w:sz w:val="24"/>
          <w:highlight w:val="none"/>
        </w:rPr>
        <w:t>提供法定代表人授权委托书、投标声明书或者填写项目不齐全的；</w:t>
      </w:r>
    </w:p>
    <w:p w14:paraId="09318F33">
      <w:pPr>
        <w:pStyle w:val="8"/>
        <w:snapToGrid w:val="0"/>
        <w:spacing w:line="360" w:lineRule="auto"/>
        <w:ind w:firstLine="454" w:firstLineChars="196"/>
        <w:rPr>
          <w:color w:val="auto"/>
          <w:sz w:val="24"/>
          <w:highlight w:val="none"/>
        </w:rPr>
      </w:pPr>
      <w:r>
        <w:rPr>
          <w:color w:val="auto"/>
          <w:sz w:val="24"/>
          <w:szCs w:val="24"/>
          <w:highlight w:val="none"/>
        </w:rPr>
        <w:t>（</w:t>
      </w:r>
      <w:r>
        <w:rPr>
          <w:rFonts w:hint="eastAsia"/>
          <w:snapToGrid w:val="0"/>
          <w:color w:val="auto"/>
          <w:sz w:val="24"/>
          <w:szCs w:val="24"/>
          <w:highlight w:val="none"/>
        </w:rPr>
        <w:t>4</w:t>
      </w:r>
      <w:r>
        <w:rPr>
          <w:snapToGrid w:val="0"/>
          <w:color w:val="auto"/>
          <w:sz w:val="24"/>
          <w:szCs w:val="24"/>
          <w:highlight w:val="none"/>
        </w:rPr>
        <w:t>）</w:t>
      </w:r>
      <w:r>
        <w:rPr>
          <w:color w:val="auto"/>
          <w:sz w:val="24"/>
          <w:szCs w:val="24"/>
          <w:highlight w:val="none"/>
        </w:rPr>
        <w:t>投标文件格式不规</w:t>
      </w:r>
      <w:r>
        <w:rPr>
          <w:color w:val="auto"/>
          <w:sz w:val="24"/>
          <w:highlight w:val="none"/>
        </w:rPr>
        <w:t>范、项目不齐全或者内容虚假的</w:t>
      </w:r>
      <w:r>
        <w:rPr>
          <w:rFonts w:hint="eastAsia"/>
          <w:color w:val="auto"/>
          <w:sz w:val="24"/>
          <w:highlight w:val="none"/>
        </w:rPr>
        <w:t>；</w:t>
      </w:r>
    </w:p>
    <w:p w14:paraId="1732A152">
      <w:pPr>
        <w:pStyle w:val="8"/>
        <w:snapToGrid w:val="0"/>
        <w:spacing w:line="360" w:lineRule="auto"/>
        <w:ind w:firstLine="454" w:firstLineChars="196"/>
        <w:rPr>
          <w:snapToGrid w:val="0"/>
          <w:color w:val="auto"/>
          <w:sz w:val="24"/>
          <w:szCs w:val="24"/>
          <w:highlight w:val="none"/>
        </w:rPr>
      </w:pPr>
      <w:r>
        <w:rPr>
          <w:color w:val="auto"/>
          <w:sz w:val="24"/>
          <w:highlight w:val="none"/>
        </w:rPr>
        <w:t>（</w:t>
      </w:r>
      <w:r>
        <w:rPr>
          <w:rFonts w:hint="eastAsia"/>
          <w:color w:val="auto"/>
          <w:sz w:val="24"/>
          <w:highlight w:val="none"/>
        </w:rPr>
        <w:t>5</w:t>
      </w:r>
      <w:r>
        <w:rPr>
          <w:color w:val="auto"/>
          <w:sz w:val="24"/>
          <w:highlight w:val="none"/>
        </w:rPr>
        <w:t>）投标文件的实质性内容未使用中文表述、意思表述不明确、前后矛盾或者使用计量单位不符合招标文件要求的（经评标委员会认定</w:t>
      </w:r>
      <w:r>
        <w:rPr>
          <w:rFonts w:hint="eastAsia"/>
          <w:color w:val="auto"/>
          <w:sz w:val="24"/>
          <w:highlight w:val="none"/>
        </w:rPr>
        <w:t>并</w:t>
      </w:r>
      <w:r>
        <w:rPr>
          <w:color w:val="auto"/>
          <w:sz w:val="24"/>
          <w:highlight w:val="none"/>
        </w:rPr>
        <w:t>允许其当场更正的笔误除外）</w:t>
      </w:r>
      <w:r>
        <w:rPr>
          <w:rFonts w:hint="eastAsia"/>
          <w:color w:val="auto"/>
          <w:sz w:val="24"/>
          <w:highlight w:val="none"/>
        </w:rPr>
        <w:t>；</w:t>
      </w:r>
    </w:p>
    <w:p w14:paraId="10EF6DB8">
      <w:pPr>
        <w:pStyle w:val="8"/>
        <w:snapToGrid w:val="0"/>
        <w:spacing w:line="360" w:lineRule="auto"/>
        <w:ind w:firstLine="454" w:firstLineChars="196"/>
        <w:rPr>
          <w:snapToGrid w:val="0"/>
          <w:color w:val="auto"/>
          <w:sz w:val="24"/>
          <w:szCs w:val="24"/>
          <w:highlight w:val="none"/>
        </w:rPr>
      </w:pPr>
      <w:r>
        <w:rPr>
          <w:snapToGrid w:val="0"/>
          <w:color w:val="auto"/>
          <w:sz w:val="24"/>
          <w:szCs w:val="24"/>
          <w:highlight w:val="none"/>
        </w:rPr>
        <w:t>（</w:t>
      </w:r>
      <w:r>
        <w:rPr>
          <w:rFonts w:hint="eastAsia"/>
          <w:snapToGrid w:val="0"/>
          <w:color w:val="auto"/>
          <w:sz w:val="24"/>
          <w:szCs w:val="24"/>
          <w:highlight w:val="none"/>
        </w:rPr>
        <w:t>6</w:t>
      </w:r>
      <w:r>
        <w:rPr>
          <w:snapToGrid w:val="0"/>
          <w:color w:val="auto"/>
          <w:sz w:val="24"/>
          <w:szCs w:val="24"/>
          <w:highlight w:val="none"/>
        </w:rPr>
        <w:t>）投标有效期、交货时间、质保期等商务条款不能满足招标文件要求的</w:t>
      </w:r>
      <w:r>
        <w:rPr>
          <w:rFonts w:hint="eastAsia"/>
          <w:snapToGrid w:val="0"/>
          <w:color w:val="auto"/>
          <w:sz w:val="24"/>
          <w:szCs w:val="24"/>
          <w:highlight w:val="none"/>
        </w:rPr>
        <w:t>；</w:t>
      </w:r>
    </w:p>
    <w:p w14:paraId="03B21B17">
      <w:pPr>
        <w:pStyle w:val="8"/>
        <w:snapToGrid w:val="0"/>
        <w:spacing w:line="360" w:lineRule="auto"/>
        <w:ind w:firstLine="454" w:firstLineChars="196"/>
        <w:rPr>
          <w:snapToGrid w:val="0"/>
          <w:color w:val="auto"/>
          <w:sz w:val="24"/>
          <w:szCs w:val="24"/>
          <w:highlight w:val="none"/>
        </w:rPr>
      </w:pPr>
      <w:r>
        <w:rPr>
          <w:snapToGrid w:val="0"/>
          <w:color w:val="auto"/>
          <w:sz w:val="24"/>
          <w:szCs w:val="24"/>
          <w:highlight w:val="none"/>
        </w:rPr>
        <w:t>（</w:t>
      </w:r>
      <w:r>
        <w:rPr>
          <w:rFonts w:hint="eastAsia"/>
          <w:snapToGrid w:val="0"/>
          <w:color w:val="auto"/>
          <w:sz w:val="24"/>
          <w:szCs w:val="24"/>
          <w:highlight w:val="none"/>
        </w:rPr>
        <w:t>7</w:t>
      </w:r>
      <w:r>
        <w:rPr>
          <w:snapToGrid w:val="0"/>
          <w:color w:val="auto"/>
          <w:sz w:val="24"/>
          <w:szCs w:val="24"/>
          <w:highlight w:val="none"/>
        </w:rPr>
        <w:t>）</w:t>
      </w:r>
      <w:r>
        <w:rPr>
          <w:rFonts w:hint="eastAsia"/>
          <w:snapToGrid w:val="0"/>
          <w:color w:val="auto"/>
          <w:sz w:val="24"/>
          <w:szCs w:val="24"/>
          <w:highlight w:val="none"/>
        </w:rPr>
        <w:t>未实质性</w:t>
      </w:r>
      <w:r>
        <w:rPr>
          <w:snapToGrid w:val="0"/>
          <w:color w:val="auto"/>
          <w:sz w:val="24"/>
          <w:szCs w:val="24"/>
          <w:highlight w:val="none"/>
        </w:rPr>
        <w:t>响应招标文件</w:t>
      </w:r>
      <w:r>
        <w:rPr>
          <w:rFonts w:hint="eastAsia"/>
          <w:snapToGrid w:val="0"/>
          <w:color w:val="auto"/>
          <w:sz w:val="24"/>
          <w:szCs w:val="24"/>
          <w:highlight w:val="none"/>
        </w:rPr>
        <w:t>中</w:t>
      </w:r>
      <w:r>
        <w:rPr>
          <w:snapToGrid w:val="0"/>
          <w:color w:val="auto"/>
          <w:sz w:val="24"/>
          <w:szCs w:val="24"/>
          <w:highlight w:val="none"/>
        </w:rPr>
        <w:t>标</w:t>
      </w:r>
      <w:r>
        <w:rPr>
          <w:rFonts w:hint="eastAsia"/>
          <w:snapToGrid w:val="0"/>
          <w:color w:val="auto"/>
          <w:sz w:val="24"/>
          <w:szCs w:val="24"/>
          <w:highlight w:val="none"/>
        </w:rPr>
        <w:t>有</w:t>
      </w:r>
      <w:r>
        <w:rPr>
          <w:snapToGrid w:val="0"/>
          <w:color w:val="auto"/>
          <w:sz w:val="24"/>
          <w:szCs w:val="24"/>
          <w:highlight w:val="none"/>
        </w:rPr>
        <w:t>“▲”</w:t>
      </w:r>
      <w:r>
        <w:rPr>
          <w:rFonts w:hint="eastAsia"/>
          <w:snapToGrid w:val="0"/>
          <w:color w:val="auto"/>
          <w:sz w:val="24"/>
          <w:szCs w:val="24"/>
          <w:highlight w:val="none"/>
        </w:rPr>
        <w:t>条款</w:t>
      </w:r>
      <w:r>
        <w:rPr>
          <w:snapToGrid w:val="0"/>
          <w:color w:val="auto"/>
          <w:sz w:val="24"/>
          <w:szCs w:val="24"/>
          <w:highlight w:val="none"/>
        </w:rPr>
        <w:t>要求</w:t>
      </w:r>
      <w:r>
        <w:rPr>
          <w:rFonts w:hint="eastAsia"/>
          <w:snapToGrid w:val="0"/>
          <w:color w:val="auto"/>
          <w:sz w:val="24"/>
          <w:szCs w:val="24"/>
          <w:highlight w:val="none"/>
        </w:rPr>
        <w:t>的；</w:t>
      </w:r>
    </w:p>
    <w:p w14:paraId="4D6E57E5">
      <w:pPr>
        <w:pStyle w:val="8"/>
        <w:snapToGrid w:val="0"/>
        <w:spacing w:line="360" w:lineRule="auto"/>
        <w:ind w:firstLine="454" w:firstLineChars="196"/>
        <w:rPr>
          <w:snapToGrid w:val="0"/>
          <w:color w:val="auto"/>
          <w:sz w:val="24"/>
          <w:szCs w:val="24"/>
          <w:highlight w:val="none"/>
        </w:rPr>
      </w:pPr>
      <w:r>
        <w:rPr>
          <w:rFonts w:hint="eastAsia"/>
          <w:snapToGrid w:val="0"/>
          <w:color w:val="auto"/>
          <w:sz w:val="24"/>
          <w:szCs w:val="24"/>
          <w:highlight w:val="none"/>
        </w:rPr>
        <w:t>（8）未提交本招标文件</w:t>
      </w:r>
      <w:r>
        <w:rPr>
          <w:rFonts w:hint="eastAsia"/>
          <w:color w:val="auto"/>
          <w:sz w:val="24"/>
          <w:highlight w:val="none"/>
        </w:rPr>
        <w:t>资格响应文件</w:t>
      </w:r>
      <w:r>
        <w:rPr>
          <w:rFonts w:hint="eastAsia"/>
          <w:snapToGrid w:val="0"/>
          <w:color w:val="auto"/>
          <w:sz w:val="24"/>
          <w:szCs w:val="24"/>
          <w:highlight w:val="none"/>
        </w:rPr>
        <w:t>中第</w:t>
      </w:r>
      <w:r>
        <w:rPr>
          <w:rFonts w:hint="eastAsia"/>
          <w:snapToGrid w:val="0"/>
          <w:color w:val="auto"/>
          <w:sz w:val="24"/>
          <w:szCs w:val="24"/>
          <w:highlight w:val="none"/>
          <w:lang w:eastAsia="zh-CN"/>
        </w:rPr>
        <w:t>（</w:t>
      </w:r>
      <w:r>
        <w:rPr>
          <w:rFonts w:hint="eastAsia"/>
          <w:snapToGrid w:val="0"/>
          <w:color w:val="auto"/>
          <w:sz w:val="24"/>
          <w:szCs w:val="24"/>
          <w:highlight w:val="none"/>
          <w:lang w:val="en-US" w:eastAsia="zh-CN"/>
        </w:rPr>
        <w:t>2</w:t>
      </w:r>
      <w:r>
        <w:rPr>
          <w:rFonts w:hint="eastAsia"/>
          <w:snapToGrid w:val="0"/>
          <w:color w:val="auto"/>
          <w:sz w:val="24"/>
          <w:szCs w:val="24"/>
          <w:highlight w:val="none"/>
          <w:lang w:eastAsia="zh-CN"/>
        </w:rPr>
        <w:t>）、</w:t>
      </w:r>
      <w:r>
        <w:rPr>
          <w:rFonts w:hint="eastAsia"/>
          <w:snapToGrid w:val="0"/>
          <w:color w:val="auto"/>
          <w:sz w:val="24"/>
          <w:szCs w:val="24"/>
          <w:highlight w:val="none"/>
        </w:rPr>
        <w:t>（</w:t>
      </w:r>
      <w:r>
        <w:rPr>
          <w:rFonts w:hint="eastAsia"/>
          <w:snapToGrid w:val="0"/>
          <w:color w:val="auto"/>
          <w:sz w:val="24"/>
          <w:szCs w:val="24"/>
          <w:highlight w:val="none"/>
          <w:lang w:val="en-US" w:eastAsia="zh-CN"/>
        </w:rPr>
        <w:t>3</w:t>
      </w:r>
      <w:r>
        <w:rPr>
          <w:rFonts w:hint="eastAsia"/>
          <w:snapToGrid w:val="0"/>
          <w:color w:val="auto"/>
          <w:sz w:val="24"/>
          <w:szCs w:val="24"/>
          <w:highlight w:val="none"/>
        </w:rPr>
        <w:t>）</w:t>
      </w:r>
      <w:r>
        <w:rPr>
          <w:rFonts w:hint="eastAsia"/>
          <w:snapToGrid w:val="0"/>
          <w:color w:val="auto"/>
          <w:sz w:val="24"/>
          <w:szCs w:val="24"/>
          <w:highlight w:val="none"/>
          <w:lang w:eastAsia="zh-CN"/>
        </w:rPr>
        <w:t>、（</w:t>
      </w:r>
      <w:r>
        <w:rPr>
          <w:rFonts w:hint="eastAsia"/>
          <w:snapToGrid w:val="0"/>
          <w:color w:val="auto"/>
          <w:sz w:val="24"/>
          <w:szCs w:val="24"/>
          <w:highlight w:val="none"/>
          <w:lang w:val="en-US" w:eastAsia="zh-CN"/>
        </w:rPr>
        <w:t>7</w:t>
      </w:r>
      <w:r>
        <w:rPr>
          <w:rFonts w:hint="eastAsia"/>
          <w:snapToGrid w:val="0"/>
          <w:color w:val="auto"/>
          <w:sz w:val="24"/>
          <w:szCs w:val="24"/>
          <w:highlight w:val="none"/>
          <w:lang w:eastAsia="zh-CN"/>
        </w:rPr>
        <w:t>）</w:t>
      </w:r>
      <w:r>
        <w:rPr>
          <w:rFonts w:hint="eastAsia"/>
          <w:snapToGrid w:val="0"/>
          <w:color w:val="auto"/>
          <w:sz w:val="24"/>
          <w:szCs w:val="24"/>
          <w:highlight w:val="none"/>
        </w:rPr>
        <w:t>条资料的；</w:t>
      </w:r>
    </w:p>
    <w:p w14:paraId="6D18210B">
      <w:pPr>
        <w:widowControl/>
        <w:snapToGrid w:val="0"/>
        <w:spacing w:line="360" w:lineRule="auto"/>
        <w:ind w:firstLine="480" w:firstLineChars="200"/>
        <w:jc w:val="left"/>
        <w:rPr>
          <w:rFonts w:hint="eastAsia" w:ascii="宋体"/>
          <w:color w:val="auto"/>
          <w:sz w:val="24"/>
          <w:highlight w:val="none"/>
        </w:rPr>
      </w:pPr>
      <w:r>
        <w:rPr>
          <w:rFonts w:hint="eastAsia"/>
          <w:color w:val="auto"/>
          <w:sz w:val="24"/>
          <w:highlight w:val="none"/>
        </w:rPr>
        <w:t>（</w:t>
      </w:r>
      <w:r>
        <w:rPr>
          <w:rFonts w:hint="eastAsia" w:ascii="宋体"/>
          <w:color w:val="auto"/>
          <w:sz w:val="24"/>
          <w:highlight w:val="none"/>
        </w:rPr>
        <w:t>9）</w:t>
      </w:r>
      <w:r>
        <w:rPr>
          <w:rFonts w:hint="eastAsia" w:ascii="宋体"/>
          <w:b/>
          <w:bCs/>
          <w:color w:val="auto"/>
          <w:sz w:val="24"/>
          <w:highlight w:val="none"/>
        </w:rPr>
        <w:t>电子投标文件解密失败的，且未在规定时间内提交电子备份投标文件的；</w:t>
      </w:r>
    </w:p>
    <w:p w14:paraId="5B502931">
      <w:pPr>
        <w:widowControl/>
        <w:snapToGrid w:val="0"/>
        <w:spacing w:line="360" w:lineRule="auto"/>
        <w:ind w:firstLine="480" w:firstLineChars="200"/>
        <w:jc w:val="left"/>
        <w:rPr>
          <w:rFonts w:hint="eastAsia" w:ascii="宋体"/>
          <w:b/>
          <w:bCs/>
          <w:color w:val="auto"/>
          <w:sz w:val="24"/>
          <w:highlight w:val="none"/>
        </w:rPr>
      </w:pPr>
      <w:r>
        <w:rPr>
          <w:rFonts w:hint="eastAsia" w:ascii="宋体"/>
          <w:color w:val="auto"/>
          <w:sz w:val="24"/>
          <w:highlight w:val="none"/>
        </w:rPr>
        <w:t>（10）</w:t>
      </w:r>
      <w:r>
        <w:rPr>
          <w:rFonts w:hint="eastAsia" w:ascii="宋体"/>
          <w:b/>
          <w:bCs/>
          <w:color w:val="auto"/>
          <w:sz w:val="24"/>
          <w:highlight w:val="none"/>
        </w:rPr>
        <w:t>电子投标文件未按规定要求进行签字、电子签章的。</w:t>
      </w:r>
    </w:p>
    <w:p w14:paraId="08256DB9">
      <w:pPr>
        <w:keepNext w:val="0"/>
        <w:keepLines w:val="0"/>
        <w:pageBreakBefore w:val="0"/>
        <w:widowControl w:val="0"/>
        <w:kinsoku/>
        <w:wordWrap w:val="0"/>
        <w:overflowPunct/>
        <w:topLinePunct w:val="0"/>
        <w:autoSpaceDE/>
        <w:autoSpaceDN/>
        <w:bidi w:val="0"/>
        <w:adjustRightInd/>
        <w:snapToGrid w:val="0"/>
        <w:spacing w:line="360" w:lineRule="auto"/>
        <w:ind w:firstLine="464" w:firstLineChars="200"/>
        <w:textAlignment w:val="auto"/>
        <w:rPr>
          <w:rFonts w:hint="eastAsia" w:ascii="宋体"/>
          <w:color w:val="auto"/>
          <w:spacing w:val="-4"/>
          <w:sz w:val="24"/>
          <w:szCs w:val="20"/>
          <w:highlight w:val="none"/>
        </w:rPr>
      </w:pPr>
      <w:r>
        <w:rPr>
          <w:rFonts w:hint="eastAsia" w:ascii="宋体"/>
          <w:color w:val="auto"/>
          <w:spacing w:val="-4"/>
          <w:sz w:val="24"/>
          <w:szCs w:val="20"/>
          <w:highlight w:val="none"/>
        </w:rPr>
        <w:t>（11）本项目投标截止之日前三年内，相关主体在“信用中国”网站(</w:t>
      </w:r>
      <w:r>
        <w:rPr>
          <w:rFonts w:hint="eastAsia" w:ascii="宋体"/>
          <w:color w:val="auto"/>
          <w:spacing w:val="-4"/>
          <w:sz w:val="24"/>
          <w:szCs w:val="20"/>
          <w:highlight w:val="none"/>
        </w:rPr>
        <w:fldChar w:fldCharType="begin"/>
      </w:r>
      <w:r>
        <w:rPr>
          <w:rFonts w:hint="eastAsia" w:ascii="宋体"/>
          <w:color w:val="auto"/>
          <w:spacing w:val="-4"/>
          <w:sz w:val="24"/>
          <w:szCs w:val="20"/>
          <w:highlight w:val="none"/>
        </w:rPr>
        <w:instrText xml:space="preserve">HYPERLINK "http://www.creditchina.gov.cn"</w:instrText>
      </w:r>
      <w:r>
        <w:rPr>
          <w:rFonts w:hint="eastAsia" w:ascii="宋体"/>
          <w:color w:val="auto"/>
          <w:spacing w:val="-4"/>
          <w:sz w:val="24"/>
          <w:szCs w:val="20"/>
          <w:highlight w:val="none"/>
        </w:rPr>
        <w:fldChar w:fldCharType="separate"/>
      </w:r>
      <w:r>
        <w:rPr>
          <w:rFonts w:hint="eastAsia" w:ascii="宋体"/>
          <w:color w:val="auto"/>
          <w:spacing w:val="-4"/>
          <w:sz w:val="24"/>
          <w:szCs w:val="20"/>
          <w:highlight w:val="none"/>
        </w:rPr>
        <w:t>www.creditchina.gov.cn</w:t>
      </w:r>
      <w:r>
        <w:rPr>
          <w:rFonts w:hint="eastAsia" w:ascii="宋体"/>
          <w:color w:val="auto"/>
          <w:spacing w:val="-4"/>
          <w:sz w:val="24"/>
          <w:szCs w:val="20"/>
          <w:highlight w:val="none"/>
        </w:rPr>
        <w:fldChar w:fldCharType="end"/>
      </w:r>
      <w:r>
        <w:rPr>
          <w:rFonts w:hint="eastAsia" w:ascii="宋体"/>
          <w:color w:val="auto"/>
          <w:spacing w:val="-4"/>
          <w:sz w:val="24"/>
          <w:szCs w:val="20"/>
          <w:highlight w:val="none"/>
        </w:rPr>
        <w:t>)、中国政府采购网(</w:t>
      </w:r>
      <w:r>
        <w:rPr>
          <w:rFonts w:hint="eastAsia" w:ascii="宋体"/>
          <w:color w:val="auto"/>
          <w:spacing w:val="-4"/>
          <w:sz w:val="24"/>
          <w:szCs w:val="20"/>
          <w:highlight w:val="none"/>
        </w:rPr>
        <w:fldChar w:fldCharType="begin"/>
      </w:r>
      <w:r>
        <w:rPr>
          <w:rFonts w:hint="eastAsia" w:ascii="宋体"/>
          <w:color w:val="auto"/>
          <w:spacing w:val="-4"/>
          <w:sz w:val="24"/>
          <w:szCs w:val="20"/>
          <w:highlight w:val="none"/>
        </w:rPr>
        <w:instrText xml:space="preserve">HYPERLINK "http://www.ccgp.gov.cn"</w:instrText>
      </w:r>
      <w:r>
        <w:rPr>
          <w:rFonts w:hint="eastAsia" w:ascii="宋体"/>
          <w:color w:val="auto"/>
          <w:spacing w:val="-4"/>
          <w:sz w:val="24"/>
          <w:szCs w:val="20"/>
          <w:highlight w:val="none"/>
        </w:rPr>
        <w:fldChar w:fldCharType="separate"/>
      </w:r>
      <w:r>
        <w:rPr>
          <w:rFonts w:hint="eastAsia" w:ascii="宋体"/>
          <w:color w:val="auto"/>
          <w:spacing w:val="-4"/>
          <w:sz w:val="24"/>
          <w:szCs w:val="20"/>
          <w:highlight w:val="none"/>
        </w:rPr>
        <w:t>www.ccgp.gov.cn</w:t>
      </w:r>
      <w:r>
        <w:rPr>
          <w:rFonts w:hint="eastAsia" w:ascii="宋体"/>
          <w:color w:val="auto"/>
          <w:spacing w:val="-4"/>
          <w:sz w:val="24"/>
          <w:szCs w:val="20"/>
          <w:highlight w:val="none"/>
        </w:rPr>
        <w:fldChar w:fldCharType="end"/>
      </w:r>
      <w:r>
        <w:rPr>
          <w:rFonts w:hint="eastAsia" w:ascii="宋体"/>
          <w:color w:val="auto"/>
          <w:spacing w:val="-4"/>
          <w:sz w:val="24"/>
          <w:szCs w:val="20"/>
          <w:highlight w:val="none"/>
        </w:rPr>
        <w:t>)有失信行为或被列入受惩黑名单。</w:t>
      </w:r>
    </w:p>
    <w:p w14:paraId="0DDC138A">
      <w:pPr>
        <w:snapToGrid w:val="0"/>
        <w:spacing w:line="360" w:lineRule="auto"/>
        <w:ind w:firstLine="464" w:firstLineChars="200"/>
        <w:rPr>
          <w:rFonts w:hint="eastAsia" w:ascii="宋体"/>
          <w:color w:val="auto"/>
          <w:spacing w:val="-4"/>
          <w:sz w:val="24"/>
          <w:szCs w:val="20"/>
          <w:highlight w:val="none"/>
        </w:rPr>
      </w:pPr>
      <w:r>
        <w:rPr>
          <w:rFonts w:hint="eastAsia" w:ascii="宋体"/>
          <w:color w:val="auto"/>
          <w:spacing w:val="-4"/>
          <w:sz w:val="24"/>
          <w:szCs w:val="20"/>
          <w:highlight w:val="none"/>
        </w:rPr>
        <w:t>（12）如为专门面向中小微项目，未提供中小企业声明函的；</w:t>
      </w:r>
    </w:p>
    <w:p w14:paraId="5570FD61">
      <w:pPr>
        <w:pStyle w:val="8"/>
        <w:snapToGrid w:val="0"/>
        <w:spacing w:line="360" w:lineRule="auto"/>
        <w:ind w:firstLine="454" w:firstLineChars="196"/>
        <w:rPr>
          <w:color w:val="auto"/>
          <w:sz w:val="24"/>
          <w:szCs w:val="24"/>
          <w:highlight w:val="none"/>
        </w:rPr>
      </w:pPr>
      <w:r>
        <w:rPr>
          <w:rFonts w:hint="eastAsia"/>
          <w:color w:val="auto"/>
          <w:sz w:val="24"/>
          <w:szCs w:val="24"/>
          <w:highlight w:val="none"/>
        </w:rPr>
        <w:t>（13）</w:t>
      </w:r>
      <w:r>
        <w:rPr>
          <w:color w:val="auto"/>
          <w:sz w:val="24"/>
          <w:szCs w:val="24"/>
          <w:highlight w:val="none"/>
        </w:rPr>
        <w:t>投标文件有招标方不能接受的附加条件的</w:t>
      </w:r>
      <w:r>
        <w:rPr>
          <w:rFonts w:hint="eastAsia"/>
          <w:color w:val="auto"/>
          <w:sz w:val="24"/>
          <w:szCs w:val="24"/>
          <w:highlight w:val="none"/>
        </w:rPr>
        <w:t>。</w:t>
      </w:r>
    </w:p>
    <w:p w14:paraId="4A33FEFA">
      <w:pPr>
        <w:pStyle w:val="8"/>
        <w:snapToGrid w:val="0"/>
        <w:spacing w:line="360" w:lineRule="auto"/>
        <w:ind w:firstLine="457" w:firstLineChars="196"/>
        <w:rPr>
          <w:b/>
          <w:bCs/>
          <w:color w:val="auto"/>
          <w:sz w:val="24"/>
          <w:szCs w:val="24"/>
          <w:highlight w:val="none"/>
        </w:rPr>
      </w:pPr>
      <w:r>
        <w:rPr>
          <w:rFonts w:hint="eastAsia"/>
          <w:b/>
          <w:bCs/>
          <w:color w:val="auto"/>
          <w:sz w:val="24"/>
          <w:szCs w:val="24"/>
          <w:highlight w:val="none"/>
        </w:rPr>
        <w:t>3.</w:t>
      </w:r>
      <w:r>
        <w:rPr>
          <w:b/>
          <w:bCs/>
          <w:color w:val="auto"/>
          <w:sz w:val="24"/>
          <w:szCs w:val="24"/>
          <w:highlight w:val="none"/>
        </w:rPr>
        <w:t>在技术评审时，如发现下列情形之一的，投标文件将被视为无效：</w:t>
      </w:r>
    </w:p>
    <w:p w14:paraId="3B918C4A">
      <w:pPr>
        <w:snapToGrid w:val="0"/>
        <w:spacing w:line="360" w:lineRule="auto"/>
        <w:ind w:firstLine="464" w:firstLineChars="200"/>
        <w:rPr>
          <w:rFonts w:hint="eastAsia" w:ascii="宋体"/>
          <w:color w:val="auto"/>
          <w:spacing w:val="-4"/>
          <w:sz w:val="24"/>
          <w:szCs w:val="20"/>
          <w:highlight w:val="none"/>
        </w:rPr>
      </w:pPr>
      <w:r>
        <w:rPr>
          <w:rFonts w:hint="eastAsia" w:ascii="宋体"/>
          <w:color w:val="auto"/>
          <w:spacing w:val="-4"/>
          <w:sz w:val="24"/>
          <w:szCs w:val="20"/>
          <w:highlight w:val="none"/>
        </w:rPr>
        <w:t>（1）商务技术响应文件内有商务报价出现的；</w:t>
      </w:r>
    </w:p>
    <w:p w14:paraId="45C872C9">
      <w:pPr>
        <w:snapToGrid w:val="0"/>
        <w:spacing w:line="360" w:lineRule="auto"/>
        <w:ind w:firstLine="464" w:firstLineChars="200"/>
        <w:rPr>
          <w:rFonts w:hint="eastAsia" w:ascii="宋体"/>
          <w:color w:val="auto"/>
          <w:spacing w:val="-4"/>
          <w:sz w:val="24"/>
          <w:szCs w:val="20"/>
          <w:highlight w:val="none"/>
        </w:rPr>
      </w:pPr>
      <w:r>
        <w:rPr>
          <w:rFonts w:hint="eastAsia" w:ascii="宋体"/>
          <w:color w:val="auto"/>
          <w:spacing w:val="-4"/>
          <w:sz w:val="24"/>
          <w:szCs w:val="20"/>
          <w:highlight w:val="none"/>
        </w:rPr>
        <w:t>（2）未提供或未如实提供投标服务或货物的技术参数，或者投标文件标明的响应或偏离与事实不符或虚假投标的；</w:t>
      </w:r>
    </w:p>
    <w:p w14:paraId="6118B89E">
      <w:pPr>
        <w:snapToGrid w:val="0"/>
        <w:spacing w:line="360" w:lineRule="auto"/>
        <w:ind w:firstLine="464" w:firstLineChars="200"/>
        <w:rPr>
          <w:rFonts w:hint="eastAsia" w:ascii="宋体"/>
          <w:color w:val="auto"/>
          <w:spacing w:val="-4"/>
          <w:sz w:val="24"/>
          <w:szCs w:val="20"/>
          <w:highlight w:val="none"/>
        </w:rPr>
      </w:pPr>
      <w:r>
        <w:rPr>
          <w:rFonts w:hint="eastAsia" w:ascii="宋体"/>
          <w:color w:val="auto"/>
          <w:spacing w:val="-4"/>
          <w:sz w:val="24"/>
          <w:szCs w:val="20"/>
          <w:highlight w:val="none"/>
        </w:rPr>
        <w:t>（3）明显不符合招标文件要求的规格型号、质量标准，或者与招标文件中标有“▲”的技术指标、主要功能项目发生实质性偏离的；</w:t>
      </w:r>
    </w:p>
    <w:p w14:paraId="33A98BDF">
      <w:pPr>
        <w:snapToGrid w:val="0"/>
        <w:spacing w:line="360" w:lineRule="auto"/>
        <w:ind w:firstLine="464" w:firstLineChars="200"/>
        <w:rPr>
          <w:rFonts w:hint="eastAsia" w:ascii="宋体"/>
          <w:color w:val="auto"/>
          <w:spacing w:val="-4"/>
          <w:sz w:val="24"/>
          <w:szCs w:val="20"/>
          <w:highlight w:val="none"/>
        </w:rPr>
      </w:pPr>
      <w:r>
        <w:rPr>
          <w:rFonts w:hint="eastAsia" w:ascii="宋体"/>
          <w:color w:val="auto"/>
          <w:spacing w:val="-4"/>
          <w:sz w:val="24"/>
          <w:szCs w:val="20"/>
          <w:highlight w:val="none"/>
        </w:rPr>
        <w:t>（4）投标技术方案不明确，存在一个或一个以上备选（替代）投标方案的；</w:t>
      </w:r>
    </w:p>
    <w:p w14:paraId="563436CF">
      <w:pPr>
        <w:snapToGrid w:val="0"/>
        <w:spacing w:line="360" w:lineRule="auto"/>
        <w:ind w:firstLine="464" w:firstLineChars="200"/>
        <w:rPr>
          <w:rFonts w:hint="eastAsia" w:ascii="宋体"/>
          <w:color w:val="auto"/>
          <w:spacing w:val="-4"/>
          <w:sz w:val="24"/>
          <w:szCs w:val="20"/>
          <w:highlight w:val="none"/>
        </w:rPr>
      </w:pPr>
      <w:r>
        <w:rPr>
          <w:rFonts w:hint="eastAsia" w:ascii="宋体"/>
          <w:color w:val="auto"/>
          <w:spacing w:val="-4"/>
          <w:sz w:val="24"/>
          <w:szCs w:val="20"/>
          <w:highlight w:val="none"/>
        </w:rPr>
        <w:t>（5）与其他参加本次投标供应商的投标文件（技术文件）的文字表述内容相同连续20行以上或者差错相同2处以上的。</w:t>
      </w:r>
    </w:p>
    <w:p w14:paraId="084C8B07">
      <w:pPr>
        <w:snapToGrid w:val="0"/>
        <w:spacing w:line="360" w:lineRule="auto"/>
        <w:ind w:firstLine="466" w:firstLineChars="200"/>
        <w:rPr>
          <w:rFonts w:hint="eastAsia" w:ascii="宋体"/>
          <w:b/>
          <w:bCs/>
          <w:color w:val="auto"/>
          <w:spacing w:val="-4"/>
          <w:sz w:val="24"/>
          <w:szCs w:val="20"/>
          <w:highlight w:val="none"/>
        </w:rPr>
      </w:pPr>
      <w:r>
        <w:rPr>
          <w:rFonts w:hint="eastAsia" w:ascii="宋体"/>
          <w:b/>
          <w:bCs/>
          <w:color w:val="auto"/>
          <w:spacing w:val="-4"/>
          <w:sz w:val="24"/>
          <w:szCs w:val="20"/>
          <w:highlight w:val="none"/>
        </w:rPr>
        <w:t>（6）电子投标文件解密失败的，且未在规定时间内提交电子备份投标文件的；</w:t>
      </w:r>
    </w:p>
    <w:p w14:paraId="0B405C79">
      <w:pPr>
        <w:snapToGrid w:val="0"/>
        <w:spacing w:line="360" w:lineRule="auto"/>
        <w:ind w:firstLine="466" w:firstLineChars="200"/>
        <w:rPr>
          <w:rFonts w:hint="eastAsia" w:ascii="宋体"/>
          <w:color w:val="auto"/>
          <w:spacing w:val="-4"/>
          <w:sz w:val="24"/>
          <w:szCs w:val="20"/>
          <w:highlight w:val="none"/>
        </w:rPr>
      </w:pPr>
      <w:r>
        <w:rPr>
          <w:rFonts w:hint="eastAsia" w:ascii="宋体"/>
          <w:b/>
          <w:bCs/>
          <w:color w:val="auto"/>
          <w:spacing w:val="-4"/>
          <w:sz w:val="24"/>
          <w:szCs w:val="20"/>
          <w:highlight w:val="none"/>
        </w:rPr>
        <w:t>（7）电子投标文件未按规定要求进行签字、电子签章的。</w:t>
      </w:r>
    </w:p>
    <w:p w14:paraId="33452042">
      <w:pPr>
        <w:pStyle w:val="8"/>
        <w:snapToGrid w:val="0"/>
        <w:spacing w:line="360" w:lineRule="auto"/>
        <w:ind w:firstLine="457" w:firstLineChars="196"/>
        <w:rPr>
          <w:rFonts w:hint="eastAsia"/>
          <w:b/>
          <w:bCs/>
          <w:color w:val="auto"/>
          <w:sz w:val="24"/>
          <w:szCs w:val="24"/>
          <w:highlight w:val="none"/>
        </w:rPr>
      </w:pPr>
      <w:r>
        <w:rPr>
          <w:rFonts w:hint="eastAsia"/>
          <w:b/>
          <w:bCs/>
          <w:color w:val="auto"/>
          <w:sz w:val="24"/>
          <w:szCs w:val="24"/>
          <w:highlight w:val="none"/>
        </w:rPr>
        <w:t>4.在报价评审时，如发现下列情形之一的，投标文件将被视为无效：</w:t>
      </w:r>
    </w:p>
    <w:p w14:paraId="73851DA3">
      <w:pPr>
        <w:pStyle w:val="8"/>
        <w:snapToGrid w:val="0"/>
        <w:spacing w:line="360" w:lineRule="auto"/>
        <w:ind w:firstLine="464" w:firstLineChars="200"/>
        <w:rPr>
          <w:color w:val="auto"/>
          <w:sz w:val="24"/>
          <w:szCs w:val="24"/>
          <w:highlight w:val="none"/>
        </w:rPr>
      </w:pPr>
      <w:r>
        <w:rPr>
          <w:rFonts w:hint="eastAsia"/>
          <w:color w:val="auto"/>
          <w:sz w:val="24"/>
          <w:szCs w:val="24"/>
          <w:highlight w:val="none"/>
        </w:rPr>
        <w:t>（1）未采用人民币报价或者未按照招标文件标明的币种报价的；</w:t>
      </w:r>
    </w:p>
    <w:p w14:paraId="592CE1F9">
      <w:pPr>
        <w:pStyle w:val="8"/>
        <w:snapToGrid w:val="0"/>
        <w:spacing w:line="360" w:lineRule="auto"/>
        <w:ind w:firstLine="464" w:firstLineChars="200"/>
        <w:rPr>
          <w:color w:val="auto"/>
          <w:sz w:val="24"/>
          <w:szCs w:val="24"/>
          <w:highlight w:val="none"/>
        </w:rPr>
      </w:pPr>
      <w:r>
        <w:rPr>
          <w:rFonts w:hint="eastAsia"/>
          <w:color w:val="auto"/>
          <w:sz w:val="24"/>
          <w:szCs w:val="24"/>
          <w:highlight w:val="none"/>
        </w:rPr>
        <w:t>（2）报价超出招标文件规定的预算金额或者最高限价的；</w:t>
      </w:r>
    </w:p>
    <w:p w14:paraId="380D6429">
      <w:pPr>
        <w:pStyle w:val="8"/>
        <w:snapToGrid w:val="0"/>
        <w:spacing w:line="360" w:lineRule="auto"/>
        <w:ind w:firstLine="464" w:firstLineChars="200"/>
        <w:rPr>
          <w:color w:val="auto"/>
          <w:sz w:val="24"/>
          <w:szCs w:val="24"/>
          <w:highlight w:val="none"/>
        </w:rPr>
      </w:pPr>
      <w:r>
        <w:rPr>
          <w:rFonts w:hint="eastAsia"/>
          <w:color w:val="auto"/>
          <w:sz w:val="24"/>
          <w:szCs w:val="24"/>
          <w:highlight w:val="none"/>
        </w:rPr>
        <w:t>（3）投标报价具有选择性。</w:t>
      </w:r>
    </w:p>
    <w:p w14:paraId="7A847F7F">
      <w:pPr>
        <w:pStyle w:val="8"/>
        <w:snapToGrid w:val="0"/>
        <w:spacing w:line="360" w:lineRule="auto"/>
        <w:ind w:firstLine="464" w:firstLineChars="200"/>
        <w:rPr>
          <w:color w:val="auto"/>
          <w:sz w:val="24"/>
          <w:szCs w:val="24"/>
          <w:highlight w:val="none"/>
        </w:rPr>
      </w:pPr>
      <w:r>
        <w:rPr>
          <w:rFonts w:hint="eastAsia"/>
          <w:color w:val="auto"/>
          <w:sz w:val="24"/>
          <w:szCs w:val="24"/>
          <w:highlight w:val="none"/>
        </w:rPr>
        <w:t>（4）投标报价文件格式不符合招标文件要求格式的；</w:t>
      </w:r>
    </w:p>
    <w:p w14:paraId="1B4711ED">
      <w:pPr>
        <w:pStyle w:val="8"/>
        <w:snapToGrid w:val="0"/>
        <w:spacing w:line="312" w:lineRule="auto"/>
        <w:ind w:firstLine="457" w:firstLineChars="196"/>
        <w:rPr>
          <w:rFonts w:hint="eastAsia" w:ascii="宋体" w:eastAsia="宋体" w:cs="Times New Roman"/>
          <w:b/>
          <w:bCs/>
          <w:color w:val="auto"/>
          <w:spacing w:val="-4"/>
          <w:kern w:val="2"/>
          <w:sz w:val="24"/>
          <w:szCs w:val="24"/>
          <w:highlight w:val="none"/>
          <w:lang w:val="en-US" w:eastAsia="zh-CN" w:bidi="ar-SA"/>
        </w:rPr>
      </w:pPr>
      <w:r>
        <w:rPr>
          <w:rFonts w:hint="eastAsia"/>
          <w:b/>
          <w:bCs/>
          <w:color w:val="auto"/>
          <w:sz w:val="24"/>
          <w:szCs w:val="24"/>
          <w:highlight w:val="none"/>
        </w:rPr>
        <w:t>（5）</w:t>
      </w:r>
      <w:r>
        <w:rPr>
          <w:rFonts w:hint="eastAsia" w:ascii="宋体" w:hAnsi="Courier New" w:eastAsia="宋体" w:cs="Times New Roman"/>
          <w:b/>
          <w:bCs/>
          <w:color w:val="auto"/>
          <w:spacing w:val="-4"/>
          <w:kern w:val="2"/>
          <w:sz w:val="24"/>
          <w:szCs w:val="24"/>
          <w:highlight w:val="none"/>
          <w:lang w:val="en-US" w:eastAsia="zh-CN" w:bidi="ar-SA"/>
        </w:rPr>
        <w:t>投标（响应）报价低于全部通过符合性审查供应商投标（响应）报价平均值50%的，即投标（响应）报价&lt;全部通过符合性审查供应商投标（响应）报价平均值×50%；投标（响应）报价低于通过符合性审查且报价次低供应商投标（响应）报价50%的，即投标（响应）报价&lt;通过符合性审查且报价次低供应商投标（响应）报价×50%；投标（响应）报价低于采购项目最高限价45%的，即投标（响应）报价&lt;采购项目最高限价×45%；其他评审委员会认为供应商报价过低，有可能影响产品质量或者不能诚信履约的情形</w:t>
      </w:r>
      <w:r>
        <w:rPr>
          <w:rFonts w:hint="eastAsia" w:ascii="宋体" w:eastAsia="宋体" w:cs="Times New Roman"/>
          <w:b/>
          <w:bCs/>
          <w:color w:val="auto"/>
          <w:spacing w:val="-4"/>
          <w:kern w:val="2"/>
          <w:sz w:val="24"/>
          <w:szCs w:val="24"/>
          <w:highlight w:val="none"/>
          <w:lang w:val="en-US" w:eastAsia="zh-CN" w:bidi="ar-SA"/>
        </w:rPr>
        <w:t>。</w:t>
      </w:r>
    </w:p>
    <w:p w14:paraId="60464068">
      <w:pPr>
        <w:pStyle w:val="8"/>
        <w:snapToGrid w:val="0"/>
        <w:spacing w:line="312" w:lineRule="auto"/>
        <w:ind w:firstLine="457" w:firstLineChars="196"/>
        <w:rPr>
          <w:b/>
          <w:bCs/>
          <w:color w:val="auto"/>
          <w:sz w:val="24"/>
          <w:szCs w:val="24"/>
          <w:highlight w:val="none"/>
        </w:rPr>
      </w:pPr>
      <w:r>
        <w:rPr>
          <w:rFonts w:hint="eastAsia"/>
          <w:b/>
          <w:bCs/>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E6E74F">
      <w:pPr>
        <w:snapToGrid w:val="0"/>
        <w:spacing w:line="360" w:lineRule="auto"/>
        <w:ind w:firstLine="472" w:firstLineChars="196"/>
        <w:rPr>
          <w:rFonts w:hint="eastAsia" w:ascii="宋体"/>
          <w:b/>
          <w:bCs/>
          <w:color w:val="auto"/>
          <w:sz w:val="24"/>
          <w:highlight w:val="none"/>
        </w:rPr>
      </w:pPr>
      <w:r>
        <w:rPr>
          <w:rFonts w:hint="eastAsia" w:ascii="宋体"/>
          <w:b/>
          <w:bCs/>
          <w:color w:val="auto"/>
          <w:sz w:val="24"/>
          <w:highlight w:val="none"/>
        </w:rPr>
        <w:t>（6）电子投标文件解密失败的，且未在规定时间内提交电子备份投标文件的；</w:t>
      </w:r>
    </w:p>
    <w:p w14:paraId="7DD50C06">
      <w:pPr>
        <w:snapToGrid w:val="0"/>
        <w:spacing w:line="360" w:lineRule="auto"/>
        <w:ind w:firstLine="472" w:firstLineChars="196"/>
        <w:rPr>
          <w:rFonts w:hint="eastAsia" w:ascii="宋体"/>
          <w:b/>
          <w:bCs/>
          <w:color w:val="auto"/>
          <w:sz w:val="24"/>
          <w:highlight w:val="none"/>
        </w:rPr>
      </w:pPr>
      <w:r>
        <w:rPr>
          <w:rFonts w:hint="eastAsia" w:ascii="宋体"/>
          <w:b/>
          <w:bCs/>
          <w:color w:val="auto"/>
          <w:sz w:val="24"/>
          <w:highlight w:val="none"/>
        </w:rPr>
        <w:t>（7）电子投标文件未按规定要求进行签字、电子签章的。</w:t>
      </w:r>
    </w:p>
    <w:p w14:paraId="5DA6F5AA">
      <w:pPr>
        <w:snapToGrid w:val="0"/>
        <w:spacing w:line="360" w:lineRule="auto"/>
        <w:ind w:firstLine="472" w:firstLineChars="196"/>
        <w:rPr>
          <w:rFonts w:hint="eastAsia" w:ascii="宋体"/>
          <w:b/>
          <w:bCs/>
          <w:color w:val="auto"/>
          <w:sz w:val="24"/>
          <w:highlight w:val="none"/>
        </w:rPr>
      </w:pPr>
      <w:r>
        <w:rPr>
          <w:rFonts w:hint="eastAsia" w:ascii="宋体"/>
          <w:b/>
          <w:bCs/>
          <w:color w:val="auto"/>
          <w:sz w:val="24"/>
          <w:highlight w:val="none"/>
        </w:rPr>
        <w:t>5.被拒绝的投标文件为无效。</w:t>
      </w:r>
    </w:p>
    <w:p w14:paraId="62D6E647">
      <w:pPr>
        <w:snapToGrid w:val="0"/>
        <w:spacing w:line="360" w:lineRule="auto"/>
        <w:ind w:firstLine="472" w:firstLineChars="196"/>
        <w:rPr>
          <w:rFonts w:hint="eastAsia" w:ascii="宋体"/>
          <w:b/>
          <w:bCs/>
          <w:color w:val="auto"/>
          <w:sz w:val="24"/>
          <w:highlight w:val="none"/>
        </w:rPr>
      </w:pPr>
      <w:r>
        <w:rPr>
          <w:rFonts w:hint="eastAsia" w:ascii="宋体"/>
          <w:b/>
          <w:bCs/>
          <w:color w:val="auto"/>
          <w:sz w:val="24"/>
          <w:highlight w:val="none"/>
        </w:rPr>
        <w:t>6</w:t>
      </w:r>
      <w:r>
        <w:rPr>
          <w:rFonts w:hint="eastAsia" w:ascii="宋体"/>
          <w:b/>
          <w:bCs/>
          <w:color w:val="auto"/>
          <w:sz w:val="24"/>
          <w:highlight w:val="none"/>
          <w:lang w:val="en-US" w:eastAsia="zh-CN"/>
        </w:rPr>
        <w:t>.</w:t>
      </w:r>
      <w:r>
        <w:rPr>
          <w:rFonts w:hint="eastAsia" w:ascii="宋体"/>
          <w:b/>
          <w:bCs/>
          <w:color w:val="auto"/>
          <w:sz w:val="24"/>
          <w:highlight w:val="none"/>
        </w:rPr>
        <w:t>对仅出现以上1、2、3情形之一中小项情况的，经审定凡没有实质性影响和损害的，可不作无效标处理。</w:t>
      </w:r>
    </w:p>
    <w:p w14:paraId="565B7A53">
      <w:pPr>
        <w:keepLines w:val="0"/>
        <w:pageBreakBefore w:val="0"/>
        <w:kinsoku/>
        <w:wordWrap/>
        <w:overflowPunct/>
        <w:topLinePunct w:val="0"/>
        <w:autoSpaceDE/>
        <w:autoSpaceDN/>
        <w:bidi w:val="0"/>
        <w:snapToGrid w:val="0"/>
        <w:spacing w:line="360" w:lineRule="exact"/>
        <w:ind w:firstLine="551" w:firstLineChars="196"/>
        <w:textAlignment w:val="auto"/>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四、开标</w:t>
      </w:r>
    </w:p>
    <w:p w14:paraId="3E8DCA16">
      <w:pPr>
        <w:keepNext w:val="0"/>
        <w:keepLines w:val="0"/>
        <w:pageBreakBefore w:val="0"/>
        <w:kinsoku/>
        <w:wordWrap/>
        <w:overflowPunct/>
        <w:topLinePunct w:val="0"/>
        <w:autoSpaceDE/>
        <w:autoSpaceDN/>
        <w:bidi w:val="0"/>
        <w:adjustRightInd w:val="0"/>
        <w:snapToGrid w:val="0"/>
        <w:spacing w:line="400" w:lineRule="exact"/>
        <w:ind w:firstLine="241" w:firstLineChars="100"/>
        <w:textAlignment w:val="auto"/>
        <w:rPr>
          <w:rFonts w:ascii="宋体" w:hAnsi="宋体" w:cs="宋体"/>
          <w:b/>
          <w:color w:val="auto"/>
          <w:sz w:val="24"/>
          <w:highlight w:val="none"/>
        </w:rPr>
      </w:pPr>
      <w:r>
        <w:rPr>
          <w:rFonts w:hint="eastAsia" w:ascii="宋体" w:hAnsi="宋体" w:cs="宋体"/>
          <w:b/>
          <w:color w:val="auto"/>
          <w:sz w:val="24"/>
          <w:highlight w:val="none"/>
        </w:rPr>
        <w:t xml:space="preserve">（一）开标准备   </w:t>
      </w:r>
    </w:p>
    <w:p w14:paraId="7C926481">
      <w:pPr>
        <w:keepNext w:val="0"/>
        <w:keepLines w:val="0"/>
        <w:pageBreakBefore w:val="0"/>
        <w:kinsoku/>
        <w:wordWrap/>
        <w:overflowPunct/>
        <w:topLinePunct w:val="0"/>
        <w:autoSpaceDE/>
        <w:autoSpaceDN/>
        <w:bidi w:val="0"/>
        <w:adjustRightInd w:val="0"/>
        <w:snapToGrid w:val="0"/>
        <w:spacing w:line="400" w:lineRule="exact"/>
        <w:ind w:left="239" w:leftChars="114" w:firstLine="482" w:firstLineChars="200"/>
        <w:textAlignment w:val="auto"/>
        <w:rPr>
          <w:rFonts w:hint="eastAsia" w:ascii="宋体" w:hAnsi="宋体" w:cs="宋体"/>
          <w:bCs/>
          <w:color w:val="auto"/>
          <w:sz w:val="24"/>
          <w:highlight w:val="none"/>
        </w:rPr>
      </w:pPr>
      <w:r>
        <w:rPr>
          <w:rFonts w:hint="eastAsia" w:ascii="宋体" w:hAnsi="宋体" w:cs="宋体"/>
          <w:b/>
          <w:bCs/>
          <w:color w:val="auto"/>
          <w:sz w:val="24"/>
          <w:highlight w:val="none"/>
        </w:rPr>
        <w:t>本项目不要求投标人到开标现场开标，但投标人应派法定代表人或委托代理人【委托代理人应当是投标人的在职正式职工（</w:t>
      </w:r>
      <w:r>
        <w:rPr>
          <w:rFonts w:hint="eastAsia" w:ascii="宋体" w:hAnsi="宋体" w:cs="Arial"/>
          <w:b/>
          <w:bCs/>
          <w:color w:val="auto"/>
          <w:sz w:val="24"/>
          <w:highlight w:val="none"/>
        </w:rPr>
        <w:t>以社保网站拉具的含授权代表的投标单位社保清单为准，无社保网站拉具的投标单位社保清单的，可以提供投标人注册所在地社保部门出具的投标人本单位缴纳社保花名册</w:t>
      </w:r>
      <w:r>
        <w:rPr>
          <w:rFonts w:hint="eastAsia" w:ascii="宋体" w:hAnsi="宋体" w:cs="宋体"/>
          <w:b/>
          <w:bCs/>
          <w:color w:val="auto"/>
          <w:sz w:val="24"/>
          <w:highlight w:val="none"/>
        </w:rPr>
        <w:t>）】准时在线出席电子开标会议，随时关注开标进度，如在开标过程中有电子询标，应在规定的时间内对电子询标函进行澄清</w:t>
      </w:r>
      <w:r>
        <w:rPr>
          <w:rFonts w:hint="eastAsia" w:ascii="宋体" w:hAnsi="宋体" w:cs="Arial"/>
          <w:b/>
          <w:bCs/>
          <w:color w:val="auto"/>
          <w:sz w:val="24"/>
          <w:highlight w:val="none"/>
        </w:rPr>
        <w:t>、答复</w:t>
      </w:r>
      <w:r>
        <w:rPr>
          <w:rFonts w:hint="eastAsia" w:ascii="宋体" w:hAnsi="宋体" w:cs="宋体"/>
          <w:b/>
          <w:bCs/>
          <w:color w:val="auto"/>
          <w:sz w:val="24"/>
          <w:highlight w:val="none"/>
        </w:rPr>
        <w:t>。超过规定时间的询标函将不予接受，评标为委员会可以作出不利于被询标人的决定。评标委员会只对投标文件内容进行询问，以投标文件的内容作为评审依据，不接受外部补充证据，评标委员会认为投标人不符合招标文件实质性要求明确时，可不经过询标而直接予以无效标认定，但代理机构应将无效标原因当场告知投标人。</w:t>
      </w:r>
    </w:p>
    <w:p w14:paraId="74AA8D7A">
      <w:pPr>
        <w:keepNext w:val="0"/>
        <w:keepLines w:val="0"/>
        <w:pageBreakBefore w:val="0"/>
        <w:kinsoku/>
        <w:wordWrap/>
        <w:overflowPunct/>
        <w:topLinePunct w:val="0"/>
        <w:autoSpaceDE/>
        <w:autoSpaceDN/>
        <w:bidi w:val="0"/>
        <w:adjustRightInd w:val="0"/>
        <w:snapToGrid w:val="0"/>
        <w:spacing w:line="400" w:lineRule="exact"/>
        <w:ind w:left="239" w:leftChars="114"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采购代理机构将在规定的时间和地点进行电子开标，投标人的法定代表人或其委托代理人【委托代理人应当是投标人的在职正式职工（以投标人本单位缴纳社保花名册为准）】应做好投标准备，准时在线参加电子开标会议，随时关注开标进度。</w:t>
      </w:r>
    </w:p>
    <w:p w14:paraId="30D3EA6B">
      <w:pPr>
        <w:keepNext w:val="0"/>
        <w:keepLines w:val="0"/>
        <w:pageBreakBefore w:val="0"/>
        <w:kinsoku/>
        <w:wordWrap/>
        <w:overflowPunct/>
        <w:topLinePunct w:val="0"/>
        <w:autoSpaceDE/>
        <w:autoSpaceDN/>
        <w:bidi w:val="0"/>
        <w:adjustRightInd w:val="0"/>
        <w:snapToGrid w:val="0"/>
        <w:spacing w:line="400" w:lineRule="exact"/>
        <w:ind w:left="239" w:leftChars="114"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投标人未按招标文件要求派代表参加电子开标会议的，视同认可开标结果，不得对开标过程及开标结果提出质疑。</w:t>
      </w:r>
    </w:p>
    <w:p w14:paraId="10ABBB24">
      <w:pPr>
        <w:keepNext w:val="0"/>
        <w:keepLines w:val="0"/>
        <w:pageBreakBefore w:val="0"/>
        <w:kinsoku/>
        <w:wordWrap/>
        <w:overflowPunct/>
        <w:topLinePunct w:val="0"/>
        <w:autoSpaceDE/>
        <w:autoSpaceDN/>
        <w:bidi w:val="0"/>
        <w:adjustRightInd w:val="0"/>
        <w:snapToGrid w:val="0"/>
        <w:spacing w:line="400" w:lineRule="exact"/>
        <w:ind w:firstLine="241" w:firstLineChars="100"/>
        <w:textAlignment w:val="auto"/>
        <w:rPr>
          <w:rFonts w:ascii="宋体" w:hAnsi="宋体" w:cs="宋体"/>
          <w:b/>
          <w:color w:val="auto"/>
          <w:sz w:val="24"/>
          <w:highlight w:val="none"/>
        </w:rPr>
      </w:pPr>
      <w:r>
        <w:rPr>
          <w:rFonts w:hint="eastAsia" w:ascii="宋体" w:hAnsi="宋体" w:cs="宋体"/>
          <w:b/>
          <w:color w:val="auto"/>
          <w:sz w:val="24"/>
          <w:highlight w:val="none"/>
        </w:rPr>
        <w:t>（二）电子招投标开标程序</w:t>
      </w:r>
    </w:p>
    <w:p w14:paraId="46AC6743">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1.开标会由招标代理机构主持，主持人宣布开标会议开始；</w:t>
      </w:r>
    </w:p>
    <w:p w14:paraId="77FCF115">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 xml:space="preserve">2.主持人介绍参加开标会的人员名单； </w:t>
      </w:r>
    </w:p>
    <w:p w14:paraId="33A5F3D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3.主持人宣布评标室会议纪律及评标期间的有关事项；告知应当回避的情形,提请有关人员回避；</w:t>
      </w:r>
    </w:p>
    <w:p w14:paraId="5BE5AC7B">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4.开标及评审程序</w:t>
      </w:r>
    </w:p>
    <w:p w14:paraId="14C14DB1">
      <w:pPr>
        <w:keepNext w:val="0"/>
        <w:keepLines w:val="0"/>
        <w:pageBreakBefore w:val="0"/>
        <w:kinsoku/>
        <w:wordWrap/>
        <w:overflowPunct/>
        <w:topLinePunct w:val="0"/>
        <w:autoSpaceDE/>
        <w:autoSpaceDN/>
        <w:bidi w:val="0"/>
        <w:adjustRightInd w:val="0"/>
        <w:snapToGrid w:val="0"/>
        <w:spacing w:line="40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（1）在开标时间截止后30分钟内由各投标人自行对投标文件进行解密；</w:t>
      </w:r>
    </w:p>
    <w:p w14:paraId="6AC7C4E1">
      <w:pPr>
        <w:keepNext w:val="0"/>
        <w:keepLines w:val="0"/>
        <w:pageBreakBefore w:val="0"/>
        <w:kinsoku/>
        <w:wordWrap/>
        <w:overflowPunct/>
        <w:topLinePunct w:val="0"/>
        <w:autoSpaceDE/>
        <w:autoSpaceDN/>
        <w:bidi w:val="0"/>
        <w:adjustRightInd w:val="0"/>
        <w:snapToGrid w:val="0"/>
        <w:spacing w:line="400" w:lineRule="exact"/>
        <w:ind w:left="479" w:leftChars="114" w:hanging="240" w:hangingChars="100"/>
        <w:textAlignment w:val="auto"/>
        <w:rPr>
          <w:rFonts w:ascii="宋体" w:hAnsi="宋体" w:cs="宋体"/>
          <w:color w:val="auto"/>
          <w:sz w:val="24"/>
          <w:highlight w:val="none"/>
        </w:rPr>
      </w:pPr>
      <w:r>
        <w:rPr>
          <w:rFonts w:hint="eastAsia" w:ascii="宋体" w:hAnsi="宋体" w:cs="宋体"/>
          <w:color w:val="auto"/>
          <w:sz w:val="24"/>
          <w:highlight w:val="none"/>
        </w:rPr>
        <w:t>（2）由采购人或代理机构进行资格审查，通过资格审查的投标人进入商务技术响应</w:t>
      </w:r>
    </w:p>
    <w:p w14:paraId="2F41FC0A">
      <w:pPr>
        <w:keepNext w:val="0"/>
        <w:keepLines w:val="0"/>
        <w:pageBreakBefore w:val="0"/>
        <w:kinsoku/>
        <w:wordWrap/>
        <w:overflowPunct/>
        <w:topLinePunct w:val="0"/>
        <w:autoSpaceDE/>
        <w:autoSpaceDN/>
        <w:bidi w:val="0"/>
        <w:adjustRightInd w:val="0"/>
        <w:snapToGrid w:val="0"/>
        <w:spacing w:line="400" w:lineRule="exact"/>
        <w:ind w:left="479" w:leftChars="114" w:hanging="240" w:hangingChars="100"/>
        <w:textAlignment w:val="auto"/>
        <w:rPr>
          <w:rFonts w:ascii="宋体" w:hAnsi="宋体" w:cs="宋体"/>
          <w:color w:val="auto"/>
          <w:sz w:val="24"/>
          <w:highlight w:val="none"/>
        </w:rPr>
      </w:pPr>
      <w:r>
        <w:rPr>
          <w:rFonts w:hint="eastAsia" w:ascii="宋体" w:hAnsi="宋体" w:cs="宋体"/>
          <w:color w:val="auto"/>
          <w:sz w:val="24"/>
          <w:highlight w:val="none"/>
        </w:rPr>
        <w:t>文件进行评审；</w:t>
      </w:r>
    </w:p>
    <w:p w14:paraId="53BDC303">
      <w:pPr>
        <w:keepNext w:val="0"/>
        <w:keepLines w:val="0"/>
        <w:pageBreakBefore w:val="0"/>
        <w:kinsoku/>
        <w:wordWrap/>
        <w:overflowPunct/>
        <w:topLinePunct w:val="0"/>
        <w:autoSpaceDE/>
        <w:autoSpaceDN/>
        <w:bidi w:val="0"/>
        <w:adjustRightInd w:val="0"/>
        <w:snapToGrid w:val="0"/>
        <w:spacing w:line="40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（3）系统对各投标人的商务资信技术进行汇总；</w:t>
      </w:r>
    </w:p>
    <w:p w14:paraId="4C42D0E2">
      <w:pPr>
        <w:keepNext w:val="0"/>
        <w:keepLines w:val="0"/>
        <w:pageBreakBefore w:val="0"/>
        <w:kinsoku/>
        <w:wordWrap/>
        <w:overflowPunct/>
        <w:topLinePunct w:val="0"/>
        <w:autoSpaceDE/>
        <w:autoSpaceDN/>
        <w:bidi w:val="0"/>
        <w:adjustRightInd w:val="0"/>
        <w:snapToGrid w:val="0"/>
        <w:spacing w:line="40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（4）在系统上公开报价开标情况；</w:t>
      </w:r>
    </w:p>
    <w:p w14:paraId="3CB6F3CB">
      <w:pPr>
        <w:keepNext w:val="0"/>
        <w:keepLines w:val="0"/>
        <w:pageBreakBefore w:val="0"/>
        <w:kinsoku/>
        <w:wordWrap/>
        <w:overflowPunct/>
        <w:topLinePunct w:val="0"/>
        <w:autoSpaceDE/>
        <w:autoSpaceDN/>
        <w:bidi w:val="0"/>
        <w:adjustRightInd w:val="0"/>
        <w:snapToGrid w:val="0"/>
        <w:spacing w:line="40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（5）评标委员会对报价情况进行评审；</w:t>
      </w:r>
    </w:p>
    <w:p w14:paraId="5C312579">
      <w:pPr>
        <w:keepNext w:val="0"/>
        <w:keepLines w:val="0"/>
        <w:pageBreakBefore w:val="0"/>
        <w:kinsoku/>
        <w:wordWrap/>
        <w:overflowPunct/>
        <w:topLinePunct w:val="0"/>
        <w:autoSpaceDE/>
        <w:autoSpaceDN/>
        <w:bidi w:val="0"/>
        <w:adjustRightInd w:val="0"/>
        <w:snapToGrid w:val="0"/>
        <w:spacing w:line="40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（6）在系统上公布评审结果。</w:t>
      </w:r>
    </w:p>
    <w:p w14:paraId="5D2EBACE">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特别说明：政采云公司如对电子化开标及评审程序有调整的，按调整后的程序操作。</w:t>
      </w:r>
    </w:p>
    <w:p w14:paraId="38B1613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5.本项目采用政采云电子招投标开标及评审程序，开评标时出现电子投标文件无法解密或解密失败等情况时，采购代理机构可上传投标人的电子备份投标文件继续评审。</w:t>
      </w:r>
    </w:p>
    <w:p w14:paraId="4D17BEDF">
      <w:pPr>
        <w:keepNext w:val="0"/>
        <w:keepLines w:val="0"/>
        <w:pageBreakBefore w:val="0"/>
        <w:kinsoku/>
        <w:wordWrap/>
        <w:overflowPunct/>
        <w:topLinePunct w:val="0"/>
        <w:autoSpaceDE/>
        <w:autoSpaceDN/>
        <w:bidi w:val="0"/>
        <w:adjustRightInd w:val="0"/>
        <w:snapToGrid w:val="0"/>
        <w:spacing w:line="400" w:lineRule="exact"/>
        <w:ind w:left="842" w:leftChars="267" w:hanging="281" w:hangingChars="100"/>
        <w:textAlignment w:val="auto"/>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五、评标</w:t>
      </w:r>
    </w:p>
    <w:p w14:paraId="53577162">
      <w:pPr>
        <w:keepNext w:val="0"/>
        <w:keepLines w:val="0"/>
        <w:pageBreakBefore w:val="0"/>
        <w:kinsoku/>
        <w:wordWrap/>
        <w:overflowPunct/>
        <w:topLinePunct w:val="0"/>
        <w:autoSpaceDE/>
        <w:autoSpaceDN/>
        <w:bidi w:val="0"/>
        <w:adjustRightInd w:val="0"/>
        <w:snapToGrid w:val="0"/>
        <w:spacing w:line="400" w:lineRule="exact"/>
        <w:ind w:left="720" w:leftChars="228" w:hanging="241" w:hangingChars="100"/>
        <w:textAlignment w:val="auto"/>
        <w:rPr>
          <w:rFonts w:ascii="宋体" w:hAnsi="宋体" w:cs="宋体"/>
          <w:b/>
          <w:color w:val="auto"/>
          <w:sz w:val="24"/>
          <w:highlight w:val="none"/>
        </w:rPr>
      </w:pPr>
      <w:r>
        <w:rPr>
          <w:rFonts w:hint="eastAsia" w:ascii="宋体" w:hAnsi="宋体" w:cs="宋体"/>
          <w:b/>
          <w:color w:val="auto"/>
          <w:sz w:val="24"/>
          <w:highlight w:val="none"/>
        </w:rPr>
        <w:t>（一）组建评标委员会</w:t>
      </w:r>
    </w:p>
    <w:p w14:paraId="44A57B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本项目评标委员会由政府采购评审专家</w:t>
      </w:r>
      <w:r>
        <w:rPr>
          <w:rFonts w:hint="eastAsia" w:ascii="宋体" w:hAnsi="宋体" w:cs="宋体"/>
          <w:color w:val="auto"/>
          <w:sz w:val="24"/>
          <w:highlight w:val="none"/>
          <w:u w:val="single"/>
        </w:rPr>
        <w:t xml:space="preserve"> 4 </w:t>
      </w:r>
      <w:r>
        <w:rPr>
          <w:rFonts w:hint="eastAsia" w:ascii="宋体" w:hAnsi="宋体" w:cs="宋体"/>
          <w:color w:val="auto"/>
          <w:sz w:val="24"/>
          <w:highlight w:val="none"/>
        </w:rPr>
        <w:t>人和采购人代表</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人，共</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人组成。</w:t>
      </w:r>
    </w:p>
    <w:p w14:paraId="52221C54">
      <w:pPr>
        <w:keepNext w:val="0"/>
        <w:keepLines w:val="0"/>
        <w:pageBreakBefore w:val="0"/>
        <w:kinsoku/>
        <w:wordWrap/>
        <w:overflowPunct/>
        <w:topLinePunct w:val="0"/>
        <w:autoSpaceDE/>
        <w:autoSpaceDN/>
        <w:bidi w:val="0"/>
        <w:adjustRightInd w:val="0"/>
        <w:snapToGrid w:val="0"/>
        <w:spacing w:line="400" w:lineRule="exact"/>
        <w:ind w:left="720" w:leftChars="228" w:hanging="241" w:hangingChars="100"/>
        <w:textAlignment w:val="auto"/>
        <w:rPr>
          <w:rFonts w:ascii="宋体" w:hAnsi="宋体" w:cs="宋体"/>
          <w:b/>
          <w:color w:val="auto"/>
          <w:sz w:val="24"/>
          <w:highlight w:val="none"/>
        </w:rPr>
      </w:pPr>
      <w:r>
        <w:rPr>
          <w:rFonts w:hint="eastAsia" w:ascii="宋体" w:hAnsi="宋体" w:cs="宋体"/>
          <w:b/>
          <w:color w:val="auto"/>
          <w:sz w:val="24"/>
          <w:highlight w:val="none"/>
        </w:rPr>
        <w:t>（二）评标的方式</w:t>
      </w:r>
    </w:p>
    <w:p w14:paraId="6FC44231">
      <w:pPr>
        <w:keepNext w:val="0"/>
        <w:keepLines w:val="0"/>
        <w:pageBreakBefore w:val="0"/>
        <w:kinsoku/>
        <w:wordWrap/>
        <w:overflowPunct/>
        <w:topLinePunct w:val="0"/>
        <w:autoSpaceDE/>
        <w:autoSpaceDN/>
        <w:bidi w:val="0"/>
        <w:adjustRightInd w:val="0"/>
        <w:snapToGrid w:val="0"/>
        <w:spacing w:line="400" w:lineRule="exact"/>
        <w:ind w:left="719" w:leftChars="228" w:hanging="240" w:hangingChars="100"/>
        <w:textAlignment w:val="auto"/>
        <w:rPr>
          <w:rFonts w:ascii="宋体" w:hAnsi="宋体" w:cs="宋体"/>
          <w:color w:val="auto"/>
          <w:sz w:val="24"/>
          <w:highlight w:val="none"/>
        </w:rPr>
      </w:pPr>
      <w:r>
        <w:rPr>
          <w:rFonts w:hint="eastAsia" w:ascii="宋体" w:hAnsi="宋体" w:cs="宋体"/>
          <w:color w:val="auto"/>
          <w:sz w:val="24"/>
          <w:highlight w:val="none"/>
        </w:rPr>
        <w:t>本项目采用不公开方式评标，评标的依据为招标文件和投标文件。</w:t>
      </w:r>
    </w:p>
    <w:p w14:paraId="3F93CD6E">
      <w:pPr>
        <w:keepNext w:val="0"/>
        <w:keepLines w:val="0"/>
        <w:pageBreakBefore w:val="0"/>
        <w:kinsoku/>
        <w:wordWrap/>
        <w:overflowPunct/>
        <w:topLinePunct w:val="0"/>
        <w:autoSpaceDE/>
        <w:autoSpaceDN/>
        <w:bidi w:val="0"/>
        <w:adjustRightInd w:val="0"/>
        <w:snapToGrid w:val="0"/>
        <w:spacing w:line="400" w:lineRule="exact"/>
        <w:ind w:left="720" w:leftChars="228" w:hanging="241" w:hangingChars="100"/>
        <w:textAlignment w:val="auto"/>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评标程序</w:t>
      </w:r>
    </w:p>
    <w:p w14:paraId="24D57327">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ascii="宋体" w:hAnsi="宋体" w:cs="宋体"/>
          <w:b/>
          <w:bCs/>
          <w:color w:val="auto"/>
          <w:sz w:val="24"/>
          <w:highlight w:val="none"/>
        </w:rPr>
      </w:pPr>
      <w:r>
        <w:rPr>
          <w:rFonts w:hint="eastAsia" w:ascii="宋体" w:hAnsi="宋体" w:cs="宋体"/>
          <w:b/>
          <w:bCs/>
          <w:color w:val="auto"/>
          <w:sz w:val="24"/>
          <w:highlight w:val="none"/>
        </w:rPr>
        <w:t>1.形式审查</w:t>
      </w:r>
    </w:p>
    <w:p w14:paraId="1382302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b/>
          <w:color w:val="auto"/>
          <w:sz w:val="24"/>
          <w:szCs w:val="20"/>
          <w:highlight w:val="none"/>
        </w:rPr>
      </w:pPr>
      <w:r>
        <w:rPr>
          <w:rFonts w:hint="eastAsia" w:ascii="宋体" w:hAnsi="宋体" w:cs="宋体"/>
          <w:color w:val="auto"/>
          <w:sz w:val="24"/>
          <w:highlight w:val="none"/>
        </w:rPr>
        <w:t>采购人代表和代理机构工作人员对投标人的资格文件的完整性、符合性等进行审查。</w:t>
      </w:r>
    </w:p>
    <w:p w14:paraId="2075986D">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ascii="宋体" w:hAnsi="宋体" w:cs="宋体"/>
          <w:b/>
          <w:bCs/>
          <w:color w:val="auto"/>
          <w:sz w:val="24"/>
          <w:szCs w:val="20"/>
          <w:highlight w:val="none"/>
        </w:rPr>
      </w:pPr>
      <w:r>
        <w:rPr>
          <w:rFonts w:hint="eastAsia" w:ascii="宋体" w:hAnsi="宋体" w:cs="宋体"/>
          <w:b/>
          <w:bCs/>
          <w:color w:val="auto"/>
          <w:sz w:val="24"/>
          <w:highlight w:val="none"/>
        </w:rPr>
        <w:t>2.实质审查与比较</w:t>
      </w:r>
    </w:p>
    <w:p w14:paraId="2A5E8772">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szCs w:val="20"/>
          <w:highlight w:val="none"/>
        </w:rPr>
      </w:pPr>
      <w:r>
        <w:rPr>
          <w:rFonts w:hint="eastAsia" w:ascii="宋体" w:hAnsi="宋体" w:cs="宋体"/>
          <w:color w:val="auto"/>
          <w:sz w:val="24"/>
          <w:highlight w:val="none"/>
        </w:rPr>
        <w:t>（1）评标委员会审查投标文件的实质性内容是否符合招标文件的实质性要求；</w:t>
      </w:r>
    </w:p>
    <w:p w14:paraId="0E30E7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（2）评标委员会将对投标人的投标文件进行审查、核对,如有疑问,将对投标人进行电子询标,投标人须在规定的时间内向评标委员会澄清有关问题,并在政采云上进行询标答复；</w:t>
      </w:r>
    </w:p>
    <w:p w14:paraId="0334A50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hAnsi="宋体" w:cs="宋体"/>
          <w:color w:val="auto"/>
          <w:highlight w:val="none"/>
        </w:rPr>
      </w:pPr>
      <w:r>
        <w:rPr>
          <w:rFonts w:hint="eastAsia" w:ascii="宋体" w:hAnsi="宋体" w:cs="宋体"/>
          <w:b/>
          <w:bCs/>
          <w:color w:val="auto"/>
          <w:sz w:val="24"/>
          <w:highlight w:val="none"/>
        </w:rPr>
        <w:t>投标人代表未在规定的时间内进行澄清、拒绝澄清或者澄清的内容改变了投标文件的实质性内容的，评标委员会有权对该投标文件作出不利于投标人的评判。评标委员会认为投标人不符合招标文件实质性要求明确时，可不经过询标而直接予以无效标认定，但代理机构应将无效标原因当场告知投标人。</w:t>
      </w:r>
    </w:p>
    <w:p w14:paraId="188147F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szCs w:val="20"/>
          <w:highlight w:val="none"/>
        </w:rPr>
      </w:pPr>
      <w:r>
        <w:rPr>
          <w:rFonts w:hint="eastAsia" w:ascii="宋体" w:hAnsi="宋体" w:cs="宋体"/>
          <w:color w:val="auto"/>
          <w:sz w:val="24"/>
          <w:highlight w:val="none"/>
        </w:rPr>
        <w:t>（3）技术、商务、资信及其他分按照评标委员会成员的独立评分结果的算术平均分计算，由指定专人进行计算复核；</w:t>
      </w:r>
    </w:p>
    <w:p w14:paraId="00655EC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szCs w:val="20"/>
          <w:highlight w:val="none"/>
        </w:rPr>
      </w:pPr>
      <w:r>
        <w:rPr>
          <w:rFonts w:hint="eastAsia" w:ascii="宋体" w:hAnsi="宋体" w:cs="宋体"/>
          <w:color w:val="auto"/>
          <w:sz w:val="24"/>
          <w:highlight w:val="none"/>
        </w:rPr>
        <w:t>（4）招标方工作人员协助评标委员会审核投标报价有无计算错误，政采云系统根据本项目的评分标准计算各投标人的报价得分；</w:t>
      </w:r>
    </w:p>
    <w:p w14:paraId="417065BB">
      <w:pPr>
        <w:keepNext w:val="0"/>
        <w:keepLines w:val="0"/>
        <w:pageBreakBefore w:val="0"/>
        <w:kinsoku/>
        <w:wordWrap/>
        <w:overflowPunct/>
        <w:topLinePunct w:val="0"/>
        <w:autoSpaceDE/>
        <w:autoSpaceDN/>
        <w:bidi w:val="0"/>
        <w:adjustRightInd w:val="0"/>
        <w:snapToGrid w:val="0"/>
        <w:spacing w:line="400" w:lineRule="exact"/>
        <w:ind w:left="719" w:leftChars="228" w:hanging="240" w:hangingChars="100"/>
        <w:textAlignment w:val="auto"/>
        <w:rPr>
          <w:rFonts w:ascii="宋体" w:hAnsi="宋体" w:cs="宋体"/>
          <w:color w:val="auto"/>
          <w:sz w:val="24"/>
          <w:highlight w:val="none"/>
        </w:rPr>
      </w:pPr>
      <w:r>
        <w:rPr>
          <w:rFonts w:hint="eastAsia" w:ascii="宋体" w:hAnsi="宋体" w:cs="宋体"/>
          <w:color w:val="auto"/>
          <w:sz w:val="24"/>
          <w:highlight w:val="none"/>
        </w:rPr>
        <w:t>（5）评标委员会完成评标后,招标方工作人员通过政采云系统对各部分得分进行汇</w:t>
      </w:r>
    </w:p>
    <w:p w14:paraId="15EB0405">
      <w:pPr>
        <w:keepNext w:val="0"/>
        <w:keepLines w:val="0"/>
        <w:pageBreakBefore w:val="0"/>
        <w:kinsoku/>
        <w:wordWrap/>
        <w:overflowPunct/>
        <w:topLinePunct w:val="0"/>
        <w:autoSpaceDE/>
        <w:autoSpaceDN/>
        <w:bidi w:val="0"/>
        <w:adjustRightInd w:val="0"/>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总,计算出本项目最终得分。评标委员会按评标原则推荐中标候选人并起草评标报告。</w:t>
      </w:r>
    </w:p>
    <w:p w14:paraId="7A121840">
      <w:pPr>
        <w:keepNext w:val="0"/>
        <w:keepLines w:val="0"/>
        <w:pageBreakBefore w:val="0"/>
        <w:kinsoku/>
        <w:wordWrap/>
        <w:overflowPunct/>
        <w:topLinePunct w:val="0"/>
        <w:autoSpaceDE/>
        <w:autoSpaceDN/>
        <w:bidi w:val="0"/>
        <w:adjustRightInd w:val="0"/>
        <w:snapToGrid w:val="0"/>
        <w:spacing w:line="400" w:lineRule="exact"/>
        <w:ind w:left="720" w:leftChars="228" w:hanging="241" w:hangingChars="100"/>
        <w:textAlignment w:val="auto"/>
        <w:rPr>
          <w:rFonts w:ascii="宋体" w:hAnsi="宋体" w:cs="宋体"/>
          <w:b/>
          <w:color w:val="auto"/>
          <w:sz w:val="24"/>
          <w:highlight w:val="none"/>
        </w:rPr>
      </w:pPr>
      <w:r>
        <w:rPr>
          <w:rFonts w:hint="eastAsia" w:ascii="宋体" w:hAnsi="宋体" w:cs="宋体"/>
          <w:b/>
          <w:color w:val="auto"/>
          <w:sz w:val="24"/>
          <w:highlight w:val="none"/>
        </w:rPr>
        <w:t>（四）澄清问题的形式</w:t>
      </w:r>
    </w:p>
    <w:p w14:paraId="2A86DC11">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对投标文件中含义不明确、同类问题表述不一致或者有明显文字和计算错误的内容，评标委员会可要求投标人作出必要的澄清、说明或者纠正，澄清、说明或者纠正通过政采云系统发起。投标人须在规定的时间内向评标委员会澄清有关问题,并在政采云上进行询标答复。投标人的澄清、说明或者补正不得超出投标文件的范围或者改变投标文件的实质性内容。</w:t>
      </w:r>
    </w:p>
    <w:p w14:paraId="0B5D41EB">
      <w:pPr>
        <w:keepNext w:val="0"/>
        <w:keepLines w:val="0"/>
        <w:pageBreakBefore w:val="0"/>
        <w:numPr>
          <w:ilvl w:val="0"/>
          <w:numId w:val="0"/>
        </w:numPr>
        <w:tabs>
          <w:tab w:val="left" w:pos="630"/>
        </w:tabs>
        <w:kinsoku/>
        <w:wordWrap/>
        <w:overflowPunct/>
        <w:topLinePunct w:val="0"/>
        <w:autoSpaceDE/>
        <w:autoSpaceDN/>
        <w:bidi w:val="0"/>
        <w:adjustRightInd w:val="0"/>
        <w:snapToGrid w:val="0"/>
        <w:spacing w:line="400" w:lineRule="exact"/>
        <w:ind w:firstLine="241" w:firstLineChars="100"/>
        <w:textAlignment w:val="auto"/>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t>（五）错误修正</w:t>
      </w:r>
    </w:p>
    <w:p w14:paraId="167F483B">
      <w:pPr>
        <w:keepNext w:val="0"/>
        <w:keepLines w:val="0"/>
        <w:pageBreakBefore w:val="0"/>
        <w:kinsoku/>
        <w:wordWrap/>
        <w:overflowPunct/>
        <w:topLinePunct w:val="0"/>
        <w:autoSpaceDE/>
        <w:autoSpaceDN/>
        <w:bidi w:val="0"/>
        <w:adjustRightInd w:val="0"/>
        <w:snapToGrid w:val="0"/>
        <w:spacing w:line="400" w:lineRule="exact"/>
        <w:ind w:left="719" w:leftChars="228" w:hanging="240" w:hangingChars="100"/>
        <w:textAlignment w:val="auto"/>
        <w:rPr>
          <w:rFonts w:ascii="宋体" w:hAnsi="宋体" w:cs="宋体"/>
          <w:color w:val="auto"/>
          <w:sz w:val="24"/>
          <w:highlight w:val="none"/>
        </w:rPr>
      </w:pPr>
      <w:r>
        <w:rPr>
          <w:rFonts w:hint="eastAsia" w:ascii="宋体" w:hAnsi="宋体" w:cs="宋体"/>
          <w:color w:val="auto"/>
          <w:sz w:val="24"/>
          <w:highlight w:val="none"/>
        </w:rPr>
        <w:t>投标文件如果出现计算或表达上的错误，修正错误的原则如下：</w:t>
      </w:r>
    </w:p>
    <w:p w14:paraId="714FA8CB">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1.投标文件中开标一览表（报价表）内容与与投标文件中相应内容不一致的，以开标一览表（报价表）为准；</w:t>
      </w:r>
    </w:p>
    <w:p w14:paraId="1584F1DB">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2.大写金额和小写金额不一致的，以大写金额为准；</w:t>
      </w:r>
    </w:p>
    <w:p w14:paraId="1BB10054">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pacing w:val="-6"/>
          <w:sz w:val="24"/>
          <w:highlight w:val="none"/>
        </w:rPr>
        <w:t>单价金额小数点或者百分比有明显错位的，以开标一览表的总价为准，并修改单价</w:t>
      </w:r>
      <w:r>
        <w:rPr>
          <w:rFonts w:hint="eastAsia" w:ascii="宋体" w:hAnsi="宋体" w:cs="宋体"/>
          <w:bCs/>
          <w:color w:val="auto"/>
          <w:sz w:val="24"/>
          <w:highlight w:val="none"/>
        </w:rPr>
        <w:t>；</w:t>
      </w:r>
    </w:p>
    <w:p w14:paraId="4C48CCA2">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3D35A099">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5.对不同文字文本投标文件的解释发生异议的，以中文文本为准。</w:t>
      </w:r>
    </w:p>
    <w:p w14:paraId="05A7F97C">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
          <w:color w:val="auto"/>
          <w:sz w:val="24"/>
          <w:highlight w:val="none"/>
        </w:rPr>
      </w:pPr>
      <w:r>
        <w:rPr>
          <w:rFonts w:hint="eastAsia" w:ascii="宋体" w:hAnsi="宋体" w:cs="宋体"/>
          <w:bCs/>
          <w:color w:val="auto"/>
          <w:sz w:val="24"/>
          <w:highlight w:val="none"/>
        </w:rPr>
        <w:t>同时出现两种以上不一致的，按照前款规定的顺序修正。修正后的报价按照《政府采购货物和服务招标投标管理办法》（第87号令）第五十一条第二款规定：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r>
        <w:rPr>
          <w:rFonts w:hint="eastAsia" w:ascii="宋体" w:hAnsi="宋体" w:cs="宋体"/>
          <w:b/>
          <w:color w:val="auto"/>
          <w:sz w:val="24"/>
          <w:highlight w:val="none"/>
        </w:rPr>
        <w:t>。</w:t>
      </w:r>
    </w:p>
    <w:p w14:paraId="633C814E">
      <w:pPr>
        <w:keepNext w:val="0"/>
        <w:keepLines w:val="0"/>
        <w:pageBreakBefore w:val="0"/>
        <w:numPr>
          <w:ilvl w:val="0"/>
          <w:numId w:val="0"/>
        </w:numPr>
        <w:tabs>
          <w:tab w:val="left" w:pos="630"/>
        </w:tabs>
        <w:kinsoku/>
        <w:wordWrap/>
        <w:overflowPunct/>
        <w:topLinePunct w:val="0"/>
        <w:autoSpaceDE/>
        <w:autoSpaceDN/>
        <w:bidi w:val="0"/>
        <w:adjustRightInd w:val="0"/>
        <w:snapToGrid w:val="0"/>
        <w:spacing w:line="400" w:lineRule="exact"/>
        <w:ind w:firstLine="241" w:firstLineChars="100"/>
        <w:textAlignment w:val="auto"/>
        <w:rPr>
          <w:rFonts w:hint="eastAsia" w:ascii="宋体" w:hAnsi="宋体" w:cs="宋体"/>
          <w:b/>
          <w:color w:val="auto"/>
          <w:sz w:val="24"/>
          <w:highlight w:val="none"/>
        </w:rPr>
      </w:pPr>
      <w:r>
        <w:rPr>
          <w:rFonts w:hint="eastAsia" w:ascii="宋体" w:hAnsi="宋体" w:cs="宋体"/>
          <w:b/>
          <w:color w:val="auto"/>
          <w:sz w:val="24"/>
          <w:highlight w:val="none"/>
          <w:lang w:eastAsia="zh-CN"/>
        </w:rPr>
        <w:t>（六）</w:t>
      </w:r>
      <w:r>
        <w:rPr>
          <w:rFonts w:hint="eastAsia" w:ascii="宋体" w:hAnsi="宋体" w:cs="宋体"/>
          <w:b/>
          <w:color w:val="auto"/>
          <w:sz w:val="24"/>
          <w:highlight w:val="none"/>
        </w:rPr>
        <w:t>评标原则和评标办法</w:t>
      </w:r>
    </w:p>
    <w:p w14:paraId="49CAD381">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6F6D40C1">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2.评标办法。本项目评标办法是综合评分法，具体评标内容及评分标准等详见《第四章：评标办法及评分标准》。</w:t>
      </w:r>
    </w:p>
    <w:p w14:paraId="55659720">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评标依据：评标委员会决定投标的响应性只根据投标文件的内容，而不寻求外部的证据。</w:t>
      </w:r>
    </w:p>
    <w:p w14:paraId="614C2A6B">
      <w:pPr>
        <w:keepNext w:val="0"/>
        <w:keepLines w:val="0"/>
        <w:pageBreakBefore w:val="0"/>
        <w:numPr>
          <w:ilvl w:val="0"/>
          <w:numId w:val="0"/>
        </w:numPr>
        <w:tabs>
          <w:tab w:val="left" w:pos="630"/>
        </w:tabs>
        <w:kinsoku/>
        <w:wordWrap/>
        <w:overflowPunct/>
        <w:topLinePunct w:val="0"/>
        <w:autoSpaceDE/>
        <w:autoSpaceDN/>
        <w:bidi w:val="0"/>
        <w:adjustRightInd w:val="0"/>
        <w:snapToGrid w:val="0"/>
        <w:spacing w:line="400" w:lineRule="exact"/>
        <w:ind w:firstLine="241" w:firstLineChars="10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（七）评审纪律和要求</w:t>
      </w:r>
    </w:p>
    <w:p w14:paraId="731AA8EF">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1.评审专家必须公平、公正评审，遵纪守法，客观、廉洁地履行职责。</w:t>
      </w:r>
    </w:p>
    <w:p w14:paraId="1CE8C15B">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2.评审专家在评审开始前，应关闭并上交随身携带的各种通信工具。</w:t>
      </w:r>
    </w:p>
    <w:p w14:paraId="5B50E36D">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3.评审专家在评审过程中，未经许可不得中途离开评审现场，不得迟到早退。</w:t>
      </w:r>
    </w:p>
    <w:p w14:paraId="0C4F27E6">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4.评审专家和工作人员不得透露评审过程中的讨论情况和评审结果。</w:t>
      </w:r>
    </w:p>
    <w:p w14:paraId="0AB0C657">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5.评审时，评审专家须按招标文件规定的程序、条件和标准，对投标人投标文件的合规性、完整性和有效性进行审查、比较和评估，其中对投标人的资格条件、主要技术参数、商务报价和其他评审要素等，评审专家应逐项进行审查、比较，不得漏评少评。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p>
    <w:p w14:paraId="53BB138D">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6.采购人、采购代理机构不得向评审委员会的评审专家作倾向性、误导性的解释或者说明。</w:t>
      </w:r>
    </w:p>
    <w:p w14:paraId="21623EA5">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7.采购代理机构应当为评审专家提供必要的评审条件和相应的评审工作底稿，并严格按规定程序组织评审专家有步骤地进行项目评审，对各评审专家的评审情况和评审意见进行合理性和合规性审查，对明显畸高、畸低的重大差异评审情况（其总评分偏离平均分30%以上），提醒相关评审专家进行复核或书面说明理由。</w:t>
      </w:r>
    </w:p>
    <w:p w14:paraId="2A9CD037">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8.评审专家在评审过程中不得将自己的观点强加给其他评审专家，评审专家应自主发表见解，对评审意见承担个人责任。</w:t>
      </w:r>
    </w:p>
    <w:p w14:paraId="7802706F">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9.评审结束后，评审委员会应向采购代理机构提交项目评审报告。评审报告是采购人确定中标人的合法依据，评审委员会应当如实、客观地反映评审情况，按招标文件的评审办法和细则的规定推荐中标候选人，说明推荐理由，并重点对中标候选人的技术、服务和价格等情况进行评价和比较。如排名第一的投标人报价为最高报价的，评审报告中须对其报价的合理性等进行分析和特别说明。</w:t>
      </w:r>
    </w:p>
    <w:p w14:paraId="6C1907ED">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10.评审专家应当独立、客观、公正地提出评审意见，不得带有倾向性，不得影响其他评审专家评审，并在评审报告上签字；如对评审报告有异议的，可在报告上签署不同意见，并说明理由，否则将视为同意。</w:t>
      </w:r>
    </w:p>
    <w:p w14:paraId="3940934F">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11.评审专家应当遵守评审工作纪律，不得泄露评审文件、评审情况和评审中获悉的商业秘密。</w:t>
      </w:r>
    </w:p>
    <w:p w14:paraId="3860257E">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评审委员会在评审过程中发现投标人有行贿、提供虚假材料或者串通等违法行为的，应当及时向财政部门报告。</w:t>
      </w:r>
    </w:p>
    <w:p w14:paraId="4E162317">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12.招标文件内容违反国家有关强制性规定的，评审委员会应当停止评审并向采购代理机构说明情况。</w:t>
      </w:r>
    </w:p>
    <w:p w14:paraId="7724EC6D">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13.评审专家应当配合采购代理机构答复投标人提出的质疑。</w:t>
      </w:r>
    </w:p>
    <w:p w14:paraId="3C0C0950">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14.评审专家应当配合财政部门的投诉处理工作。</w:t>
      </w:r>
    </w:p>
    <w:p w14:paraId="25206FDE">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15.评审专家有如下行为之一的，责令改正，给予警告，可以并处一千元以下的罚款：</w:t>
      </w:r>
    </w:p>
    <w:p w14:paraId="3D2643C2">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①明知应当回避而未主动回避的；</w:t>
      </w:r>
    </w:p>
    <w:p w14:paraId="7B171544">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②在得知自己为评审专家身份后至评审结束前时段内私下接触投标人的；</w:t>
      </w:r>
    </w:p>
    <w:p w14:paraId="38B9A7E0">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③在评审过程中擅离职守，影响评审程序正常进行的；</w:t>
      </w:r>
    </w:p>
    <w:p w14:paraId="3FB7B4D4">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④在评审过程有明显不合理或者不正当倾向性的；</w:t>
      </w:r>
    </w:p>
    <w:p w14:paraId="1D54CFDE">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⑤未按招标文件规定的评审方法和标准进行评审的；</w:t>
      </w:r>
    </w:p>
    <w:p w14:paraId="0D3DF04E">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⑥上述①至⑤行为影响中标结果的，中标结果无效。</w:t>
      </w:r>
    </w:p>
    <w:p w14:paraId="5C03F7C7">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16.政府采购评审专家未按照招标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59003714">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政府采购评审专家与投标人存在利害关系未回避的，处2万元以上5万元以下的罚款，禁止其参加政府采购评审活动。</w:t>
      </w:r>
    </w:p>
    <w:p w14:paraId="77A659C3">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政府采购评审专家收受采购人、采购代理机构、投标人贿赂或者获取其他不正当利益，构成犯罪的，依法追究刑事责任；尚不构成犯罪的，处2万元以上5万元以下的罚款，禁止其参加政府采购评审活动。</w:t>
      </w:r>
    </w:p>
    <w:p w14:paraId="0E9EBC2D">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政府采购评审专家有上述违法行为的，其评审意见无效，不得获取评审费；有违法所得的，没收违法所得；给他人造成损失的，依法承担民事责任。</w:t>
      </w:r>
    </w:p>
    <w:p w14:paraId="0B228B9C">
      <w:pPr>
        <w:keepNext w:val="0"/>
        <w:keepLines w:val="0"/>
        <w:pageBreakBefore w:val="0"/>
        <w:tabs>
          <w:tab w:val="left" w:pos="630"/>
        </w:tabs>
        <w:kinsoku/>
        <w:wordWrap/>
        <w:overflowPunct/>
        <w:topLinePunct w:val="0"/>
        <w:autoSpaceDE/>
        <w:autoSpaceDN/>
        <w:bidi w:val="0"/>
        <w:adjustRightInd w:val="0"/>
        <w:snapToGrid w:val="0"/>
        <w:spacing w:line="40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17.评标办法。本项目评标办法是：综合评分法 ，具体评标内容及评分标准等详见《第四章：评标办法及评分标准》。</w:t>
      </w:r>
    </w:p>
    <w:p w14:paraId="5AFE675F">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eastAsia="zh-CN"/>
        </w:rPr>
        <w:t>八</w:t>
      </w:r>
      <w:r>
        <w:rPr>
          <w:rFonts w:hint="eastAsia" w:ascii="宋体" w:hAnsi="宋体" w:cs="宋体"/>
          <w:b/>
          <w:color w:val="auto"/>
          <w:sz w:val="24"/>
          <w:highlight w:val="none"/>
        </w:rPr>
        <w:t>）评标过程的监控</w:t>
      </w:r>
    </w:p>
    <w:p w14:paraId="18D95678">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本项目评标过程实行全程录音、录像监控，投标人在评标过程中所进行的试图影响评标结果的不公正活动，可能导致其投标被拒绝。</w:t>
      </w:r>
    </w:p>
    <w:p w14:paraId="12897D03">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eastAsia="zh-CN"/>
        </w:rPr>
        <w:t>九</w:t>
      </w:r>
      <w:r>
        <w:rPr>
          <w:rFonts w:hint="eastAsia" w:ascii="宋体" w:hAnsi="宋体" w:cs="宋体"/>
          <w:b/>
          <w:color w:val="auto"/>
          <w:sz w:val="24"/>
          <w:highlight w:val="none"/>
        </w:rPr>
        <w:t>）其他</w:t>
      </w:r>
    </w:p>
    <w:p w14:paraId="67648615">
      <w:pPr>
        <w:keepNext w:val="0"/>
        <w:keepLines w:val="0"/>
        <w:pageBreakBefore w:val="0"/>
        <w:kinsoku/>
        <w:wordWrap/>
        <w:overflowPunct/>
        <w:topLinePunct w:val="0"/>
        <w:autoSpaceDE/>
        <w:autoSpaceDN/>
        <w:bidi w:val="0"/>
        <w:adjustRightInd w:val="0"/>
        <w:snapToGrid w:val="0"/>
        <w:spacing w:line="400" w:lineRule="exact"/>
        <w:ind w:firstLine="470" w:firstLineChars="196"/>
        <w:textAlignment w:val="auto"/>
        <w:rPr>
          <w:rFonts w:ascii="宋体" w:hAnsi="宋体" w:cs="宋体"/>
          <w:color w:val="auto"/>
          <w:sz w:val="24"/>
          <w:highlight w:val="none"/>
        </w:rPr>
      </w:pPr>
      <w:r>
        <w:rPr>
          <w:rFonts w:hint="eastAsia" w:ascii="宋体" w:hAnsi="宋体" w:cs="宋体"/>
          <w:color w:val="auto"/>
          <w:sz w:val="24"/>
          <w:highlight w:val="none"/>
        </w:rPr>
        <w:t>采购过程中出现以下情形，导致电子交易平台无法正常运行，或者无法保证电子交易的公平、公正和安全时，采购组织机构可中止电子交易活动：</w:t>
      </w:r>
    </w:p>
    <w:p w14:paraId="58342E7A">
      <w:pPr>
        <w:keepNext w:val="0"/>
        <w:keepLines w:val="0"/>
        <w:pageBreakBefore w:val="0"/>
        <w:kinsoku/>
        <w:wordWrap/>
        <w:overflowPunct/>
        <w:topLinePunct w:val="0"/>
        <w:autoSpaceDE/>
        <w:autoSpaceDN/>
        <w:bidi w:val="0"/>
        <w:adjustRightInd w:val="0"/>
        <w:snapToGrid w:val="0"/>
        <w:spacing w:line="400" w:lineRule="exact"/>
        <w:ind w:firstLine="352" w:firstLineChars="147"/>
        <w:textAlignment w:val="auto"/>
        <w:rPr>
          <w:rFonts w:ascii="宋体" w:hAnsi="宋体" w:cs="宋体"/>
          <w:color w:val="auto"/>
          <w:sz w:val="24"/>
          <w:highlight w:val="none"/>
        </w:rPr>
      </w:pPr>
      <w:r>
        <w:rPr>
          <w:rFonts w:hint="eastAsia" w:ascii="宋体" w:hAnsi="宋体" w:cs="宋体"/>
          <w:color w:val="auto"/>
          <w:sz w:val="24"/>
          <w:highlight w:val="none"/>
        </w:rPr>
        <w:t>1、电子交易平台发生故障而无法登录访问的；</w:t>
      </w:r>
    </w:p>
    <w:p w14:paraId="5D56FA9A">
      <w:pPr>
        <w:keepNext w:val="0"/>
        <w:keepLines w:val="0"/>
        <w:pageBreakBefore w:val="0"/>
        <w:kinsoku/>
        <w:wordWrap/>
        <w:overflowPunct/>
        <w:topLinePunct w:val="0"/>
        <w:autoSpaceDE/>
        <w:autoSpaceDN/>
        <w:bidi w:val="0"/>
        <w:adjustRightInd w:val="0"/>
        <w:snapToGrid w:val="0"/>
        <w:spacing w:line="400" w:lineRule="exact"/>
        <w:ind w:firstLine="352" w:firstLineChars="147"/>
        <w:textAlignment w:val="auto"/>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466D2D87">
      <w:pPr>
        <w:keepNext w:val="0"/>
        <w:keepLines w:val="0"/>
        <w:pageBreakBefore w:val="0"/>
        <w:kinsoku/>
        <w:wordWrap/>
        <w:overflowPunct/>
        <w:topLinePunct w:val="0"/>
        <w:autoSpaceDE/>
        <w:autoSpaceDN/>
        <w:bidi w:val="0"/>
        <w:adjustRightInd w:val="0"/>
        <w:snapToGrid w:val="0"/>
        <w:spacing w:line="400" w:lineRule="exact"/>
        <w:ind w:firstLine="352" w:firstLineChars="147"/>
        <w:textAlignment w:val="auto"/>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4169FD77">
      <w:pPr>
        <w:keepNext w:val="0"/>
        <w:keepLines w:val="0"/>
        <w:pageBreakBefore w:val="0"/>
        <w:kinsoku/>
        <w:wordWrap/>
        <w:overflowPunct/>
        <w:topLinePunct w:val="0"/>
        <w:autoSpaceDE/>
        <w:autoSpaceDN/>
        <w:bidi w:val="0"/>
        <w:adjustRightInd w:val="0"/>
        <w:snapToGrid w:val="0"/>
        <w:spacing w:line="400" w:lineRule="exact"/>
        <w:ind w:firstLine="352" w:firstLineChars="147"/>
        <w:textAlignment w:val="auto"/>
        <w:rPr>
          <w:rFonts w:ascii="宋体" w:hAnsi="宋体" w:cs="宋体"/>
          <w:color w:val="auto"/>
          <w:sz w:val="24"/>
          <w:highlight w:val="none"/>
        </w:rPr>
      </w:pPr>
      <w:r>
        <w:rPr>
          <w:rFonts w:hint="eastAsia" w:ascii="宋体" w:hAnsi="宋体" w:cs="宋体"/>
          <w:color w:val="auto"/>
          <w:sz w:val="24"/>
          <w:highlight w:val="none"/>
        </w:rPr>
        <w:t>4、病毒发作导致不能进行正常操作的；</w:t>
      </w:r>
    </w:p>
    <w:p w14:paraId="441DD13F">
      <w:pPr>
        <w:keepNext w:val="0"/>
        <w:keepLines w:val="0"/>
        <w:pageBreakBefore w:val="0"/>
        <w:kinsoku/>
        <w:wordWrap/>
        <w:overflowPunct/>
        <w:topLinePunct w:val="0"/>
        <w:autoSpaceDE/>
        <w:autoSpaceDN/>
        <w:bidi w:val="0"/>
        <w:adjustRightInd w:val="0"/>
        <w:snapToGrid w:val="0"/>
        <w:spacing w:line="400" w:lineRule="exact"/>
        <w:ind w:firstLine="352" w:firstLineChars="147"/>
        <w:textAlignment w:val="auto"/>
        <w:rPr>
          <w:rFonts w:ascii="宋体" w:hAnsi="宋体" w:cs="宋体"/>
          <w:color w:val="auto"/>
          <w:sz w:val="24"/>
          <w:highlight w:val="none"/>
        </w:rPr>
      </w:pPr>
      <w:r>
        <w:rPr>
          <w:rFonts w:hint="eastAsia" w:ascii="宋体" w:hAnsi="宋体" w:cs="宋体"/>
          <w:color w:val="auto"/>
          <w:sz w:val="24"/>
          <w:highlight w:val="none"/>
        </w:rPr>
        <w:t>5、其他无法保证电子交易的公平、公正和安全的情况。</w:t>
      </w:r>
    </w:p>
    <w:p w14:paraId="3C2BABB2">
      <w:pPr>
        <w:keepNext w:val="0"/>
        <w:keepLines w:val="0"/>
        <w:pageBreakBefore w:val="0"/>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cs="宋体"/>
          <w:color w:val="auto"/>
          <w:highlight w:val="none"/>
        </w:rPr>
      </w:pPr>
      <w:r>
        <w:rPr>
          <w:rFonts w:hint="eastAsia" w:ascii="宋体" w:hAnsi="宋体" w:cs="宋体"/>
          <w:color w:val="auto"/>
          <w:sz w:val="24"/>
          <w:highlight w:val="none"/>
        </w:rPr>
        <w:t>出现前款规定情形，不影响采购公平、公正性的，采购组织机构可以待上述情形消除后继续组织电子交易活动；影响或可能影响采购公平、公正性的，应当重新采购。</w:t>
      </w:r>
    </w:p>
    <w:p w14:paraId="1E73E825">
      <w:pPr>
        <w:keepNext w:val="0"/>
        <w:keepLines w:val="0"/>
        <w:pageBreakBefore w:val="0"/>
        <w:kinsoku/>
        <w:wordWrap/>
        <w:overflowPunct/>
        <w:topLinePunct w:val="0"/>
        <w:autoSpaceDE/>
        <w:autoSpaceDN/>
        <w:bidi w:val="0"/>
        <w:adjustRightInd w:val="0"/>
        <w:snapToGrid w:val="0"/>
        <w:spacing w:line="400" w:lineRule="exact"/>
        <w:ind w:firstLine="551" w:firstLineChars="196"/>
        <w:textAlignment w:val="auto"/>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六、定标</w:t>
      </w:r>
    </w:p>
    <w:p w14:paraId="05AE818E">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（一）确定中标人。本项目由采购人授权评标委员会确定中标人。</w:t>
      </w:r>
    </w:p>
    <w:p w14:paraId="13113303">
      <w:pPr>
        <w:keepLines w:val="0"/>
        <w:pageBreakBefore w:val="0"/>
        <w:kinsoku/>
        <w:wordWrap/>
        <w:overflowPunct/>
        <w:topLinePunct w:val="0"/>
        <w:autoSpaceDE/>
        <w:autoSpaceDN/>
        <w:bidi w:val="0"/>
        <w:spacing w:line="380" w:lineRule="exact"/>
        <w:ind w:left="-178" w:leftChars="-85" w:firstLine="588" w:firstLineChars="245"/>
        <w:textAlignment w:val="auto"/>
        <w:rPr>
          <w:rFonts w:ascii="宋体" w:hAnsi="宋体" w:cs="宋体"/>
          <w:bCs/>
          <w:color w:val="auto"/>
          <w:sz w:val="24"/>
          <w:highlight w:val="none"/>
        </w:rPr>
      </w:pPr>
      <w:r>
        <w:rPr>
          <w:rFonts w:hint="eastAsia" w:ascii="宋体" w:hAnsi="宋体" w:cs="宋体"/>
          <w:bCs/>
          <w:color w:val="auto"/>
          <w:sz w:val="24"/>
          <w:highlight w:val="none"/>
        </w:rPr>
        <w:t>1．出现下列情形之一的，采购人或者采购人授权的评标委员会可以按照评审报告推荐的中标或者成交候选人名单排序，确定下一候选人为中标或者成交供应商，也可以重新开展政府采购活动。</w:t>
      </w:r>
    </w:p>
    <w:p w14:paraId="31455DCF">
      <w:pPr>
        <w:keepLines w:val="0"/>
        <w:pageBreakBefore w:val="0"/>
        <w:kinsoku/>
        <w:wordWrap/>
        <w:overflowPunct/>
        <w:topLinePunct w:val="0"/>
        <w:autoSpaceDE/>
        <w:autoSpaceDN/>
        <w:bidi w:val="0"/>
        <w:spacing w:line="380" w:lineRule="exact"/>
        <w:ind w:firstLine="240" w:firstLineChars="100"/>
        <w:textAlignment w:val="auto"/>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pacing w:val="-6"/>
          <w:sz w:val="24"/>
          <w:highlight w:val="none"/>
        </w:rPr>
        <w:t>排名第一的候选供应商，因自身原因放弃中标成交或因不可抗力不能履行合同的</w:t>
      </w:r>
      <w:r>
        <w:rPr>
          <w:rFonts w:hint="eastAsia" w:ascii="宋体" w:hAnsi="宋体" w:cs="宋体"/>
          <w:bCs/>
          <w:color w:val="auto"/>
          <w:sz w:val="24"/>
          <w:highlight w:val="none"/>
        </w:rPr>
        <w:t>；</w:t>
      </w:r>
    </w:p>
    <w:p w14:paraId="427D071E">
      <w:pPr>
        <w:keepLines w:val="0"/>
        <w:pageBreakBefore w:val="0"/>
        <w:kinsoku/>
        <w:wordWrap/>
        <w:overflowPunct/>
        <w:topLinePunct w:val="0"/>
        <w:autoSpaceDE/>
        <w:autoSpaceDN/>
        <w:bidi w:val="0"/>
        <w:spacing w:line="380" w:lineRule="exact"/>
        <w:ind w:firstLine="240" w:firstLineChars="100"/>
        <w:textAlignment w:val="auto"/>
        <w:rPr>
          <w:rFonts w:ascii="宋体" w:hAnsi="宋体" w:cs="宋体"/>
          <w:bCs/>
          <w:color w:val="auto"/>
          <w:sz w:val="24"/>
          <w:highlight w:val="none"/>
        </w:rPr>
      </w:pPr>
      <w:r>
        <w:rPr>
          <w:rFonts w:hint="eastAsia" w:ascii="宋体" w:hAnsi="宋体" w:cs="宋体"/>
          <w:bCs/>
          <w:color w:val="auto"/>
          <w:sz w:val="24"/>
          <w:highlight w:val="none"/>
        </w:rPr>
        <w:t>（2）经质疑，采购组织机构审查确认因排名第一的候选供应商在本次采购活动中存在违法违规行为或其他原因使质疑成立的。</w:t>
      </w:r>
    </w:p>
    <w:p w14:paraId="4E242D98">
      <w:pPr>
        <w:keepLines w:val="0"/>
        <w:pageBreakBefore w:val="0"/>
        <w:kinsoku/>
        <w:wordWrap/>
        <w:overflowPunct/>
        <w:topLinePunct w:val="0"/>
        <w:autoSpaceDE/>
        <w:autoSpaceDN/>
        <w:bidi w:val="0"/>
        <w:spacing w:line="380" w:lineRule="exact"/>
        <w:ind w:left="-178" w:leftChars="-85" w:firstLine="588" w:firstLineChars="245"/>
        <w:textAlignment w:val="auto"/>
        <w:rPr>
          <w:rFonts w:ascii="宋体" w:hAnsi="宋体" w:cs="宋体"/>
          <w:bCs/>
          <w:color w:val="auto"/>
          <w:sz w:val="24"/>
          <w:highlight w:val="none"/>
        </w:rPr>
      </w:pPr>
      <w:r>
        <w:rPr>
          <w:rFonts w:hint="eastAsia" w:ascii="宋体" w:hAnsi="宋体" w:cs="宋体"/>
          <w:bCs/>
          <w:color w:val="auto"/>
          <w:sz w:val="24"/>
          <w:highlight w:val="none"/>
        </w:rPr>
        <w:t>2.采购人应当自收到评审报告之日起5个工作日内在评审报告推荐的中标或者成交候选人中按顺序确定中标或者成交供应商。如有投标人对评标结果提出质疑的，采购人可在质疑处理完毕后确定中标人。</w:t>
      </w:r>
    </w:p>
    <w:p w14:paraId="7B283F2C">
      <w:pPr>
        <w:keepLines w:val="0"/>
        <w:pageBreakBefore w:val="0"/>
        <w:kinsoku/>
        <w:wordWrap/>
        <w:overflowPunct/>
        <w:topLinePunct w:val="0"/>
        <w:autoSpaceDE/>
        <w:autoSpaceDN/>
        <w:bidi w:val="0"/>
        <w:spacing w:line="380" w:lineRule="exact"/>
        <w:ind w:left="-178" w:leftChars="-85" w:firstLine="588" w:firstLineChars="245"/>
        <w:textAlignment w:val="auto"/>
        <w:rPr>
          <w:rFonts w:ascii="宋体" w:hAnsi="宋体" w:cs="宋体"/>
          <w:bCs/>
          <w:color w:val="auto"/>
          <w:sz w:val="24"/>
          <w:highlight w:val="none"/>
        </w:rPr>
      </w:pPr>
      <w:r>
        <w:rPr>
          <w:rFonts w:hint="eastAsia" w:ascii="宋体" w:hAnsi="宋体" w:cs="宋体"/>
          <w:bCs/>
          <w:color w:val="auto"/>
          <w:sz w:val="24"/>
          <w:highlight w:val="none"/>
        </w:rPr>
        <w:t>3.采购人或者采购代理机构应当自中标、成交供应商确定之日起2个工作日内，发出中标、成交通知书，并在省级以上人民政府财政部门指定的媒体上公告中标、成交结果。</w:t>
      </w:r>
    </w:p>
    <w:p w14:paraId="3C66265F">
      <w:pPr>
        <w:keepNext w:val="0"/>
        <w:keepLines w:val="0"/>
        <w:pageBreakBefore w:val="0"/>
        <w:kinsoku/>
        <w:wordWrap/>
        <w:overflowPunct/>
        <w:topLinePunct w:val="0"/>
        <w:autoSpaceDE/>
        <w:autoSpaceDN/>
        <w:bidi w:val="0"/>
        <w:adjustRightInd w:val="0"/>
        <w:snapToGrid w:val="0"/>
        <w:spacing w:line="400" w:lineRule="exact"/>
        <w:ind w:firstLine="551" w:firstLineChars="196"/>
        <w:textAlignment w:val="auto"/>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七、合同授予</w:t>
      </w:r>
    </w:p>
    <w:p w14:paraId="236981CD">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Cs/>
          <w:color w:val="auto"/>
          <w:spacing w:val="-6"/>
          <w:sz w:val="24"/>
          <w:highlight w:val="none"/>
        </w:rPr>
      </w:pPr>
      <w:r>
        <w:rPr>
          <w:rFonts w:hint="eastAsia" w:ascii="宋体" w:hAnsi="宋体" w:cs="宋体"/>
          <w:b/>
          <w:bCs/>
          <w:color w:val="auto"/>
          <w:sz w:val="24"/>
          <w:highlight w:val="none"/>
        </w:rPr>
        <w:t>（一）签订合同</w:t>
      </w:r>
    </w:p>
    <w:p w14:paraId="614F8834">
      <w:pPr>
        <w:keepNext w:val="0"/>
        <w:keepLines w:val="0"/>
        <w:pageBreakBefore w:val="0"/>
        <w:kinsoku/>
        <w:wordWrap/>
        <w:overflowPunct/>
        <w:topLinePunct w:val="0"/>
        <w:autoSpaceDE/>
        <w:autoSpaceDN/>
        <w:bidi w:val="0"/>
        <w:adjustRightInd w:val="0"/>
        <w:snapToGrid w:val="0"/>
        <w:spacing w:line="400" w:lineRule="exact"/>
        <w:ind w:firstLine="456" w:firstLineChars="200"/>
        <w:textAlignment w:val="auto"/>
        <w:rPr>
          <w:rFonts w:hint="eastAsia" w:ascii="宋体" w:hAnsi="宋体" w:cs="宋体"/>
          <w:bCs/>
          <w:color w:val="auto"/>
          <w:spacing w:val="-6"/>
          <w:sz w:val="24"/>
          <w:highlight w:val="none"/>
        </w:rPr>
      </w:pPr>
      <w:r>
        <w:rPr>
          <w:rFonts w:hint="eastAsia" w:ascii="宋体" w:hAnsi="宋体" w:cs="宋体"/>
          <w:bCs/>
          <w:color w:val="auto"/>
          <w:spacing w:val="-6"/>
          <w:sz w:val="24"/>
          <w:highlight w:val="none"/>
        </w:rPr>
        <w:t>1.采购人与中标人应当在《中标通知书》发出之日起20日内签订政府采购合同。同时，采购代理机构对合同内容进行审查，如发现与采购结果和投标承诺内容不一致的，应予以纠正。</w:t>
      </w:r>
    </w:p>
    <w:p w14:paraId="3A2133C9">
      <w:pPr>
        <w:keepNext w:val="0"/>
        <w:keepLines w:val="0"/>
        <w:pageBreakBefore w:val="0"/>
        <w:kinsoku/>
        <w:wordWrap/>
        <w:overflowPunct/>
        <w:topLinePunct w:val="0"/>
        <w:autoSpaceDE/>
        <w:autoSpaceDN/>
        <w:bidi w:val="0"/>
        <w:adjustRightInd w:val="0"/>
        <w:snapToGrid w:val="0"/>
        <w:spacing w:line="400" w:lineRule="exact"/>
        <w:ind w:firstLine="456" w:firstLineChars="200"/>
        <w:textAlignment w:val="auto"/>
        <w:rPr>
          <w:rFonts w:hint="eastAsia" w:ascii="宋体" w:hAnsi="宋体" w:cs="宋体"/>
          <w:bCs/>
          <w:color w:val="auto"/>
          <w:spacing w:val="-6"/>
          <w:sz w:val="24"/>
          <w:highlight w:val="none"/>
        </w:rPr>
      </w:pPr>
      <w:r>
        <w:rPr>
          <w:rFonts w:hint="eastAsia" w:ascii="宋体" w:hAnsi="宋体" w:cs="宋体"/>
          <w:bCs/>
          <w:color w:val="auto"/>
          <w:spacing w:val="-6"/>
          <w:sz w:val="24"/>
          <w:highlight w:val="none"/>
        </w:rPr>
        <w:t>2.如签订合同并生效后，供应商无故拒绝或延期，除按照合同条款处理外，列入不良行为记录一次，并给予通报。</w:t>
      </w:r>
    </w:p>
    <w:p w14:paraId="017DD072">
      <w:pPr>
        <w:keepNext w:val="0"/>
        <w:keepLines w:val="0"/>
        <w:pageBreakBefore w:val="0"/>
        <w:kinsoku/>
        <w:wordWrap/>
        <w:overflowPunct/>
        <w:topLinePunct w:val="0"/>
        <w:autoSpaceDE/>
        <w:autoSpaceDN/>
        <w:bidi w:val="0"/>
        <w:adjustRightInd w:val="0"/>
        <w:snapToGrid w:val="0"/>
        <w:spacing w:line="400" w:lineRule="exact"/>
        <w:ind w:firstLine="456" w:firstLineChars="200"/>
        <w:textAlignment w:val="auto"/>
        <w:rPr>
          <w:rFonts w:hint="eastAsia" w:ascii="宋体" w:hAnsi="宋体" w:cs="宋体"/>
          <w:bCs/>
          <w:color w:val="auto"/>
          <w:spacing w:val="-6"/>
          <w:sz w:val="24"/>
          <w:highlight w:val="none"/>
        </w:rPr>
      </w:pPr>
      <w:r>
        <w:rPr>
          <w:rFonts w:hint="eastAsia" w:ascii="宋体" w:hAnsi="宋体" w:cs="宋体"/>
          <w:bCs/>
          <w:color w:val="auto"/>
          <w:spacing w:val="-6"/>
          <w:sz w:val="24"/>
          <w:highlight w:val="none"/>
          <w:lang w:val="en-US" w:eastAsia="zh-CN"/>
        </w:rPr>
        <w:t>3.</w:t>
      </w:r>
      <w:r>
        <w:rPr>
          <w:rFonts w:hint="eastAsia" w:ascii="宋体" w:hAnsi="宋体" w:cs="宋体"/>
          <w:bCs/>
          <w:color w:val="auto"/>
          <w:spacing w:val="-6"/>
          <w:sz w:val="24"/>
          <w:highlight w:val="none"/>
        </w:rPr>
        <w:t>成交人拒绝与采购人签订合同的，采购人可以按照评审报告推荐的中标或者成交候选人名单排序，确定下一候选人为成交人，也可以重新开展政府采购活动。</w:t>
      </w:r>
    </w:p>
    <w:p w14:paraId="1B4FADC8">
      <w:pPr>
        <w:keepNext w:val="0"/>
        <w:keepLines w:val="0"/>
        <w:pageBreakBefore w:val="0"/>
        <w:kinsoku/>
        <w:wordWrap/>
        <w:overflowPunct/>
        <w:topLinePunct w:val="0"/>
        <w:autoSpaceDE/>
        <w:autoSpaceDN/>
        <w:bidi w:val="0"/>
        <w:adjustRightInd w:val="0"/>
        <w:snapToGrid w:val="0"/>
        <w:spacing w:before="120" w:after="120" w:line="400" w:lineRule="exact"/>
        <w:ind w:firstLine="446" w:firstLineChars="196"/>
        <w:textAlignment w:val="auto"/>
        <w:rPr>
          <w:rFonts w:hint="eastAsia" w:ascii="宋体" w:hAnsi="宋体" w:cs="宋体"/>
          <w:color w:val="auto"/>
          <w:sz w:val="24"/>
          <w:highlight w:val="none"/>
        </w:rPr>
      </w:pPr>
      <w:r>
        <w:rPr>
          <w:rFonts w:hint="eastAsia" w:ascii="宋体" w:hAnsi="宋体" w:cs="宋体"/>
          <w:bCs/>
          <w:color w:val="auto"/>
          <w:spacing w:val="-6"/>
          <w:sz w:val="24"/>
          <w:highlight w:val="none"/>
          <w:lang w:val="en-US" w:eastAsia="zh-CN"/>
        </w:rPr>
        <w:t>4.</w:t>
      </w:r>
      <w:r>
        <w:rPr>
          <w:rFonts w:hint="eastAsia" w:ascii="宋体" w:hAnsi="宋体" w:cs="宋体"/>
          <w:bCs/>
          <w:color w:val="auto"/>
          <w:spacing w:val="-6"/>
          <w:sz w:val="24"/>
          <w:highlight w:val="none"/>
        </w:rPr>
        <w:t>政府采购货物和服务项目不得收取质量保证金。政府采购工程以及与工程建设有关的货物、服务，采用招标方式采购的，按国家和省有关规定执行</w:t>
      </w:r>
      <w:r>
        <w:rPr>
          <w:rFonts w:hint="eastAsia" w:ascii="宋体" w:hAnsi="宋体" w:cs="宋体"/>
          <w:color w:val="auto"/>
          <w:sz w:val="24"/>
          <w:highlight w:val="none"/>
        </w:rPr>
        <w:t>。</w:t>
      </w:r>
    </w:p>
    <w:p w14:paraId="68370230">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（二）履约保证金</w:t>
      </w:r>
    </w:p>
    <w:p w14:paraId="4C5E42A0">
      <w:pPr>
        <w:pStyle w:val="10"/>
        <w:keepNext w:val="0"/>
        <w:keepLines w:val="0"/>
        <w:pageBreakBefore w:val="0"/>
        <w:kinsoku/>
        <w:wordWrap/>
        <w:overflowPunct/>
        <w:topLinePunct w:val="0"/>
        <w:autoSpaceDE/>
        <w:autoSpaceDN/>
        <w:bidi w:val="0"/>
        <w:adjustRightInd w:val="0"/>
        <w:snapToGrid w:val="0"/>
        <w:spacing w:before="120" w:after="120" w:line="400" w:lineRule="exact"/>
        <w:ind w:firstLine="480" w:firstLineChars="20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本项目不收取履约保证金</w:t>
      </w:r>
      <w:r>
        <w:rPr>
          <w:rFonts w:hint="eastAsia" w:hAnsi="宋体" w:cs="宋体"/>
          <w:color w:val="auto"/>
          <w:kern w:val="2"/>
          <w:sz w:val="24"/>
          <w:szCs w:val="24"/>
          <w:highlight w:val="none"/>
          <w:lang w:val="en-US" w:eastAsia="zh-CN" w:bidi="ar-SA"/>
        </w:rPr>
        <w:t>。</w:t>
      </w:r>
    </w:p>
    <w:p w14:paraId="7DD65750">
      <w:pPr>
        <w:pStyle w:val="10"/>
        <w:keepNext w:val="0"/>
        <w:keepLines w:val="0"/>
        <w:pageBreakBefore w:val="0"/>
        <w:kinsoku/>
        <w:wordWrap/>
        <w:overflowPunct/>
        <w:topLinePunct w:val="0"/>
        <w:autoSpaceDE/>
        <w:autoSpaceDN/>
        <w:bidi w:val="0"/>
        <w:adjustRightInd w:val="0"/>
        <w:snapToGrid w:val="0"/>
        <w:spacing w:before="120" w:after="120" w:line="400" w:lineRule="exact"/>
        <w:ind w:firstLine="482" w:firstLineChars="200"/>
        <w:contextualSpacing/>
        <w:textAlignment w:val="auto"/>
        <w:rPr>
          <w:rFonts w:hint="eastAsia" w:hAnsi="宋体" w:cs="宋体"/>
          <w:b/>
          <w:color w:val="auto"/>
          <w:highlight w:val="none"/>
        </w:rPr>
      </w:pPr>
      <w:r>
        <w:rPr>
          <w:rFonts w:hint="eastAsia" w:hAnsi="宋体" w:cs="宋体"/>
          <w:b/>
          <w:color w:val="auto"/>
          <w:highlight w:val="none"/>
        </w:rPr>
        <w:t>八、公共资源交易领域涉黑涉恶举报</w:t>
      </w:r>
    </w:p>
    <w:p w14:paraId="0B39FE82">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为确保招投标活动的公开、公平、公正，切实维护各方合法权益，凡在招标投标、开标评标过程中，受到敲诈、勒索或发现围标串标、虚假投标、恶意竞标等涉黑涉恶线索者，请及时保留相关证据并向有关部门举报。举报电话：</w:t>
      </w:r>
    </w:p>
    <w:p w14:paraId="3C2A85B5">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市扫黑办 ：0579-86655381              市公安局 ：110、0579-86096000</w:t>
      </w:r>
    </w:p>
    <w:p w14:paraId="7A07BD7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市检察院 : 0579-86642000              市 法 院 ：0579-86620148</w:t>
      </w:r>
    </w:p>
    <w:p w14:paraId="7156632B">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hAnsi="宋体" w:cs="宋体"/>
          <w:b/>
          <w:bCs/>
          <w:color w:val="auto"/>
          <w:sz w:val="32"/>
          <w:szCs w:val="32"/>
          <w:highlight w:val="none"/>
        </w:rPr>
      </w:pPr>
      <w:r>
        <w:rPr>
          <w:rFonts w:hint="eastAsia" w:ascii="宋体" w:hAnsi="宋体" w:cs="宋体"/>
          <w:color w:val="auto"/>
          <w:sz w:val="24"/>
          <w:highlight w:val="none"/>
        </w:rPr>
        <w:t xml:space="preserve">市公共资源办:0579-86691835            市公共资源交易中心:0579-86691729 </w:t>
      </w:r>
    </w:p>
    <w:p w14:paraId="34B7B256">
      <w:pPr>
        <w:pStyle w:val="10"/>
        <w:snapToGrid w:val="0"/>
        <w:spacing w:before="0" w:beforeLines="0" w:after="120" w:line="240" w:lineRule="auto"/>
        <w:jc w:val="center"/>
        <w:rPr>
          <w:rFonts w:hint="eastAsia" w:hAnsi="宋体" w:cs="宋体"/>
          <w:b/>
          <w:bCs/>
          <w:color w:val="auto"/>
          <w:sz w:val="32"/>
          <w:szCs w:val="32"/>
          <w:highlight w:val="none"/>
        </w:rPr>
      </w:pPr>
    </w:p>
    <w:p w14:paraId="7C9D4C99">
      <w:pPr>
        <w:pStyle w:val="10"/>
        <w:snapToGrid w:val="0"/>
        <w:spacing w:before="0" w:beforeLines="0" w:after="120" w:line="240" w:lineRule="auto"/>
        <w:jc w:val="center"/>
        <w:rPr>
          <w:rFonts w:hint="eastAsia" w:hAnsi="宋体" w:cs="宋体"/>
          <w:b/>
          <w:bCs/>
          <w:color w:val="auto"/>
          <w:sz w:val="32"/>
          <w:szCs w:val="32"/>
          <w:highlight w:val="none"/>
        </w:rPr>
      </w:pPr>
      <w:r>
        <w:rPr>
          <w:rFonts w:hint="eastAsia" w:hAnsi="宋体" w:cs="宋体"/>
          <w:b/>
          <w:bCs/>
          <w:color w:val="auto"/>
          <w:sz w:val="32"/>
          <w:szCs w:val="32"/>
          <w:highlight w:val="none"/>
        </w:rPr>
        <w:t>第四章  评标办法及评分标准</w:t>
      </w:r>
    </w:p>
    <w:p w14:paraId="4BBAAFC1">
      <w:pPr>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为公正、公平、科学地选择中标人，根据《中华人民共和国政府采购法》等有关法律法规的规定，并结合本项目的实际，制定本办法。</w:t>
      </w:r>
    </w:p>
    <w:p w14:paraId="44EFA987">
      <w:pPr>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本办法适用于</w:t>
      </w:r>
      <w:r>
        <w:rPr>
          <w:rFonts w:hint="eastAsia" w:ascii="宋体" w:hAnsi="宋体" w:cs="宋体"/>
          <w:color w:val="auto"/>
          <w:sz w:val="24"/>
          <w:highlight w:val="none"/>
          <w:lang w:val="en-US" w:eastAsia="zh-CN"/>
        </w:rPr>
        <w:t>东阳市国土空间规划中期评估采购项目</w:t>
      </w:r>
      <w:r>
        <w:rPr>
          <w:rFonts w:hint="eastAsia" w:ascii="宋体" w:hAnsi="宋体" w:cs="宋体"/>
          <w:color w:val="auto"/>
          <w:sz w:val="24"/>
          <w:highlight w:val="none"/>
        </w:rPr>
        <w:t>的评标。</w:t>
      </w:r>
    </w:p>
    <w:p w14:paraId="6E06C0CE">
      <w:pPr>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551" w:firstLineChars="196"/>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一、总则</w:t>
      </w:r>
    </w:p>
    <w:p w14:paraId="021047DB">
      <w:pPr>
        <w:pStyle w:val="8"/>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次评标采用综合评分法，总分为100分，价格分、技术、商务、资信及其他分的分值详见各个标的评标内容。合格投标人的评标得分为各项目汇总得分，中标候选资格按评标综合得分由高到低顺序排列，得分相同的，按投标报价由低到高顺序排列；得分且投标报价相同的，按资信、技术，技术方案得分由高到低顺序排列。排名第一的投标人为中标候选人,排名第二的投标人为候补中标候选人(有效投标人为3家时推荐2名中标候选人，有效标大于3家时，推荐3名中标候选人)……其他投标人中标候选资格依此类推。评分过程中采用四舍五入法，并保留小数2位。</w:t>
      </w:r>
    </w:p>
    <w:p w14:paraId="04872390">
      <w:pPr>
        <w:pStyle w:val="8"/>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投标人评标综合得分=价格分+(技术分+商务分+资信及其他分)</w:t>
      </w:r>
    </w:p>
    <w:p w14:paraId="6DBDC58C">
      <w:pPr>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551" w:firstLineChars="196"/>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二、评标内容及标准</w:t>
      </w:r>
    </w:p>
    <w:p w14:paraId="332D8409">
      <w:pPr>
        <w:pStyle w:val="8"/>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66" w:firstLineChars="200"/>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b/>
          <w:bCs/>
          <w:color w:val="auto"/>
          <w:sz w:val="24"/>
          <w:highlight w:val="none"/>
        </w:rPr>
        <w:t>价格分（</w:t>
      </w:r>
      <w:r>
        <w:rPr>
          <w:rFonts w:hint="eastAsia" w:hAnsi="宋体" w:cs="宋体"/>
          <w:b/>
          <w:bCs/>
          <w:color w:val="auto"/>
          <w:sz w:val="24"/>
          <w:highlight w:val="none"/>
          <w:lang w:val="en-US" w:eastAsia="zh-CN"/>
        </w:rPr>
        <w:t>2</w:t>
      </w:r>
      <w:r>
        <w:rPr>
          <w:rFonts w:hint="eastAsia"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分）</w:t>
      </w:r>
    </w:p>
    <w:p w14:paraId="145615D7">
      <w:pPr>
        <w:pStyle w:val="8"/>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价格分采用低价优先法计算，取所有技术、资信商务得分入围投标人中，投标价格最低的投标报价为评标基准价（中小企业待遇报价低于最低投标报价时，中小企业待遇报价为评标基准价），其他投标人的价格分按照下列公式计算：</w:t>
      </w:r>
    </w:p>
    <w:p w14:paraId="5A88B330">
      <w:pPr>
        <w:pStyle w:val="8"/>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价格分=评标基准价（或中小企业待遇报价）/投标报价×20</w:t>
      </w:r>
    </w:p>
    <w:p w14:paraId="531A2118">
      <w:pPr>
        <w:pStyle w:val="8"/>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参照《关于印发&lt;政府采购促进中小企业发展管理办法&gt;的通知》(财库〔2020〕46号)文件、《财政部、司法部关于政府采购支持监狱企业发展有关问题的通知》（财库〔2014〕68号）文件及《财政部、民政部、中国残疾人联合会关于促进残疾人就业政府采购政策的通知》（财库〔2017〕141号）的规定，本项目对小型和微型企业、监狱企业、残疾人福利性单位价格给予10%扣除，用扣除后的价格参与评审，但不重复享受价格扣除。小型和微型企业是指投标文件中提供了中小企业声明函且符合《关于印发&lt;政府采购促进中小企业发展管理办法&gt;的通知》(财库〔2020〕46号)规定的要求。残疾人福利性单位是指投标文件中提供了残疾人福利性单位声明函且符合《财政部、民政部、中国残疾人联合会关于促进残疾人就业政府采购政策的通知》（财库〔2017〕141号）规定的企业。监狱企业是指投标文件中提供了由省级以上监狱管理局、戒毒管理局（含新疆生产建设兵团）出具的属于监狱企业的证明文件的企业。</w:t>
      </w:r>
    </w:p>
    <w:p w14:paraId="009DD54B">
      <w:pPr>
        <w:pStyle w:val="8"/>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小型、微型企业（或监狱企业或残疾人福利企业）待遇报价的计算方法：</w:t>
      </w:r>
    </w:p>
    <w:p w14:paraId="62B956F6">
      <w:pPr>
        <w:pStyle w:val="8"/>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小型、微型企业（或监狱企业或残疾人福利企业）待遇报价=小型、微型企业（或监狱企业或残疾人福利企业）投标人投标报价*（1-10%）</w:t>
      </w:r>
    </w:p>
    <w:p w14:paraId="22B92202">
      <w:pPr>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（二）技术分、商务分、资信及其他分，共</w:t>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分</w:t>
      </w:r>
    </w:p>
    <w:p w14:paraId="60AF48B8">
      <w:pPr>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9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技术、商务、资信及其他分按照评标委员会成员的独立评分结果的算术平均分计算，计算公式为：</w:t>
      </w:r>
    </w:p>
    <w:p w14:paraId="77EE3BB6">
      <w:pPr>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ind w:firstLine="495"/>
        <w:textAlignment w:val="auto"/>
        <w:rPr>
          <w:rFonts w:hint="eastAsia" w:ascii="宋体" w:hAnsi="宋体" w:cs="宋体"/>
          <w:b/>
          <w:color w:val="auto"/>
          <w:sz w:val="24"/>
          <w:highlight w:val="none"/>
        </w:rPr>
      </w:pPr>
      <w:r>
        <w:rPr>
          <w:rFonts w:hint="eastAsia" w:ascii="宋体" w:hAnsi="宋体" w:eastAsia="宋体" w:cs="宋体"/>
          <w:color w:val="auto"/>
          <w:sz w:val="24"/>
          <w:highlight w:val="none"/>
        </w:rPr>
        <w:t>技术商务资信及其他分=（评标委员会所有成员评分合计数）/（评标委员会组成人员数）</w:t>
      </w:r>
    </w:p>
    <w:p w14:paraId="30ECABD7">
      <w:pPr>
        <w:tabs>
          <w:tab w:val="left" w:pos="1154"/>
        </w:tabs>
        <w:spacing w:line="360" w:lineRule="auto"/>
        <w:rPr>
          <w:rFonts w:hint="eastAsia"/>
          <w:color w:val="auto"/>
          <w:highlight w:val="none"/>
        </w:rPr>
      </w:pPr>
      <w:r>
        <w:rPr>
          <w:rFonts w:hint="eastAsia" w:ascii="宋体" w:hAnsi="宋体" w:cs="宋体"/>
          <w:b/>
          <w:color w:val="auto"/>
          <w:sz w:val="24"/>
          <w:highlight w:val="none"/>
        </w:rPr>
        <w:t>附件：评分表格式（技术、商务、资信及其他分，共</w:t>
      </w:r>
      <w:r>
        <w:rPr>
          <w:rFonts w:hint="eastAsia" w:ascii="宋体" w:hAnsi="宋体" w:cs="宋体"/>
          <w:b/>
          <w:color w:val="auto"/>
          <w:sz w:val="24"/>
          <w:highlight w:val="none"/>
          <w:lang w:val="en-US" w:eastAsia="zh-CN"/>
        </w:rPr>
        <w:t>80</w:t>
      </w:r>
      <w:r>
        <w:rPr>
          <w:rFonts w:hint="eastAsia" w:ascii="宋体" w:hAnsi="宋体" w:cs="宋体"/>
          <w:b/>
          <w:color w:val="auto"/>
          <w:sz w:val="24"/>
          <w:highlight w:val="none"/>
        </w:rPr>
        <w:t>分）</w:t>
      </w:r>
    </w:p>
    <w:tbl>
      <w:tblPr>
        <w:tblStyle w:val="25"/>
        <w:tblW w:w="10052" w:type="dxa"/>
        <w:tblInd w:w="-44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05"/>
        <w:gridCol w:w="7257"/>
        <w:gridCol w:w="795"/>
      </w:tblGrid>
      <w:tr w14:paraId="55C00A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95" w:type="dxa"/>
            <w:tcBorders>
              <w:top w:val="double" w:color="auto" w:sz="4" w:space="0"/>
            </w:tcBorders>
            <w:vAlign w:val="center"/>
          </w:tcPr>
          <w:p w14:paraId="31AA2522">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05" w:type="dxa"/>
            <w:tcBorders>
              <w:top w:val="double" w:color="auto" w:sz="4" w:space="0"/>
            </w:tcBorders>
            <w:vAlign w:val="center"/>
          </w:tcPr>
          <w:p w14:paraId="675F4E49">
            <w:pPr>
              <w:spacing w:line="3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评分项目</w:t>
            </w:r>
          </w:p>
        </w:tc>
        <w:tc>
          <w:tcPr>
            <w:tcW w:w="7257" w:type="dxa"/>
            <w:tcBorders>
              <w:top w:val="double" w:color="auto" w:sz="4" w:space="0"/>
            </w:tcBorders>
            <w:vAlign w:val="center"/>
          </w:tcPr>
          <w:p w14:paraId="4E4B248E">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w:t>
            </w:r>
          </w:p>
        </w:tc>
        <w:tc>
          <w:tcPr>
            <w:tcW w:w="795" w:type="dxa"/>
            <w:tcBorders>
              <w:top w:val="double" w:color="auto" w:sz="4" w:space="0"/>
            </w:tcBorders>
            <w:vAlign w:val="center"/>
          </w:tcPr>
          <w:p w14:paraId="33C633D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分值</w:t>
            </w:r>
          </w:p>
        </w:tc>
      </w:tr>
      <w:tr w14:paraId="67C9F9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tcBorders>
              <w:top w:val="double" w:color="auto" w:sz="4" w:space="0"/>
            </w:tcBorders>
            <w:vAlign w:val="center"/>
          </w:tcPr>
          <w:p w14:paraId="437248C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8462" w:type="dxa"/>
            <w:gridSpan w:val="2"/>
            <w:tcBorders>
              <w:top w:val="double" w:color="auto" w:sz="4" w:space="0"/>
            </w:tcBorders>
            <w:vAlign w:val="center"/>
          </w:tcPr>
          <w:p w14:paraId="125DDA79">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技术分</w:t>
            </w:r>
          </w:p>
        </w:tc>
        <w:tc>
          <w:tcPr>
            <w:tcW w:w="795" w:type="dxa"/>
            <w:tcBorders>
              <w:top w:val="double" w:color="auto" w:sz="4" w:space="0"/>
            </w:tcBorders>
            <w:vAlign w:val="center"/>
          </w:tcPr>
          <w:p w14:paraId="35931CF0">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70分</w:t>
            </w:r>
          </w:p>
        </w:tc>
      </w:tr>
      <w:tr w14:paraId="7C95DA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57667237">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05" w:type="dxa"/>
            <w:vAlign w:val="center"/>
          </w:tcPr>
          <w:p w14:paraId="10387E0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项目背景与理解</w:t>
            </w:r>
          </w:p>
        </w:tc>
        <w:tc>
          <w:tcPr>
            <w:tcW w:w="7257" w:type="dxa"/>
            <w:vAlign w:val="center"/>
          </w:tcPr>
          <w:p w14:paraId="62468D8E">
            <w:pPr>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结合各级各类政策要求和上位规划，全面分析对东阳市</w:t>
            </w:r>
            <w:r>
              <w:rPr>
                <w:rFonts w:hint="eastAsia" w:ascii="宋体" w:hAnsi="宋体" w:eastAsia="宋体" w:cs="宋体"/>
                <w:color w:val="auto"/>
                <w:sz w:val="24"/>
                <w:highlight w:val="none"/>
                <w:lang w:val="en-US" w:eastAsia="zh-CN"/>
              </w:rPr>
              <w:t>城市</w:t>
            </w:r>
            <w:r>
              <w:rPr>
                <w:rFonts w:hint="eastAsia" w:ascii="宋体" w:hAnsi="宋体" w:eastAsia="宋体" w:cs="宋体"/>
                <w:color w:val="auto"/>
                <w:sz w:val="24"/>
                <w:highlight w:val="none"/>
                <w:lang w:val="zh-CN"/>
              </w:rPr>
              <w:t>体检评估（0-1分）、国土空间总体规划</w:t>
            </w:r>
            <w:r>
              <w:rPr>
                <w:rFonts w:hint="eastAsia" w:ascii="宋体" w:hAnsi="宋体" w:eastAsia="宋体" w:cs="宋体"/>
                <w:color w:val="auto"/>
                <w:sz w:val="24"/>
                <w:highlight w:val="none"/>
                <w:lang w:val="en-US" w:eastAsia="zh-CN"/>
              </w:rPr>
              <w:t>五年评估和</w:t>
            </w:r>
            <w:r>
              <w:rPr>
                <w:rFonts w:hint="eastAsia" w:ascii="宋体" w:hAnsi="宋体" w:eastAsia="宋体" w:cs="宋体"/>
                <w:color w:val="auto"/>
                <w:sz w:val="24"/>
                <w:highlight w:val="none"/>
                <w:lang w:val="zh-CN"/>
              </w:rPr>
              <w:t>动态维护的开展背景（0-1分）</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对项目背景分析的全面性、充足性等内容评审</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47B16C55">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r>
      <w:tr w14:paraId="5A5CE1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6099394E">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05" w:type="dxa"/>
            <w:vMerge w:val="restart"/>
            <w:vAlign w:val="center"/>
          </w:tcPr>
          <w:p w14:paraId="713851A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东阳市年度体检和评估</w:t>
            </w:r>
          </w:p>
        </w:tc>
        <w:tc>
          <w:tcPr>
            <w:tcW w:w="7257" w:type="dxa"/>
            <w:vAlign w:val="center"/>
          </w:tcPr>
          <w:p w14:paraId="18A27314">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城市体检与现状分析。全面分析东阳市城市发展现状，从安全韧性（0-1分）、创新高效（0-1分）、协调集约（0-1分）、绿色低碳（0-1分）、开放繁荣（0-1分）、共享幸福（0-1分）6个方面进行体检，总结问题并提出实施成效</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对现状分析准确性和合理性进行评审</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2B258B47">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r>
      <w:tr w14:paraId="32F217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0CB19CC3">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05" w:type="dxa"/>
            <w:vMerge w:val="continue"/>
            <w:vAlign w:val="center"/>
          </w:tcPr>
          <w:p w14:paraId="14D79C4A">
            <w:pPr>
              <w:jc w:val="center"/>
              <w:rPr>
                <w:rFonts w:hint="eastAsia" w:ascii="宋体" w:hAnsi="宋体" w:eastAsia="宋体" w:cs="宋体"/>
                <w:color w:val="auto"/>
                <w:sz w:val="24"/>
                <w:highlight w:val="none"/>
              </w:rPr>
            </w:pPr>
          </w:p>
        </w:tc>
        <w:tc>
          <w:tcPr>
            <w:tcW w:w="7257" w:type="dxa"/>
            <w:vAlign w:val="center"/>
          </w:tcPr>
          <w:p w14:paraId="2E93863F">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城区镇区范围划定。提出城区镇区划定思路（0-1分），划定城区镇区实体地域范围和城区镇区范围（0-2分）</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对技术方法的科学性和划定结果的合理性进行评审</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6C91DD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060BB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060C68D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05" w:type="dxa"/>
            <w:vMerge w:val="continue"/>
            <w:vAlign w:val="center"/>
          </w:tcPr>
          <w:p w14:paraId="251DDB0A">
            <w:pPr>
              <w:jc w:val="center"/>
              <w:rPr>
                <w:rFonts w:hint="eastAsia" w:ascii="宋体" w:hAnsi="宋体" w:eastAsia="宋体" w:cs="宋体"/>
                <w:color w:val="auto"/>
                <w:sz w:val="24"/>
                <w:highlight w:val="none"/>
              </w:rPr>
            </w:pPr>
          </w:p>
        </w:tc>
        <w:tc>
          <w:tcPr>
            <w:tcW w:w="7257" w:type="dxa"/>
            <w:vAlign w:val="center"/>
          </w:tcPr>
          <w:p w14:paraId="0568E28E">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构建城市体检指标体系（0-</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zh-CN"/>
              </w:rPr>
              <w:t>分），并提出东阳市近年来各项指标变化情况（0-</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zh-CN"/>
              </w:rPr>
              <w:t>分）</w:t>
            </w:r>
            <w:r>
              <w:rPr>
                <w:rFonts w:hint="eastAsia" w:ascii="宋体" w:hAnsi="宋体" w:cs="宋体"/>
                <w:color w:val="auto"/>
                <w:sz w:val="24"/>
                <w:highlight w:val="none"/>
                <w:lang w:val="en-US" w:eastAsia="zh-CN"/>
              </w:rPr>
              <w:t>。</w:t>
            </w:r>
            <w:r>
              <w:rPr>
                <w:rFonts w:hint="eastAsia" w:ascii="宋体" w:hAnsi="宋体" w:eastAsia="宋体" w:cs="Times New Roman"/>
                <w:color w:val="auto"/>
                <w:sz w:val="24"/>
                <w:szCs w:val="28"/>
                <w:highlight w:val="none"/>
              </w:rPr>
              <w:t>对指标体系和变化情况的科学性和准确性等内容评审</w:t>
            </w:r>
            <w:r>
              <w:rPr>
                <w:rFonts w:hint="eastAsia" w:ascii="宋体" w:hAnsi="宋体" w:cs="Times New Roman"/>
                <w:color w:val="auto"/>
                <w:sz w:val="24"/>
                <w:szCs w:val="28"/>
                <w:highlight w:val="none"/>
                <w:lang w:eastAsia="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Times New Roman"/>
                <w:color w:val="auto"/>
                <w:sz w:val="24"/>
                <w:szCs w:val="28"/>
                <w:highlight w:val="none"/>
              </w:rPr>
              <w:t>。</w:t>
            </w:r>
          </w:p>
        </w:tc>
        <w:tc>
          <w:tcPr>
            <w:tcW w:w="795" w:type="dxa"/>
            <w:vAlign w:val="center"/>
          </w:tcPr>
          <w:p w14:paraId="23C825D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r>
      <w:tr w14:paraId="7792D4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57FF3BAE">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205" w:type="dxa"/>
            <w:vMerge w:val="continue"/>
            <w:vAlign w:val="center"/>
          </w:tcPr>
          <w:p w14:paraId="75A157ED">
            <w:pPr>
              <w:jc w:val="center"/>
              <w:rPr>
                <w:rFonts w:hint="eastAsia" w:ascii="宋体" w:hAnsi="宋体" w:eastAsia="宋体" w:cs="宋体"/>
                <w:color w:val="auto"/>
                <w:sz w:val="24"/>
                <w:highlight w:val="none"/>
              </w:rPr>
            </w:pPr>
          </w:p>
        </w:tc>
        <w:tc>
          <w:tcPr>
            <w:tcW w:w="7257" w:type="dxa"/>
            <w:vAlign w:val="center"/>
          </w:tcPr>
          <w:p w14:paraId="49B71782">
            <w:pPr>
              <w:jc w:val="left"/>
              <w:rPr>
                <w:rFonts w:hint="eastAsia" w:ascii="宋体" w:hAnsi="宋体" w:eastAsia="宋体" w:cs="Times New Roman"/>
                <w:color w:val="auto"/>
                <w:sz w:val="24"/>
                <w:szCs w:val="28"/>
                <w:highlight w:val="none"/>
              </w:rPr>
            </w:pPr>
            <w:r>
              <w:rPr>
                <w:rFonts w:hint="eastAsia" w:ascii="宋体" w:hAnsi="宋体" w:eastAsia="宋体" w:cs="宋体"/>
                <w:color w:val="auto"/>
                <w:kern w:val="0"/>
                <w:sz w:val="24"/>
                <w:highlight w:val="none"/>
              </w:rPr>
              <w:t>根据投标人针对本项目提供的</w:t>
            </w:r>
            <w:r>
              <w:rPr>
                <w:rFonts w:hint="eastAsia" w:ascii="宋体" w:hAnsi="宋体" w:eastAsia="宋体" w:cs="Times New Roman"/>
                <w:color w:val="auto"/>
                <w:sz w:val="24"/>
                <w:szCs w:val="28"/>
                <w:highlight w:val="none"/>
              </w:rPr>
              <w:t>战略定位评估，依据上位规划和相关规划要求，评估东阳国土空间总体规划对国家战略要求（0-1分）、重大规划（0-1分）和五年发展规划的适应性（0-1分）</w:t>
            </w:r>
            <w:r>
              <w:rPr>
                <w:rFonts w:hint="eastAsia" w:ascii="宋体" w:hAnsi="宋体" w:cs="Times New Roman"/>
                <w:color w:val="auto"/>
                <w:sz w:val="24"/>
                <w:szCs w:val="28"/>
                <w:highlight w:val="none"/>
                <w:lang w:eastAsia="zh-CN"/>
              </w:rPr>
              <w:t>。</w:t>
            </w:r>
            <w:r>
              <w:rPr>
                <w:rFonts w:hint="eastAsia" w:ascii="宋体" w:hAnsi="宋体" w:eastAsia="宋体" w:cs="Times New Roman"/>
                <w:color w:val="auto"/>
                <w:sz w:val="24"/>
                <w:szCs w:val="28"/>
                <w:highlight w:val="none"/>
              </w:rPr>
              <w:t>对分析的准确性和符合实际性等内容评审</w:t>
            </w:r>
            <w:r>
              <w:rPr>
                <w:rFonts w:hint="eastAsia" w:ascii="宋体" w:hAnsi="宋体" w:cs="Times New Roman"/>
                <w:color w:val="auto"/>
                <w:sz w:val="24"/>
                <w:szCs w:val="28"/>
                <w:highlight w:val="none"/>
                <w:lang w:eastAsia="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Times New Roman"/>
                <w:color w:val="auto"/>
                <w:sz w:val="24"/>
                <w:szCs w:val="28"/>
                <w:highlight w:val="none"/>
              </w:rPr>
              <w:t>。</w:t>
            </w:r>
          </w:p>
        </w:tc>
        <w:tc>
          <w:tcPr>
            <w:tcW w:w="795" w:type="dxa"/>
            <w:vAlign w:val="center"/>
          </w:tcPr>
          <w:p w14:paraId="100DAC2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15751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5001DED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205" w:type="dxa"/>
            <w:vMerge w:val="continue"/>
            <w:vAlign w:val="center"/>
          </w:tcPr>
          <w:p w14:paraId="72CDE10C">
            <w:pPr>
              <w:jc w:val="center"/>
              <w:rPr>
                <w:rFonts w:hint="eastAsia" w:ascii="宋体" w:hAnsi="宋体" w:eastAsia="宋体" w:cs="宋体"/>
                <w:color w:val="auto"/>
                <w:sz w:val="24"/>
                <w:highlight w:val="none"/>
              </w:rPr>
            </w:pPr>
          </w:p>
        </w:tc>
        <w:tc>
          <w:tcPr>
            <w:tcW w:w="7257" w:type="dxa"/>
            <w:vAlign w:val="center"/>
          </w:tcPr>
          <w:p w14:paraId="5F3F837E">
            <w:pPr>
              <w:jc w:val="left"/>
              <w:rPr>
                <w:rFonts w:hint="eastAsia" w:ascii="宋体" w:hAnsi="宋体" w:eastAsia="宋体" w:cs="Times New Roman"/>
                <w:color w:val="auto"/>
                <w:sz w:val="24"/>
                <w:szCs w:val="28"/>
                <w:highlight w:val="none"/>
              </w:rPr>
            </w:pPr>
            <w:r>
              <w:rPr>
                <w:rFonts w:hint="eastAsia" w:ascii="宋体" w:hAnsi="宋体" w:eastAsia="宋体" w:cs="宋体"/>
                <w:color w:val="auto"/>
                <w:kern w:val="0"/>
                <w:sz w:val="24"/>
                <w:highlight w:val="none"/>
              </w:rPr>
              <w:t>根据投标人针对本项目提供的</w:t>
            </w:r>
            <w:r>
              <w:rPr>
                <w:rFonts w:hint="eastAsia" w:ascii="宋体" w:hAnsi="宋体" w:eastAsia="宋体" w:cs="Times New Roman"/>
                <w:color w:val="auto"/>
                <w:sz w:val="24"/>
                <w:szCs w:val="28"/>
                <w:highlight w:val="none"/>
              </w:rPr>
              <w:t>底线管控评估，对三条控制线（0-</w:t>
            </w:r>
            <w:r>
              <w:rPr>
                <w:rFonts w:hint="eastAsia" w:ascii="宋体" w:hAnsi="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rPr>
              <w:t>分）、城市“五线”（0-</w:t>
            </w:r>
            <w:r>
              <w:rPr>
                <w:rFonts w:hint="eastAsia" w:ascii="宋体" w:hAnsi="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rPr>
              <w:t>分）和其他控制线开展（0-</w:t>
            </w:r>
            <w:r>
              <w:rPr>
                <w:rFonts w:hint="eastAsia" w:ascii="宋体" w:hAnsi="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rPr>
              <w:t>分）实施情况评估</w:t>
            </w:r>
            <w:r>
              <w:rPr>
                <w:rFonts w:hint="eastAsia" w:ascii="宋体" w:hAnsi="宋体" w:cs="Times New Roman"/>
                <w:color w:val="auto"/>
                <w:sz w:val="24"/>
                <w:szCs w:val="28"/>
                <w:highlight w:val="none"/>
                <w:lang w:val="en-US" w:eastAsia="zh-CN"/>
              </w:rPr>
              <w:t>。</w:t>
            </w:r>
            <w:r>
              <w:rPr>
                <w:rFonts w:hint="eastAsia" w:ascii="宋体" w:hAnsi="宋体" w:eastAsia="宋体" w:cs="Times New Roman"/>
                <w:color w:val="auto"/>
                <w:sz w:val="24"/>
                <w:szCs w:val="28"/>
                <w:highlight w:val="none"/>
              </w:rPr>
              <w:t>对分析的全面性和科学性进行评审</w:t>
            </w:r>
            <w:r>
              <w:rPr>
                <w:rFonts w:hint="eastAsia" w:ascii="宋体" w:hAnsi="宋体" w:cs="Times New Roman"/>
                <w:color w:val="auto"/>
                <w:sz w:val="24"/>
                <w:szCs w:val="28"/>
                <w:highlight w:val="none"/>
                <w:lang w:eastAsia="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Times New Roman"/>
                <w:color w:val="auto"/>
                <w:sz w:val="24"/>
                <w:szCs w:val="28"/>
                <w:highlight w:val="none"/>
              </w:rPr>
              <w:t>。</w:t>
            </w:r>
          </w:p>
        </w:tc>
        <w:tc>
          <w:tcPr>
            <w:tcW w:w="795" w:type="dxa"/>
            <w:vAlign w:val="center"/>
          </w:tcPr>
          <w:p w14:paraId="22A4559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14:paraId="1EECD2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95" w:type="dxa"/>
            <w:shd w:val="clear" w:color="auto" w:fill="auto"/>
            <w:vAlign w:val="center"/>
          </w:tcPr>
          <w:p w14:paraId="04D3C147">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205" w:type="dxa"/>
            <w:vMerge w:val="continue"/>
            <w:vAlign w:val="center"/>
          </w:tcPr>
          <w:p w14:paraId="4AAA77B7">
            <w:pPr>
              <w:jc w:val="center"/>
              <w:rPr>
                <w:rFonts w:hint="eastAsia" w:ascii="宋体" w:hAnsi="宋体" w:eastAsia="宋体" w:cs="宋体"/>
                <w:color w:val="auto"/>
                <w:sz w:val="24"/>
                <w:highlight w:val="none"/>
              </w:rPr>
            </w:pPr>
          </w:p>
        </w:tc>
        <w:tc>
          <w:tcPr>
            <w:tcW w:w="7257" w:type="dxa"/>
            <w:vAlign w:val="center"/>
          </w:tcPr>
          <w:p w14:paraId="08BF86CB">
            <w:pPr>
              <w:jc w:val="left"/>
              <w:rPr>
                <w:rFonts w:hint="eastAsia" w:ascii="宋体" w:hAnsi="宋体" w:eastAsia="宋体" w:cs="Times New Roman"/>
                <w:color w:val="auto"/>
                <w:sz w:val="24"/>
                <w:szCs w:val="28"/>
                <w:highlight w:val="none"/>
              </w:rPr>
            </w:pPr>
            <w:r>
              <w:rPr>
                <w:rFonts w:hint="eastAsia" w:ascii="宋体" w:hAnsi="宋体" w:eastAsia="宋体" w:cs="宋体"/>
                <w:color w:val="auto"/>
                <w:kern w:val="0"/>
                <w:sz w:val="24"/>
                <w:highlight w:val="none"/>
              </w:rPr>
              <w:t>根据投标人针对本项目提供的</w:t>
            </w:r>
            <w:r>
              <w:rPr>
                <w:rFonts w:hint="eastAsia" w:ascii="宋体" w:hAnsi="宋体" w:eastAsia="宋体" w:cs="Times New Roman"/>
                <w:color w:val="auto"/>
                <w:sz w:val="24"/>
                <w:szCs w:val="28"/>
                <w:highlight w:val="none"/>
              </w:rPr>
              <w:t>规模结构评估，从国土空间总体结构合理性入手，对人口规模和城镇化（0-1分）、产业发展（0-1分）、用地结构（0-1分）、集约节约水平（0-1分）进行评估分析</w:t>
            </w:r>
            <w:r>
              <w:rPr>
                <w:rFonts w:hint="eastAsia" w:ascii="宋体" w:hAnsi="宋体" w:cs="Times New Roman"/>
                <w:color w:val="auto"/>
                <w:sz w:val="24"/>
                <w:szCs w:val="28"/>
                <w:highlight w:val="none"/>
                <w:lang w:val="en-US" w:eastAsia="zh-CN"/>
              </w:rPr>
              <w:t>。</w:t>
            </w:r>
            <w:r>
              <w:rPr>
                <w:rFonts w:hint="eastAsia" w:ascii="宋体" w:hAnsi="宋体" w:eastAsia="宋体" w:cs="Times New Roman"/>
                <w:color w:val="auto"/>
                <w:sz w:val="24"/>
                <w:szCs w:val="28"/>
                <w:highlight w:val="none"/>
              </w:rPr>
              <w:t>从分析的全面性和合理性角度进行评审</w:t>
            </w:r>
            <w:r>
              <w:rPr>
                <w:rFonts w:hint="eastAsia" w:ascii="宋体" w:hAnsi="宋体" w:cs="Times New Roman"/>
                <w:color w:val="auto"/>
                <w:sz w:val="24"/>
                <w:szCs w:val="28"/>
                <w:highlight w:val="none"/>
                <w:lang w:eastAsia="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Times New Roman"/>
                <w:color w:val="auto"/>
                <w:sz w:val="24"/>
                <w:szCs w:val="28"/>
                <w:highlight w:val="none"/>
              </w:rPr>
              <w:t>。</w:t>
            </w:r>
          </w:p>
        </w:tc>
        <w:tc>
          <w:tcPr>
            <w:tcW w:w="795" w:type="dxa"/>
            <w:vAlign w:val="center"/>
          </w:tcPr>
          <w:p w14:paraId="36A2CF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r>
      <w:tr w14:paraId="264A03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5" w:type="dxa"/>
            <w:shd w:val="clear" w:color="auto" w:fill="auto"/>
            <w:vAlign w:val="center"/>
          </w:tcPr>
          <w:p w14:paraId="71E55BC2">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205" w:type="dxa"/>
            <w:vMerge w:val="continue"/>
            <w:vAlign w:val="center"/>
          </w:tcPr>
          <w:p w14:paraId="06FE0C1A">
            <w:pPr>
              <w:jc w:val="center"/>
              <w:rPr>
                <w:rFonts w:hint="eastAsia" w:ascii="宋体" w:hAnsi="宋体" w:eastAsia="宋体" w:cs="宋体"/>
                <w:color w:val="auto"/>
                <w:sz w:val="24"/>
                <w:highlight w:val="none"/>
              </w:rPr>
            </w:pPr>
          </w:p>
        </w:tc>
        <w:tc>
          <w:tcPr>
            <w:tcW w:w="7257" w:type="dxa"/>
            <w:vAlign w:val="center"/>
          </w:tcPr>
          <w:p w14:paraId="5B230734">
            <w:pPr>
              <w:jc w:val="left"/>
              <w:rPr>
                <w:rFonts w:hint="eastAsia" w:ascii="宋体" w:hAnsi="宋体" w:eastAsia="宋体" w:cs="Times New Roman"/>
                <w:color w:val="auto"/>
                <w:sz w:val="24"/>
                <w:szCs w:val="28"/>
                <w:highlight w:val="none"/>
              </w:rPr>
            </w:pPr>
            <w:r>
              <w:rPr>
                <w:rFonts w:hint="eastAsia" w:ascii="宋体" w:hAnsi="宋体" w:eastAsia="宋体" w:cs="宋体"/>
                <w:color w:val="auto"/>
                <w:kern w:val="0"/>
                <w:sz w:val="24"/>
                <w:highlight w:val="none"/>
              </w:rPr>
              <w:t>根据投标人针对本项目提供的</w:t>
            </w:r>
            <w:r>
              <w:rPr>
                <w:rFonts w:hint="eastAsia" w:ascii="宋体" w:hAnsi="宋体" w:eastAsia="宋体" w:cs="Times New Roman"/>
                <w:color w:val="auto"/>
                <w:sz w:val="24"/>
                <w:szCs w:val="28"/>
                <w:highlight w:val="none"/>
              </w:rPr>
              <w:t>空间布局评估，系统评估规划用途分区（0-1分）、城乡融合发展（0-1分）和产业发展格局（0-1分）的实施情况</w:t>
            </w:r>
            <w:r>
              <w:rPr>
                <w:rFonts w:hint="eastAsia" w:ascii="宋体" w:hAnsi="宋体" w:cs="Times New Roman"/>
                <w:color w:val="auto"/>
                <w:sz w:val="24"/>
                <w:szCs w:val="28"/>
                <w:highlight w:val="none"/>
                <w:lang w:val="en-US" w:eastAsia="zh-CN"/>
              </w:rPr>
              <w:t>。</w:t>
            </w:r>
            <w:r>
              <w:rPr>
                <w:rFonts w:hint="eastAsia" w:ascii="宋体" w:hAnsi="宋体" w:eastAsia="宋体" w:cs="Times New Roman"/>
                <w:color w:val="auto"/>
                <w:sz w:val="24"/>
                <w:szCs w:val="28"/>
                <w:highlight w:val="none"/>
              </w:rPr>
              <w:t>对分析的合理性和准确性进行评审</w:t>
            </w:r>
            <w:r>
              <w:rPr>
                <w:rFonts w:hint="eastAsia" w:ascii="宋体" w:hAnsi="宋体" w:cs="Times New Roman"/>
                <w:color w:val="auto"/>
                <w:sz w:val="24"/>
                <w:szCs w:val="28"/>
                <w:highlight w:val="none"/>
                <w:lang w:eastAsia="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Times New Roman"/>
                <w:color w:val="auto"/>
                <w:sz w:val="24"/>
                <w:szCs w:val="28"/>
                <w:highlight w:val="none"/>
              </w:rPr>
              <w:t>。</w:t>
            </w:r>
          </w:p>
        </w:tc>
        <w:tc>
          <w:tcPr>
            <w:tcW w:w="795" w:type="dxa"/>
            <w:vAlign w:val="center"/>
          </w:tcPr>
          <w:p w14:paraId="69D833D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7B5AC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795" w:type="dxa"/>
            <w:shd w:val="clear" w:color="auto" w:fill="auto"/>
            <w:vAlign w:val="center"/>
          </w:tcPr>
          <w:p w14:paraId="67433F0F">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205" w:type="dxa"/>
            <w:vMerge w:val="continue"/>
            <w:vAlign w:val="center"/>
          </w:tcPr>
          <w:p w14:paraId="19D700C9">
            <w:pPr>
              <w:jc w:val="center"/>
              <w:rPr>
                <w:rFonts w:hint="eastAsia" w:ascii="宋体" w:hAnsi="宋体" w:eastAsia="宋体" w:cs="宋体"/>
                <w:color w:val="auto"/>
                <w:sz w:val="24"/>
                <w:highlight w:val="none"/>
              </w:rPr>
            </w:pPr>
          </w:p>
        </w:tc>
        <w:tc>
          <w:tcPr>
            <w:tcW w:w="7257" w:type="dxa"/>
            <w:vAlign w:val="center"/>
          </w:tcPr>
          <w:p w14:paraId="6845ECCB">
            <w:pPr>
              <w:jc w:val="left"/>
              <w:rPr>
                <w:rFonts w:ascii="Times New Roman" w:hAnsi="Times New Roman" w:eastAsia="宋体" w:cs="Times New Roman"/>
                <w:color w:val="auto"/>
                <w:highlight w:val="none"/>
              </w:rPr>
            </w:pPr>
            <w:r>
              <w:rPr>
                <w:rFonts w:hint="eastAsia" w:ascii="宋体" w:hAnsi="宋体" w:eastAsia="宋体" w:cs="宋体"/>
                <w:color w:val="auto"/>
                <w:kern w:val="0"/>
                <w:sz w:val="24"/>
                <w:highlight w:val="none"/>
              </w:rPr>
              <w:t>根据投标人针对本项目提供的</w:t>
            </w:r>
            <w:r>
              <w:rPr>
                <w:rFonts w:hint="eastAsia" w:ascii="宋体" w:hAnsi="宋体" w:eastAsia="宋体" w:cs="Times New Roman"/>
                <w:color w:val="auto"/>
                <w:sz w:val="24"/>
                <w:szCs w:val="28"/>
                <w:highlight w:val="none"/>
              </w:rPr>
              <w:t>支撑体系评估，系统分析东阳市重大项目（0-1分）、公共服务设施（0-1分）、市政基础设施（0-1分）、综合交通体系（0-1分）、防灾减灾设施的建设适应性（0-1分）</w:t>
            </w:r>
            <w:r>
              <w:rPr>
                <w:rFonts w:hint="eastAsia" w:ascii="宋体" w:hAnsi="宋体" w:cs="Times New Roman"/>
                <w:color w:val="auto"/>
                <w:sz w:val="24"/>
                <w:szCs w:val="28"/>
                <w:highlight w:val="none"/>
                <w:lang w:val="en-US" w:eastAsia="zh-CN"/>
              </w:rPr>
              <w:t>。</w:t>
            </w:r>
            <w:r>
              <w:rPr>
                <w:rFonts w:hint="eastAsia" w:ascii="宋体" w:hAnsi="宋体" w:eastAsia="宋体" w:cs="Times New Roman"/>
                <w:color w:val="auto"/>
                <w:sz w:val="24"/>
                <w:szCs w:val="28"/>
                <w:highlight w:val="none"/>
              </w:rPr>
              <w:t>对评估的科学性和合理性进行评审</w:t>
            </w:r>
            <w:r>
              <w:rPr>
                <w:rFonts w:hint="eastAsia" w:ascii="宋体" w:hAnsi="宋体" w:cs="Times New Roman"/>
                <w:color w:val="auto"/>
                <w:sz w:val="24"/>
                <w:szCs w:val="28"/>
                <w:highlight w:val="none"/>
                <w:lang w:eastAsia="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Times New Roman"/>
                <w:color w:val="auto"/>
                <w:sz w:val="24"/>
                <w:szCs w:val="28"/>
                <w:highlight w:val="none"/>
              </w:rPr>
              <w:t>。</w:t>
            </w:r>
          </w:p>
        </w:tc>
        <w:tc>
          <w:tcPr>
            <w:tcW w:w="795" w:type="dxa"/>
            <w:vAlign w:val="center"/>
          </w:tcPr>
          <w:p w14:paraId="5D9A166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r>
      <w:tr w14:paraId="080084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5" w:type="dxa"/>
            <w:shd w:val="clear" w:color="auto" w:fill="auto"/>
            <w:vAlign w:val="center"/>
          </w:tcPr>
          <w:p w14:paraId="0F2ECC9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205" w:type="dxa"/>
            <w:vMerge w:val="continue"/>
            <w:vAlign w:val="center"/>
          </w:tcPr>
          <w:p w14:paraId="116A9B2A">
            <w:pPr>
              <w:jc w:val="center"/>
              <w:rPr>
                <w:rFonts w:hint="eastAsia" w:ascii="宋体" w:hAnsi="宋体" w:eastAsia="宋体" w:cs="宋体"/>
                <w:color w:val="auto"/>
                <w:sz w:val="24"/>
                <w:highlight w:val="none"/>
              </w:rPr>
            </w:pPr>
          </w:p>
        </w:tc>
        <w:tc>
          <w:tcPr>
            <w:tcW w:w="7257" w:type="dxa"/>
            <w:vAlign w:val="center"/>
          </w:tcPr>
          <w:p w14:paraId="41CF4E7C">
            <w:pPr>
              <w:jc w:val="left"/>
              <w:rPr>
                <w:rFonts w:hint="eastAsia" w:ascii="宋体" w:hAnsi="宋体" w:eastAsia="宋体" w:cs="Times New Roman"/>
                <w:color w:val="auto"/>
                <w:sz w:val="24"/>
                <w:szCs w:val="28"/>
                <w:highlight w:val="none"/>
              </w:rPr>
            </w:pPr>
            <w:r>
              <w:rPr>
                <w:rFonts w:hint="eastAsia" w:ascii="宋体" w:hAnsi="宋体" w:eastAsia="宋体" w:cs="宋体"/>
                <w:color w:val="auto"/>
                <w:kern w:val="0"/>
                <w:sz w:val="24"/>
                <w:highlight w:val="none"/>
              </w:rPr>
              <w:t>根据投标人针对本项目提供的</w:t>
            </w:r>
            <w:r>
              <w:rPr>
                <w:rFonts w:hint="eastAsia" w:ascii="宋体" w:hAnsi="宋体" w:eastAsia="宋体" w:cs="Times New Roman"/>
                <w:color w:val="auto"/>
                <w:sz w:val="24"/>
                <w:szCs w:val="28"/>
                <w:highlight w:val="none"/>
              </w:rPr>
              <w:t>实施保障评估，开展规划落实传导（0-1分）、相关标准规划（0-1分）和政策机制保障及“一张图”实施监督系统建设情况评估（0-1分）</w:t>
            </w:r>
            <w:r>
              <w:rPr>
                <w:rFonts w:hint="eastAsia" w:ascii="宋体" w:hAnsi="宋体" w:cs="Times New Roman"/>
                <w:color w:val="auto"/>
                <w:sz w:val="24"/>
                <w:szCs w:val="28"/>
                <w:highlight w:val="none"/>
                <w:lang w:val="en-US" w:eastAsia="zh-CN"/>
              </w:rPr>
              <w:t>。</w:t>
            </w:r>
            <w:r>
              <w:rPr>
                <w:rFonts w:hint="eastAsia" w:ascii="宋体" w:hAnsi="宋体" w:eastAsia="宋体" w:cs="Times New Roman"/>
                <w:color w:val="auto"/>
                <w:sz w:val="24"/>
                <w:szCs w:val="28"/>
                <w:highlight w:val="none"/>
              </w:rPr>
              <w:t>对评估合理性和科学性进行评审</w:t>
            </w:r>
            <w:r>
              <w:rPr>
                <w:rFonts w:hint="eastAsia" w:ascii="宋体" w:hAnsi="宋体" w:cs="Times New Roman"/>
                <w:color w:val="auto"/>
                <w:sz w:val="24"/>
                <w:szCs w:val="28"/>
                <w:highlight w:val="none"/>
                <w:lang w:eastAsia="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Times New Roman"/>
                <w:color w:val="auto"/>
                <w:sz w:val="24"/>
                <w:szCs w:val="28"/>
                <w:highlight w:val="none"/>
              </w:rPr>
              <w:t>。</w:t>
            </w:r>
          </w:p>
        </w:tc>
        <w:tc>
          <w:tcPr>
            <w:tcW w:w="795" w:type="dxa"/>
            <w:vAlign w:val="center"/>
          </w:tcPr>
          <w:p w14:paraId="4902B5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463F73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95" w:type="dxa"/>
            <w:shd w:val="clear" w:color="auto" w:fill="auto"/>
            <w:vAlign w:val="center"/>
          </w:tcPr>
          <w:p w14:paraId="59FA589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205" w:type="dxa"/>
            <w:vMerge w:val="continue"/>
            <w:vAlign w:val="center"/>
          </w:tcPr>
          <w:p w14:paraId="7425F8AA">
            <w:pPr>
              <w:jc w:val="center"/>
              <w:rPr>
                <w:rFonts w:hint="eastAsia" w:ascii="宋体" w:hAnsi="宋体" w:eastAsia="宋体" w:cs="宋体"/>
                <w:color w:val="auto"/>
                <w:sz w:val="24"/>
                <w:highlight w:val="none"/>
              </w:rPr>
            </w:pPr>
          </w:p>
        </w:tc>
        <w:tc>
          <w:tcPr>
            <w:tcW w:w="7257" w:type="dxa"/>
            <w:vAlign w:val="center"/>
          </w:tcPr>
          <w:p w14:paraId="6FC18119">
            <w:pPr>
              <w:jc w:val="left"/>
              <w:rPr>
                <w:rFonts w:hint="eastAsia" w:ascii="宋体" w:hAnsi="宋体" w:eastAsia="宋体" w:cs="Times New Roman"/>
                <w:color w:val="auto"/>
                <w:sz w:val="24"/>
                <w:szCs w:val="28"/>
                <w:highlight w:val="none"/>
              </w:rPr>
            </w:pPr>
            <w:r>
              <w:rPr>
                <w:rFonts w:hint="eastAsia" w:ascii="宋体" w:hAnsi="宋体" w:eastAsia="宋体" w:cs="宋体"/>
                <w:color w:val="auto"/>
                <w:kern w:val="0"/>
                <w:sz w:val="24"/>
                <w:highlight w:val="none"/>
              </w:rPr>
              <w:t>根据投标人针对本项目提供的</w:t>
            </w:r>
            <w:r>
              <w:rPr>
                <w:rFonts w:hint="eastAsia" w:ascii="宋体" w:hAnsi="宋体" w:eastAsia="宋体" w:cs="Times New Roman"/>
                <w:color w:val="auto"/>
                <w:sz w:val="24"/>
                <w:szCs w:val="28"/>
                <w:highlight w:val="none"/>
              </w:rPr>
              <w:t>依据体检评估数据提出东阳市体检评估结论（0-1分），并提出后续规划实施和动态维护对策建议（0-1分）。对评估结论的科学性和动态维护建议的合理性进行评审</w:t>
            </w:r>
            <w:r>
              <w:rPr>
                <w:rFonts w:hint="eastAsia" w:ascii="宋体" w:hAnsi="宋体" w:cs="Times New Roman"/>
                <w:color w:val="auto"/>
                <w:sz w:val="24"/>
                <w:szCs w:val="28"/>
                <w:highlight w:val="none"/>
                <w:lang w:eastAsia="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Times New Roman"/>
                <w:color w:val="auto"/>
                <w:sz w:val="24"/>
                <w:szCs w:val="28"/>
                <w:highlight w:val="none"/>
              </w:rPr>
              <w:t>。</w:t>
            </w:r>
          </w:p>
        </w:tc>
        <w:tc>
          <w:tcPr>
            <w:tcW w:w="795" w:type="dxa"/>
            <w:vAlign w:val="center"/>
          </w:tcPr>
          <w:p w14:paraId="6D82994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233667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2FA19639">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205" w:type="dxa"/>
            <w:vMerge w:val="restart"/>
            <w:vAlign w:val="center"/>
          </w:tcPr>
          <w:p w14:paraId="650CE265">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国土空间总体规划动态维护</w:t>
            </w:r>
          </w:p>
        </w:tc>
        <w:tc>
          <w:tcPr>
            <w:tcW w:w="7257" w:type="dxa"/>
            <w:vAlign w:val="center"/>
          </w:tcPr>
          <w:p w14:paraId="3A5626CA">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提升优化国土空间布局，提出东阳动态维护和空间布局优化的基础（0-1分），从“增产创、优居住、兴文旅、富农林、提质效”等方面提出布局优化策略建议（0-5分），对布局优化科学性和合理性进行评审</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161AF504">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w:t>
            </w:r>
          </w:p>
        </w:tc>
      </w:tr>
      <w:tr w14:paraId="1E6E2A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95" w:type="dxa"/>
            <w:shd w:val="clear" w:color="auto" w:fill="auto"/>
            <w:vAlign w:val="center"/>
          </w:tcPr>
          <w:p w14:paraId="4F94CAEB">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205" w:type="dxa"/>
            <w:vMerge w:val="continue"/>
            <w:vAlign w:val="center"/>
          </w:tcPr>
          <w:p w14:paraId="1A39729D">
            <w:pPr>
              <w:jc w:val="left"/>
              <w:rPr>
                <w:rFonts w:hint="eastAsia" w:ascii="宋体" w:hAnsi="宋体" w:eastAsia="宋体" w:cs="宋体"/>
                <w:color w:val="auto"/>
                <w:sz w:val="24"/>
                <w:highlight w:val="none"/>
                <w:lang w:val="zh-CN"/>
              </w:rPr>
            </w:pPr>
          </w:p>
        </w:tc>
        <w:tc>
          <w:tcPr>
            <w:tcW w:w="7257" w:type="dxa"/>
            <w:vAlign w:val="center"/>
          </w:tcPr>
          <w:p w14:paraId="28EEB153">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提出东阳市目标战略维护思路（0-1分）和空间资源配置重点（0-1分）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zh-CN"/>
              </w:rPr>
              <w:t>评审方法科学性和合理性</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6815912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463F2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795" w:type="dxa"/>
            <w:shd w:val="clear" w:color="auto" w:fill="auto"/>
            <w:vAlign w:val="center"/>
          </w:tcPr>
          <w:p w14:paraId="0A060AEB">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205" w:type="dxa"/>
            <w:vMerge w:val="continue"/>
            <w:vAlign w:val="center"/>
          </w:tcPr>
          <w:p w14:paraId="24DD9AA3">
            <w:pPr>
              <w:jc w:val="left"/>
              <w:rPr>
                <w:rFonts w:hint="eastAsia" w:ascii="宋体" w:hAnsi="宋体" w:eastAsia="宋体" w:cs="宋体"/>
                <w:color w:val="auto"/>
                <w:sz w:val="24"/>
                <w:highlight w:val="none"/>
                <w:lang w:val="zh-CN"/>
              </w:rPr>
            </w:pPr>
          </w:p>
        </w:tc>
        <w:tc>
          <w:tcPr>
            <w:tcW w:w="7257" w:type="dxa"/>
            <w:vAlign w:val="center"/>
          </w:tcPr>
          <w:p w14:paraId="64821AB5">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维护重要控制线。提出三条控制线动态维护主要思路（0-</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zh-CN"/>
              </w:rPr>
              <w:t>分）和重点维护空间（0-</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zh-CN"/>
              </w:rPr>
              <w:t>分），提出其他重要控制线优化名录和范围边界（0-2分），对优化重要控制线的技术思路和方案合理性进行评审</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6E47742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r>
      <w:tr w14:paraId="6BEB99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0B0F95F7">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205" w:type="dxa"/>
            <w:vMerge w:val="continue"/>
            <w:vAlign w:val="center"/>
          </w:tcPr>
          <w:p w14:paraId="6FF8D13C">
            <w:pPr>
              <w:jc w:val="left"/>
              <w:rPr>
                <w:rFonts w:hint="eastAsia" w:ascii="宋体" w:hAnsi="宋体" w:eastAsia="宋体" w:cs="宋体"/>
                <w:color w:val="auto"/>
                <w:sz w:val="24"/>
                <w:highlight w:val="none"/>
                <w:lang w:val="zh-CN"/>
              </w:rPr>
            </w:pPr>
          </w:p>
        </w:tc>
        <w:tc>
          <w:tcPr>
            <w:tcW w:w="7257" w:type="dxa"/>
            <w:vAlign w:val="center"/>
          </w:tcPr>
          <w:p w14:paraId="377FE6F4">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优化规划用途分区，提出国土空间规划分区优化思路（0-1分）和重点维护空间（0-1分）</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对优化思路和合理性进行评审</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40CBF7B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0A1AEF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4E41B03D">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1205" w:type="dxa"/>
            <w:vMerge w:val="continue"/>
            <w:vAlign w:val="center"/>
          </w:tcPr>
          <w:p w14:paraId="4912E156">
            <w:pPr>
              <w:jc w:val="left"/>
              <w:rPr>
                <w:rFonts w:hint="eastAsia" w:ascii="宋体" w:hAnsi="宋体" w:eastAsia="宋体" w:cs="宋体"/>
                <w:color w:val="auto"/>
                <w:sz w:val="24"/>
                <w:highlight w:val="none"/>
                <w:lang w:val="zh-CN"/>
              </w:rPr>
            </w:pPr>
          </w:p>
        </w:tc>
        <w:tc>
          <w:tcPr>
            <w:tcW w:w="7257" w:type="dxa"/>
            <w:vAlign w:val="center"/>
          </w:tcPr>
          <w:p w14:paraId="745B7D86">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完善中心城区功能体系，提出优化中心城区土地使用和空间布局优化思路（0-1分），提出中心城区公共服务设施、基础设施和蓝绿空间优化策略（0-2分）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zh-CN"/>
              </w:rPr>
              <w:t>对优化思路和合理性进行评审</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74EB83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3A1E0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646EB98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1205" w:type="dxa"/>
            <w:vMerge w:val="continue"/>
            <w:vAlign w:val="center"/>
          </w:tcPr>
          <w:p w14:paraId="06D0D8A0">
            <w:pPr>
              <w:jc w:val="left"/>
              <w:rPr>
                <w:rFonts w:hint="eastAsia" w:ascii="宋体" w:hAnsi="宋体" w:eastAsia="宋体" w:cs="宋体"/>
                <w:color w:val="auto"/>
                <w:sz w:val="24"/>
                <w:highlight w:val="none"/>
                <w:lang w:val="zh-CN"/>
              </w:rPr>
            </w:pPr>
          </w:p>
        </w:tc>
        <w:tc>
          <w:tcPr>
            <w:tcW w:w="7257" w:type="dxa"/>
            <w:vAlign w:val="center"/>
          </w:tcPr>
          <w:p w14:paraId="15131E69">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促进城乡融合发展。提出促进城乡一体化融合发展的空间布局指引思路</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对优化思路和合理性进行评审</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198263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4C114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6F709F4A">
            <w:pPr>
              <w:spacing w:line="34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p>
        </w:tc>
        <w:tc>
          <w:tcPr>
            <w:tcW w:w="1205" w:type="dxa"/>
            <w:vMerge w:val="continue"/>
            <w:vAlign w:val="center"/>
          </w:tcPr>
          <w:p w14:paraId="4E9BDFA1">
            <w:pPr>
              <w:jc w:val="center"/>
              <w:rPr>
                <w:rFonts w:hint="eastAsia" w:ascii="宋体" w:hAnsi="宋体" w:eastAsia="宋体" w:cs="宋体"/>
                <w:color w:val="auto"/>
                <w:sz w:val="24"/>
                <w:highlight w:val="none"/>
              </w:rPr>
            </w:pPr>
          </w:p>
        </w:tc>
        <w:tc>
          <w:tcPr>
            <w:tcW w:w="7257" w:type="dxa"/>
            <w:vAlign w:val="center"/>
          </w:tcPr>
          <w:p w14:paraId="4CDF062B">
            <w:pPr>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根据投标人针对本项目提供的</w:t>
            </w:r>
            <w:r>
              <w:rPr>
                <w:rFonts w:hint="eastAsia" w:ascii="宋体" w:hAnsi="宋体" w:eastAsia="宋体" w:cs="宋体"/>
                <w:color w:val="auto"/>
                <w:sz w:val="24"/>
                <w:highlight w:val="none"/>
                <w:lang w:val="zh-CN"/>
              </w:rPr>
              <w:t>提出优化国土空间规划实施项目清单的思路和清单内容</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zh-CN"/>
              </w:rPr>
              <w:t>对优化思路和合理性进行评审</w:t>
            </w: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有不合理的或者欠缺的每处扣0.5分，扣完为止</w:t>
            </w:r>
            <w:r>
              <w:rPr>
                <w:rFonts w:hint="eastAsia" w:ascii="宋体" w:hAnsi="宋体" w:eastAsia="宋体" w:cs="宋体"/>
                <w:color w:val="auto"/>
                <w:sz w:val="24"/>
                <w:highlight w:val="none"/>
                <w:lang w:val="zh-CN"/>
              </w:rPr>
              <w:t>。</w:t>
            </w:r>
          </w:p>
        </w:tc>
        <w:tc>
          <w:tcPr>
            <w:tcW w:w="795" w:type="dxa"/>
            <w:vAlign w:val="center"/>
          </w:tcPr>
          <w:p w14:paraId="22FC81E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049DD1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95" w:type="dxa"/>
            <w:shd w:val="clear" w:color="auto" w:fill="auto"/>
            <w:vAlign w:val="center"/>
          </w:tcPr>
          <w:p w14:paraId="1BE6E154">
            <w:pPr>
              <w:spacing w:line="3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1205" w:type="dxa"/>
            <w:vAlign w:val="center"/>
          </w:tcPr>
          <w:p w14:paraId="035F0832">
            <w:pPr>
              <w:rPr>
                <w:rFonts w:hint="eastAsia" w:ascii="宋体" w:hAnsi="宋体" w:eastAsia="宋体" w:cs="宋体"/>
                <w:color w:val="auto"/>
                <w:sz w:val="24"/>
                <w:highlight w:val="none"/>
              </w:rPr>
            </w:pPr>
            <w:r>
              <w:rPr>
                <w:rFonts w:hint="eastAsia" w:ascii="宋体" w:hAnsi="宋体" w:eastAsia="宋体" w:cs="宋体"/>
                <w:color w:val="auto"/>
                <w:sz w:val="24"/>
                <w:highlight w:val="none"/>
              </w:rPr>
              <w:t>进度方案</w:t>
            </w:r>
          </w:p>
        </w:tc>
        <w:tc>
          <w:tcPr>
            <w:tcW w:w="7257" w:type="dxa"/>
            <w:vAlign w:val="center"/>
          </w:tcPr>
          <w:p w14:paraId="6FCA0DE0">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根据投标人对本项目的工作计划、工作阶段及任务划分，综合评价进度控制是否合理、关键时间节点把握是否科学准确等内容评审</w:t>
            </w:r>
            <w:r>
              <w:rPr>
                <w:rFonts w:hint="eastAsia" w:ascii="宋体" w:hAnsi="宋体" w:eastAsia="宋体" w:cs="宋体"/>
                <w:color w:val="auto"/>
                <w:kern w:val="0"/>
                <w:sz w:val="24"/>
                <w:highlight w:val="none"/>
              </w:rPr>
              <w:t>。</w:t>
            </w:r>
          </w:p>
        </w:tc>
        <w:tc>
          <w:tcPr>
            <w:tcW w:w="795" w:type="dxa"/>
            <w:vAlign w:val="center"/>
          </w:tcPr>
          <w:p w14:paraId="35832E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393CD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95" w:type="dxa"/>
            <w:shd w:val="clear" w:color="auto" w:fill="auto"/>
            <w:vAlign w:val="center"/>
          </w:tcPr>
          <w:p w14:paraId="35898BD7">
            <w:pPr>
              <w:spacing w:line="34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0</w:t>
            </w:r>
          </w:p>
        </w:tc>
        <w:tc>
          <w:tcPr>
            <w:tcW w:w="1205" w:type="dxa"/>
            <w:vAlign w:val="center"/>
          </w:tcPr>
          <w:p w14:paraId="78C68E8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质量保障</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措施方案</w:t>
            </w:r>
          </w:p>
        </w:tc>
        <w:tc>
          <w:tcPr>
            <w:tcW w:w="7257" w:type="dxa"/>
            <w:vAlign w:val="center"/>
          </w:tcPr>
          <w:p w14:paraId="745769B9">
            <w:pPr>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根据投标人对本项目工作质量、成果质量及相关服务保证措施保障工作是否</w:t>
            </w:r>
            <w:r>
              <w:rPr>
                <w:rFonts w:hint="eastAsia" w:ascii="宋体" w:hAnsi="宋体" w:eastAsia="宋体" w:cs="宋体"/>
                <w:color w:val="auto"/>
                <w:sz w:val="24"/>
                <w:highlight w:val="none"/>
              </w:rPr>
              <w:t>科学准确、合理有效等内容评审</w:t>
            </w:r>
            <w:r>
              <w:rPr>
                <w:rFonts w:hint="eastAsia" w:ascii="宋体" w:hAnsi="宋体" w:eastAsia="宋体" w:cs="宋体"/>
                <w:color w:val="auto"/>
                <w:kern w:val="0"/>
                <w:sz w:val="24"/>
                <w:highlight w:val="none"/>
              </w:rPr>
              <w:t>。</w:t>
            </w:r>
          </w:p>
        </w:tc>
        <w:tc>
          <w:tcPr>
            <w:tcW w:w="795" w:type="dxa"/>
            <w:vAlign w:val="center"/>
          </w:tcPr>
          <w:p w14:paraId="587FC8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40939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95" w:type="dxa"/>
            <w:shd w:val="clear" w:color="auto" w:fill="auto"/>
            <w:vAlign w:val="center"/>
          </w:tcPr>
          <w:p w14:paraId="6E76CA1C">
            <w:pPr>
              <w:spacing w:line="3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21</w:t>
            </w:r>
          </w:p>
        </w:tc>
        <w:tc>
          <w:tcPr>
            <w:tcW w:w="1205" w:type="dxa"/>
            <w:vAlign w:val="center"/>
          </w:tcPr>
          <w:p w14:paraId="5E348A55">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保密措施</w:t>
            </w:r>
          </w:p>
        </w:tc>
        <w:tc>
          <w:tcPr>
            <w:tcW w:w="7257" w:type="dxa"/>
            <w:vAlign w:val="center"/>
          </w:tcPr>
          <w:p w14:paraId="20ABC9F4">
            <w:pPr>
              <w:widowControl/>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投标人提供的保密制度</w:t>
            </w:r>
            <w:r>
              <w:rPr>
                <w:rFonts w:hint="eastAsia" w:ascii="宋体" w:hAnsi="宋体" w:eastAsia="宋体" w:cs="宋体"/>
                <w:color w:val="auto"/>
                <w:sz w:val="24"/>
                <w:highlight w:val="none"/>
              </w:rPr>
              <w:t>是否详实完整、科学合理等内容评审</w:t>
            </w:r>
            <w:r>
              <w:rPr>
                <w:rFonts w:hint="eastAsia" w:ascii="宋体" w:hAnsi="宋体" w:eastAsia="宋体" w:cs="宋体"/>
                <w:color w:val="auto"/>
                <w:kern w:val="0"/>
                <w:sz w:val="24"/>
                <w:highlight w:val="none"/>
              </w:rPr>
              <w:t>。</w:t>
            </w:r>
          </w:p>
        </w:tc>
        <w:tc>
          <w:tcPr>
            <w:tcW w:w="795" w:type="dxa"/>
            <w:vAlign w:val="center"/>
          </w:tcPr>
          <w:p w14:paraId="796F5E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2D4A24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95" w:type="dxa"/>
            <w:shd w:val="clear" w:color="auto" w:fill="auto"/>
            <w:vAlign w:val="center"/>
          </w:tcPr>
          <w:p w14:paraId="780FA5E7">
            <w:pPr>
              <w:spacing w:line="34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p>
        </w:tc>
        <w:tc>
          <w:tcPr>
            <w:tcW w:w="1205" w:type="dxa"/>
            <w:vAlign w:val="center"/>
          </w:tcPr>
          <w:p w14:paraId="0B5C83A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服务承诺</w:t>
            </w:r>
          </w:p>
        </w:tc>
        <w:tc>
          <w:tcPr>
            <w:tcW w:w="7257" w:type="dxa"/>
            <w:vAlign w:val="center"/>
          </w:tcPr>
          <w:p w14:paraId="77339DDE">
            <w:pPr>
              <w:jc w:val="left"/>
              <w:rPr>
                <w:rFonts w:hint="eastAsia" w:ascii="宋体" w:hAnsi="宋体" w:eastAsia="宋体" w:cs="宋体"/>
                <w:iCs/>
                <w:color w:val="auto"/>
                <w:sz w:val="24"/>
                <w:highlight w:val="none"/>
              </w:rPr>
            </w:pPr>
            <w:r>
              <w:rPr>
                <w:rFonts w:hint="eastAsia" w:ascii="宋体" w:hAnsi="宋体" w:eastAsia="宋体" w:cs="宋体"/>
                <w:color w:val="auto"/>
                <w:kern w:val="0"/>
                <w:sz w:val="24"/>
                <w:highlight w:val="none"/>
              </w:rPr>
              <w:t>根据投标人针对本项目提供的服务承诺、后续服务的承诺</w:t>
            </w:r>
            <w:r>
              <w:rPr>
                <w:rFonts w:hint="eastAsia" w:ascii="宋体" w:hAnsi="宋体" w:eastAsia="宋体" w:cs="宋体"/>
                <w:color w:val="auto"/>
                <w:sz w:val="24"/>
                <w:highlight w:val="none"/>
              </w:rPr>
              <w:t>等内容评审</w:t>
            </w:r>
            <w:r>
              <w:rPr>
                <w:rFonts w:hint="eastAsia" w:ascii="宋体" w:hAnsi="宋体" w:eastAsia="宋体" w:cs="宋体"/>
                <w:color w:val="auto"/>
                <w:kern w:val="0"/>
                <w:sz w:val="24"/>
                <w:highlight w:val="none"/>
              </w:rPr>
              <w:t>。</w:t>
            </w:r>
          </w:p>
        </w:tc>
        <w:tc>
          <w:tcPr>
            <w:tcW w:w="795" w:type="dxa"/>
            <w:vAlign w:val="center"/>
          </w:tcPr>
          <w:p w14:paraId="123C45B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063F51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Align w:val="center"/>
          </w:tcPr>
          <w:p w14:paraId="105848B3">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8462" w:type="dxa"/>
            <w:gridSpan w:val="2"/>
            <w:vAlign w:val="center"/>
          </w:tcPr>
          <w:p w14:paraId="25E9BE8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商务资信及其他分</w:t>
            </w:r>
          </w:p>
        </w:tc>
        <w:tc>
          <w:tcPr>
            <w:tcW w:w="795" w:type="dxa"/>
            <w:vAlign w:val="center"/>
          </w:tcPr>
          <w:p w14:paraId="133F80DD">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10分</w:t>
            </w:r>
          </w:p>
        </w:tc>
      </w:tr>
      <w:tr w14:paraId="18C25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95" w:type="dxa"/>
            <w:vAlign w:val="center"/>
          </w:tcPr>
          <w:p w14:paraId="46307783">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05" w:type="dxa"/>
            <w:vAlign w:val="center"/>
          </w:tcPr>
          <w:p w14:paraId="4C65B5FB">
            <w:pPr>
              <w:widowControl/>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体系认证</w:t>
            </w:r>
          </w:p>
        </w:tc>
        <w:tc>
          <w:tcPr>
            <w:tcW w:w="7257" w:type="dxa"/>
            <w:vAlign w:val="center"/>
          </w:tcPr>
          <w:p w14:paraId="75032C68">
            <w:pPr>
              <w:widowControl/>
              <w:jc w:val="left"/>
              <w:textAlignment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投标人具有有效期内的</w:t>
            </w:r>
            <w:r>
              <w:rPr>
                <w:rFonts w:hint="eastAsia" w:ascii="宋体" w:hAnsi="宋体" w:eastAsia="宋体" w:cs="宋体"/>
                <w:color w:val="auto"/>
                <w:sz w:val="24"/>
                <w:highlight w:val="none"/>
                <w:lang w:val="zh-TW"/>
              </w:rPr>
              <w:t>质量管理体系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TW"/>
              </w:rPr>
              <w:t>环境管理认证体系、职业健康管理体系</w:t>
            </w:r>
            <w:r>
              <w:rPr>
                <w:rFonts w:hint="eastAsia" w:ascii="宋体" w:hAnsi="宋体" w:eastAsia="宋体" w:cs="Times New Roman"/>
                <w:color w:val="auto"/>
                <w:sz w:val="24"/>
                <w:highlight w:val="none"/>
              </w:rPr>
              <w:t>认证证书的，</w:t>
            </w:r>
            <w:r>
              <w:rPr>
                <w:rFonts w:hint="eastAsia" w:ascii="宋体" w:hAnsi="宋体" w:eastAsia="宋体" w:cs="Times New Roman"/>
                <w:color w:val="auto"/>
                <w:sz w:val="24"/>
                <w:highlight w:val="none"/>
                <w:lang w:val="zh-TW"/>
              </w:rPr>
              <w:t>每项证书得</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TW"/>
              </w:rPr>
              <w:t>分，最高得</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TW"/>
              </w:rPr>
              <w:t>分。</w:t>
            </w:r>
          </w:p>
          <w:p w14:paraId="15CB83E6">
            <w:pPr>
              <w:widowControl/>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注：须提供相关证书复印件及www.cnca.gov.cn认监委官方网站截图，未提供不得分。</w:t>
            </w:r>
          </w:p>
        </w:tc>
        <w:tc>
          <w:tcPr>
            <w:tcW w:w="795" w:type="dxa"/>
            <w:vAlign w:val="center"/>
          </w:tcPr>
          <w:p w14:paraId="3B8FDA9C">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11B11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95" w:type="dxa"/>
            <w:vAlign w:val="center"/>
          </w:tcPr>
          <w:p w14:paraId="7223794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05" w:type="dxa"/>
            <w:vAlign w:val="center"/>
          </w:tcPr>
          <w:p w14:paraId="55F10843">
            <w:pPr>
              <w:widowControl/>
              <w:spacing w:line="340" w:lineRule="exact"/>
              <w:jc w:val="center"/>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同类业绩</w:t>
            </w:r>
          </w:p>
        </w:tc>
        <w:tc>
          <w:tcPr>
            <w:tcW w:w="7257" w:type="dxa"/>
            <w:vAlign w:val="center"/>
          </w:tcPr>
          <w:p w14:paraId="1AD6E043">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根据投标人2022年1月以来的同类项目业绩（以合同签订日期为准），每提供1个业绩合同得1分，本项最多得2分。</w:t>
            </w:r>
          </w:p>
          <w:p w14:paraId="40662FB9">
            <w:pPr>
              <w:widowControl/>
              <w:rPr>
                <w:rFonts w:hint="eastAsia" w:ascii="宋体" w:hAnsi="宋体" w:eastAsia="宋体" w:cs="Times New Roman"/>
                <w:color w:val="auto"/>
                <w:sz w:val="24"/>
                <w:highlight w:val="none"/>
              </w:rPr>
            </w:pPr>
            <w:r>
              <w:rPr>
                <w:rFonts w:hint="eastAsia" w:ascii="宋体" w:hAnsi="宋体" w:eastAsia="宋体" w:cs="宋体"/>
                <w:bCs/>
                <w:color w:val="auto"/>
                <w:sz w:val="24"/>
                <w:highlight w:val="none"/>
              </w:rPr>
              <w:t>需提供合同复印件或中标通知书并加盖公章，不提供不得分。</w:t>
            </w:r>
          </w:p>
        </w:tc>
        <w:tc>
          <w:tcPr>
            <w:tcW w:w="795" w:type="dxa"/>
            <w:vAlign w:val="center"/>
          </w:tcPr>
          <w:p w14:paraId="2B41ADB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02CF66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95" w:type="dxa"/>
            <w:vAlign w:val="center"/>
          </w:tcPr>
          <w:p w14:paraId="52F8F924">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05" w:type="dxa"/>
            <w:vMerge w:val="restart"/>
            <w:vAlign w:val="center"/>
          </w:tcPr>
          <w:p w14:paraId="347ACE8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项目团队</w:t>
            </w:r>
          </w:p>
        </w:tc>
        <w:tc>
          <w:tcPr>
            <w:tcW w:w="7257" w:type="dxa"/>
            <w:vAlign w:val="center"/>
          </w:tcPr>
          <w:p w14:paraId="66518221">
            <w:pPr>
              <w:numPr>
                <w:ilvl w:val="0"/>
                <w:numId w:val="2"/>
              </w:num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拟派项目负责人具有城乡规划专业正高（或教授）级工程师职称的得1分，具有城乡规划专业高级工程师职称的得0.5分；</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2、拟派项目负责人具有注册城乡规划师得1分。</w:t>
            </w:r>
          </w:p>
          <w:p w14:paraId="5FFA2692">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注：需提供职称证书、注册证书及相关资料。</w:t>
            </w:r>
            <w:r>
              <w:rPr>
                <w:rFonts w:hint="eastAsia" w:ascii="宋体" w:hAnsi="宋体" w:eastAsia="宋体" w:cs="宋体"/>
                <w:b/>
                <w:bCs/>
                <w:color w:val="auto"/>
                <w:spacing w:val="-4"/>
                <w:sz w:val="24"/>
                <w:highlight w:val="none"/>
              </w:rPr>
              <w:t xml:space="preserve"> </w:t>
            </w:r>
          </w:p>
        </w:tc>
        <w:tc>
          <w:tcPr>
            <w:tcW w:w="795" w:type="dxa"/>
            <w:vAlign w:val="center"/>
          </w:tcPr>
          <w:p w14:paraId="1AA68F2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7ADB5F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795" w:type="dxa"/>
            <w:vAlign w:val="center"/>
          </w:tcPr>
          <w:p w14:paraId="699DE159">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05" w:type="dxa"/>
            <w:vMerge w:val="continue"/>
            <w:vAlign w:val="center"/>
          </w:tcPr>
          <w:p w14:paraId="68DB0107">
            <w:pPr>
              <w:jc w:val="center"/>
              <w:rPr>
                <w:rFonts w:hint="eastAsia" w:ascii="宋体" w:hAnsi="宋体" w:eastAsia="宋体" w:cs="宋体"/>
                <w:color w:val="auto"/>
                <w:sz w:val="24"/>
                <w:highlight w:val="none"/>
              </w:rPr>
            </w:pPr>
          </w:p>
        </w:tc>
        <w:tc>
          <w:tcPr>
            <w:tcW w:w="7257" w:type="dxa"/>
            <w:vAlign w:val="center"/>
          </w:tcPr>
          <w:p w14:paraId="34C35764">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项目组成员除项目负责人外，具有城乡规划相关专业高级工程师及以上职称的，得1分；</w:t>
            </w:r>
          </w:p>
          <w:p w14:paraId="44FC55BE">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项目组成员除项目负责人外，具有注册城乡规划师的，每1人得1分，该项最多得2分；</w:t>
            </w:r>
          </w:p>
          <w:p w14:paraId="1F723FA1">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注：需提供职称证书、注册证书及相关资料。</w:t>
            </w:r>
            <w:r>
              <w:rPr>
                <w:rFonts w:hint="eastAsia" w:ascii="宋体" w:hAnsi="宋体" w:eastAsia="宋体" w:cs="宋体"/>
                <w:b/>
                <w:bCs/>
                <w:color w:val="auto"/>
                <w:spacing w:val="-4"/>
                <w:sz w:val="24"/>
                <w:highlight w:val="none"/>
              </w:rPr>
              <w:t xml:space="preserve">   </w:t>
            </w:r>
          </w:p>
        </w:tc>
        <w:tc>
          <w:tcPr>
            <w:tcW w:w="795" w:type="dxa"/>
            <w:vAlign w:val="center"/>
          </w:tcPr>
          <w:p w14:paraId="7CFFC2A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bl>
    <w:p w14:paraId="272D44E1">
      <w:pPr>
        <w:adjustRightInd w:val="0"/>
        <w:snapToGrid w:val="0"/>
        <w:spacing w:line="440" w:lineRule="atLeast"/>
        <w:jc w:val="center"/>
        <w:rPr>
          <w:rFonts w:hint="eastAsia" w:ascii="宋体" w:hAnsi="宋体" w:cs="宋体"/>
          <w:b/>
          <w:color w:val="auto"/>
          <w:sz w:val="32"/>
          <w:szCs w:val="32"/>
          <w:highlight w:val="none"/>
        </w:rPr>
      </w:pPr>
    </w:p>
    <w:p w14:paraId="27FEEFE6">
      <w:pPr>
        <w:adjustRightInd w:val="0"/>
        <w:snapToGrid w:val="0"/>
        <w:spacing w:line="440" w:lineRule="atLeast"/>
        <w:jc w:val="center"/>
        <w:rPr>
          <w:rFonts w:hint="eastAsia" w:ascii="宋体" w:hAnsi="宋体" w:cs="宋体"/>
          <w:b/>
          <w:color w:val="auto"/>
          <w:sz w:val="32"/>
          <w:szCs w:val="32"/>
          <w:highlight w:val="none"/>
        </w:rPr>
      </w:pPr>
    </w:p>
    <w:p w14:paraId="72CFAA0C">
      <w:pPr>
        <w:adjustRightInd w:val="0"/>
        <w:snapToGrid w:val="0"/>
        <w:spacing w:line="440" w:lineRule="atLeast"/>
        <w:jc w:val="center"/>
        <w:rPr>
          <w:rFonts w:hint="eastAsia" w:ascii="宋体" w:hAnsi="宋体" w:cs="宋体"/>
          <w:b/>
          <w:color w:val="auto"/>
          <w:sz w:val="32"/>
          <w:szCs w:val="32"/>
          <w:highlight w:val="none"/>
        </w:rPr>
      </w:pPr>
    </w:p>
    <w:p w14:paraId="4A6427C0">
      <w:pPr>
        <w:adjustRightInd w:val="0"/>
        <w:snapToGrid w:val="0"/>
        <w:spacing w:line="440" w:lineRule="atLeast"/>
        <w:jc w:val="center"/>
        <w:rPr>
          <w:rFonts w:hint="eastAsia" w:ascii="宋体" w:hAnsi="宋体" w:cs="宋体"/>
          <w:b/>
          <w:color w:val="auto"/>
          <w:sz w:val="32"/>
          <w:szCs w:val="32"/>
          <w:highlight w:val="none"/>
        </w:rPr>
      </w:pPr>
    </w:p>
    <w:p w14:paraId="35F3A98B">
      <w:pPr>
        <w:adjustRightInd w:val="0"/>
        <w:snapToGrid w:val="0"/>
        <w:spacing w:line="440" w:lineRule="atLeast"/>
        <w:jc w:val="center"/>
        <w:rPr>
          <w:rFonts w:hint="eastAsia" w:ascii="宋体" w:hAnsi="宋体" w:cs="宋体"/>
          <w:b/>
          <w:color w:val="auto"/>
          <w:sz w:val="32"/>
          <w:szCs w:val="32"/>
          <w:highlight w:val="none"/>
        </w:rPr>
      </w:pPr>
    </w:p>
    <w:p w14:paraId="38196623">
      <w:pPr>
        <w:adjustRightInd w:val="0"/>
        <w:snapToGrid w:val="0"/>
        <w:spacing w:line="440" w:lineRule="atLeast"/>
        <w:jc w:val="center"/>
        <w:rPr>
          <w:rFonts w:hint="eastAsia" w:ascii="宋体" w:hAnsi="宋体" w:cs="宋体"/>
          <w:b/>
          <w:color w:val="auto"/>
          <w:sz w:val="32"/>
          <w:szCs w:val="32"/>
          <w:highlight w:val="none"/>
        </w:rPr>
      </w:pPr>
    </w:p>
    <w:p w14:paraId="567DDABE">
      <w:pPr>
        <w:adjustRightInd w:val="0"/>
        <w:snapToGrid w:val="0"/>
        <w:spacing w:line="440" w:lineRule="atLeast"/>
        <w:jc w:val="both"/>
        <w:rPr>
          <w:rFonts w:hint="eastAsia" w:ascii="宋体" w:hAnsi="宋体" w:cs="宋体"/>
          <w:b/>
          <w:color w:val="auto"/>
          <w:sz w:val="32"/>
          <w:szCs w:val="32"/>
          <w:highlight w:val="none"/>
        </w:rPr>
      </w:pPr>
    </w:p>
    <w:p w14:paraId="6DB2E858">
      <w:pPr>
        <w:adjustRightInd w:val="0"/>
        <w:snapToGrid w:val="0"/>
        <w:spacing w:line="440" w:lineRule="atLeast"/>
        <w:jc w:val="both"/>
        <w:rPr>
          <w:rFonts w:hint="eastAsia" w:ascii="宋体" w:hAnsi="宋体" w:cs="宋体"/>
          <w:b/>
          <w:color w:val="auto"/>
          <w:sz w:val="32"/>
          <w:szCs w:val="32"/>
          <w:highlight w:val="none"/>
        </w:rPr>
      </w:pPr>
    </w:p>
    <w:p w14:paraId="56312585">
      <w:pPr>
        <w:adjustRightInd w:val="0"/>
        <w:snapToGrid w:val="0"/>
        <w:spacing w:line="440" w:lineRule="atLeast"/>
        <w:jc w:val="center"/>
        <w:rPr>
          <w:rFonts w:hint="eastAsia" w:ascii="宋体" w:hAnsi="宋体" w:cs="宋体"/>
          <w:b/>
          <w:color w:val="auto"/>
          <w:sz w:val="32"/>
          <w:szCs w:val="32"/>
          <w:highlight w:val="none"/>
        </w:rPr>
      </w:pPr>
    </w:p>
    <w:p w14:paraId="3FB79D65">
      <w:pPr>
        <w:adjustRightInd w:val="0"/>
        <w:snapToGrid w:val="0"/>
        <w:spacing w:line="440" w:lineRule="atLeast"/>
        <w:jc w:val="center"/>
        <w:rPr>
          <w:rFonts w:hint="eastAsia" w:ascii="宋体" w:hAnsi="宋体" w:cs="宋体"/>
          <w:b/>
          <w:color w:val="auto"/>
          <w:sz w:val="32"/>
          <w:szCs w:val="32"/>
          <w:highlight w:val="none"/>
        </w:rPr>
      </w:pPr>
    </w:p>
    <w:p w14:paraId="2C5B384E">
      <w:pPr>
        <w:adjustRightInd w:val="0"/>
        <w:snapToGrid w:val="0"/>
        <w:spacing w:line="440" w:lineRule="atLeast"/>
        <w:jc w:val="center"/>
        <w:rPr>
          <w:rFonts w:hint="eastAsia" w:ascii="宋体" w:hAnsi="宋体" w:cs="宋体"/>
          <w:b/>
          <w:color w:val="auto"/>
          <w:sz w:val="32"/>
          <w:szCs w:val="32"/>
          <w:highlight w:val="none"/>
        </w:rPr>
      </w:pPr>
    </w:p>
    <w:p w14:paraId="10B7FC3A">
      <w:pPr>
        <w:adjustRightInd w:val="0"/>
        <w:snapToGrid w:val="0"/>
        <w:spacing w:line="440" w:lineRule="atLeast"/>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第五章  政府采购合同</w:t>
      </w:r>
    </w:p>
    <w:p w14:paraId="052E4ECD">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color w:val="auto"/>
          <w:highlight w:val="none"/>
        </w:rPr>
      </w:pPr>
      <w:r>
        <w:rPr>
          <w:rFonts w:hint="eastAsia" w:hAnsi="宋体" w:cs="宋体"/>
          <w:color w:val="auto"/>
          <w:highlight w:val="none"/>
        </w:rPr>
        <w:t>项目名称：                   项目编号：               合同号：</w:t>
      </w:r>
    </w:p>
    <w:p w14:paraId="51E31A0D">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color w:val="auto"/>
          <w:highlight w:val="none"/>
        </w:rPr>
      </w:pPr>
      <w:r>
        <w:rPr>
          <w:rFonts w:hint="eastAsia" w:hAnsi="宋体" w:cs="宋体"/>
          <w:color w:val="auto"/>
          <w:highlight w:val="none"/>
        </w:rPr>
        <w:t>甲方（买方）：</w:t>
      </w:r>
    </w:p>
    <w:p w14:paraId="37BBC3E0">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color w:val="auto"/>
          <w:highlight w:val="none"/>
        </w:rPr>
      </w:pPr>
      <w:r>
        <w:rPr>
          <w:rFonts w:hint="eastAsia" w:hAnsi="宋体" w:cs="宋体"/>
          <w:color w:val="auto"/>
          <w:highlight w:val="none"/>
        </w:rPr>
        <w:t>乙方（卖方）：</w:t>
      </w:r>
    </w:p>
    <w:p w14:paraId="7625C473">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color w:val="auto"/>
          <w:highlight w:val="none"/>
        </w:rPr>
      </w:pPr>
      <w:r>
        <w:rPr>
          <w:rFonts w:hint="eastAsia" w:hAnsi="宋体" w:cs="宋体"/>
          <w:color w:val="auto"/>
          <w:highlight w:val="none"/>
        </w:rPr>
        <w:t>鉴证方（招标方）：</w:t>
      </w:r>
    </w:p>
    <w:p w14:paraId="371D3580">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b/>
          <w:color w:val="auto"/>
          <w:highlight w:val="none"/>
        </w:rPr>
      </w:pPr>
      <w:r>
        <w:rPr>
          <w:rFonts w:hint="eastAsia" w:hAnsi="宋体" w:cs="宋体"/>
          <w:b/>
          <w:color w:val="auto"/>
          <w:highlight w:val="none"/>
        </w:rPr>
        <w:t xml:space="preserve">    </w:t>
      </w:r>
      <w:r>
        <w:rPr>
          <w:rFonts w:hint="eastAsia" w:hAnsi="宋体" w:cs="宋体"/>
          <w:color w:val="auto"/>
          <w:highlight w:val="none"/>
        </w:rPr>
        <w:t>甲、乙双方根据</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日东阳耀辉工程咨询有限公司关于</w:t>
      </w:r>
      <w:r>
        <w:rPr>
          <w:rFonts w:hint="eastAsia" w:hAnsi="宋体" w:cs="宋体"/>
          <w:color w:val="auto"/>
          <w:highlight w:val="none"/>
          <w:u w:val="single"/>
        </w:rPr>
        <w:t xml:space="preserve">          </w:t>
      </w:r>
      <w:r>
        <w:rPr>
          <w:rFonts w:hint="eastAsia" w:hAnsi="宋体" w:cs="宋体"/>
          <w:color w:val="auto"/>
          <w:highlight w:val="none"/>
        </w:rPr>
        <w:t>项目公开招标的结果，签署本合同。</w:t>
      </w:r>
    </w:p>
    <w:p w14:paraId="2C7ED44B">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b/>
          <w:color w:val="auto"/>
          <w:highlight w:val="none"/>
        </w:rPr>
      </w:pPr>
      <w:r>
        <w:rPr>
          <w:rFonts w:hint="eastAsia" w:hAnsi="宋体" w:cs="宋体"/>
          <w:b/>
          <w:color w:val="auto"/>
          <w:highlight w:val="none"/>
        </w:rPr>
        <w:t>一、服务内容</w:t>
      </w:r>
    </w:p>
    <w:p w14:paraId="0C598969">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firstLine="480" w:firstLineChars="200"/>
        <w:textAlignment w:val="auto"/>
        <w:rPr>
          <w:rFonts w:hint="eastAsia" w:hAnsi="宋体" w:cs="宋体"/>
          <w:color w:val="auto"/>
          <w:highlight w:val="none"/>
        </w:rPr>
      </w:pPr>
      <w:r>
        <w:rPr>
          <w:rFonts w:hint="eastAsia" w:hAnsi="宋体" w:cs="宋体"/>
          <w:color w:val="auto"/>
          <w:highlight w:val="none"/>
        </w:rPr>
        <w:t>1. 服务名称：</w:t>
      </w:r>
    </w:p>
    <w:p w14:paraId="674CA86B">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firstLine="480" w:firstLineChars="200"/>
        <w:textAlignment w:val="auto"/>
        <w:rPr>
          <w:rFonts w:hint="eastAsia" w:hAnsi="宋体" w:cs="宋体"/>
          <w:color w:val="auto"/>
          <w:highlight w:val="none"/>
        </w:rPr>
      </w:pPr>
      <w:r>
        <w:rPr>
          <w:rFonts w:hint="eastAsia" w:hAnsi="宋体" w:cs="宋体"/>
          <w:color w:val="auto"/>
          <w:highlight w:val="none"/>
        </w:rPr>
        <w:t>2. 服务期限：</w:t>
      </w:r>
    </w:p>
    <w:p w14:paraId="09EA171E">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firstLine="480" w:firstLineChars="200"/>
        <w:textAlignment w:val="auto"/>
        <w:rPr>
          <w:rFonts w:hint="eastAsia" w:hAnsi="宋体" w:cs="宋体"/>
          <w:color w:val="auto"/>
          <w:highlight w:val="none"/>
        </w:rPr>
      </w:pPr>
      <w:r>
        <w:rPr>
          <w:rFonts w:hint="eastAsia" w:hAnsi="宋体" w:cs="宋体"/>
          <w:color w:val="auto"/>
          <w:highlight w:val="none"/>
        </w:rPr>
        <w:t>3. 服务地址：</w:t>
      </w:r>
    </w:p>
    <w:p w14:paraId="44F1936E">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b/>
          <w:color w:val="auto"/>
          <w:highlight w:val="none"/>
        </w:rPr>
      </w:pPr>
      <w:r>
        <w:rPr>
          <w:rFonts w:hint="eastAsia" w:hAnsi="宋体" w:cs="宋体"/>
          <w:b/>
          <w:color w:val="auto"/>
          <w:highlight w:val="none"/>
        </w:rPr>
        <w:t>二、合同金额</w:t>
      </w:r>
    </w:p>
    <w:p w14:paraId="540AA843">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410" w:hanging="410" w:hangingChars="171"/>
        <w:textAlignment w:val="auto"/>
        <w:rPr>
          <w:rFonts w:hint="eastAsia" w:hAnsi="宋体" w:cs="宋体"/>
          <w:color w:val="auto"/>
          <w:highlight w:val="none"/>
        </w:rPr>
      </w:pPr>
      <w:r>
        <w:rPr>
          <w:rFonts w:hint="eastAsia" w:hAnsi="宋体" w:cs="宋体"/>
          <w:color w:val="auto"/>
          <w:highlight w:val="none"/>
        </w:rPr>
        <w:t xml:space="preserve"> 本合同金额为（大写）：_______________________元（￥_________元）人民币。</w:t>
      </w:r>
    </w:p>
    <w:p w14:paraId="2469FEB9">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b/>
          <w:color w:val="auto"/>
          <w:highlight w:val="none"/>
        </w:rPr>
      </w:pPr>
      <w:r>
        <w:rPr>
          <w:rFonts w:hint="eastAsia" w:hAnsi="宋体" w:cs="宋体"/>
          <w:b/>
          <w:color w:val="auto"/>
          <w:highlight w:val="none"/>
        </w:rPr>
        <w:t>三、知识产权及技术资料</w:t>
      </w:r>
    </w:p>
    <w:p w14:paraId="444E39C4">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firstLine="480" w:firstLineChars="200"/>
        <w:textAlignment w:val="auto"/>
        <w:rPr>
          <w:rFonts w:hint="eastAsia" w:hAnsi="宋体" w:cs="宋体"/>
          <w:b/>
          <w:color w:val="auto"/>
          <w:highlight w:val="none"/>
        </w:rPr>
      </w:pPr>
      <w:r>
        <w:rPr>
          <w:rFonts w:hint="eastAsia" w:hAnsi="宋体" w:cs="宋体"/>
          <w:color w:val="auto"/>
          <w:highlight w:val="none"/>
        </w:rPr>
        <w:t>1.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AADEA78">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firstLine="480" w:firstLineChars="200"/>
        <w:textAlignment w:val="auto"/>
        <w:rPr>
          <w:rFonts w:hint="eastAsia" w:hAnsi="宋体" w:cs="宋体"/>
          <w:color w:val="auto"/>
          <w:highlight w:val="none"/>
          <w:u w:val="single"/>
        </w:rPr>
      </w:pPr>
      <w:r>
        <w:rPr>
          <w:rFonts w:hint="eastAsia" w:hAnsi="宋体" w:cs="宋体"/>
          <w:color w:val="auto"/>
          <w:highlight w:val="none"/>
        </w:rPr>
        <w:t>2.乙方应保证所提供的技术服务或其任何一部分均不会侵犯任何第三方的知识产权</w:t>
      </w:r>
      <w:r>
        <w:rPr>
          <w:rFonts w:hint="eastAsia" w:hAnsi="宋体" w:cs="宋体"/>
          <w:bCs/>
          <w:color w:val="auto"/>
          <w:highlight w:val="none"/>
        </w:rPr>
        <w:t>。</w:t>
      </w:r>
    </w:p>
    <w:p w14:paraId="4FE31719">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410" w:hanging="410" w:hangingChars="170"/>
        <w:textAlignment w:val="auto"/>
        <w:rPr>
          <w:rFonts w:hint="eastAsia" w:hAnsi="宋体" w:cs="宋体"/>
          <w:b/>
          <w:color w:val="auto"/>
          <w:highlight w:val="none"/>
        </w:rPr>
      </w:pPr>
      <w:r>
        <w:rPr>
          <w:rFonts w:hint="eastAsia" w:hAnsi="宋体" w:cs="宋体"/>
          <w:b/>
          <w:color w:val="auto"/>
          <w:highlight w:val="none"/>
        </w:rPr>
        <w:t>四、履约保证金</w:t>
      </w:r>
    </w:p>
    <w:p w14:paraId="7300C0F7">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481" w:leftChars="229" w:firstLine="72" w:firstLineChars="30"/>
        <w:textAlignment w:val="auto"/>
        <w:rPr>
          <w:rFonts w:hint="eastAsia" w:ascii="宋体" w:hAnsi="宋体" w:eastAsia="宋体" w:cs="宋体"/>
          <w:b/>
          <w:color w:val="auto"/>
          <w:kern w:val="0"/>
          <w:sz w:val="24"/>
          <w:highlight w:val="none"/>
          <w:lang w:eastAsia="zh-CN"/>
        </w:rPr>
      </w:pPr>
      <w:r>
        <w:rPr>
          <w:rFonts w:hint="eastAsia" w:ascii="宋体" w:hAnsi="宋体" w:cs="宋体"/>
          <w:b w:val="0"/>
          <w:bCs/>
          <w:color w:val="auto"/>
          <w:sz w:val="24"/>
          <w:highlight w:val="none"/>
        </w:rPr>
        <w:t>本项目</w:t>
      </w:r>
      <w:r>
        <w:rPr>
          <w:rFonts w:hint="eastAsia" w:ascii="宋体" w:hAnsi="宋体" w:cs="宋体"/>
          <w:b w:val="0"/>
          <w:bCs/>
          <w:color w:val="auto"/>
          <w:kern w:val="0"/>
          <w:sz w:val="24"/>
          <w:highlight w:val="none"/>
        </w:rPr>
        <w:t>不收取履约保证金</w:t>
      </w:r>
      <w:r>
        <w:rPr>
          <w:rFonts w:hint="eastAsia" w:hAnsi="宋体" w:cs="宋体"/>
          <w:b w:val="0"/>
          <w:bCs/>
          <w:color w:val="auto"/>
          <w:kern w:val="0"/>
          <w:sz w:val="24"/>
          <w:highlight w:val="none"/>
          <w:lang w:eastAsia="zh-CN"/>
        </w:rPr>
        <w:t>。</w:t>
      </w:r>
    </w:p>
    <w:p w14:paraId="608FB372">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410" w:hanging="410" w:hangingChars="170"/>
        <w:textAlignment w:val="auto"/>
        <w:rPr>
          <w:rFonts w:hint="eastAsia" w:hAnsi="宋体" w:cs="宋体"/>
          <w:b/>
          <w:color w:val="auto"/>
          <w:highlight w:val="none"/>
        </w:rPr>
      </w:pPr>
      <w:r>
        <w:rPr>
          <w:rFonts w:hint="eastAsia" w:hAnsi="宋体" w:cs="宋体"/>
          <w:b/>
          <w:color w:val="auto"/>
          <w:highlight w:val="none"/>
        </w:rPr>
        <w:t>五、转包或分包</w:t>
      </w:r>
    </w:p>
    <w:p w14:paraId="16860016">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宋体" w:hAnsi="宋体" w:cs="宋体"/>
          <w:color w:val="auto"/>
          <w:kern w:val="0"/>
          <w:sz w:val="24"/>
          <w:szCs w:val="20"/>
          <w:highlight w:val="none"/>
        </w:rPr>
      </w:pPr>
      <w:r>
        <w:rPr>
          <w:rFonts w:hint="eastAsia" w:ascii="宋体" w:hAnsi="宋体" w:cs="宋体"/>
          <w:color w:val="auto"/>
          <w:kern w:val="0"/>
          <w:sz w:val="24"/>
          <w:highlight w:val="none"/>
        </w:rPr>
        <w:t>1.本项目不允许转包。</w:t>
      </w:r>
    </w:p>
    <w:p w14:paraId="75A7B100">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本项目</w:t>
      </w:r>
      <w:r>
        <w:rPr>
          <w:rFonts w:hint="eastAsia" w:ascii="宋体" w:hAnsi="宋体" w:eastAsia="宋体" w:cs="宋体"/>
          <w:color w:val="auto"/>
          <w:kern w:val="0"/>
          <w:sz w:val="24"/>
          <w:highlight w:val="none"/>
          <w:lang w:eastAsia="zh-CN"/>
        </w:rPr>
        <w:t>分包按照浙财采监</w:t>
      </w:r>
      <w:r>
        <w:rPr>
          <w:rFonts w:hint="eastAsia" w:ascii="宋体" w:hAnsi="宋体" w:eastAsia="宋体" w:cs="宋体"/>
          <w:color w:val="auto"/>
          <w:kern w:val="0"/>
          <w:sz w:val="24"/>
          <w:highlight w:val="none"/>
          <w:lang w:val="en-US" w:eastAsia="zh-CN"/>
        </w:rPr>
        <w:t>[2022]3号文件执行</w:t>
      </w:r>
      <w:r>
        <w:rPr>
          <w:rFonts w:hint="eastAsia" w:ascii="宋体" w:hAnsi="宋体" w:eastAsia="宋体" w:cs="宋体"/>
          <w:color w:val="auto"/>
          <w:kern w:val="0"/>
          <w:sz w:val="24"/>
          <w:highlight w:val="none"/>
        </w:rPr>
        <w:t>。</w:t>
      </w:r>
    </w:p>
    <w:p w14:paraId="035F3282">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b/>
          <w:color w:val="auto"/>
          <w:highlight w:val="none"/>
        </w:rPr>
      </w:pPr>
      <w:r>
        <w:rPr>
          <w:rFonts w:hint="eastAsia" w:hAnsi="宋体" w:cs="宋体"/>
          <w:b/>
          <w:color w:val="auto"/>
          <w:highlight w:val="none"/>
        </w:rPr>
        <w:t>六、服务款支付</w:t>
      </w:r>
    </w:p>
    <w:p w14:paraId="2A3A0E26">
      <w:pPr>
        <w:numPr>
          <w:ilvl w:val="0"/>
          <w:numId w:val="0"/>
        </w:numPr>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rPr>
        <w:t>签订合同以及具备实施条件后7个工作日内采购人支付合同价款的</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0%；成果通过相关部门验收或上报省自然资源厅后7个工作日内支付合同价款的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0%；成果经省自然资源厅审核通过且数据回流后7个工作日内支付合同价款的30%</w:t>
      </w:r>
      <w:r>
        <w:rPr>
          <w:rFonts w:hint="eastAsia" w:ascii="宋体" w:hAnsi="宋体" w:eastAsia="宋体" w:cs="宋体"/>
          <w:color w:val="auto"/>
          <w:sz w:val="24"/>
          <w:highlight w:val="none"/>
          <w:lang w:val="en-US" w:eastAsia="zh-CN"/>
        </w:rPr>
        <w:t>。</w:t>
      </w:r>
    </w:p>
    <w:p w14:paraId="7744BF7E">
      <w:pPr>
        <w:numPr>
          <w:ilvl w:val="0"/>
          <w:numId w:val="0"/>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在履行合同期间如成本有上涨或降低，采购人对价格一律不作调整。</w:t>
      </w:r>
    </w:p>
    <w:p w14:paraId="3D7CEF3F">
      <w:pPr>
        <w:keepNext w:val="0"/>
        <w:keepLines w:val="0"/>
        <w:pageBreakBefore w:val="0"/>
        <w:widowControl w:val="0"/>
        <w:tabs>
          <w:tab w:val="left" w:pos="420"/>
        </w:tabs>
        <w:kinsoku/>
        <w:wordWrap/>
        <w:overflowPunct/>
        <w:topLinePunct w:val="0"/>
        <w:autoSpaceDE/>
        <w:autoSpaceDN/>
        <w:bidi w:val="0"/>
        <w:adjustRightInd/>
        <w:snapToGrid w:val="0"/>
        <w:spacing w:line="320" w:lineRule="exac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t>七、税费</w:t>
      </w:r>
    </w:p>
    <w:p w14:paraId="5B2BF073">
      <w:pPr>
        <w:keepNext w:val="0"/>
        <w:keepLines w:val="0"/>
        <w:pageBreakBefore w:val="0"/>
        <w:widowControl w:val="0"/>
        <w:kinsoku/>
        <w:wordWrap/>
        <w:overflowPunct/>
        <w:topLinePunct w:val="0"/>
        <w:autoSpaceDE/>
        <w:autoSpaceDN/>
        <w:bidi w:val="0"/>
        <w:adjustRightInd/>
        <w:snapToGrid w:val="0"/>
        <w:spacing w:before="120" w:beforeLines="50" w:after="120" w:afterLines="50" w:line="3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w:t>
      </w:r>
    </w:p>
    <w:p w14:paraId="4FB6C65E">
      <w:pPr>
        <w:keepNext w:val="0"/>
        <w:keepLines w:val="0"/>
        <w:pageBreakBefore w:val="0"/>
        <w:widowControl w:val="0"/>
        <w:kinsoku/>
        <w:wordWrap/>
        <w:overflowPunct/>
        <w:topLinePunct w:val="0"/>
        <w:autoSpaceDE/>
        <w:autoSpaceDN/>
        <w:bidi w:val="0"/>
        <w:adjustRightInd/>
        <w:snapToGrid w:val="0"/>
        <w:spacing w:before="120" w:beforeLines="50" w:after="120" w:afterLines="50" w:line="32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八、验收</w:t>
      </w:r>
    </w:p>
    <w:p w14:paraId="39485056">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479" w:leftChars="228" w:firstLine="69" w:firstLineChars="29"/>
        <w:textAlignment w:val="auto"/>
        <w:rPr>
          <w:rFonts w:hint="eastAsia" w:ascii="宋体" w:hAnsi="宋体" w:cs="宋体"/>
          <w:color w:val="auto"/>
          <w:sz w:val="24"/>
          <w:highlight w:val="none"/>
        </w:rPr>
      </w:pPr>
      <w:r>
        <w:rPr>
          <w:rFonts w:hint="eastAsia" w:ascii="宋体" w:hAnsi="宋体" w:cs="宋体"/>
          <w:color w:val="auto"/>
          <w:sz w:val="24"/>
          <w:highlight w:val="none"/>
        </w:rPr>
        <w:t>按照采购合同的约定对供应商履约情况进行验收。</w:t>
      </w:r>
    </w:p>
    <w:p w14:paraId="100125BE">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412" w:hanging="412" w:hangingChars="171"/>
        <w:textAlignment w:val="auto"/>
        <w:rPr>
          <w:rFonts w:hint="eastAsia" w:hAnsi="宋体" w:cs="宋体"/>
          <w:color w:val="auto"/>
          <w:highlight w:val="none"/>
        </w:rPr>
      </w:pPr>
      <w:r>
        <w:rPr>
          <w:rFonts w:hint="eastAsia" w:hAnsi="宋体" w:cs="宋体"/>
          <w:b/>
          <w:color w:val="auto"/>
          <w:highlight w:val="none"/>
        </w:rPr>
        <w:t>九、服务质量保证及售后服务</w:t>
      </w:r>
    </w:p>
    <w:p w14:paraId="367D1A0C">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乙方应按招标文件规定向甲方提供服务。</w:t>
      </w:r>
    </w:p>
    <w:p w14:paraId="5989690A">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乙方提供的服务成果在服务质量保证期内发生</w:t>
      </w:r>
      <w:r>
        <w:rPr>
          <w:rFonts w:hint="eastAsia" w:ascii="宋体" w:hAnsi="宋体"/>
          <w:color w:val="auto"/>
          <w:sz w:val="24"/>
          <w:highlight w:val="none"/>
          <w:lang w:eastAsia="zh-CN"/>
        </w:rPr>
        <w:t>质量问题</w:t>
      </w:r>
      <w:r>
        <w:rPr>
          <w:rFonts w:ascii="宋体" w:hAnsi="宋体"/>
          <w:color w:val="auto"/>
          <w:sz w:val="24"/>
          <w:highlight w:val="none"/>
        </w:rPr>
        <w:t>，乙方应负责免费提供后续服务。</w:t>
      </w:r>
    </w:p>
    <w:p w14:paraId="6C97FAD0">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rPr>
          <w:rFonts w:ascii="宋体" w:hAnsi="宋体"/>
          <w:color w:val="auto"/>
          <w:sz w:val="24"/>
          <w:highlight w:val="none"/>
        </w:rPr>
      </w:pPr>
      <w:r>
        <w:rPr>
          <w:rFonts w:ascii="宋体" w:hAnsi="宋体"/>
          <w:color w:val="auto"/>
          <w:sz w:val="24"/>
          <w:highlight w:val="none"/>
        </w:rPr>
        <w:t>对达不到要求者，根据实际情况，经双方协商，可按以下办法处理：</w:t>
      </w:r>
    </w:p>
    <w:p w14:paraId="31686FED">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rPr>
          <w:rFonts w:ascii="宋体" w:hAnsi="宋体"/>
          <w:color w:val="auto"/>
          <w:sz w:val="24"/>
          <w:highlight w:val="none"/>
        </w:rPr>
      </w:pPr>
      <w:r>
        <w:rPr>
          <w:rFonts w:ascii="宋体" w:hAnsi="宋体"/>
          <w:color w:val="auto"/>
          <w:sz w:val="24"/>
          <w:highlight w:val="none"/>
        </w:rPr>
        <w:t>⑴重做：由乙方承担所发生的全部费用。</w:t>
      </w:r>
    </w:p>
    <w:p w14:paraId="6DFBB80C">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rPr>
          <w:rFonts w:ascii="宋体" w:hAnsi="宋体"/>
          <w:color w:val="auto"/>
          <w:sz w:val="24"/>
          <w:highlight w:val="none"/>
        </w:rPr>
      </w:pPr>
      <w:r>
        <w:rPr>
          <w:rFonts w:ascii="宋体" w:hAnsi="宋体"/>
          <w:color w:val="auto"/>
          <w:sz w:val="24"/>
          <w:highlight w:val="none"/>
        </w:rPr>
        <w:t>⑵解除合同。</w:t>
      </w:r>
    </w:p>
    <w:p w14:paraId="1BA475FC">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rPr>
          <w:rFonts w:ascii="宋体" w:hAnsi="宋体"/>
          <w:color w:val="auto"/>
          <w:sz w:val="24"/>
          <w:highlight w:val="none"/>
        </w:rPr>
      </w:pPr>
      <w:r>
        <w:rPr>
          <w:rFonts w:hint="eastAsia" w:ascii="宋体" w:hAnsi="宋体"/>
          <w:color w:val="auto"/>
          <w:sz w:val="24"/>
          <w:highlight w:val="none"/>
        </w:rPr>
        <w:t>3.如在使用过程中发生问题，乙方在接到甲方通知后</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小时内到达甲方现场。</w:t>
      </w:r>
    </w:p>
    <w:p w14:paraId="4A49B160">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w:t>
      </w:r>
      <w:r>
        <w:rPr>
          <w:rFonts w:ascii="宋体" w:hAnsi="宋体"/>
          <w:color w:val="auto"/>
          <w:sz w:val="24"/>
          <w:highlight w:val="none"/>
        </w:rPr>
        <w:t>在服务质</w:t>
      </w:r>
      <w:r>
        <w:rPr>
          <w:rFonts w:ascii="宋体" w:hAnsi="宋体" w:eastAsia="宋体" w:cs="Times New Roman"/>
          <w:color w:val="auto"/>
          <w:sz w:val="24"/>
          <w:highlight w:val="none"/>
        </w:rPr>
        <w:t>量保证期内，乙</w:t>
      </w:r>
      <w:r>
        <w:rPr>
          <w:rFonts w:ascii="宋体" w:hAnsi="宋体"/>
          <w:color w:val="auto"/>
          <w:sz w:val="24"/>
          <w:highlight w:val="none"/>
        </w:rPr>
        <w:t>方应对出现的质量及安全问题负责处理解决并承担一切费</w:t>
      </w:r>
    </w:p>
    <w:p w14:paraId="319B8316">
      <w:pPr>
        <w:keepNext w:val="0"/>
        <w:keepLines w:val="0"/>
        <w:pageBreakBefore w:val="0"/>
        <w:widowControl w:val="0"/>
        <w:kinsoku/>
        <w:wordWrap/>
        <w:overflowPunct/>
        <w:topLinePunct w:val="0"/>
        <w:autoSpaceDE/>
        <w:autoSpaceDN/>
        <w:bidi w:val="0"/>
        <w:adjustRightInd/>
        <w:snapToGrid w:val="0"/>
        <w:spacing w:line="380" w:lineRule="exact"/>
        <w:rPr>
          <w:rFonts w:hint="eastAsia" w:hAnsi="宋体" w:cs="宋体"/>
          <w:color w:val="auto"/>
          <w:highlight w:val="none"/>
        </w:rPr>
      </w:pPr>
      <w:r>
        <w:rPr>
          <w:rFonts w:ascii="宋体" w:hAnsi="宋体"/>
          <w:color w:val="auto"/>
          <w:sz w:val="24"/>
          <w:highlight w:val="none"/>
        </w:rPr>
        <w:t>用。</w:t>
      </w:r>
    </w:p>
    <w:p w14:paraId="5B8F9172">
      <w:pPr>
        <w:keepNext w:val="0"/>
        <w:keepLines w:val="0"/>
        <w:pageBreakBefore w:val="0"/>
        <w:widowControl w:val="0"/>
        <w:kinsoku/>
        <w:wordWrap/>
        <w:overflowPunct/>
        <w:topLinePunct w:val="0"/>
        <w:autoSpaceDE/>
        <w:autoSpaceDN/>
        <w:bidi w:val="0"/>
        <w:adjustRightInd/>
        <w:snapToGrid w:val="0"/>
        <w:spacing w:line="380" w:lineRule="exac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十、违约责任</w:t>
      </w:r>
    </w:p>
    <w:p w14:paraId="01AF24E1">
      <w:pPr>
        <w:pStyle w:val="10"/>
        <w:keepNext w:val="0"/>
        <w:keepLines w:val="0"/>
        <w:pageBreakBefore w:val="0"/>
        <w:widowControl w:val="0"/>
        <w:kinsoku/>
        <w:wordWrap/>
        <w:overflowPunct/>
        <w:topLinePunct w:val="0"/>
        <w:autoSpaceDE/>
        <w:autoSpaceDN/>
        <w:bidi w:val="0"/>
        <w:snapToGrid w:val="0"/>
        <w:spacing w:before="120" w:after="120" w:line="380" w:lineRule="exact"/>
        <w:ind w:firstLine="480" w:firstLineChars="200"/>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1.甲方无故逾期验收和办理支付手续的,甲方应按逾期付款总额每日万分之五向乙方支付违约金。</w:t>
      </w:r>
    </w:p>
    <w:p w14:paraId="60BE2C8E">
      <w:pPr>
        <w:pStyle w:val="10"/>
        <w:keepNext w:val="0"/>
        <w:keepLines w:val="0"/>
        <w:pageBreakBefore w:val="0"/>
        <w:widowControl w:val="0"/>
        <w:kinsoku/>
        <w:wordWrap/>
        <w:overflowPunct/>
        <w:topLinePunct w:val="0"/>
        <w:autoSpaceDE/>
        <w:autoSpaceDN/>
        <w:bidi w:val="0"/>
        <w:snapToGrid w:val="0"/>
        <w:spacing w:before="120" w:after="120" w:line="380" w:lineRule="exact"/>
        <w:ind w:firstLine="480" w:firstLineChars="200"/>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2.乙方逾期交付的，乙方应按逾期总额每日千分之六向甲方支付违约金，由甲方从待付</w:t>
      </w:r>
      <w:r>
        <w:rPr>
          <w:rFonts w:hint="eastAsia" w:hAnsi="宋体"/>
          <w:color w:val="auto"/>
          <w:kern w:val="2"/>
          <w:sz w:val="24"/>
          <w:szCs w:val="24"/>
          <w:highlight w:val="none"/>
          <w:lang w:val="en-US" w:eastAsia="zh-CN" w:bidi="ar-SA"/>
        </w:rPr>
        <w:t>款</w:t>
      </w:r>
      <w:r>
        <w:rPr>
          <w:rFonts w:hint="eastAsia" w:ascii="宋体" w:hAnsi="宋体"/>
          <w:color w:val="auto"/>
          <w:kern w:val="2"/>
          <w:sz w:val="24"/>
          <w:szCs w:val="24"/>
          <w:highlight w:val="none"/>
          <w:lang w:val="en-US" w:eastAsia="zh-CN" w:bidi="ar-SA"/>
        </w:rPr>
        <w:t>中扣除。逾期超过约定日期10个工作日不能交付的，甲方可解除本合同。乙方因逾期</w:t>
      </w:r>
      <w:r>
        <w:rPr>
          <w:rFonts w:hint="eastAsia" w:hAnsi="宋体"/>
          <w:color w:val="auto"/>
          <w:kern w:val="2"/>
          <w:sz w:val="24"/>
          <w:szCs w:val="24"/>
          <w:highlight w:val="none"/>
          <w:lang w:val="en-US" w:eastAsia="zh-CN" w:bidi="ar-SA"/>
        </w:rPr>
        <w:t>完成</w:t>
      </w:r>
      <w:r>
        <w:rPr>
          <w:rFonts w:hint="eastAsia" w:ascii="宋体" w:hAnsi="宋体"/>
          <w:color w:val="auto"/>
          <w:kern w:val="2"/>
          <w:sz w:val="24"/>
          <w:szCs w:val="24"/>
          <w:highlight w:val="none"/>
          <w:lang w:val="en-US" w:eastAsia="zh-CN" w:bidi="ar-SA"/>
        </w:rPr>
        <w:t xml:space="preserve">或因其他违约行为导致甲方解除合同的，乙方应向甲方支付合同总值5%的违约金，如造成甲方损失超过违约金的，超出部分由乙方继续承担赔偿责任。 </w:t>
      </w:r>
    </w:p>
    <w:p w14:paraId="03EC59D3">
      <w:pPr>
        <w:pStyle w:val="10"/>
        <w:keepNext w:val="0"/>
        <w:keepLines w:val="0"/>
        <w:pageBreakBefore w:val="0"/>
        <w:widowControl w:val="0"/>
        <w:kinsoku/>
        <w:wordWrap/>
        <w:overflowPunct/>
        <w:topLinePunct w:val="0"/>
        <w:autoSpaceDE/>
        <w:autoSpaceDN/>
        <w:bidi w:val="0"/>
        <w:snapToGrid w:val="0"/>
        <w:spacing w:before="120" w:after="120" w:line="380" w:lineRule="exact"/>
        <w:ind w:firstLine="480" w:firstLineChars="200"/>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3.乙方所服务质量不符合合同规定及招标文件规定标准的，甲方有权拒绝。乙方拒绝改进服务的，影响甲方质量要求的，甲方可单方面解除合同，且乙方还需承担因此造成的一切赔偿责任。</w:t>
      </w:r>
    </w:p>
    <w:p w14:paraId="6149B089">
      <w:pPr>
        <w:pStyle w:val="10"/>
        <w:keepNext w:val="0"/>
        <w:keepLines w:val="0"/>
        <w:pageBreakBefore w:val="0"/>
        <w:widowControl w:val="0"/>
        <w:kinsoku/>
        <w:wordWrap/>
        <w:overflowPunct/>
        <w:topLinePunct w:val="0"/>
        <w:autoSpaceDE/>
        <w:autoSpaceDN/>
        <w:bidi w:val="0"/>
        <w:adjustRightInd/>
        <w:snapToGrid w:val="0"/>
        <w:spacing w:before="120" w:after="120" w:line="380" w:lineRule="exact"/>
        <w:rPr>
          <w:rFonts w:hint="eastAsia" w:ascii="宋体" w:hAnsi="宋体" w:eastAsia="宋体" w:cs="宋体"/>
          <w:b/>
          <w:color w:val="auto"/>
          <w:highlight w:val="none"/>
        </w:rPr>
      </w:pPr>
      <w:r>
        <w:rPr>
          <w:rFonts w:hint="eastAsia" w:hAnsi="宋体" w:eastAsia="宋体" w:cs="宋体"/>
          <w:b/>
          <w:color w:val="auto"/>
          <w:highlight w:val="none"/>
          <w:lang w:eastAsia="zh-CN"/>
        </w:rPr>
        <w:t>十</w:t>
      </w:r>
      <w:r>
        <w:rPr>
          <w:rFonts w:hint="eastAsia" w:hAnsi="宋体" w:cs="宋体"/>
          <w:b/>
          <w:color w:val="auto"/>
          <w:highlight w:val="none"/>
          <w:lang w:eastAsia="zh-CN"/>
        </w:rPr>
        <w:t>一</w:t>
      </w:r>
      <w:r>
        <w:rPr>
          <w:rFonts w:hint="eastAsia" w:ascii="宋体" w:hAnsi="宋体" w:eastAsia="宋体" w:cs="宋体"/>
          <w:b/>
          <w:color w:val="auto"/>
          <w:highlight w:val="none"/>
        </w:rPr>
        <w:t>、不可抗力事件处理</w:t>
      </w:r>
    </w:p>
    <w:p w14:paraId="5B438E3F">
      <w:pPr>
        <w:pStyle w:val="10"/>
        <w:keepNext w:val="0"/>
        <w:keepLines w:val="0"/>
        <w:pageBreakBefore w:val="0"/>
        <w:widowControl w:val="0"/>
        <w:kinsoku/>
        <w:wordWrap/>
        <w:overflowPunct/>
        <w:topLinePunct w:val="0"/>
        <w:autoSpaceDE/>
        <w:autoSpaceDN/>
        <w:bidi w:val="0"/>
        <w:adjustRightInd/>
        <w:snapToGrid w:val="0"/>
        <w:spacing w:before="120" w:after="120"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1.在合同有效期内，任何一方因不可抗力事件导致不能履行合同，则合同履行期可延长，其延长期与不可抗力影响期相同。</w:t>
      </w:r>
    </w:p>
    <w:p w14:paraId="466F5B0A">
      <w:pPr>
        <w:pStyle w:val="10"/>
        <w:keepNext w:val="0"/>
        <w:keepLines w:val="0"/>
        <w:pageBreakBefore w:val="0"/>
        <w:widowControl w:val="0"/>
        <w:kinsoku/>
        <w:wordWrap/>
        <w:overflowPunct/>
        <w:topLinePunct w:val="0"/>
        <w:autoSpaceDE/>
        <w:autoSpaceDN/>
        <w:bidi w:val="0"/>
        <w:adjustRightInd/>
        <w:snapToGrid w:val="0"/>
        <w:spacing w:before="120" w:after="120"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2.不可抗力事件发生后，应立即通知对方，并寄送有关权威机构出具的证明。</w:t>
      </w:r>
    </w:p>
    <w:p w14:paraId="03D99972">
      <w:pPr>
        <w:pStyle w:val="10"/>
        <w:keepNext w:val="0"/>
        <w:keepLines w:val="0"/>
        <w:pageBreakBefore w:val="0"/>
        <w:widowControl w:val="0"/>
        <w:kinsoku/>
        <w:wordWrap/>
        <w:overflowPunct/>
        <w:topLinePunct w:val="0"/>
        <w:autoSpaceDE/>
        <w:autoSpaceDN/>
        <w:bidi w:val="0"/>
        <w:adjustRightInd/>
        <w:snapToGrid w:val="0"/>
        <w:spacing w:before="120" w:after="120"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3.不可抗力事件延续120天以上，双方应通过友好协商，确定是否继续履行合同。</w:t>
      </w:r>
    </w:p>
    <w:p w14:paraId="3A8020BB">
      <w:pPr>
        <w:pStyle w:val="10"/>
        <w:keepNext w:val="0"/>
        <w:keepLines w:val="0"/>
        <w:pageBreakBefore w:val="0"/>
        <w:widowControl w:val="0"/>
        <w:kinsoku/>
        <w:wordWrap/>
        <w:overflowPunct/>
        <w:topLinePunct w:val="0"/>
        <w:autoSpaceDE/>
        <w:autoSpaceDN/>
        <w:bidi w:val="0"/>
        <w:adjustRightInd/>
        <w:snapToGrid w:val="0"/>
        <w:spacing w:before="120" w:after="120" w:line="380" w:lineRule="exact"/>
        <w:rPr>
          <w:rFonts w:hint="eastAsia" w:ascii="宋体" w:hAnsi="宋体" w:eastAsia="宋体" w:cs="宋体"/>
          <w:b/>
          <w:color w:val="auto"/>
          <w:highlight w:val="none"/>
        </w:rPr>
      </w:pPr>
      <w:r>
        <w:rPr>
          <w:rFonts w:hint="eastAsia" w:ascii="宋体" w:hAnsi="宋体" w:eastAsia="宋体" w:cs="宋体"/>
          <w:b/>
          <w:color w:val="auto"/>
          <w:highlight w:val="none"/>
        </w:rPr>
        <w:t>十</w:t>
      </w:r>
      <w:r>
        <w:rPr>
          <w:rFonts w:hint="eastAsia" w:hAnsi="宋体" w:cs="宋体"/>
          <w:b/>
          <w:color w:val="auto"/>
          <w:highlight w:val="none"/>
          <w:lang w:eastAsia="zh-CN"/>
        </w:rPr>
        <w:t>二</w:t>
      </w:r>
      <w:r>
        <w:rPr>
          <w:rFonts w:hint="eastAsia" w:ascii="宋体" w:hAnsi="宋体" w:eastAsia="宋体" w:cs="宋体"/>
          <w:b/>
          <w:color w:val="auto"/>
          <w:highlight w:val="none"/>
        </w:rPr>
        <w:t>、诉讼</w:t>
      </w:r>
    </w:p>
    <w:p w14:paraId="66DF84E8">
      <w:pPr>
        <w:pStyle w:val="10"/>
        <w:keepNext w:val="0"/>
        <w:keepLines w:val="0"/>
        <w:pageBreakBefore w:val="0"/>
        <w:widowControl w:val="0"/>
        <w:kinsoku/>
        <w:wordWrap/>
        <w:overflowPunct/>
        <w:topLinePunct w:val="0"/>
        <w:autoSpaceDE/>
        <w:autoSpaceDN/>
        <w:bidi w:val="0"/>
        <w:adjustRightInd/>
        <w:snapToGrid w:val="0"/>
        <w:spacing w:before="120" w:after="120"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双方在执行合同中所发生的一切争议，应通过协商解决。如协商不成，可向甲方所在地法院起诉。</w:t>
      </w:r>
    </w:p>
    <w:p w14:paraId="4E2F7E69">
      <w:pPr>
        <w:pStyle w:val="10"/>
        <w:keepNext w:val="0"/>
        <w:keepLines w:val="0"/>
        <w:pageBreakBefore w:val="0"/>
        <w:widowControl w:val="0"/>
        <w:kinsoku/>
        <w:wordWrap/>
        <w:overflowPunct/>
        <w:topLinePunct w:val="0"/>
        <w:autoSpaceDE/>
        <w:autoSpaceDN/>
        <w:bidi w:val="0"/>
        <w:adjustRightInd/>
        <w:snapToGrid w:val="0"/>
        <w:spacing w:before="120" w:after="120" w:line="380" w:lineRule="exact"/>
        <w:rPr>
          <w:rFonts w:hint="eastAsia" w:ascii="宋体" w:hAnsi="宋体" w:eastAsia="宋体" w:cs="宋体"/>
          <w:b/>
          <w:color w:val="auto"/>
          <w:highlight w:val="none"/>
          <w:lang w:eastAsia="zh-CN"/>
        </w:rPr>
      </w:pPr>
      <w:r>
        <w:rPr>
          <w:rFonts w:hint="eastAsia" w:ascii="宋体" w:hAnsi="宋体" w:eastAsia="宋体" w:cs="宋体"/>
          <w:b/>
          <w:color w:val="auto"/>
          <w:highlight w:val="none"/>
        </w:rPr>
        <w:t>十</w:t>
      </w:r>
      <w:r>
        <w:rPr>
          <w:rFonts w:hint="eastAsia" w:hAnsi="宋体" w:cs="宋体"/>
          <w:b/>
          <w:color w:val="auto"/>
          <w:highlight w:val="none"/>
          <w:lang w:eastAsia="zh-CN"/>
        </w:rPr>
        <w:t>三</w:t>
      </w:r>
      <w:r>
        <w:rPr>
          <w:rFonts w:hint="eastAsia" w:ascii="宋体" w:hAnsi="宋体" w:eastAsia="宋体" w:cs="宋体"/>
          <w:b/>
          <w:color w:val="auto"/>
          <w:highlight w:val="none"/>
        </w:rPr>
        <w:t>、合同生效及其</w:t>
      </w:r>
      <w:r>
        <w:rPr>
          <w:rFonts w:hint="eastAsia" w:hAnsi="宋体" w:cs="宋体"/>
          <w:b/>
          <w:color w:val="auto"/>
          <w:highlight w:val="none"/>
          <w:lang w:eastAsia="zh-CN"/>
        </w:rPr>
        <w:t>他</w:t>
      </w:r>
    </w:p>
    <w:p w14:paraId="022F0E8E">
      <w:pPr>
        <w:pStyle w:val="10"/>
        <w:keepNext w:val="0"/>
        <w:keepLines w:val="0"/>
        <w:pageBreakBefore w:val="0"/>
        <w:widowControl w:val="0"/>
        <w:kinsoku/>
        <w:wordWrap/>
        <w:overflowPunct/>
        <w:topLinePunct w:val="0"/>
        <w:autoSpaceDE/>
        <w:autoSpaceDN/>
        <w:bidi w:val="0"/>
        <w:adjustRightInd/>
        <w:snapToGrid w:val="0"/>
        <w:spacing w:before="0" w:beforeLines="0" w:after="0" w:afterLines="0"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1.合同经双方法定代表人或委托代理人签字并加盖单位公章后生效。</w:t>
      </w:r>
    </w:p>
    <w:p w14:paraId="37FF763A">
      <w:pPr>
        <w:pStyle w:val="10"/>
        <w:keepNext w:val="0"/>
        <w:keepLines w:val="0"/>
        <w:pageBreakBefore w:val="0"/>
        <w:widowControl w:val="0"/>
        <w:kinsoku/>
        <w:wordWrap/>
        <w:overflowPunct/>
        <w:topLinePunct w:val="0"/>
        <w:autoSpaceDE/>
        <w:autoSpaceDN/>
        <w:bidi w:val="0"/>
        <w:adjustRightInd/>
        <w:snapToGrid w:val="0"/>
        <w:spacing w:before="0" w:beforeLines="0" w:after="0" w:afterLines="0"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2.合同执行中涉及采购资金和采购内容修改或补充的，须经财政部门审批，并签书面补充协议报政府采购监督管理部门备案，方可作为主合同不可分割的一部分。</w:t>
      </w:r>
    </w:p>
    <w:p w14:paraId="3AE4D86F">
      <w:pPr>
        <w:pStyle w:val="10"/>
        <w:keepNext w:val="0"/>
        <w:keepLines w:val="0"/>
        <w:pageBreakBefore w:val="0"/>
        <w:widowControl w:val="0"/>
        <w:kinsoku/>
        <w:wordWrap/>
        <w:overflowPunct/>
        <w:topLinePunct w:val="0"/>
        <w:autoSpaceDE/>
        <w:autoSpaceDN/>
        <w:bidi w:val="0"/>
        <w:adjustRightInd/>
        <w:snapToGrid w:val="0"/>
        <w:spacing w:before="0" w:beforeLines="0" w:after="0" w:afterLines="0"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3.本合同未尽事宜，遵照《</w:t>
      </w:r>
      <w:r>
        <w:rPr>
          <w:rFonts w:hint="eastAsia" w:hAnsi="宋体" w:eastAsia="宋体" w:cs="宋体"/>
          <w:color w:val="auto"/>
          <w:highlight w:val="none"/>
          <w:lang w:eastAsia="zh-CN"/>
        </w:rPr>
        <w:t>民</w:t>
      </w:r>
      <w:r>
        <w:rPr>
          <w:rFonts w:hint="eastAsia" w:ascii="宋体" w:hAnsi="宋体" w:eastAsia="宋体" w:cs="宋体"/>
          <w:color w:val="auto"/>
          <w:highlight w:val="none"/>
        </w:rPr>
        <w:t>法</w:t>
      </w:r>
      <w:r>
        <w:rPr>
          <w:rFonts w:hint="eastAsia" w:hAnsi="宋体" w:eastAsia="宋体" w:cs="宋体"/>
          <w:color w:val="auto"/>
          <w:highlight w:val="none"/>
          <w:lang w:eastAsia="zh-CN"/>
        </w:rPr>
        <w:t>典</w:t>
      </w:r>
      <w:r>
        <w:rPr>
          <w:rFonts w:hint="eastAsia" w:ascii="宋体" w:hAnsi="宋体" w:eastAsia="宋体" w:cs="宋体"/>
          <w:color w:val="auto"/>
          <w:highlight w:val="none"/>
        </w:rPr>
        <w:t>》有关条文执行。</w:t>
      </w:r>
    </w:p>
    <w:p w14:paraId="770D7D2E">
      <w:pPr>
        <w:keepNext w:val="0"/>
        <w:keepLines w:val="0"/>
        <w:pageBreakBefore w:val="0"/>
        <w:widowControl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4.本合同一式六份，甲乙双方各执二份、采购办、代理机构各执一份，具有同等法律效力。</w:t>
      </w:r>
    </w:p>
    <w:p w14:paraId="6C236E2C">
      <w:pPr>
        <w:pStyle w:val="10"/>
        <w:keepNext w:val="0"/>
        <w:keepLines w:val="0"/>
        <w:pageBreakBefore w:val="0"/>
        <w:widowControl w:val="0"/>
        <w:kinsoku/>
        <w:wordWrap/>
        <w:overflowPunct/>
        <w:topLinePunct w:val="0"/>
        <w:autoSpaceDE/>
        <w:autoSpaceDN/>
        <w:bidi w:val="0"/>
        <w:adjustRightInd/>
        <w:snapToGrid w:val="0"/>
        <w:spacing w:before="0" w:beforeLines="0" w:after="0" w:afterLines="0"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5.声明：本合同样本仅供参考，甲乙双方可就招标文件的非实质性条款进行修改，但不能修改实质性条款，甲乙双方对合同的真实性负责，鉴证方只负责见证项目招标的真实性。</w:t>
      </w:r>
    </w:p>
    <w:p w14:paraId="3C2AB086">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firstLine="480" w:firstLineChars="200"/>
        <w:textAlignment w:val="auto"/>
        <w:rPr>
          <w:rFonts w:hint="eastAsia" w:hAnsi="宋体" w:cs="宋体"/>
          <w:color w:val="auto"/>
          <w:highlight w:val="none"/>
        </w:rPr>
      </w:pPr>
    </w:p>
    <w:p w14:paraId="2F8C7398">
      <w:pPr>
        <w:pStyle w:val="10"/>
        <w:keepNext w:val="0"/>
        <w:keepLines w:val="0"/>
        <w:pageBreakBefore w:val="0"/>
        <w:widowControl w:val="0"/>
        <w:kinsoku/>
        <w:wordWrap/>
        <w:overflowPunct/>
        <w:topLinePunct w:val="0"/>
        <w:autoSpaceDE/>
        <w:autoSpaceDN/>
        <w:bidi w:val="0"/>
        <w:adjustRightInd/>
        <w:spacing w:before="120" w:after="120" w:line="320" w:lineRule="exact"/>
        <w:textAlignment w:val="auto"/>
        <w:rPr>
          <w:rFonts w:hint="eastAsia" w:hAnsi="宋体" w:cs="宋体"/>
          <w:color w:val="auto"/>
          <w:highlight w:val="none"/>
        </w:rPr>
      </w:pPr>
      <w:r>
        <w:rPr>
          <w:rFonts w:hint="eastAsia" w:hAnsi="宋体" w:cs="宋体"/>
          <w:b/>
          <w:bCs/>
          <w:color w:val="auto"/>
          <w:highlight w:val="none"/>
        </w:rPr>
        <w:t>甲方（盖章）：                      乙方（盖章）：</w:t>
      </w:r>
    </w:p>
    <w:p w14:paraId="633EA1F9">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Chars="-1" w:hanging="2"/>
        <w:textAlignment w:val="auto"/>
        <w:rPr>
          <w:rFonts w:hint="eastAsia" w:hAnsi="宋体" w:cs="宋体"/>
          <w:color w:val="auto"/>
          <w:highlight w:val="none"/>
        </w:rPr>
      </w:pPr>
      <w:r>
        <w:rPr>
          <w:rFonts w:hint="eastAsia" w:hAnsi="宋体" w:cs="宋体"/>
          <w:color w:val="auto"/>
          <w:highlight w:val="none"/>
        </w:rPr>
        <w:t>法定代表人或受委托人                 法定代表人或受委托人</w:t>
      </w:r>
    </w:p>
    <w:p w14:paraId="7C239D32">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2" w:leftChars="-85" w:hanging="180" w:hangingChars="75"/>
        <w:textAlignment w:val="auto"/>
        <w:rPr>
          <w:rFonts w:hint="eastAsia" w:hAnsi="宋体" w:cs="宋体"/>
          <w:color w:val="auto"/>
          <w:highlight w:val="none"/>
        </w:rPr>
      </w:pPr>
      <w:r>
        <w:rPr>
          <w:rFonts w:hint="eastAsia" w:hAnsi="宋体" w:cs="宋体"/>
          <w:color w:val="auto"/>
          <w:highlight w:val="none"/>
        </w:rPr>
        <w:t>（签字）                             （签字）</w:t>
      </w:r>
    </w:p>
    <w:p w14:paraId="45D1A72A">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Chars="-1" w:hanging="2"/>
        <w:textAlignment w:val="auto"/>
        <w:rPr>
          <w:rFonts w:hint="eastAsia" w:hAnsi="宋体" w:cs="宋体"/>
          <w:color w:val="auto"/>
          <w:highlight w:val="none"/>
        </w:rPr>
      </w:pPr>
      <w:r>
        <w:rPr>
          <w:rFonts w:hint="eastAsia" w:hAnsi="宋体" w:cs="宋体"/>
          <w:color w:val="auto"/>
          <w:highlight w:val="none"/>
        </w:rPr>
        <w:t xml:space="preserve">地址：                               地址： </w:t>
      </w:r>
    </w:p>
    <w:p w14:paraId="1D4D1FCD">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Chars="-1" w:hanging="2"/>
        <w:textAlignment w:val="auto"/>
        <w:rPr>
          <w:rFonts w:hint="eastAsia" w:hAnsi="宋体" w:cs="宋体"/>
          <w:color w:val="auto"/>
          <w:highlight w:val="none"/>
        </w:rPr>
      </w:pPr>
      <w:r>
        <w:rPr>
          <w:rFonts w:hint="eastAsia" w:hAnsi="宋体" w:cs="宋体"/>
          <w:color w:val="auto"/>
          <w:highlight w:val="none"/>
        </w:rPr>
        <w:t>电话：                               电话：</w:t>
      </w:r>
    </w:p>
    <w:p w14:paraId="53787A5C">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Chars="-1" w:hanging="2"/>
        <w:textAlignment w:val="auto"/>
        <w:rPr>
          <w:rFonts w:hint="eastAsia" w:hAnsi="宋体" w:cs="宋体"/>
          <w:color w:val="auto"/>
          <w:highlight w:val="none"/>
        </w:rPr>
      </w:pPr>
      <w:r>
        <w:rPr>
          <w:rFonts w:hint="eastAsia" w:hAnsi="宋体" w:cs="宋体"/>
          <w:color w:val="auto"/>
          <w:highlight w:val="none"/>
        </w:rPr>
        <w:t>传真：                               传真：</w:t>
      </w:r>
    </w:p>
    <w:p w14:paraId="7502B6D5">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Chars="-1" w:hanging="2"/>
        <w:textAlignment w:val="auto"/>
        <w:rPr>
          <w:rFonts w:hint="eastAsia" w:hAnsi="宋体" w:cs="宋体"/>
          <w:color w:val="auto"/>
          <w:highlight w:val="none"/>
        </w:rPr>
      </w:pPr>
      <w:r>
        <w:rPr>
          <w:rFonts w:hint="eastAsia" w:hAnsi="宋体" w:cs="宋体"/>
          <w:color w:val="auto"/>
          <w:highlight w:val="none"/>
        </w:rPr>
        <w:t>开户银行：                           开户银行：</w:t>
      </w:r>
    </w:p>
    <w:p w14:paraId="639F5738">
      <w:pPr>
        <w:pStyle w:val="10"/>
        <w:keepNext w:val="0"/>
        <w:keepLines w:val="0"/>
        <w:pageBreakBefore w:val="0"/>
        <w:widowControl w:val="0"/>
        <w:kinsoku/>
        <w:wordWrap/>
        <w:overflowPunct/>
        <w:topLinePunct w:val="0"/>
        <w:autoSpaceDE/>
        <w:autoSpaceDN/>
        <w:bidi w:val="0"/>
        <w:adjustRightInd/>
        <w:snapToGrid w:val="0"/>
        <w:spacing w:before="120" w:after="120" w:line="320" w:lineRule="exact"/>
        <w:ind w:leftChars="-1" w:hanging="2"/>
        <w:textAlignment w:val="auto"/>
        <w:rPr>
          <w:rFonts w:hint="eastAsia" w:hAnsi="宋体" w:cs="宋体"/>
          <w:b/>
          <w:bCs/>
          <w:color w:val="auto"/>
          <w:highlight w:val="none"/>
        </w:rPr>
      </w:pPr>
      <w:r>
        <w:rPr>
          <w:rFonts w:hint="eastAsia" w:hAnsi="宋体" w:cs="宋体"/>
          <w:color w:val="auto"/>
          <w:highlight w:val="none"/>
          <w:lang w:eastAsia="zh-CN"/>
        </w:rPr>
        <w:t>账</w:t>
      </w:r>
      <w:r>
        <w:rPr>
          <w:rFonts w:hint="eastAsia" w:hAnsi="宋体" w:cs="宋体"/>
          <w:color w:val="auto"/>
          <w:highlight w:val="none"/>
        </w:rPr>
        <w:t xml:space="preserve">号：                               </w:t>
      </w:r>
      <w:r>
        <w:rPr>
          <w:rFonts w:hint="eastAsia" w:hAnsi="宋体" w:cs="宋体"/>
          <w:color w:val="auto"/>
          <w:highlight w:val="none"/>
          <w:lang w:eastAsia="zh-CN"/>
        </w:rPr>
        <w:t>账</w:t>
      </w:r>
      <w:r>
        <w:rPr>
          <w:rFonts w:hint="eastAsia" w:hAnsi="宋体" w:cs="宋体"/>
          <w:color w:val="auto"/>
          <w:highlight w:val="none"/>
        </w:rPr>
        <w:t>号：</w:t>
      </w:r>
    </w:p>
    <w:p w14:paraId="7C5A1C45">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b/>
          <w:bCs/>
          <w:color w:val="auto"/>
          <w:highlight w:val="none"/>
        </w:rPr>
      </w:pPr>
    </w:p>
    <w:p w14:paraId="4C3382C6">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b/>
          <w:bCs/>
          <w:color w:val="auto"/>
          <w:highlight w:val="none"/>
        </w:rPr>
      </w:pPr>
      <w:r>
        <w:rPr>
          <w:rFonts w:hint="eastAsia" w:hAnsi="宋体" w:cs="宋体"/>
          <w:b/>
          <w:bCs/>
          <w:color w:val="auto"/>
          <w:highlight w:val="none"/>
        </w:rPr>
        <w:t>鉴证方（盖章）：</w:t>
      </w:r>
    </w:p>
    <w:p w14:paraId="22D15578">
      <w:pPr>
        <w:pStyle w:val="10"/>
        <w:keepNext w:val="0"/>
        <w:keepLines w:val="0"/>
        <w:pageBreakBefore w:val="0"/>
        <w:widowControl w:val="0"/>
        <w:kinsoku/>
        <w:wordWrap/>
        <w:overflowPunct/>
        <w:topLinePunct w:val="0"/>
        <w:autoSpaceDE/>
        <w:autoSpaceDN/>
        <w:bidi w:val="0"/>
        <w:adjustRightInd/>
        <w:snapToGrid w:val="0"/>
        <w:spacing w:before="120" w:after="120" w:line="320" w:lineRule="exact"/>
        <w:textAlignment w:val="auto"/>
        <w:rPr>
          <w:rFonts w:hint="eastAsia" w:hAnsi="宋体" w:cs="宋体"/>
          <w:color w:val="auto"/>
          <w:highlight w:val="none"/>
        </w:rPr>
      </w:pPr>
      <w:r>
        <w:rPr>
          <w:rFonts w:hint="eastAsia" w:hAnsi="宋体" w:cs="宋体"/>
          <w:color w:val="auto"/>
          <w:highlight w:val="none"/>
        </w:rPr>
        <w:t>法定代表人或主要负责人:</w:t>
      </w:r>
    </w:p>
    <w:p w14:paraId="5BC8DB46">
      <w:pPr>
        <w:pStyle w:val="10"/>
        <w:keepNext w:val="0"/>
        <w:keepLines w:val="0"/>
        <w:pageBreakBefore w:val="0"/>
        <w:widowControl w:val="0"/>
        <w:tabs>
          <w:tab w:val="left" w:pos="2472"/>
        </w:tabs>
        <w:kinsoku/>
        <w:wordWrap/>
        <w:overflowPunct/>
        <w:topLinePunct w:val="0"/>
        <w:autoSpaceDE/>
        <w:autoSpaceDN/>
        <w:bidi w:val="0"/>
        <w:adjustRightInd/>
        <w:snapToGrid w:val="0"/>
        <w:spacing w:before="0" w:beforeLines="0" w:after="0" w:afterLines="0" w:line="320" w:lineRule="exact"/>
        <w:textAlignment w:val="auto"/>
        <w:rPr>
          <w:rFonts w:hint="eastAsia" w:hAnsi="宋体" w:cs="宋体"/>
          <w:color w:val="auto"/>
          <w:highlight w:val="none"/>
        </w:rPr>
      </w:pPr>
      <w:r>
        <w:rPr>
          <w:rFonts w:hint="eastAsia" w:hAnsi="宋体" w:cs="宋体"/>
          <w:color w:val="auto"/>
          <w:highlight w:val="none"/>
        </w:rPr>
        <w:t>联系电话：</w:t>
      </w:r>
      <w:r>
        <w:rPr>
          <w:rFonts w:hint="eastAsia" w:hAnsi="宋体" w:cs="宋体"/>
          <w:color w:val="auto"/>
          <w:highlight w:val="none"/>
          <w:lang w:val="en-US" w:eastAsia="zh-CN"/>
        </w:rPr>
        <w:t>0579-86633677</w:t>
      </w:r>
      <w:r>
        <w:rPr>
          <w:rFonts w:hint="eastAsia" w:hAnsi="宋体" w:cs="宋体"/>
          <w:color w:val="auto"/>
          <w:highlight w:val="none"/>
        </w:rPr>
        <w:t xml:space="preserve">                                          </w:t>
      </w:r>
    </w:p>
    <w:p w14:paraId="231F320C">
      <w:pPr>
        <w:pStyle w:val="10"/>
        <w:keepNext w:val="0"/>
        <w:keepLines w:val="0"/>
        <w:pageBreakBefore w:val="0"/>
        <w:widowControl w:val="0"/>
        <w:tabs>
          <w:tab w:val="left" w:pos="2472"/>
        </w:tabs>
        <w:kinsoku/>
        <w:wordWrap/>
        <w:overflowPunct/>
        <w:topLinePunct w:val="0"/>
        <w:autoSpaceDE/>
        <w:autoSpaceDN/>
        <w:bidi w:val="0"/>
        <w:adjustRightInd/>
        <w:snapToGrid w:val="0"/>
        <w:spacing w:before="0" w:beforeLines="0" w:after="0" w:afterLines="0" w:line="320" w:lineRule="exact"/>
        <w:textAlignment w:val="auto"/>
        <w:rPr>
          <w:rFonts w:hint="eastAsia" w:hAnsi="宋体" w:cs="宋体"/>
          <w:color w:val="auto"/>
          <w:highlight w:val="none"/>
        </w:rPr>
      </w:pPr>
    </w:p>
    <w:p w14:paraId="4310DE3E">
      <w:pPr>
        <w:pStyle w:val="10"/>
        <w:keepNext w:val="0"/>
        <w:keepLines w:val="0"/>
        <w:pageBreakBefore w:val="0"/>
        <w:widowControl w:val="0"/>
        <w:tabs>
          <w:tab w:val="left" w:pos="2472"/>
        </w:tabs>
        <w:kinsoku/>
        <w:wordWrap/>
        <w:overflowPunct/>
        <w:topLinePunct w:val="0"/>
        <w:autoSpaceDE/>
        <w:autoSpaceDN/>
        <w:bidi w:val="0"/>
        <w:adjustRightInd/>
        <w:snapToGrid w:val="0"/>
        <w:spacing w:before="0" w:beforeLines="0" w:after="0" w:afterLines="0" w:line="320" w:lineRule="exact"/>
        <w:ind w:firstLine="4800" w:firstLineChars="2000"/>
        <w:textAlignment w:val="auto"/>
        <w:rPr>
          <w:rFonts w:hint="eastAsia" w:hAnsi="宋体" w:cs="宋体"/>
          <w:color w:val="auto"/>
          <w:highlight w:val="none"/>
        </w:rPr>
      </w:pPr>
      <w:r>
        <w:rPr>
          <w:rFonts w:hint="eastAsia" w:hAnsi="宋体" w:cs="宋体"/>
          <w:color w:val="auto"/>
          <w:highlight w:val="none"/>
        </w:rPr>
        <w:t>签约时间：</w:t>
      </w:r>
    </w:p>
    <w:p w14:paraId="56A20222">
      <w:pPr>
        <w:pageBreakBefore/>
        <w:spacing w:line="360" w:lineRule="auto"/>
        <w:ind w:firstLine="2891" w:firstLineChars="900"/>
        <w:outlineLvl w:val="1"/>
        <w:rPr>
          <w:rFonts w:hint="eastAsia" w:ascii="宋体" w:hAnsi="宋体" w:cs="宋体"/>
          <w:b/>
          <w:color w:val="auto"/>
          <w:sz w:val="32"/>
          <w:szCs w:val="32"/>
          <w:highlight w:val="none"/>
        </w:rPr>
      </w:pPr>
      <w:bookmarkStart w:id="16" w:name="_Toc17278025"/>
      <w:r>
        <w:rPr>
          <w:rFonts w:hint="eastAsia" w:ascii="宋体" w:hAnsi="宋体" w:cs="宋体"/>
          <w:b/>
          <w:color w:val="auto"/>
          <w:sz w:val="32"/>
          <w:szCs w:val="32"/>
          <w:highlight w:val="none"/>
        </w:rPr>
        <w:t>政府采购廉洁承诺书</w:t>
      </w:r>
      <w:bookmarkEnd w:id="16"/>
    </w:p>
    <w:p w14:paraId="190150F9">
      <w:p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                                     项目编号：</w:t>
      </w:r>
    </w:p>
    <w:p w14:paraId="7B070EAF">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w:t>
      </w:r>
    </w:p>
    <w:p w14:paraId="0054CE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加强政府采购活动中的廉政建设，防止发生商业贿赂等违法违纪行为，保护国家、集体和当事人的合法权益，根据《中华人民共和国政府采购法》和党风廉政建设及反腐败工作有关规定，我方自愿签订本承诺书，并严格执行。</w:t>
      </w:r>
    </w:p>
    <w:p w14:paraId="10058D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参与政府采购活动时，除具备采购文件规定的资格、资质要求外，我方还将严格遵守有关法律、法规、政策以及国家、地方关于廉政建设的各项规定。</w:t>
      </w:r>
    </w:p>
    <w:p w14:paraId="2925899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遵循公开、公平、公正、诚实信用原则，不发生损害上述原则及各方当事人合法权益得不正当竞争行为。</w:t>
      </w:r>
    </w:p>
    <w:p w14:paraId="6D4400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与政府采购各方当事人保持正常的业务交往，不向采购人、采购代理机构、监督机构、评审专家、工作人员及其他参与采购活动的人员提供不正当利益。主要有：</w:t>
      </w:r>
    </w:p>
    <w:p w14:paraId="3FE7A7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（一）向上述人员赠送礼金、有价证券、贵重物品及回扣、好处费、感谢费等。</w:t>
      </w:r>
    </w:p>
    <w:p w14:paraId="5FEAC2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（二）为上述人员或单位报销应由对方支付的费用。</w:t>
      </w:r>
    </w:p>
    <w:p w14:paraId="0BF428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（三）暗示为上述人员装修住房、婚丧嫁娶、配偶子女的工作安排以及出国（境）、旅游等提供方便。</w:t>
      </w:r>
    </w:p>
    <w:p w14:paraId="69FC1F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（四）为上述人员或单位提供可能影响采购活动开展的宴请、健身、娱乐等活动。</w:t>
      </w:r>
    </w:p>
    <w:p w14:paraId="45A54D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严格执行采购合同，自觉按合同办事；在合同执行过程中，不发生本承诺书第三条中所列不良行为。    </w:t>
      </w:r>
    </w:p>
    <w:p w14:paraId="492E43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发现采购活动各方当事人有违规、违纪、违法行为的，及时提醒对方，情节严重的，主动向其主管部门或纪检监察、司法等机关举报。</w:t>
      </w:r>
    </w:p>
    <w:p w14:paraId="645CAC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第六条 自觉接受政府采购管理部门的监管。在采购活动中出现违反本承诺书规定行为的，自觉接受政府采购管理部门的处罚，因违法违规行为给其他当事人造成经济损失的，按规定予以赔偿。</w:t>
      </w:r>
    </w:p>
    <w:p w14:paraId="44F723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本承诺书自签署之日起生效。</w:t>
      </w:r>
    </w:p>
    <w:p w14:paraId="0DCC8F04">
      <w:pPr>
        <w:spacing w:line="360" w:lineRule="auto"/>
        <w:ind w:left="840" w:hanging="840" w:hangingChars="350"/>
        <w:jc w:val="center"/>
        <w:rPr>
          <w:rFonts w:hint="eastAsia" w:ascii="宋体" w:hAnsi="宋体" w:cs="宋体"/>
          <w:color w:val="auto"/>
          <w:sz w:val="24"/>
          <w:highlight w:val="none"/>
        </w:rPr>
      </w:pPr>
    </w:p>
    <w:p w14:paraId="5427E60E">
      <w:pPr>
        <w:pStyle w:val="23"/>
        <w:ind w:firstLine="0" w:firstLineChars="0"/>
        <w:rPr>
          <w:rFonts w:hint="eastAsia" w:hAnsi="宋体" w:cs="宋体"/>
          <w:color w:val="auto"/>
          <w:highlight w:val="none"/>
        </w:rPr>
      </w:pPr>
    </w:p>
    <w:p w14:paraId="3875B0D4">
      <w:pPr>
        <w:spacing w:line="360" w:lineRule="auto"/>
        <w:ind w:left="840" w:hanging="840" w:hangingChars="350"/>
        <w:jc w:val="center"/>
        <w:rPr>
          <w:rFonts w:hint="eastAsia" w:ascii="宋体" w:hAnsi="宋体" w:cs="宋体"/>
          <w:color w:val="auto"/>
          <w:sz w:val="24"/>
          <w:highlight w:val="none"/>
        </w:rPr>
      </w:pPr>
      <w:r>
        <w:rPr>
          <w:rFonts w:hint="eastAsia" w:ascii="宋体" w:hAnsi="宋体" w:cs="宋体"/>
          <w:color w:val="auto"/>
          <w:sz w:val="24"/>
          <w:highlight w:val="none"/>
        </w:rPr>
        <w:t>投标人（盖章）：</w:t>
      </w:r>
    </w:p>
    <w:p w14:paraId="0EF8BBD2">
      <w:pPr>
        <w:spacing w:line="360" w:lineRule="auto"/>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p>
    <w:p w14:paraId="498E325A">
      <w:pPr>
        <w:spacing w:line="360" w:lineRule="auto"/>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1666619">
      <w:pPr>
        <w:pStyle w:val="10"/>
        <w:tabs>
          <w:tab w:val="left" w:pos="2472"/>
        </w:tabs>
        <w:snapToGrid w:val="0"/>
        <w:spacing w:before="0" w:beforeLines="0" w:after="0" w:afterLines="0" w:line="240" w:lineRule="auto"/>
        <w:jc w:val="center"/>
        <w:rPr>
          <w:rFonts w:hint="eastAsia" w:hAnsi="宋体" w:cs="宋体"/>
          <w:b/>
          <w:bCs/>
          <w:color w:val="auto"/>
          <w:sz w:val="32"/>
          <w:szCs w:val="32"/>
          <w:highlight w:val="none"/>
        </w:rPr>
      </w:pPr>
      <w:r>
        <w:rPr>
          <w:rFonts w:hint="eastAsia" w:hAnsi="宋体" w:cs="宋体"/>
          <w:b/>
          <w:bCs/>
          <w:color w:val="auto"/>
          <w:sz w:val="32"/>
          <w:szCs w:val="32"/>
          <w:highlight w:val="none"/>
        </w:rPr>
        <w:t>第六章　投标文件格式</w:t>
      </w:r>
    </w:p>
    <w:p w14:paraId="27ED017A">
      <w:pPr>
        <w:snapToGrid w:val="0"/>
        <w:spacing w:before="120" w:beforeLines="50" w:after="50"/>
        <w:rPr>
          <w:rFonts w:hint="eastAsia" w:ascii="宋体" w:hAnsi="宋体" w:cs="宋体"/>
          <w:b/>
          <w:color w:val="auto"/>
          <w:sz w:val="24"/>
          <w:highlight w:val="none"/>
        </w:rPr>
      </w:pPr>
    </w:p>
    <w:p w14:paraId="545DB175">
      <w:pPr>
        <w:snapToGrid w:val="0"/>
        <w:spacing w:before="120" w:beforeLines="50" w:after="50"/>
        <w:rPr>
          <w:rFonts w:hint="eastAsia" w:ascii="宋体" w:hAnsi="宋体" w:cs="宋体"/>
          <w:b/>
          <w:color w:val="auto"/>
          <w:sz w:val="24"/>
          <w:szCs w:val="20"/>
          <w:highlight w:val="none"/>
        </w:rPr>
      </w:pPr>
      <w:r>
        <w:rPr>
          <w:rFonts w:hint="eastAsia" w:ascii="宋体" w:hAnsi="宋体" w:cs="宋体"/>
          <w:b/>
          <w:color w:val="auto"/>
          <w:sz w:val="24"/>
          <w:highlight w:val="none"/>
        </w:rPr>
        <w:t xml:space="preserve">1.所有投标文件封面格式： </w:t>
      </w:r>
    </w:p>
    <w:p w14:paraId="5868EA6B">
      <w:pPr>
        <w:snapToGrid w:val="0"/>
        <w:spacing w:before="120" w:beforeLines="50" w:after="50"/>
        <w:rPr>
          <w:rFonts w:hint="eastAsia" w:ascii="宋体" w:hAnsi="宋体" w:cs="宋体"/>
          <w:b/>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
          <w:bCs/>
          <w:color w:val="auto"/>
          <w:highlight w:val="none"/>
        </w:rPr>
        <w:t>正本或副本</w:t>
      </w:r>
    </w:p>
    <w:p w14:paraId="41E58212">
      <w:pPr>
        <w:snapToGrid w:val="0"/>
        <w:spacing w:before="120" w:beforeLines="50" w:after="50"/>
        <w:jc w:val="center"/>
        <w:rPr>
          <w:rFonts w:hint="eastAsia" w:ascii="宋体" w:hAnsi="宋体" w:cs="宋体"/>
          <w:bCs/>
          <w:color w:val="auto"/>
          <w:sz w:val="24"/>
          <w:szCs w:val="20"/>
          <w:highlight w:val="none"/>
        </w:rPr>
      </w:pPr>
    </w:p>
    <w:p w14:paraId="4FA287C3">
      <w:pPr>
        <w:snapToGrid w:val="0"/>
        <w:spacing w:before="120" w:beforeLines="50" w:after="50"/>
        <w:jc w:val="center"/>
        <w:rPr>
          <w:rFonts w:hint="eastAsia" w:ascii="宋体" w:hAnsi="宋体" w:cs="宋体"/>
          <w:bCs/>
          <w:color w:val="auto"/>
          <w:sz w:val="24"/>
          <w:szCs w:val="20"/>
          <w:highlight w:val="none"/>
        </w:rPr>
      </w:pPr>
      <w:r>
        <w:rPr>
          <w:rFonts w:hint="eastAsia" w:ascii="宋体" w:hAnsi="宋体" w:cs="宋体"/>
          <w:bCs/>
          <w:color w:val="auto"/>
          <w:sz w:val="24"/>
          <w:highlight w:val="none"/>
        </w:rPr>
        <w:t>资格</w:t>
      </w:r>
      <w:r>
        <w:rPr>
          <w:rFonts w:hint="eastAsia" w:ascii="宋体" w:hAnsi="宋体" w:cs="宋体"/>
          <w:bCs/>
          <w:color w:val="auto"/>
          <w:sz w:val="24"/>
          <w:highlight w:val="none"/>
          <w:lang w:eastAsia="zh-CN"/>
        </w:rPr>
        <w:t>响应</w:t>
      </w:r>
      <w:r>
        <w:rPr>
          <w:rFonts w:hint="eastAsia" w:ascii="宋体" w:hAnsi="宋体" w:cs="宋体"/>
          <w:bCs/>
          <w:color w:val="auto"/>
          <w:sz w:val="24"/>
          <w:highlight w:val="none"/>
        </w:rPr>
        <w:t>文件、商务资信技术文件、报价文件</w:t>
      </w:r>
    </w:p>
    <w:p w14:paraId="06A21CD9">
      <w:pPr>
        <w:snapToGrid w:val="0"/>
        <w:spacing w:before="120" w:beforeLines="50" w:after="50"/>
        <w:rPr>
          <w:rFonts w:hint="eastAsia" w:ascii="宋体" w:hAnsi="宋体" w:cs="宋体"/>
          <w:bCs/>
          <w:color w:val="auto"/>
          <w:sz w:val="24"/>
          <w:highlight w:val="none"/>
        </w:rPr>
      </w:pPr>
    </w:p>
    <w:p w14:paraId="6EEF349D">
      <w:pPr>
        <w:snapToGrid w:val="0"/>
        <w:spacing w:before="120" w:beforeLines="50" w:after="50"/>
        <w:ind w:left="2267" w:leftChars="508" w:hanging="1200" w:hangingChars="500"/>
        <w:rPr>
          <w:rFonts w:hint="eastAsia" w:ascii="宋体" w:hAnsi="宋体" w:cs="宋体"/>
          <w:bCs/>
          <w:color w:val="auto"/>
          <w:sz w:val="24"/>
          <w:highlight w:val="none"/>
        </w:rPr>
      </w:pPr>
      <w:r>
        <w:rPr>
          <w:rFonts w:hint="eastAsia" w:ascii="宋体" w:hAnsi="宋体" w:cs="宋体"/>
          <w:bCs/>
          <w:color w:val="auto"/>
          <w:sz w:val="24"/>
          <w:highlight w:val="none"/>
        </w:rPr>
        <w:t>项目名称：</w:t>
      </w:r>
      <w:r>
        <w:rPr>
          <w:rFonts w:hint="eastAsia" w:ascii="宋体" w:hAnsi="宋体" w:cs="宋体"/>
          <w:color w:val="auto"/>
          <w:sz w:val="24"/>
          <w:highlight w:val="none"/>
          <w:lang w:eastAsia="zh-CN"/>
        </w:rPr>
        <w:t>东阳市国土空间规划中期评估采购项目</w:t>
      </w:r>
      <w:r>
        <w:rPr>
          <w:rFonts w:hint="eastAsia" w:ascii="宋体" w:hAnsi="宋体" w:cs="宋体"/>
          <w:color w:val="auto"/>
          <w:sz w:val="24"/>
          <w:highlight w:val="none"/>
        </w:rPr>
        <w:t xml:space="preserve"> </w:t>
      </w:r>
    </w:p>
    <w:p w14:paraId="318D25D9">
      <w:pPr>
        <w:snapToGrid w:val="0"/>
        <w:spacing w:before="120" w:beforeLines="50" w:after="50"/>
        <w:ind w:firstLine="1068" w:firstLineChars="445"/>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项目编号：</w:t>
      </w:r>
      <w:r>
        <w:rPr>
          <w:rFonts w:hint="eastAsia" w:ascii="宋体" w:hAnsi="宋体" w:cs="宋体"/>
          <w:bCs/>
          <w:color w:val="auto"/>
          <w:sz w:val="24"/>
          <w:highlight w:val="none"/>
          <w:lang w:eastAsia="zh-CN"/>
        </w:rPr>
        <w:t>DYYHCG2026-GK-009</w:t>
      </w:r>
    </w:p>
    <w:p w14:paraId="57E69472">
      <w:pPr>
        <w:snapToGrid w:val="0"/>
        <w:spacing w:before="120" w:beforeLines="50" w:after="50"/>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46FCB2FA">
      <w:pPr>
        <w:snapToGrid w:val="0"/>
        <w:spacing w:before="120" w:beforeLines="50" w:after="50"/>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2430ADCF">
      <w:pPr>
        <w:snapToGrid w:val="0"/>
        <w:spacing w:before="120" w:beforeLines="50" w:after="50"/>
        <w:ind w:firstLine="4080" w:firstLineChars="1700"/>
        <w:rPr>
          <w:rFonts w:hint="eastAsia" w:ascii="宋体" w:hAnsi="宋体" w:cs="宋体"/>
          <w:color w:val="auto"/>
          <w:sz w:val="24"/>
          <w:szCs w:val="20"/>
          <w:highlight w:val="none"/>
        </w:rPr>
      </w:pPr>
    </w:p>
    <w:p w14:paraId="509DC01D">
      <w:pPr>
        <w:snapToGrid w:val="0"/>
        <w:spacing w:before="120" w:beforeLines="50" w:after="50"/>
        <w:ind w:firstLine="645"/>
        <w:jc w:val="center"/>
        <w:rPr>
          <w:rFonts w:hint="eastAsia" w:ascii="宋体" w:hAnsi="宋体" w:cs="宋体"/>
          <w:color w:val="auto"/>
          <w:sz w:val="24"/>
          <w:szCs w:val="20"/>
          <w:highlight w:val="none"/>
        </w:rPr>
      </w:pPr>
      <w:r>
        <w:rPr>
          <w:rFonts w:hint="eastAsia" w:ascii="宋体" w:hAnsi="宋体" w:cs="宋体"/>
          <w:color w:val="auto"/>
          <w:sz w:val="24"/>
          <w:highlight w:val="none"/>
        </w:rPr>
        <w:t xml:space="preserve">                        年  月  日</w:t>
      </w:r>
    </w:p>
    <w:p w14:paraId="5DA4B4F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r>
        <w:rPr>
          <w:rFonts w:hint="eastAsia" w:ascii="宋体" w:hAnsi="宋体" w:eastAsia="宋体" w:cs="宋体"/>
          <w:b/>
          <w:color w:val="auto"/>
          <w:sz w:val="24"/>
          <w:highlight w:val="none"/>
          <w:lang w:eastAsia="zh-CN"/>
        </w:rPr>
        <w:t xml:space="preserve"> </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.资格</w:t>
      </w:r>
      <w:r>
        <w:rPr>
          <w:rFonts w:hint="eastAsia" w:ascii="宋体" w:hAnsi="宋体" w:cs="宋体"/>
          <w:b/>
          <w:color w:val="auto"/>
          <w:sz w:val="24"/>
          <w:highlight w:val="none"/>
          <w:lang w:eastAsia="zh-CN"/>
        </w:rPr>
        <w:t>响应</w:t>
      </w:r>
      <w:r>
        <w:rPr>
          <w:rFonts w:hint="eastAsia" w:ascii="宋体" w:hAnsi="宋体" w:eastAsia="宋体" w:cs="宋体"/>
          <w:b/>
          <w:color w:val="auto"/>
          <w:sz w:val="24"/>
          <w:highlight w:val="none"/>
        </w:rPr>
        <w:t>文件：</w:t>
      </w:r>
    </w:p>
    <w:p w14:paraId="0FE97A6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（1）有效的企业法人营业执照副本</w:t>
      </w:r>
      <w:r>
        <w:rPr>
          <w:rFonts w:hint="eastAsia" w:ascii="宋体" w:hAnsi="宋体" w:eastAsia="宋体" w:cs="宋体"/>
          <w:color w:val="auto"/>
          <w:sz w:val="24"/>
          <w:szCs w:val="21"/>
          <w:highlight w:val="none"/>
        </w:rPr>
        <w:t>(或事业法人登记证书或其它工商</w:t>
      </w:r>
      <w:r>
        <w:rPr>
          <w:rFonts w:hint="eastAsia" w:ascii="宋体" w:hAnsi="宋体" w:cs="宋体"/>
          <w:color w:val="auto"/>
          <w:sz w:val="24"/>
          <w:szCs w:val="21"/>
          <w:highlight w:val="none"/>
          <w:lang w:eastAsia="zh-CN"/>
        </w:rPr>
        <w:t>民政</w:t>
      </w:r>
      <w:r>
        <w:rPr>
          <w:rFonts w:hint="eastAsia" w:ascii="宋体" w:hAnsi="宋体" w:eastAsia="宋体" w:cs="宋体"/>
          <w:color w:val="auto"/>
          <w:sz w:val="24"/>
          <w:szCs w:val="21"/>
          <w:highlight w:val="none"/>
        </w:rPr>
        <w:t>等登记证明材料；自然人参与提供身份证)</w:t>
      </w:r>
      <w:r>
        <w:rPr>
          <w:rFonts w:hint="eastAsia" w:ascii="宋体" w:hAnsi="宋体" w:eastAsia="宋体" w:cs="宋体"/>
          <w:bCs/>
          <w:color w:val="auto"/>
          <w:sz w:val="24"/>
          <w:highlight w:val="none"/>
        </w:rPr>
        <w:t>复印件；</w:t>
      </w:r>
    </w:p>
    <w:p w14:paraId="50DF9863">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（2）法定代表人授权委托书(格式见附件)；</w:t>
      </w:r>
    </w:p>
    <w:p w14:paraId="0F8C6BE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）法定代表人身份证复印件或被授权人身份证复印件；</w:t>
      </w:r>
    </w:p>
    <w:p w14:paraId="273E79FD">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color w:val="auto"/>
          <w:sz w:val="24"/>
          <w:szCs w:val="21"/>
          <w:highlight w:val="none"/>
        </w:rPr>
        <w:t>信用记录网络查询页面截图（信用中国与中国政府采购网）</w:t>
      </w:r>
      <w:r>
        <w:rPr>
          <w:rFonts w:hint="eastAsia" w:ascii="宋体" w:hAnsi="宋体" w:eastAsia="宋体" w:cs="宋体"/>
          <w:color w:val="auto"/>
          <w:sz w:val="24"/>
          <w:szCs w:val="21"/>
          <w:highlight w:val="none"/>
          <w:lang w:eastAsia="zh-CN"/>
        </w:rPr>
        <w:t>；</w:t>
      </w:r>
    </w:p>
    <w:p w14:paraId="47E12DE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default" w:ascii="宋体" w:hAnsi="宋体" w:eastAsia="宋体" w:cs="宋体"/>
          <w:color w:val="auto"/>
          <w:sz w:val="24"/>
          <w:szCs w:val="21"/>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提供有效的</w:t>
      </w:r>
      <w:r>
        <w:rPr>
          <w:rFonts w:hint="eastAsia" w:ascii="宋体" w:hAnsi="宋体" w:cs="宋体"/>
          <w:color w:val="auto"/>
          <w:sz w:val="24"/>
          <w:highlight w:val="none"/>
        </w:rPr>
        <w:t>城乡规划编制甲级资质或土地规划编制甲级资质</w:t>
      </w:r>
      <w:r>
        <w:rPr>
          <w:rFonts w:hint="eastAsia" w:ascii="宋体" w:hAnsi="宋体" w:cs="宋体"/>
          <w:color w:val="auto"/>
          <w:sz w:val="24"/>
          <w:highlight w:val="none"/>
          <w:lang w:val="en-US" w:eastAsia="zh-CN"/>
        </w:rPr>
        <w:t>复印件；</w:t>
      </w:r>
    </w:p>
    <w:p w14:paraId="0A8C007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6</w:t>
      </w:r>
      <w:r>
        <w:rPr>
          <w:rFonts w:hint="eastAsia" w:ascii="宋体" w:hAnsi="宋体" w:eastAsia="宋体" w:cs="宋体"/>
          <w:color w:val="auto"/>
          <w:sz w:val="24"/>
          <w:szCs w:val="21"/>
          <w:highlight w:val="none"/>
        </w:rPr>
        <w:t>）浙江政府采购网注册正式供应商的网络截图或承诺书；</w:t>
      </w:r>
    </w:p>
    <w:p w14:paraId="174C0922">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7</w:t>
      </w:r>
      <w:r>
        <w:rPr>
          <w:rFonts w:hint="eastAsia" w:ascii="宋体" w:hAnsi="宋体" w:eastAsia="宋体" w:cs="宋体"/>
          <w:color w:val="auto"/>
          <w:sz w:val="24"/>
          <w:szCs w:val="21"/>
          <w:highlight w:val="none"/>
        </w:rPr>
        <w:t>）政府采购活动现场确认声明书 (格式见附件) ；</w:t>
      </w:r>
    </w:p>
    <w:p w14:paraId="605A86E7">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8</w:t>
      </w:r>
      <w:r>
        <w:rPr>
          <w:rFonts w:hint="eastAsia" w:ascii="宋体" w:hAnsi="宋体" w:eastAsia="宋体" w:cs="宋体"/>
          <w:color w:val="auto"/>
          <w:sz w:val="24"/>
          <w:szCs w:val="21"/>
          <w:highlight w:val="none"/>
        </w:rPr>
        <w:t>）符合参加政府采购活动应当具备的一般条件的承诺函（格式见附件）；</w:t>
      </w:r>
    </w:p>
    <w:p w14:paraId="029FBC0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cs="宋体"/>
          <w:color w:val="auto"/>
          <w:sz w:val="24"/>
          <w:szCs w:val="21"/>
          <w:highlight w:val="none"/>
          <w:lang w:val="en-US" w:eastAsia="zh-CN"/>
        </w:rPr>
        <w:t>9</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投标人依法缴纳税收和社保费、无失信行为的声明函(格式见附件)；</w:t>
      </w:r>
    </w:p>
    <w:p w14:paraId="68B6EE99">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政府采购代理机构考评表(格式见附件)</w:t>
      </w:r>
      <w:r>
        <w:rPr>
          <w:rFonts w:hint="eastAsia" w:ascii="宋体" w:hAnsi="宋体" w:eastAsia="宋体" w:cs="宋体"/>
          <w:bCs/>
          <w:color w:val="auto"/>
          <w:sz w:val="24"/>
          <w:highlight w:val="none"/>
          <w:lang w:eastAsia="zh-CN"/>
        </w:rPr>
        <w:t>；</w:t>
      </w:r>
    </w:p>
    <w:p w14:paraId="470C178F">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联合体协议（联合体投标时提供，格式见附件）</w:t>
      </w:r>
      <w:r>
        <w:rPr>
          <w:rFonts w:hint="eastAsia" w:ascii="宋体" w:hAnsi="宋体" w:eastAsia="宋体" w:cs="宋体"/>
          <w:bCs/>
          <w:color w:val="auto"/>
          <w:sz w:val="24"/>
          <w:highlight w:val="none"/>
          <w:lang w:eastAsia="zh-CN"/>
        </w:rPr>
        <w:t>；</w:t>
      </w:r>
    </w:p>
    <w:p w14:paraId="0B23D880">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分包协议（分包时提供，格式见附件）</w:t>
      </w:r>
      <w:r>
        <w:rPr>
          <w:rFonts w:hint="eastAsia" w:ascii="宋体" w:hAnsi="宋体" w:eastAsia="宋体" w:cs="宋体"/>
          <w:bCs/>
          <w:color w:val="auto"/>
          <w:sz w:val="24"/>
          <w:highlight w:val="none"/>
          <w:lang w:eastAsia="zh-CN"/>
        </w:rPr>
        <w:t>；</w:t>
      </w:r>
    </w:p>
    <w:p w14:paraId="01744FA6">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）中小企业声明函（格式见附件）</w:t>
      </w:r>
      <w:r>
        <w:rPr>
          <w:rFonts w:hint="eastAsia" w:ascii="宋体" w:hAnsi="宋体" w:eastAsia="宋体" w:cs="宋体"/>
          <w:bCs/>
          <w:color w:val="auto"/>
          <w:sz w:val="24"/>
          <w:highlight w:val="none"/>
          <w:lang w:eastAsia="zh-CN"/>
        </w:rPr>
        <w:t>；</w:t>
      </w:r>
    </w:p>
    <w:p w14:paraId="4E8E2CBB">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投标人认为有必要提供的其它文件</w:t>
      </w:r>
      <w:r>
        <w:rPr>
          <w:rFonts w:hint="eastAsia" w:ascii="宋体" w:hAnsi="宋体" w:eastAsia="宋体" w:cs="宋体"/>
          <w:bCs/>
          <w:color w:val="auto"/>
          <w:sz w:val="24"/>
          <w:highlight w:val="none"/>
          <w:lang w:eastAsia="zh-CN"/>
        </w:rPr>
        <w:t>。</w:t>
      </w:r>
    </w:p>
    <w:p w14:paraId="4AFE2EAB">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.商务资信技术文件：</w:t>
      </w:r>
    </w:p>
    <w:p w14:paraId="6825EB81">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（1）评分响应表（格式见附件）；</w:t>
      </w:r>
    </w:p>
    <w:p w14:paraId="69D801E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（2）投标声明书 (格式见附件)；</w:t>
      </w:r>
    </w:p>
    <w:p w14:paraId="38AB536C">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（3）法定代表人授权委托书(格式见附件)；</w:t>
      </w:r>
    </w:p>
    <w:p w14:paraId="5EBCF6CF">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（4）投标单位情况表(格式见附件)；</w:t>
      </w:r>
    </w:p>
    <w:p w14:paraId="753CA73D">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zh-CN"/>
        </w:rPr>
        <w:t>（</w:t>
      </w:r>
      <w:r>
        <w:rPr>
          <w:rFonts w:hint="eastAsia" w:ascii="宋体" w:hAnsi="宋体" w:cs="宋体"/>
          <w:color w:val="auto"/>
          <w:sz w:val="24"/>
          <w:szCs w:val="21"/>
          <w:highlight w:val="none"/>
          <w:lang w:val="en-US" w:eastAsia="zh-CN"/>
        </w:rPr>
        <w:t>5</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1"/>
          <w:highlight w:val="none"/>
        </w:rPr>
        <w:t>无重大违法记录声明书(格式见附件)；</w:t>
      </w:r>
    </w:p>
    <w:p w14:paraId="0D1C5088">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zh-CN"/>
        </w:rPr>
        <w:t>（</w:t>
      </w:r>
      <w:r>
        <w:rPr>
          <w:rFonts w:hint="eastAsia" w:ascii="宋体" w:hAnsi="宋体" w:cs="宋体"/>
          <w:color w:val="auto"/>
          <w:sz w:val="24"/>
          <w:szCs w:val="21"/>
          <w:highlight w:val="none"/>
          <w:lang w:val="en-US" w:eastAsia="zh-CN"/>
        </w:rPr>
        <w:t>6</w:t>
      </w:r>
      <w:r>
        <w:rPr>
          <w:rFonts w:hint="eastAsia" w:ascii="宋体" w:hAnsi="宋体" w:eastAsia="宋体" w:cs="宋体"/>
          <w:color w:val="auto"/>
          <w:sz w:val="24"/>
          <w:szCs w:val="21"/>
          <w:highlight w:val="none"/>
          <w:lang w:val="zh-CN"/>
        </w:rPr>
        <w:t>）政府采购供应商诚信承诺书（格式见附件）；</w:t>
      </w:r>
    </w:p>
    <w:p w14:paraId="08FEE18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7</w:t>
      </w:r>
      <w:r>
        <w:rPr>
          <w:rFonts w:hint="eastAsia" w:ascii="宋体" w:hAnsi="宋体" w:eastAsia="宋体" w:cs="宋体"/>
          <w:color w:val="auto"/>
          <w:sz w:val="24"/>
          <w:szCs w:val="21"/>
          <w:highlight w:val="none"/>
        </w:rPr>
        <w:t>）中标服务费承诺书（格式见附件）；</w:t>
      </w:r>
    </w:p>
    <w:p w14:paraId="5B60E9F5">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8</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eastAsia="zh-CN"/>
        </w:rPr>
        <w:t>技术</w:t>
      </w:r>
      <w:r>
        <w:rPr>
          <w:rFonts w:hint="eastAsia" w:ascii="宋体" w:hAnsi="宋体" w:eastAsia="宋体" w:cs="宋体"/>
          <w:color w:val="auto"/>
          <w:sz w:val="24"/>
          <w:szCs w:val="21"/>
          <w:highlight w:val="none"/>
        </w:rPr>
        <w:t>响应表（格式见附件）；</w:t>
      </w:r>
    </w:p>
    <w:p w14:paraId="70B17459">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w:t>
      </w:r>
      <w:r>
        <w:rPr>
          <w:rFonts w:hint="eastAsia" w:ascii="宋体" w:hAnsi="宋体" w:cs="宋体"/>
          <w:color w:val="auto"/>
          <w:sz w:val="24"/>
          <w:szCs w:val="21"/>
          <w:highlight w:val="none"/>
          <w:lang w:val="en-US" w:eastAsia="zh-CN"/>
        </w:rPr>
        <w:t>9</w:t>
      </w:r>
      <w:r>
        <w:rPr>
          <w:rFonts w:hint="eastAsia" w:ascii="宋体" w:hAnsi="宋体" w:eastAsia="宋体" w:cs="宋体"/>
          <w:color w:val="auto"/>
          <w:sz w:val="24"/>
          <w:szCs w:val="21"/>
          <w:highlight w:val="none"/>
        </w:rPr>
        <w:t>）商务响应表</w:t>
      </w:r>
      <w:r>
        <w:rPr>
          <w:rFonts w:hint="eastAsia" w:ascii="宋体" w:hAnsi="宋体" w:eastAsia="宋体" w:cs="宋体"/>
          <w:color w:val="auto"/>
          <w:sz w:val="24"/>
          <w:szCs w:val="21"/>
          <w:highlight w:val="none"/>
          <w:lang w:val="zh-CN"/>
        </w:rPr>
        <w:t>（格式见附件）；</w:t>
      </w:r>
    </w:p>
    <w:p w14:paraId="00A3EE1B">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1</w:t>
      </w:r>
      <w:r>
        <w:rPr>
          <w:rFonts w:hint="eastAsia" w:ascii="宋体" w:hAnsi="宋体" w:cs="宋体"/>
          <w:color w:val="auto"/>
          <w:sz w:val="24"/>
          <w:szCs w:val="21"/>
          <w:highlight w:val="none"/>
          <w:lang w:val="en-US" w:eastAsia="zh-CN"/>
        </w:rPr>
        <w:t>0</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lang w:val="zh-CN"/>
        </w:rPr>
        <w:t>同类业绩一览表</w:t>
      </w:r>
      <w:r>
        <w:rPr>
          <w:rFonts w:hint="eastAsia" w:ascii="宋体" w:hAnsi="宋体" w:eastAsia="宋体" w:cs="宋体"/>
          <w:color w:val="auto"/>
          <w:sz w:val="24"/>
          <w:szCs w:val="21"/>
          <w:highlight w:val="none"/>
        </w:rPr>
        <w:t>（格式见附件）；</w:t>
      </w:r>
    </w:p>
    <w:p w14:paraId="4CF5A5C2">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项目实施人员一览表</w:t>
      </w:r>
      <w:r>
        <w:rPr>
          <w:rFonts w:hint="eastAsia" w:ascii="宋体" w:hAnsi="宋体" w:eastAsia="宋体" w:cs="宋体"/>
          <w:color w:val="auto"/>
          <w:sz w:val="24"/>
          <w:szCs w:val="21"/>
          <w:highlight w:val="none"/>
        </w:rPr>
        <w:t>（格式见附件）；</w:t>
      </w:r>
    </w:p>
    <w:p w14:paraId="1E3E2E2E">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cs="宋体"/>
          <w:color w:val="auto"/>
          <w:sz w:val="24"/>
          <w:szCs w:val="21"/>
          <w:highlight w:val="none"/>
          <w:lang w:val="en-US" w:eastAsia="zh-CN"/>
        </w:rPr>
        <w:t>2</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zh-CN"/>
        </w:rPr>
        <w:t>技术部分（至少包括技术方案、售后服务</w:t>
      </w:r>
      <w:r>
        <w:rPr>
          <w:rFonts w:hint="eastAsia" w:ascii="宋体" w:hAnsi="宋体" w:eastAsia="宋体" w:cs="宋体"/>
          <w:color w:val="auto"/>
          <w:sz w:val="24"/>
          <w:szCs w:val="21"/>
          <w:highlight w:val="none"/>
        </w:rPr>
        <w:t>等内容）；</w:t>
      </w:r>
    </w:p>
    <w:p w14:paraId="4F87D9F0">
      <w:pPr>
        <w:keepNext w:val="0"/>
        <w:keepLines w:val="0"/>
        <w:pageBreakBefore w:val="0"/>
        <w:widowControl w:val="0"/>
        <w:kinsoku/>
        <w:wordWrap/>
        <w:overflowPunct/>
        <w:topLinePunct w:val="0"/>
        <w:autoSpaceDE/>
        <w:autoSpaceDN/>
        <w:bidi w:val="0"/>
        <w:adjustRightInd w:val="0"/>
        <w:snapToGrid w:val="0"/>
        <w:spacing w:line="4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cs="宋体"/>
          <w:color w:val="auto"/>
          <w:sz w:val="24"/>
          <w:szCs w:val="21"/>
          <w:highlight w:val="none"/>
          <w:lang w:val="en-US" w:eastAsia="zh-CN"/>
        </w:rPr>
        <w:t>3</w:t>
      </w:r>
      <w:r>
        <w:rPr>
          <w:rFonts w:hint="eastAsia" w:ascii="宋体" w:hAnsi="宋体" w:eastAsia="宋体" w:cs="宋体"/>
          <w:color w:val="auto"/>
          <w:sz w:val="24"/>
          <w:szCs w:val="21"/>
          <w:highlight w:val="none"/>
        </w:rPr>
        <w:t>）其它按照评标办法可加分的内容说明、证明文件；</w:t>
      </w:r>
    </w:p>
    <w:p w14:paraId="09C91241">
      <w:pPr>
        <w:keepNext w:val="0"/>
        <w:keepLines w:val="0"/>
        <w:pageBreakBefore w:val="0"/>
        <w:widowControl w:val="0"/>
        <w:kinsoku/>
        <w:wordWrap/>
        <w:overflowPunct/>
        <w:topLinePunct w:val="0"/>
        <w:autoSpaceDE/>
        <w:autoSpaceDN/>
        <w:bidi w:val="0"/>
        <w:adjustRightInd/>
        <w:snapToGrid w:val="0"/>
        <w:spacing w:before="120" w:beforeLines="50" w:line="340" w:lineRule="exact"/>
        <w:ind w:left="412" w:leftChars="196"/>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cs="宋体"/>
          <w:color w:val="auto"/>
          <w:sz w:val="24"/>
          <w:szCs w:val="21"/>
          <w:highlight w:val="none"/>
          <w:lang w:val="en-US" w:eastAsia="zh-CN"/>
        </w:rPr>
        <w:t>4</w:t>
      </w:r>
      <w:r>
        <w:rPr>
          <w:rFonts w:hint="eastAsia" w:ascii="宋体" w:hAnsi="宋体" w:eastAsia="宋体" w:cs="宋体"/>
          <w:color w:val="auto"/>
          <w:sz w:val="24"/>
          <w:szCs w:val="21"/>
          <w:highlight w:val="none"/>
        </w:rPr>
        <w:t>）投标人需要说明的其他文件和说明。</w:t>
      </w:r>
    </w:p>
    <w:p w14:paraId="5CB0FA8D">
      <w:pPr>
        <w:snapToGrid w:val="0"/>
        <w:spacing w:before="50" w:after="120" w:afterLines="50"/>
        <w:jc w:val="left"/>
        <w:rPr>
          <w:rFonts w:hint="eastAsia" w:ascii="宋体" w:hAnsi="宋体" w:cs="宋体"/>
          <w:b/>
          <w:color w:val="auto"/>
          <w:sz w:val="24"/>
          <w:highlight w:val="none"/>
        </w:rPr>
      </w:pPr>
    </w:p>
    <w:p w14:paraId="626358BB">
      <w:pPr>
        <w:snapToGrid w:val="0"/>
        <w:spacing w:before="50" w:after="120" w:afterLines="50"/>
        <w:jc w:val="left"/>
        <w:rPr>
          <w:rFonts w:hint="eastAsia" w:ascii="宋体" w:hAnsi="宋体" w:cs="宋体"/>
          <w:b/>
          <w:color w:val="auto"/>
          <w:sz w:val="24"/>
          <w:highlight w:val="none"/>
        </w:rPr>
      </w:pPr>
      <w:r>
        <w:rPr>
          <w:rFonts w:hint="eastAsia" w:ascii="宋体" w:hAnsi="宋体" w:cs="宋体"/>
          <w:b/>
          <w:color w:val="auto"/>
          <w:sz w:val="24"/>
          <w:highlight w:val="none"/>
        </w:rPr>
        <w:t>评分响应表格式</w:t>
      </w:r>
      <w:r>
        <w:rPr>
          <w:rFonts w:hint="eastAsia" w:ascii="宋体" w:hAnsi="宋体" w:cs="宋体"/>
          <w:b/>
          <w:color w:val="auto"/>
          <w:sz w:val="24"/>
          <w:highlight w:val="none"/>
          <w:lang w:eastAsia="zh-CN"/>
        </w:rPr>
        <w:t>：</w:t>
      </w:r>
      <w:r>
        <w:rPr>
          <w:rFonts w:hint="eastAsia" w:ascii="宋体" w:hAnsi="宋体" w:cs="宋体"/>
          <w:b/>
          <w:color w:val="auto"/>
          <w:sz w:val="24"/>
          <w:highlight w:val="none"/>
        </w:rPr>
        <w:t xml:space="preserve"> </w:t>
      </w:r>
    </w:p>
    <w:p w14:paraId="7373F74B">
      <w:pPr>
        <w:snapToGrid w:val="0"/>
        <w:spacing w:before="120" w:beforeLines="50" w:after="50"/>
        <w:rPr>
          <w:rFonts w:hint="eastAsia" w:ascii="宋体" w:hAnsi="宋体" w:cs="宋体"/>
          <w:b/>
          <w:color w:val="auto"/>
          <w:sz w:val="24"/>
          <w:highlight w:val="none"/>
        </w:rPr>
      </w:pPr>
    </w:p>
    <w:p w14:paraId="1DD9F096">
      <w:pPr>
        <w:snapToGrid w:val="0"/>
        <w:spacing w:before="50" w:after="5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投标人资信商务、技术自评得分表</w:t>
      </w:r>
    </w:p>
    <w:p w14:paraId="2469E36C">
      <w:pPr>
        <w:snapToGrid w:val="0"/>
        <w:spacing w:before="50" w:after="50"/>
        <w:rPr>
          <w:rFonts w:hint="eastAsia" w:ascii="宋体" w:hAnsi="宋体" w:cs="宋体"/>
          <w:b/>
          <w:color w:val="auto"/>
          <w:sz w:val="24"/>
          <w:highlight w:val="none"/>
        </w:rPr>
      </w:pPr>
    </w:p>
    <w:p w14:paraId="432C9DF0">
      <w:pPr>
        <w:snapToGrid w:val="0"/>
        <w:spacing w:before="50" w:after="50"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投标单位名称：</w:t>
      </w:r>
      <w:r>
        <w:rPr>
          <w:rFonts w:hint="eastAsia" w:ascii="宋体" w:hAnsi="宋体" w:cs="宋体"/>
          <w:b/>
          <w:color w:val="auto"/>
          <w:sz w:val="24"/>
          <w:highlight w:val="none"/>
          <w:u w:val="single"/>
        </w:rPr>
        <w:t xml:space="preserve">                </w:t>
      </w:r>
    </w:p>
    <w:tbl>
      <w:tblPr>
        <w:tblStyle w:val="25"/>
        <w:tblW w:w="90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1444"/>
        <w:gridCol w:w="2998"/>
        <w:gridCol w:w="1452"/>
        <w:gridCol w:w="2404"/>
      </w:tblGrid>
      <w:tr w14:paraId="1C2FC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15E15183">
            <w:pPr>
              <w:pStyle w:val="18"/>
              <w:ind w:firstLine="0" w:firstLineChars="0"/>
              <w:jc w:val="center"/>
              <w:rPr>
                <w:rFonts w:hint="eastAsia" w:ascii="宋体" w:eastAsia="宋体" w:cs="宋体"/>
                <w:b/>
                <w:bCs/>
                <w:color w:val="auto"/>
                <w:highlight w:val="none"/>
              </w:rPr>
            </w:pPr>
            <w:r>
              <w:rPr>
                <w:rFonts w:hint="eastAsia" w:ascii="宋体" w:eastAsia="宋体" w:cs="宋体"/>
                <w:b/>
                <w:bCs/>
                <w:color w:val="auto"/>
                <w:highlight w:val="none"/>
              </w:rPr>
              <w:t>序号</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6B75AA0E">
            <w:pPr>
              <w:pStyle w:val="18"/>
              <w:ind w:firstLine="0" w:firstLineChars="0"/>
              <w:jc w:val="center"/>
              <w:rPr>
                <w:rFonts w:hint="eastAsia" w:ascii="宋体" w:eastAsia="宋体" w:cs="宋体"/>
                <w:b/>
                <w:bCs/>
                <w:color w:val="auto"/>
                <w:highlight w:val="none"/>
              </w:rPr>
            </w:pPr>
            <w:r>
              <w:rPr>
                <w:rFonts w:hint="eastAsia" w:ascii="宋体" w:eastAsia="宋体" w:cs="宋体"/>
                <w:b/>
                <w:bCs/>
                <w:color w:val="auto"/>
                <w:highlight w:val="none"/>
              </w:rPr>
              <w:t>评审内容</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110BB2D5">
            <w:pPr>
              <w:pStyle w:val="18"/>
              <w:ind w:firstLine="482"/>
              <w:jc w:val="center"/>
              <w:rPr>
                <w:rFonts w:hint="eastAsia" w:ascii="宋体" w:eastAsia="宋体" w:cs="宋体"/>
                <w:b/>
                <w:bCs/>
                <w:color w:val="auto"/>
                <w:highlight w:val="none"/>
              </w:rPr>
            </w:pPr>
            <w:r>
              <w:rPr>
                <w:rFonts w:hint="eastAsia" w:ascii="宋体" w:eastAsia="宋体" w:cs="宋体"/>
                <w:b/>
                <w:bCs/>
                <w:color w:val="auto"/>
                <w:highlight w:val="none"/>
              </w:rPr>
              <w:t>评分标准</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5937E86">
            <w:pPr>
              <w:pStyle w:val="18"/>
              <w:ind w:firstLine="0" w:firstLineChars="0"/>
              <w:jc w:val="center"/>
              <w:rPr>
                <w:rFonts w:hint="eastAsia" w:ascii="宋体" w:eastAsia="宋体" w:cs="宋体"/>
                <w:b/>
                <w:bCs/>
                <w:color w:val="auto"/>
                <w:highlight w:val="none"/>
              </w:rPr>
            </w:pPr>
            <w:r>
              <w:rPr>
                <w:rFonts w:hint="eastAsia" w:ascii="宋体" w:eastAsia="宋体" w:cs="宋体"/>
                <w:b/>
                <w:bCs/>
                <w:color w:val="auto"/>
                <w:highlight w:val="none"/>
              </w:rPr>
              <w:t>自评得分</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29062163">
            <w:pPr>
              <w:pStyle w:val="18"/>
              <w:ind w:firstLine="0" w:firstLineChars="0"/>
              <w:jc w:val="center"/>
              <w:rPr>
                <w:rFonts w:hint="eastAsia" w:ascii="宋体" w:eastAsia="宋体" w:cs="宋体"/>
                <w:b/>
                <w:bCs/>
                <w:color w:val="auto"/>
                <w:highlight w:val="none"/>
              </w:rPr>
            </w:pPr>
            <w:r>
              <w:rPr>
                <w:rFonts w:hint="eastAsia" w:ascii="宋体" w:eastAsia="宋体" w:cs="宋体"/>
                <w:b/>
                <w:bCs/>
                <w:color w:val="auto"/>
                <w:highlight w:val="none"/>
              </w:rPr>
              <w:t>页码</w:t>
            </w:r>
          </w:p>
        </w:tc>
      </w:tr>
      <w:tr w14:paraId="71F6A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3D703CE3">
            <w:pPr>
              <w:pStyle w:val="18"/>
              <w:ind w:firstLine="0" w:firstLineChars="0"/>
              <w:jc w:val="center"/>
              <w:rPr>
                <w:rFonts w:hint="eastAsia" w:ascii="宋体" w:eastAsia="宋体" w:cs="宋体"/>
                <w:b/>
                <w:bCs/>
                <w:color w:val="auto"/>
                <w:highlight w:val="none"/>
              </w:rPr>
            </w:pPr>
            <w:r>
              <w:rPr>
                <w:rFonts w:hint="eastAsia" w:ascii="宋体" w:eastAsia="宋体" w:cs="宋体"/>
                <w:b/>
                <w:bCs/>
                <w:color w:val="auto"/>
                <w:highlight w:val="none"/>
              </w:rPr>
              <w:t>一</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7ADBF269">
            <w:pPr>
              <w:pStyle w:val="18"/>
              <w:ind w:firstLine="0" w:firstLineChars="0"/>
              <w:jc w:val="center"/>
              <w:rPr>
                <w:rFonts w:hint="eastAsia" w:ascii="宋体" w:eastAsia="宋体" w:cs="宋体"/>
                <w:b/>
                <w:bCs/>
                <w:color w:val="auto"/>
                <w:highlight w:val="none"/>
              </w:rPr>
            </w:pPr>
            <w:r>
              <w:rPr>
                <w:rFonts w:hint="eastAsia" w:ascii="宋体" w:eastAsia="宋体" w:cs="宋体"/>
                <w:b/>
                <w:bCs/>
                <w:color w:val="auto"/>
                <w:highlight w:val="none"/>
              </w:rPr>
              <w:t>技术分</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295A6DB4">
            <w:pPr>
              <w:pStyle w:val="18"/>
              <w:ind w:firstLine="482"/>
              <w:jc w:val="center"/>
              <w:rPr>
                <w:rFonts w:hint="eastAsia" w:ascii="宋体" w:eastAsia="宋体" w:cs="宋体"/>
                <w:b/>
                <w:bCs/>
                <w:color w:val="auto"/>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6326058">
            <w:pPr>
              <w:pStyle w:val="18"/>
              <w:ind w:firstLine="0" w:firstLineChars="0"/>
              <w:jc w:val="center"/>
              <w:rPr>
                <w:rFonts w:hint="eastAsia" w:ascii="宋体" w:eastAsia="宋体" w:cs="宋体"/>
                <w:b/>
                <w:bCs/>
                <w:color w:val="auto"/>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0862F8A2">
            <w:pPr>
              <w:pStyle w:val="18"/>
              <w:ind w:firstLine="0" w:firstLineChars="0"/>
              <w:jc w:val="center"/>
              <w:rPr>
                <w:rFonts w:hint="eastAsia" w:ascii="宋体" w:eastAsia="宋体" w:cs="宋体"/>
                <w:b/>
                <w:bCs/>
                <w:color w:val="auto"/>
                <w:highlight w:val="none"/>
              </w:rPr>
            </w:pPr>
          </w:p>
        </w:tc>
      </w:tr>
      <w:tr w14:paraId="38499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5A63B418">
            <w:pPr>
              <w:widowControl/>
              <w:rPr>
                <w:rFonts w:hint="eastAsia" w:ascii="宋体" w:hAnsi="宋体" w:cs="宋体"/>
                <w:color w:val="auto"/>
                <w:sz w:val="24"/>
                <w:highlight w:val="none"/>
              </w:rPr>
            </w:pPr>
            <w:r>
              <w:rPr>
                <w:rFonts w:hint="eastAsia" w:ascii="宋体" w:hAnsi="宋体" w:cs="宋体"/>
                <w:color w:val="auto"/>
                <w:sz w:val="24"/>
                <w:highlight w:val="none"/>
              </w:rPr>
              <w:t>1</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7A01233D">
            <w:pPr>
              <w:rPr>
                <w:rFonts w:hint="eastAsia" w:ascii="宋体" w:hAnsi="宋体" w:cs="宋体"/>
                <w:color w:val="auto"/>
                <w:sz w:val="24"/>
                <w:highlight w:val="none"/>
              </w:rPr>
            </w:pPr>
          </w:p>
        </w:tc>
        <w:tc>
          <w:tcPr>
            <w:tcW w:w="2998" w:type="dxa"/>
            <w:tcBorders>
              <w:top w:val="single" w:color="auto" w:sz="4" w:space="0"/>
              <w:left w:val="single" w:color="auto" w:sz="4" w:space="0"/>
              <w:right w:val="single" w:color="auto" w:sz="4" w:space="0"/>
            </w:tcBorders>
            <w:noWrap w:val="0"/>
            <w:vAlign w:val="center"/>
          </w:tcPr>
          <w:p w14:paraId="2810DF5F">
            <w:pPr>
              <w:rPr>
                <w:rFonts w:hint="eastAsia" w:ascii="宋体" w:hAnsi="宋体" w:cs="宋体"/>
                <w:color w:val="auto"/>
                <w:sz w:val="24"/>
                <w:highlight w:val="none"/>
              </w:rPr>
            </w:pPr>
          </w:p>
        </w:tc>
        <w:tc>
          <w:tcPr>
            <w:tcW w:w="1452" w:type="dxa"/>
            <w:tcBorders>
              <w:top w:val="single" w:color="auto" w:sz="4" w:space="0"/>
              <w:left w:val="single" w:color="auto" w:sz="4" w:space="0"/>
              <w:right w:val="single" w:color="auto" w:sz="4" w:space="0"/>
            </w:tcBorders>
            <w:noWrap w:val="0"/>
            <w:vAlign w:val="center"/>
          </w:tcPr>
          <w:p w14:paraId="55A7C8B0">
            <w:pPr>
              <w:jc w:val="center"/>
              <w:rPr>
                <w:rFonts w:hint="eastAsia" w:ascii="宋体" w:hAnsi="宋体" w:cs="宋体"/>
                <w:bCs/>
                <w:color w:val="auto"/>
                <w:sz w:val="24"/>
                <w:highlight w:val="none"/>
              </w:rPr>
            </w:pPr>
          </w:p>
        </w:tc>
        <w:tc>
          <w:tcPr>
            <w:tcW w:w="2404" w:type="dxa"/>
            <w:tcBorders>
              <w:top w:val="single" w:color="auto" w:sz="4" w:space="0"/>
              <w:left w:val="single" w:color="auto" w:sz="4" w:space="0"/>
              <w:right w:val="single" w:color="auto" w:sz="4" w:space="0"/>
            </w:tcBorders>
            <w:noWrap w:val="0"/>
            <w:vAlign w:val="center"/>
          </w:tcPr>
          <w:p w14:paraId="6C028F89">
            <w:pPr>
              <w:jc w:val="center"/>
              <w:rPr>
                <w:rFonts w:hint="eastAsia" w:ascii="宋体" w:hAnsi="宋体" w:cs="宋体"/>
                <w:bCs/>
                <w:color w:val="auto"/>
                <w:sz w:val="24"/>
                <w:highlight w:val="none"/>
              </w:rPr>
            </w:pPr>
            <w:r>
              <w:rPr>
                <w:rFonts w:hint="eastAsia" w:ascii="宋体" w:hAnsi="宋体" w:cs="宋体"/>
                <w:bCs/>
                <w:color w:val="auto"/>
                <w:sz w:val="24"/>
                <w:highlight w:val="none"/>
              </w:rPr>
              <w:t>详见第几页</w:t>
            </w:r>
          </w:p>
        </w:tc>
      </w:tr>
      <w:tr w14:paraId="72AEA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162C52A0">
            <w:pPr>
              <w:widowControl/>
              <w:rPr>
                <w:rFonts w:hint="eastAsia" w:ascii="宋体" w:hAnsi="宋体" w:cs="宋体"/>
                <w:color w:val="auto"/>
                <w:sz w:val="24"/>
                <w:highlight w:val="none"/>
              </w:rPr>
            </w:pPr>
            <w:r>
              <w:rPr>
                <w:rFonts w:hint="eastAsia" w:ascii="宋体" w:hAnsi="宋体" w:cs="宋体"/>
                <w:color w:val="auto"/>
                <w:sz w:val="24"/>
                <w:highlight w:val="none"/>
              </w:rPr>
              <w:t>2</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05941D55">
            <w:pPr>
              <w:spacing w:line="320" w:lineRule="exact"/>
              <w:rPr>
                <w:rFonts w:hint="eastAsia" w:ascii="宋体" w:hAnsi="宋体" w:cs="宋体"/>
                <w:color w:val="auto"/>
                <w:sz w:val="24"/>
                <w:highlight w:val="none"/>
              </w:rPr>
            </w:pPr>
          </w:p>
        </w:tc>
        <w:tc>
          <w:tcPr>
            <w:tcW w:w="2998" w:type="dxa"/>
            <w:tcBorders>
              <w:top w:val="single" w:color="auto" w:sz="4" w:space="0"/>
              <w:left w:val="single" w:color="auto" w:sz="4" w:space="0"/>
              <w:right w:val="single" w:color="auto" w:sz="4" w:space="0"/>
            </w:tcBorders>
            <w:noWrap w:val="0"/>
            <w:vAlign w:val="center"/>
          </w:tcPr>
          <w:p w14:paraId="453B495B">
            <w:pPr>
              <w:widowControl/>
              <w:rPr>
                <w:rFonts w:hint="eastAsia" w:ascii="宋体" w:hAnsi="宋体" w:cs="宋体"/>
                <w:color w:val="auto"/>
                <w:kern w:val="0"/>
                <w:sz w:val="24"/>
                <w:highlight w:val="none"/>
              </w:rPr>
            </w:pPr>
          </w:p>
        </w:tc>
        <w:tc>
          <w:tcPr>
            <w:tcW w:w="1452" w:type="dxa"/>
            <w:tcBorders>
              <w:top w:val="single" w:color="auto" w:sz="4" w:space="0"/>
              <w:left w:val="single" w:color="auto" w:sz="4" w:space="0"/>
              <w:right w:val="single" w:color="auto" w:sz="4" w:space="0"/>
            </w:tcBorders>
            <w:noWrap w:val="0"/>
            <w:vAlign w:val="center"/>
          </w:tcPr>
          <w:p w14:paraId="7D21DCBD">
            <w:pPr>
              <w:spacing w:line="320" w:lineRule="exact"/>
              <w:jc w:val="center"/>
              <w:rPr>
                <w:rFonts w:hint="eastAsia" w:ascii="宋体" w:hAnsi="宋体" w:cs="宋体"/>
                <w:bCs/>
                <w:color w:val="auto"/>
                <w:sz w:val="24"/>
                <w:highlight w:val="none"/>
              </w:rPr>
            </w:pPr>
          </w:p>
        </w:tc>
        <w:tc>
          <w:tcPr>
            <w:tcW w:w="2404" w:type="dxa"/>
            <w:tcBorders>
              <w:top w:val="single" w:color="auto" w:sz="4" w:space="0"/>
              <w:left w:val="single" w:color="auto" w:sz="4" w:space="0"/>
              <w:right w:val="single" w:color="auto" w:sz="4" w:space="0"/>
            </w:tcBorders>
            <w:noWrap w:val="0"/>
            <w:vAlign w:val="center"/>
          </w:tcPr>
          <w:p w14:paraId="7D65A1D5">
            <w:pPr>
              <w:jc w:val="center"/>
              <w:rPr>
                <w:rFonts w:hint="eastAsia" w:ascii="宋体" w:hAnsi="宋体" w:cs="宋体"/>
                <w:bCs/>
                <w:color w:val="auto"/>
                <w:sz w:val="24"/>
                <w:highlight w:val="none"/>
              </w:rPr>
            </w:pPr>
            <w:r>
              <w:rPr>
                <w:rFonts w:hint="eastAsia" w:ascii="宋体" w:hAnsi="宋体" w:cs="宋体"/>
                <w:bCs/>
                <w:color w:val="auto"/>
                <w:sz w:val="24"/>
                <w:highlight w:val="none"/>
              </w:rPr>
              <w:t>……</w:t>
            </w:r>
          </w:p>
        </w:tc>
      </w:tr>
      <w:tr w14:paraId="1CA66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786" w:type="dxa"/>
            <w:tcBorders>
              <w:left w:val="single" w:color="auto" w:sz="4" w:space="0"/>
              <w:bottom w:val="single" w:color="auto" w:sz="4" w:space="0"/>
              <w:right w:val="single" w:color="auto" w:sz="4" w:space="0"/>
            </w:tcBorders>
            <w:noWrap w:val="0"/>
            <w:vAlign w:val="center"/>
          </w:tcPr>
          <w:p w14:paraId="5539CEE9">
            <w:pPr>
              <w:widowControl/>
              <w:rPr>
                <w:rFonts w:hint="eastAsia" w:ascii="宋体" w:hAnsi="宋体" w:cs="宋体"/>
                <w:color w:val="auto"/>
                <w:sz w:val="24"/>
                <w:highlight w:val="none"/>
              </w:rPr>
            </w:pPr>
            <w:r>
              <w:rPr>
                <w:rFonts w:hint="eastAsia" w:ascii="宋体" w:hAnsi="宋体" w:cs="宋体"/>
                <w:color w:val="auto"/>
                <w:sz w:val="24"/>
                <w:highlight w:val="none"/>
              </w:rPr>
              <w:t>……</w:t>
            </w:r>
          </w:p>
        </w:tc>
        <w:tc>
          <w:tcPr>
            <w:tcW w:w="1444" w:type="dxa"/>
            <w:tcBorders>
              <w:left w:val="single" w:color="auto" w:sz="4" w:space="0"/>
              <w:bottom w:val="single" w:color="auto" w:sz="4" w:space="0"/>
              <w:right w:val="single" w:color="auto" w:sz="4" w:space="0"/>
            </w:tcBorders>
            <w:noWrap w:val="0"/>
            <w:vAlign w:val="center"/>
          </w:tcPr>
          <w:p w14:paraId="33ED222E">
            <w:pPr>
              <w:widowControl/>
              <w:rPr>
                <w:rFonts w:hint="eastAsia" w:ascii="宋体" w:hAnsi="宋体" w:cs="宋体"/>
                <w:color w:val="auto"/>
                <w:kern w:val="0"/>
                <w:sz w:val="24"/>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49F5328E">
            <w:pPr>
              <w:ind w:left="55" w:leftChars="26"/>
              <w:rPr>
                <w:rFonts w:hint="eastAsia" w:ascii="宋体" w:hAnsi="宋体" w:cs="宋体"/>
                <w:color w:val="auto"/>
                <w:kern w:val="0"/>
                <w:sz w:val="24"/>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63CF159">
            <w:pPr>
              <w:spacing w:line="320" w:lineRule="exact"/>
              <w:jc w:val="center"/>
              <w:rPr>
                <w:rFonts w:hint="eastAsia" w:ascii="宋体" w:hAnsi="宋体" w:cs="宋体"/>
                <w:bCs/>
                <w:color w:val="auto"/>
                <w:sz w:val="24"/>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3650F0FC">
            <w:pPr>
              <w:jc w:val="center"/>
              <w:rPr>
                <w:rFonts w:hint="eastAsia" w:ascii="宋体" w:hAnsi="宋体" w:cs="宋体"/>
                <w:bCs/>
                <w:color w:val="auto"/>
                <w:sz w:val="24"/>
                <w:highlight w:val="none"/>
              </w:rPr>
            </w:pPr>
          </w:p>
        </w:tc>
      </w:tr>
      <w:tr w14:paraId="5A058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28A7FB5E">
            <w:pPr>
              <w:widowControl/>
              <w:rPr>
                <w:rFonts w:hint="eastAsia" w:ascii="宋体" w:hAnsi="宋体" w:cs="宋体"/>
                <w:b/>
                <w:color w:val="auto"/>
                <w:sz w:val="24"/>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323131B3">
            <w:pPr>
              <w:widowControl/>
              <w:rPr>
                <w:rFonts w:hint="eastAsia" w:ascii="宋体" w:hAnsi="宋体" w:cs="宋体"/>
                <w:b/>
                <w:color w:val="auto"/>
                <w:sz w:val="24"/>
                <w:highlight w:val="none"/>
              </w:rPr>
            </w:pPr>
            <w:r>
              <w:rPr>
                <w:rFonts w:hint="eastAsia" w:ascii="宋体" w:hAnsi="宋体" w:cs="宋体"/>
                <w:b/>
                <w:color w:val="auto"/>
                <w:sz w:val="24"/>
                <w:highlight w:val="none"/>
              </w:rPr>
              <w:t>资信商务分</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723D3D2B">
            <w:pPr>
              <w:pStyle w:val="18"/>
              <w:ind w:firstLine="0" w:firstLineChars="0"/>
              <w:jc w:val="both"/>
              <w:rPr>
                <w:rFonts w:hint="eastAsia" w:ascii="宋体" w:eastAsia="宋体" w:cs="宋体"/>
                <w:b/>
                <w:color w:val="auto"/>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014186E">
            <w:pPr>
              <w:pStyle w:val="18"/>
              <w:ind w:firstLine="0" w:firstLineChars="0"/>
              <w:jc w:val="center"/>
              <w:rPr>
                <w:rFonts w:hint="eastAsia" w:ascii="宋体" w:eastAsia="宋体" w:cs="宋体"/>
                <w:b/>
                <w:color w:val="auto"/>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03B56517">
            <w:pPr>
              <w:pStyle w:val="18"/>
              <w:ind w:firstLine="0" w:firstLineChars="0"/>
              <w:jc w:val="center"/>
              <w:rPr>
                <w:rFonts w:hint="eastAsia" w:ascii="宋体" w:eastAsia="宋体" w:cs="宋体"/>
                <w:b/>
                <w:color w:val="auto"/>
                <w:highlight w:val="none"/>
              </w:rPr>
            </w:pPr>
          </w:p>
        </w:tc>
      </w:tr>
      <w:tr w14:paraId="7B151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7DED037C">
            <w:pPr>
              <w:widowControl/>
              <w:rPr>
                <w:rFonts w:hint="eastAsia" w:ascii="宋体" w:hAnsi="宋体" w:cs="宋体"/>
                <w:color w:val="auto"/>
                <w:sz w:val="24"/>
                <w:highlight w:val="none"/>
              </w:rPr>
            </w:pPr>
            <w:r>
              <w:rPr>
                <w:rFonts w:hint="eastAsia" w:ascii="宋体" w:hAnsi="宋体" w:cs="宋体"/>
                <w:color w:val="auto"/>
                <w:sz w:val="24"/>
                <w:highlight w:val="none"/>
              </w:rPr>
              <w:t>1</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76B57D6">
            <w:pPr>
              <w:spacing w:line="320" w:lineRule="exact"/>
              <w:rPr>
                <w:rFonts w:hint="eastAsia" w:ascii="宋体" w:hAnsi="宋体" w:cs="宋体"/>
                <w:color w:val="auto"/>
                <w:kern w:val="0"/>
                <w:sz w:val="24"/>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2AB112EF">
            <w:pPr>
              <w:spacing w:line="320" w:lineRule="exact"/>
              <w:rPr>
                <w:rFonts w:hint="eastAsia" w:ascii="宋体" w:hAnsi="宋体" w:cs="宋体"/>
                <w:color w:val="auto"/>
                <w:kern w:val="0"/>
                <w:sz w:val="24"/>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506DD923">
            <w:pPr>
              <w:pStyle w:val="18"/>
              <w:ind w:firstLine="0" w:firstLineChars="0"/>
              <w:jc w:val="center"/>
              <w:rPr>
                <w:rFonts w:hint="eastAsia" w:ascii="宋体" w:eastAsia="宋体" w:cs="宋体"/>
                <w:color w:val="auto"/>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260E50C1">
            <w:pPr>
              <w:jc w:val="center"/>
              <w:rPr>
                <w:rFonts w:hint="eastAsia" w:ascii="宋体" w:hAnsi="宋体" w:cs="宋体"/>
                <w:bCs/>
                <w:color w:val="auto"/>
                <w:sz w:val="24"/>
                <w:highlight w:val="none"/>
              </w:rPr>
            </w:pPr>
            <w:r>
              <w:rPr>
                <w:rFonts w:hint="eastAsia" w:ascii="宋体" w:hAnsi="宋体" w:cs="宋体"/>
                <w:bCs/>
                <w:color w:val="auto"/>
                <w:sz w:val="24"/>
                <w:highlight w:val="none"/>
              </w:rPr>
              <w:t>详见第几页</w:t>
            </w:r>
          </w:p>
        </w:tc>
      </w:tr>
      <w:tr w14:paraId="299B9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28EEE069">
            <w:pPr>
              <w:widowControl/>
              <w:rPr>
                <w:rFonts w:hint="eastAsia" w:ascii="宋体" w:hAnsi="宋体" w:cs="宋体"/>
                <w:color w:val="auto"/>
                <w:sz w:val="24"/>
                <w:highlight w:val="none"/>
              </w:rPr>
            </w:pPr>
            <w:r>
              <w:rPr>
                <w:rFonts w:hint="eastAsia" w:ascii="宋体" w:hAnsi="宋体" w:cs="宋体"/>
                <w:color w:val="auto"/>
                <w:sz w:val="24"/>
                <w:highlight w:val="none"/>
              </w:rPr>
              <w:t>2</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429222C9">
            <w:pPr>
              <w:rPr>
                <w:rFonts w:hint="eastAsia" w:ascii="宋体" w:hAnsi="宋体" w:cs="宋体"/>
                <w:color w:val="auto"/>
                <w:sz w:val="24"/>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2799D836">
            <w:pPr>
              <w:rPr>
                <w:rFonts w:hint="eastAsia" w:ascii="宋体" w:hAnsi="宋体" w:cs="宋体"/>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27E705A4">
            <w:pPr>
              <w:pStyle w:val="18"/>
              <w:ind w:firstLine="0" w:firstLineChars="0"/>
              <w:jc w:val="center"/>
              <w:rPr>
                <w:rFonts w:hint="eastAsia" w:ascii="宋体" w:eastAsia="宋体" w:cs="宋体"/>
                <w:color w:val="auto"/>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18EB838B">
            <w:pPr>
              <w:pStyle w:val="18"/>
              <w:ind w:firstLine="0" w:firstLineChars="0"/>
              <w:jc w:val="center"/>
              <w:rPr>
                <w:rFonts w:hint="eastAsia" w:ascii="宋体" w:eastAsia="宋体" w:cs="宋体"/>
                <w:color w:val="auto"/>
                <w:highlight w:val="none"/>
              </w:rPr>
            </w:pPr>
            <w:r>
              <w:rPr>
                <w:rFonts w:hint="eastAsia" w:ascii="宋体" w:eastAsia="宋体" w:cs="宋体"/>
                <w:color w:val="auto"/>
                <w:highlight w:val="none"/>
              </w:rPr>
              <w:t>……</w:t>
            </w:r>
          </w:p>
        </w:tc>
      </w:tr>
      <w:tr w14:paraId="6C105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71F56014">
            <w:pPr>
              <w:widowControl/>
              <w:rPr>
                <w:rFonts w:hint="eastAsia" w:ascii="宋体" w:hAnsi="宋体" w:cs="宋体"/>
                <w:color w:val="auto"/>
                <w:sz w:val="24"/>
                <w:highlight w:val="none"/>
              </w:rPr>
            </w:pPr>
            <w:r>
              <w:rPr>
                <w:rFonts w:hint="eastAsia" w:ascii="宋体" w:hAnsi="宋体" w:cs="宋体"/>
                <w:color w:val="auto"/>
                <w:sz w:val="24"/>
                <w:highlight w:val="none"/>
              </w:rPr>
              <w:t>……</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D2112FF">
            <w:pPr>
              <w:rPr>
                <w:rFonts w:hint="eastAsia" w:ascii="宋体" w:hAnsi="宋体" w:cs="宋体"/>
                <w:color w:val="auto"/>
                <w:sz w:val="24"/>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697D72C3">
            <w:pPr>
              <w:rPr>
                <w:rFonts w:hint="eastAsia" w:ascii="宋体" w:hAnsi="宋体" w:cs="宋体"/>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384A22BA">
            <w:pPr>
              <w:pStyle w:val="18"/>
              <w:ind w:firstLine="0" w:firstLineChars="0"/>
              <w:jc w:val="center"/>
              <w:rPr>
                <w:rFonts w:hint="eastAsia" w:ascii="宋体" w:eastAsia="宋体" w:cs="宋体"/>
                <w:color w:val="auto"/>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29B413C8">
            <w:pPr>
              <w:pStyle w:val="18"/>
              <w:ind w:firstLine="0" w:firstLineChars="0"/>
              <w:jc w:val="center"/>
              <w:rPr>
                <w:rFonts w:hint="eastAsia" w:ascii="宋体" w:eastAsia="宋体" w:cs="宋体"/>
                <w:color w:val="auto"/>
                <w:highlight w:val="none"/>
              </w:rPr>
            </w:pPr>
          </w:p>
        </w:tc>
      </w:tr>
      <w:tr w14:paraId="621F7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786" w:type="dxa"/>
            <w:tcBorders>
              <w:left w:val="single" w:color="auto" w:sz="4" w:space="0"/>
              <w:bottom w:val="single" w:color="auto" w:sz="4" w:space="0"/>
              <w:right w:val="single" w:color="auto" w:sz="4" w:space="0"/>
            </w:tcBorders>
            <w:noWrap w:val="0"/>
            <w:vAlign w:val="center"/>
          </w:tcPr>
          <w:p w14:paraId="4C07940D">
            <w:pPr>
              <w:widowControl/>
              <w:rPr>
                <w:rFonts w:hint="eastAsia" w:ascii="宋体" w:hAnsi="宋体" w:cs="宋体"/>
                <w:color w:val="auto"/>
                <w:sz w:val="24"/>
                <w:highlight w:val="none"/>
              </w:rPr>
            </w:pPr>
            <w:r>
              <w:rPr>
                <w:rFonts w:hint="eastAsia" w:ascii="宋体" w:hAnsi="宋体" w:cs="宋体"/>
                <w:color w:val="auto"/>
                <w:sz w:val="24"/>
                <w:highlight w:val="none"/>
              </w:rPr>
              <w:t xml:space="preserve"> </w:t>
            </w:r>
          </w:p>
        </w:tc>
        <w:tc>
          <w:tcPr>
            <w:tcW w:w="1444" w:type="dxa"/>
            <w:tcBorders>
              <w:left w:val="single" w:color="auto" w:sz="4" w:space="0"/>
              <w:bottom w:val="single" w:color="auto" w:sz="4" w:space="0"/>
              <w:right w:val="single" w:color="auto" w:sz="4" w:space="0"/>
            </w:tcBorders>
            <w:noWrap w:val="0"/>
            <w:vAlign w:val="center"/>
          </w:tcPr>
          <w:p w14:paraId="05836ADD">
            <w:pPr>
              <w:widowControl/>
              <w:rPr>
                <w:rFonts w:hint="eastAsia" w:ascii="宋体" w:hAnsi="宋体" w:cs="宋体"/>
                <w:b/>
                <w:color w:val="auto"/>
                <w:sz w:val="24"/>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18973354">
            <w:pPr>
              <w:pStyle w:val="18"/>
              <w:ind w:firstLine="0" w:firstLineChars="0"/>
              <w:jc w:val="both"/>
              <w:rPr>
                <w:rFonts w:hint="eastAsia" w:ascii="宋体" w:eastAsia="宋体" w:cs="宋体"/>
                <w:color w:val="auto"/>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E08011A">
            <w:pPr>
              <w:widowControl/>
              <w:jc w:val="center"/>
              <w:rPr>
                <w:rFonts w:hint="eastAsia" w:ascii="宋体" w:hAnsi="宋体" w:cs="宋体"/>
                <w:b/>
                <w:color w:val="auto"/>
                <w:sz w:val="24"/>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444879CD">
            <w:pPr>
              <w:widowControl/>
              <w:jc w:val="center"/>
              <w:rPr>
                <w:rFonts w:hint="eastAsia" w:ascii="宋体" w:hAnsi="宋体" w:cs="宋体"/>
                <w:b/>
                <w:color w:val="auto"/>
                <w:sz w:val="24"/>
                <w:highlight w:val="none"/>
              </w:rPr>
            </w:pPr>
          </w:p>
        </w:tc>
      </w:tr>
    </w:tbl>
    <w:p w14:paraId="084D11FB">
      <w:pPr>
        <w:snapToGrid w:val="0"/>
        <w:spacing w:before="50" w:after="50"/>
        <w:rPr>
          <w:rFonts w:hint="eastAsia" w:ascii="宋体" w:hAnsi="宋体" w:cs="宋体"/>
          <w:color w:val="auto"/>
          <w:sz w:val="24"/>
          <w:highlight w:val="none"/>
        </w:rPr>
      </w:pPr>
      <w:r>
        <w:rPr>
          <w:rFonts w:hint="eastAsia" w:ascii="宋体" w:hAnsi="宋体" w:cs="宋体"/>
          <w:color w:val="auto"/>
          <w:sz w:val="24"/>
          <w:highlight w:val="none"/>
        </w:rPr>
        <w:t>注：投标单位根据所投标项的评分表内容，按此格式提供评分响应表置于技术文件第1页。</w:t>
      </w:r>
    </w:p>
    <w:p w14:paraId="74A315A7">
      <w:pPr>
        <w:snapToGrid w:val="0"/>
        <w:spacing w:before="120" w:beforeLines="50" w:after="50"/>
        <w:rPr>
          <w:rFonts w:hint="eastAsia" w:ascii="宋体" w:hAnsi="宋体" w:cs="宋体"/>
          <w:color w:val="auto"/>
          <w:sz w:val="24"/>
          <w:highlight w:val="none"/>
        </w:rPr>
      </w:pPr>
    </w:p>
    <w:p w14:paraId="42F98503">
      <w:pPr>
        <w:snapToGrid w:val="0"/>
        <w:spacing w:before="120" w:beforeLines="50" w:after="50"/>
        <w:rPr>
          <w:rFonts w:hint="eastAsia" w:ascii="宋体" w:hAnsi="宋体" w:cs="宋体"/>
          <w:color w:val="auto"/>
          <w:sz w:val="24"/>
          <w:highlight w:val="none"/>
        </w:rPr>
      </w:pPr>
    </w:p>
    <w:p w14:paraId="1F9A43D1">
      <w:pPr>
        <w:snapToGrid w:val="0"/>
        <w:spacing w:before="120" w:beforeLines="50" w:after="50"/>
        <w:rPr>
          <w:rFonts w:hint="eastAsia" w:ascii="宋体" w:hAnsi="宋体" w:cs="宋体"/>
          <w:color w:val="auto"/>
          <w:sz w:val="24"/>
          <w:highlight w:val="none"/>
        </w:rPr>
      </w:pPr>
    </w:p>
    <w:p w14:paraId="79C03113">
      <w:pPr>
        <w:snapToGrid w:val="0"/>
        <w:spacing w:before="120" w:beforeLines="50" w:after="50"/>
        <w:rPr>
          <w:rFonts w:hint="eastAsia" w:ascii="宋体" w:hAnsi="宋体" w:cs="宋体"/>
          <w:color w:val="auto"/>
          <w:sz w:val="24"/>
          <w:highlight w:val="none"/>
        </w:rPr>
      </w:pPr>
    </w:p>
    <w:p w14:paraId="70CB7177">
      <w:pPr>
        <w:snapToGrid w:val="0"/>
        <w:spacing w:before="120" w:beforeLines="50" w:after="50"/>
        <w:rPr>
          <w:rFonts w:hint="eastAsia" w:ascii="宋体" w:hAnsi="宋体" w:cs="宋体"/>
          <w:color w:val="auto"/>
          <w:sz w:val="24"/>
          <w:highlight w:val="none"/>
        </w:rPr>
      </w:pPr>
    </w:p>
    <w:p w14:paraId="5D55F8E2">
      <w:pPr>
        <w:pStyle w:val="23"/>
        <w:ind w:firstLine="464"/>
        <w:rPr>
          <w:rFonts w:hint="eastAsia" w:hAnsi="宋体" w:cs="宋体"/>
          <w:color w:val="auto"/>
          <w:sz w:val="24"/>
          <w:highlight w:val="none"/>
        </w:rPr>
      </w:pPr>
    </w:p>
    <w:p w14:paraId="55B47E65">
      <w:pPr>
        <w:pStyle w:val="23"/>
        <w:ind w:firstLine="464"/>
        <w:rPr>
          <w:rFonts w:hint="eastAsia" w:hAnsi="宋体" w:cs="宋体"/>
          <w:color w:val="auto"/>
          <w:sz w:val="24"/>
          <w:highlight w:val="none"/>
        </w:rPr>
      </w:pPr>
    </w:p>
    <w:p w14:paraId="55186F61">
      <w:pPr>
        <w:pStyle w:val="23"/>
        <w:ind w:firstLine="464"/>
        <w:rPr>
          <w:rFonts w:hint="eastAsia" w:hAnsi="宋体" w:cs="宋体"/>
          <w:color w:val="auto"/>
          <w:sz w:val="24"/>
          <w:highlight w:val="none"/>
        </w:rPr>
      </w:pPr>
    </w:p>
    <w:p w14:paraId="35EF0264">
      <w:pPr>
        <w:pStyle w:val="23"/>
        <w:ind w:firstLine="464"/>
        <w:rPr>
          <w:rFonts w:hint="eastAsia" w:hAnsi="宋体" w:cs="宋体"/>
          <w:color w:val="auto"/>
          <w:sz w:val="24"/>
          <w:highlight w:val="none"/>
        </w:rPr>
      </w:pPr>
    </w:p>
    <w:p w14:paraId="2FF0E2FC">
      <w:pPr>
        <w:pStyle w:val="23"/>
        <w:ind w:firstLine="464"/>
        <w:rPr>
          <w:rFonts w:hint="eastAsia" w:hAnsi="宋体" w:cs="宋体"/>
          <w:color w:val="auto"/>
          <w:sz w:val="24"/>
          <w:highlight w:val="none"/>
        </w:rPr>
      </w:pPr>
    </w:p>
    <w:p w14:paraId="71CC6F0E">
      <w:pPr>
        <w:pStyle w:val="23"/>
        <w:ind w:firstLine="464"/>
        <w:rPr>
          <w:rFonts w:hint="eastAsia" w:hAnsi="宋体" w:cs="宋体"/>
          <w:color w:val="auto"/>
          <w:sz w:val="24"/>
          <w:highlight w:val="none"/>
        </w:rPr>
      </w:pPr>
    </w:p>
    <w:p w14:paraId="0FCDAFCB">
      <w:pPr>
        <w:pStyle w:val="23"/>
        <w:ind w:firstLine="464"/>
        <w:rPr>
          <w:rFonts w:hint="eastAsia" w:hAnsi="宋体" w:cs="宋体"/>
          <w:color w:val="auto"/>
          <w:sz w:val="24"/>
          <w:highlight w:val="none"/>
        </w:rPr>
      </w:pPr>
    </w:p>
    <w:p w14:paraId="347F8B87">
      <w:pPr>
        <w:pStyle w:val="23"/>
        <w:ind w:firstLine="464"/>
        <w:rPr>
          <w:rFonts w:hint="eastAsia" w:hAnsi="宋体" w:cs="宋体"/>
          <w:color w:val="auto"/>
          <w:sz w:val="24"/>
          <w:highlight w:val="none"/>
        </w:rPr>
      </w:pPr>
    </w:p>
    <w:p w14:paraId="60DEDC87">
      <w:pPr>
        <w:pStyle w:val="23"/>
        <w:ind w:firstLine="464"/>
        <w:rPr>
          <w:rFonts w:hint="eastAsia" w:hAnsi="宋体" w:cs="宋体"/>
          <w:color w:val="auto"/>
          <w:sz w:val="24"/>
          <w:highlight w:val="none"/>
        </w:rPr>
      </w:pPr>
    </w:p>
    <w:p w14:paraId="190499A6">
      <w:pPr>
        <w:snapToGrid w:val="0"/>
        <w:spacing w:before="50" w:after="120" w:afterLines="50"/>
        <w:jc w:val="left"/>
        <w:rPr>
          <w:rFonts w:hint="eastAsia" w:ascii="宋体" w:hAnsi="宋体" w:cs="宋体"/>
          <w:b/>
          <w:color w:val="auto"/>
          <w:sz w:val="24"/>
          <w:highlight w:val="none"/>
        </w:rPr>
      </w:pPr>
    </w:p>
    <w:p w14:paraId="39232714">
      <w:pPr>
        <w:snapToGrid w:val="0"/>
        <w:spacing w:before="50" w:after="120" w:afterLines="50"/>
        <w:jc w:val="left"/>
        <w:rPr>
          <w:rFonts w:hint="eastAsia" w:ascii="宋体" w:hAnsi="宋体" w:cs="宋体"/>
          <w:b/>
          <w:color w:val="auto"/>
          <w:sz w:val="24"/>
          <w:highlight w:val="none"/>
        </w:rPr>
      </w:pPr>
    </w:p>
    <w:p w14:paraId="60259966">
      <w:pPr>
        <w:pStyle w:val="23"/>
        <w:ind w:firstLine="344"/>
        <w:rPr>
          <w:rFonts w:hint="eastAsia" w:hAnsi="宋体" w:cs="宋体"/>
          <w:color w:val="auto"/>
          <w:highlight w:val="none"/>
        </w:rPr>
      </w:pPr>
    </w:p>
    <w:p w14:paraId="0D762346">
      <w:pPr>
        <w:snapToGrid w:val="0"/>
        <w:spacing w:before="50" w:after="120" w:afterLines="50"/>
        <w:jc w:val="left"/>
        <w:rPr>
          <w:rFonts w:hint="eastAsia" w:ascii="宋体" w:hAnsi="宋体" w:cs="宋体"/>
          <w:b/>
          <w:color w:val="auto"/>
          <w:sz w:val="24"/>
          <w:highlight w:val="none"/>
        </w:rPr>
      </w:pPr>
    </w:p>
    <w:p w14:paraId="79E2511B">
      <w:pPr>
        <w:snapToGrid w:val="0"/>
        <w:spacing w:before="50" w:after="120" w:afterLines="50"/>
        <w:jc w:val="left"/>
        <w:rPr>
          <w:rFonts w:hint="eastAsia" w:ascii="宋体" w:hAnsi="宋体" w:cs="宋体"/>
          <w:b/>
          <w:color w:val="auto"/>
          <w:sz w:val="24"/>
          <w:szCs w:val="20"/>
          <w:highlight w:val="none"/>
        </w:rPr>
      </w:pPr>
      <w:r>
        <w:rPr>
          <w:rFonts w:hint="eastAsia" w:ascii="宋体" w:hAnsi="宋体" w:cs="宋体"/>
          <w:b/>
          <w:color w:val="auto"/>
          <w:sz w:val="24"/>
          <w:highlight w:val="none"/>
        </w:rPr>
        <w:t>投标声明书格式：</w:t>
      </w:r>
    </w:p>
    <w:p w14:paraId="191BA068">
      <w:pPr>
        <w:snapToGrid w:val="0"/>
        <w:spacing w:before="120" w:beforeLines="50" w:after="50"/>
        <w:jc w:val="center"/>
        <w:rPr>
          <w:rFonts w:hint="eastAsia" w:ascii="宋体" w:hAnsi="宋体" w:cs="宋体"/>
          <w:b/>
          <w:bCs/>
          <w:color w:val="auto"/>
          <w:sz w:val="24"/>
          <w:szCs w:val="20"/>
          <w:highlight w:val="none"/>
        </w:rPr>
      </w:pPr>
      <w:r>
        <w:rPr>
          <w:rFonts w:hint="eastAsia" w:ascii="宋体" w:hAnsi="宋体" w:cs="宋体"/>
          <w:b/>
          <w:bCs/>
          <w:color w:val="auto"/>
          <w:sz w:val="30"/>
          <w:highlight w:val="none"/>
        </w:rPr>
        <w:t>投标声明书</w:t>
      </w:r>
    </w:p>
    <w:p w14:paraId="1CBF7D77">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致：</w:t>
      </w:r>
      <w:r>
        <w:rPr>
          <w:rFonts w:hint="eastAsia" w:ascii="宋体" w:hAnsi="宋体" w:cs="宋体"/>
          <w:color w:val="auto"/>
          <w:kern w:val="0"/>
          <w:sz w:val="24"/>
          <w:highlight w:val="none"/>
          <w:u w:val="single"/>
        </w:rPr>
        <w:t>东阳耀辉工程咨询有限公司</w:t>
      </w:r>
    </w:p>
    <w:p w14:paraId="2949449C">
      <w:pPr>
        <w:snapToGrid w:val="0"/>
        <w:spacing w:before="120" w:beforeLines="50" w:after="50"/>
        <w:ind w:firstLine="720" w:firstLineChars="300"/>
        <w:rPr>
          <w:rFonts w:hint="eastAsia" w:ascii="宋体" w:hAnsi="宋体" w:cs="宋体"/>
          <w:color w:val="auto"/>
          <w:sz w:val="24"/>
          <w:szCs w:val="20"/>
          <w:highlight w:val="none"/>
        </w:rPr>
      </w:pPr>
      <w:r>
        <w:rPr>
          <w:rFonts w:hint="eastAsia" w:ascii="宋体" w:hAnsi="宋体" w:cs="宋体"/>
          <w:color w:val="auto"/>
          <w:sz w:val="24"/>
          <w:highlight w:val="none"/>
        </w:rPr>
        <w:t>______（投标人名称）系中华人民共和国合法企业，经营地址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6A1167">
      <w:pPr>
        <w:snapToGrid w:val="0"/>
        <w:spacing w:before="120" w:beforeLines="50" w:after="50"/>
        <w:ind w:firstLine="645"/>
        <w:rPr>
          <w:rFonts w:hint="eastAsia" w:ascii="宋体" w:hAnsi="宋体" w:cs="宋体"/>
          <w:color w:val="auto"/>
          <w:sz w:val="24"/>
          <w:szCs w:val="20"/>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（投标人名称）的法定代表人，我方愿意参加贵方组织的</w:t>
      </w:r>
      <w:r>
        <w:rPr>
          <w:rFonts w:hint="eastAsia" w:ascii="宋体" w:hAnsi="宋体" w:cs="宋体"/>
          <w:color w:val="auto"/>
          <w:sz w:val="24"/>
          <w:highlight w:val="none"/>
          <w:u w:val="single"/>
          <w:lang w:eastAsia="zh-CN"/>
        </w:rPr>
        <w:t>东阳市国土空间规划中期评估采购项目</w:t>
      </w:r>
      <w:r>
        <w:rPr>
          <w:rFonts w:hint="eastAsia" w:ascii="宋体" w:hAnsi="宋体" w:cs="宋体"/>
          <w:color w:val="auto"/>
          <w:sz w:val="24"/>
          <w:highlight w:val="none"/>
        </w:rPr>
        <w:t>的投标，为便于贵方公正、择优确定中标人及其投标产品和服务，我方就本次投标有关事项郑重声明如下：</w:t>
      </w:r>
    </w:p>
    <w:p w14:paraId="0B9E2259">
      <w:pPr>
        <w:snapToGrid w:val="0"/>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1.我方向贵方提交的所有投标文件、资料都是准确的和真实的。</w:t>
      </w:r>
    </w:p>
    <w:p w14:paraId="571F33B7">
      <w:pPr>
        <w:snapToGrid w:val="0"/>
        <w:spacing w:before="120" w:beforeLines="50"/>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2.我方不是采购人的附属机构；在获知本项目采购信息后，与采购人聘请的为此项目提供咨询服务的公司及其附属机构没有任何联系。</w:t>
      </w:r>
    </w:p>
    <w:p w14:paraId="0DD26DE3">
      <w:pPr>
        <w:snapToGrid w:val="0"/>
        <w:spacing w:before="120" w:beforeLines="5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3.我方及由本人担任法定代表人的其他机构最近三年内被通报、被处罚的违法行为或者可认定为不良行为的有：</w:t>
      </w:r>
    </w:p>
    <w:p w14:paraId="394C5F5C">
      <w:pPr>
        <w:snapToGrid w:val="0"/>
        <w:spacing w:before="120" w:beforeLines="50"/>
        <w:ind w:firstLine="480" w:firstLineChars="200"/>
        <w:rPr>
          <w:rFonts w:hint="eastAsia" w:ascii="宋体" w:hAnsi="宋体" w:cs="宋体"/>
          <w:color w:val="auto"/>
          <w:sz w:val="24"/>
          <w:szCs w:val="20"/>
          <w:highlight w:val="none"/>
          <w:u w:val="single"/>
        </w:rPr>
      </w:pPr>
      <w:r>
        <w:rPr>
          <w:rFonts w:hint="eastAsia" w:ascii="宋体" w:hAnsi="宋体" w:cs="宋体"/>
          <w:color w:val="auto"/>
          <w:sz w:val="24"/>
          <w:highlight w:val="none"/>
          <w:u w:val="single"/>
        </w:rPr>
        <w:t>　　　　　　　　　　　　　　　　　　　　　　　　　　　</w:t>
      </w:r>
    </w:p>
    <w:p w14:paraId="66093B52">
      <w:pPr>
        <w:snapToGrid w:val="0"/>
        <w:spacing w:before="120" w:beforeLines="50"/>
        <w:ind w:firstLine="480" w:firstLineChars="200"/>
        <w:rPr>
          <w:rFonts w:hint="eastAsia" w:ascii="宋体" w:hAnsi="宋体" w:cs="宋体"/>
          <w:color w:val="auto"/>
          <w:sz w:val="24"/>
          <w:szCs w:val="20"/>
          <w:highlight w:val="none"/>
          <w:u w:val="single"/>
        </w:rPr>
      </w:pPr>
      <w:r>
        <w:rPr>
          <w:rFonts w:hint="eastAsia" w:ascii="宋体" w:hAnsi="宋体" w:cs="宋体"/>
          <w:color w:val="auto"/>
          <w:sz w:val="24"/>
          <w:highlight w:val="none"/>
          <w:u w:val="single"/>
        </w:rPr>
        <w:t>　　　　　　　　　　　　　　　　　　　　　　　　　　　</w:t>
      </w:r>
    </w:p>
    <w:p w14:paraId="1AA50EFE">
      <w:pPr>
        <w:snapToGrid w:val="0"/>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4.以上事项如有虚假或隐瞒，我方愿意承担一切后果，并不再寻求任何旨在减轻或免除法律责任的辩解。</w:t>
      </w:r>
    </w:p>
    <w:p w14:paraId="5B02F884">
      <w:pPr>
        <w:pStyle w:val="9"/>
        <w:tabs>
          <w:tab w:val="left" w:pos="939"/>
        </w:tabs>
        <w:snapToGrid w:val="0"/>
        <w:ind w:left="773" w:leftChars="150" w:hanging="458" w:hangingChars="191"/>
        <w:rPr>
          <w:rFonts w:hint="eastAsia" w:ascii="宋体" w:hAnsi="宋体" w:cs="宋体"/>
          <w:color w:val="auto"/>
          <w:sz w:val="24"/>
          <w:highlight w:val="none"/>
        </w:rPr>
      </w:pPr>
    </w:p>
    <w:p w14:paraId="2D26DA65">
      <w:pPr>
        <w:pStyle w:val="39"/>
        <w:snapToGrid w:val="0"/>
        <w:spacing w:before="120" w:beforeLines="50"/>
        <w:ind w:firstLine="200"/>
        <w:rPr>
          <w:rFonts w:hint="eastAsia" w:ascii="宋体" w:hAnsi="宋体" w:cs="宋体"/>
          <w:color w:val="auto"/>
          <w:highlight w:val="none"/>
        </w:rPr>
      </w:pPr>
    </w:p>
    <w:p w14:paraId="444E225D">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11B2DA9B">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004C5677">
      <w:pPr>
        <w:snapToGrid w:val="0"/>
        <w:spacing w:before="120" w:beforeLines="50" w:after="50"/>
        <w:ind w:firstLine="4800" w:firstLineChars="2000"/>
        <w:rPr>
          <w:rFonts w:hint="eastAsia" w:ascii="宋体" w:hAnsi="宋体" w:cs="宋体"/>
          <w:color w:val="auto"/>
          <w:sz w:val="24"/>
          <w:szCs w:val="20"/>
          <w:highlight w:val="none"/>
        </w:rPr>
      </w:pPr>
    </w:p>
    <w:p w14:paraId="3AAF0447">
      <w:pPr>
        <w:pStyle w:val="10"/>
        <w:snapToGrid w:val="0"/>
        <w:spacing w:before="120" w:beforeLines="0" w:after="120" w:afterLines="0" w:line="240" w:lineRule="auto"/>
        <w:rPr>
          <w:rFonts w:hint="eastAsia" w:hAnsi="宋体" w:cs="宋体"/>
          <w:color w:val="auto"/>
          <w:highlight w:val="none"/>
        </w:rPr>
      </w:pPr>
    </w:p>
    <w:p w14:paraId="2A364C2C">
      <w:pPr>
        <w:snapToGrid w:val="0"/>
        <w:spacing w:before="50" w:after="120" w:afterLines="50"/>
        <w:jc w:val="left"/>
        <w:rPr>
          <w:rFonts w:hint="eastAsia" w:ascii="宋体" w:hAnsi="宋体" w:cs="宋体"/>
          <w:b/>
          <w:color w:val="auto"/>
          <w:sz w:val="24"/>
          <w:highlight w:val="none"/>
        </w:rPr>
      </w:pPr>
      <w:r>
        <w:rPr>
          <w:rFonts w:hint="eastAsia" w:ascii="宋体" w:hAnsi="宋体" w:cs="宋体"/>
          <w:color w:val="auto"/>
          <w:highlight w:val="none"/>
        </w:rPr>
        <w:br w:type="page"/>
      </w:r>
      <w:r>
        <w:rPr>
          <w:rFonts w:hint="eastAsia" w:ascii="宋体" w:hAnsi="宋体" w:cs="宋体"/>
          <w:b/>
          <w:color w:val="auto"/>
          <w:sz w:val="24"/>
          <w:highlight w:val="none"/>
        </w:rPr>
        <w:t>法定代表人授权委托书格式：</w:t>
      </w:r>
    </w:p>
    <w:p w14:paraId="2B409FBA">
      <w:pPr>
        <w:snapToGrid w:val="0"/>
        <w:spacing w:before="120" w:beforeLines="50" w:after="50"/>
        <w:jc w:val="center"/>
        <w:rPr>
          <w:rFonts w:hint="eastAsia" w:ascii="宋体" w:hAnsi="宋体" w:cs="宋体"/>
          <w:color w:val="auto"/>
          <w:sz w:val="30"/>
          <w:szCs w:val="20"/>
          <w:highlight w:val="none"/>
        </w:rPr>
      </w:pPr>
    </w:p>
    <w:p w14:paraId="3FEC6462">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24"/>
          <w:highlight w:val="none"/>
        </w:rPr>
        <w:t>法定代表人授权委托书</w:t>
      </w:r>
    </w:p>
    <w:p w14:paraId="62A81739">
      <w:pPr>
        <w:snapToGrid w:val="0"/>
        <w:spacing w:before="120" w:beforeLines="50" w:after="50"/>
        <w:rPr>
          <w:rFonts w:hint="eastAsia" w:ascii="宋体" w:hAnsi="宋体" w:cs="宋体"/>
          <w:bCs/>
          <w:color w:val="auto"/>
          <w:sz w:val="24"/>
          <w:highlight w:val="none"/>
        </w:rPr>
      </w:pPr>
    </w:p>
    <w:p w14:paraId="5B16F23F">
      <w:pPr>
        <w:snapToGrid w:val="0"/>
        <w:spacing w:before="120" w:beforeLines="50" w:after="50"/>
        <w:rPr>
          <w:rFonts w:hint="eastAsia" w:ascii="宋体" w:hAnsi="宋体" w:cs="宋体"/>
          <w:b/>
          <w:bCs/>
          <w:color w:val="auto"/>
          <w:sz w:val="24"/>
          <w:szCs w:val="20"/>
          <w:highlight w:val="none"/>
        </w:rPr>
      </w:pPr>
      <w:r>
        <w:rPr>
          <w:rFonts w:hint="eastAsia" w:ascii="宋体" w:hAnsi="宋体" w:cs="宋体"/>
          <w:bCs/>
          <w:color w:val="auto"/>
          <w:sz w:val="24"/>
          <w:highlight w:val="none"/>
        </w:rPr>
        <w:t>致：</w:t>
      </w:r>
      <w:r>
        <w:rPr>
          <w:rFonts w:hint="eastAsia" w:ascii="宋体" w:hAnsi="宋体" w:cs="宋体"/>
          <w:color w:val="auto"/>
          <w:kern w:val="0"/>
          <w:sz w:val="24"/>
          <w:highlight w:val="none"/>
          <w:u w:val="single"/>
        </w:rPr>
        <w:t>东阳耀辉工程咨询有限公司</w:t>
      </w:r>
    </w:p>
    <w:p w14:paraId="38CDC055">
      <w:pPr>
        <w:snapToGrid w:val="0"/>
        <w:spacing w:before="120" w:beforeLines="50" w:after="50"/>
        <w:ind w:firstLine="720" w:firstLineChars="3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（投标人名称）的法定代表人，现授权委托本单位在职职工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lang w:eastAsia="zh-CN"/>
        </w:rPr>
        <w:t>东阳市国土空间规划中期评估采购项目</w:t>
      </w:r>
      <w:r>
        <w:rPr>
          <w:rFonts w:hint="eastAsia" w:ascii="宋体" w:hAnsi="宋体" w:cs="宋体"/>
          <w:color w:val="auto"/>
          <w:sz w:val="24"/>
          <w:highlight w:val="none"/>
        </w:rPr>
        <w:t>的投标活动，并代表我方全权办理针对上述项目的投标、开标、评标、签约等具体事务和签署相关文件。</w:t>
      </w:r>
    </w:p>
    <w:p w14:paraId="74DF8911">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我方对被授权人的签名事项负全部责任。</w:t>
      </w:r>
    </w:p>
    <w:p w14:paraId="42111626">
      <w:pPr>
        <w:snapToGrid w:val="0"/>
        <w:spacing w:before="120" w:beforeLines="50" w:after="50"/>
        <w:ind w:firstLine="480"/>
        <w:rPr>
          <w:rFonts w:hint="eastAsia" w:ascii="宋体" w:hAnsi="宋体" w:cs="宋体"/>
          <w:color w:val="auto"/>
          <w:sz w:val="24"/>
          <w:szCs w:val="20"/>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被授权人在授权书有效期内签署的所有文件不因授权的撤销而失效。</w:t>
      </w:r>
    </w:p>
    <w:p w14:paraId="5388CBA5">
      <w:pPr>
        <w:snapToGrid w:val="0"/>
        <w:spacing w:before="120" w:beforeLines="50" w:after="50"/>
        <w:ind w:firstLine="480"/>
        <w:rPr>
          <w:rFonts w:hint="eastAsia" w:ascii="宋体" w:hAnsi="宋体" w:cs="宋体"/>
          <w:color w:val="auto"/>
          <w:sz w:val="24"/>
          <w:szCs w:val="20"/>
          <w:highlight w:val="none"/>
        </w:rPr>
      </w:pPr>
      <w:r>
        <w:rPr>
          <w:rFonts w:hint="eastAsia" w:ascii="宋体" w:hAnsi="宋体" w:cs="宋体"/>
          <w:color w:val="auto"/>
          <w:sz w:val="24"/>
          <w:highlight w:val="none"/>
        </w:rPr>
        <w:t>被授权人无转委托权，特此委托。</w:t>
      </w:r>
    </w:p>
    <w:p w14:paraId="30E1641E">
      <w:pPr>
        <w:snapToGrid w:val="0"/>
        <w:spacing w:before="120" w:beforeLines="50" w:after="50"/>
        <w:rPr>
          <w:rFonts w:hint="eastAsia" w:ascii="宋体" w:hAnsi="宋体" w:cs="宋体"/>
          <w:color w:val="auto"/>
          <w:sz w:val="24"/>
          <w:szCs w:val="20"/>
          <w:highlight w:val="none"/>
        </w:rPr>
      </w:pPr>
    </w:p>
    <w:p w14:paraId="33116317">
      <w:pPr>
        <w:snapToGrid w:val="0"/>
        <w:spacing w:before="120" w:beforeLines="50" w:after="50"/>
        <w:rPr>
          <w:rFonts w:hint="eastAsia" w:ascii="宋体" w:hAnsi="宋体" w:cs="宋体"/>
          <w:color w:val="auto"/>
          <w:sz w:val="24"/>
          <w:szCs w:val="20"/>
          <w:highlight w:val="none"/>
          <w:u w:val="singl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法定代表人（签字或</w:t>
      </w:r>
      <w:r>
        <w:rPr>
          <w:rFonts w:ascii="宋体" w:hAnsi="宋体" w:cs="宋体"/>
          <w:color w:val="auto"/>
          <w:sz w:val="24"/>
          <w:highlight w:val="none"/>
        </w:rPr>
        <w:t>盖章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4DB54E3D">
      <w:pPr>
        <w:snapToGrid w:val="0"/>
        <w:spacing w:before="120" w:beforeLines="50" w:after="50"/>
        <w:ind w:firstLine="960" w:firstLineChars="400"/>
        <w:rPr>
          <w:rFonts w:hint="eastAsia" w:ascii="宋体" w:hAnsi="宋体" w:cs="宋体"/>
          <w:color w:val="auto"/>
          <w:sz w:val="24"/>
          <w:szCs w:val="20"/>
          <w:highlight w:val="non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21512E87">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229C7AE5">
      <w:pPr>
        <w:snapToGrid w:val="0"/>
        <w:spacing w:before="120" w:beforeLines="50" w:after="50"/>
        <w:rPr>
          <w:rFonts w:hint="eastAsia" w:ascii="宋体" w:hAnsi="宋体" w:cs="宋体"/>
          <w:color w:val="auto"/>
          <w:sz w:val="24"/>
          <w:highlight w:val="none"/>
        </w:rPr>
      </w:pPr>
    </w:p>
    <w:p w14:paraId="2FD76F3D">
      <w:pPr>
        <w:snapToGrid w:val="0"/>
        <w:spacing w:before="120" w:beforeLines="50" w:after="50"/>
        <w:rPr>
          <w:rFonts w:hint="eastAsia" w:ascii="宋体" w:hAnsi="宋体" w:cs="宋体"/>
          <w:color w:val="auto"/>
          <w:sz w:val="24"/>
          <w:highlight w:val="none"/>
        </w:rPr>
      </w:pPr>
    </w:p>
    <w:p w14:paraId="576407C6">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D8F4E60">
      <w:pPr>
        <w:snapToGrid w:val="0"/>
        <w:spacing w:before="120" w:beforeLines="50" w:after="50"/>
        <w:rPr>
          <w:rFonts w:hint="eastAsia" w:ascii="宋体" w:hAnsi="宋体" w:cs="宋体"/>
          <w:color w:val="auto"/>
          <w:sz w:val="24"/>
          <w:szCs w:val="20"/>
          <w:highlight w:val="none"/>
        </w:rPr>
      </w:pPr>
    </w:p>
    <w:p w14:paraId="4C428730">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D5F432D">
      <w:pPr>
        <w:snapToGrid w:val="0"/>
        <w:spacing w:before="120" w:beforeLines="50" w:after="50"/>
        <w:rPr>
          <w:rFonts w:hint="eastAsia" w:ascii="宋体" w:hAnsi="宋体" w:cs="宋体"/>
          <w:color w:val="auto"/>
          <w:sz w:val="24"/>
          <w:highlight w:val="none"/>
        </w:rPr>
      </w:pPr>
    </w:p>
    <w:p w14:paraId="02829F0F">
      <w:pPr>
        <w:snapToGrid w:val="0"/>
        <w:spacing w:before="120" w:beforeLines="50" w:after="50"/>
        <w:rPr>
          <w:rFonts w:hint="eastAsia" w:ascii="宋体" w:hAnsi="宋体" w:cs="宋体"/>
          <w:color w:val="auto"/>
          <w:sz w:val="24"/>
          <w:highlight w:val="none"/>
        </w:rPr>
      </w:pPr>
    </w:p>
    <w:p w14:paraId="64FB6EA5">
      <w:pPr>
        <w:snapToGrid w:val="0"/>
        <w:spacing w:before="120" w:beforeLines="50" w:after="50"/>
        <w:rPr>
          <w:rFonts w:hint="eastAsia" w:ascii="宋体" w:hAnsi="宋体" w:cs="宋体"/>
          <w:color w:val="auto"/>
          <w:sz w:val="24"/>
          <w:highlight w:val="none"/>
        </w:rPr>
      </w:pPr>
    </w:p>
    <w:p w14:paraId="0531456E">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66E56289">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15DC4246">
      <w:pPr>
        <w:snapToGrid w:val="0"/>
        <w:spacing w:before="120" w:beforeLines="50" w:after="50"/>
        <w:rPr>
          <w:rFonts w:hint="eastAsia" w:ascii="宋体" w:hAnsi="宋体" w:cs="宋体"/>
          <w:color w:val="auto"/>
          <w:sz w:val="24"/>
          <w:highlight w:val="none"/>
        </w:rPr>
      </w:pPr>
    </w:p>
    <w:p w14:paraId="3C93D938">
      <w:pPr>
        <w:snapToGrid w:val="0"/>
        <w:spacing w:before="120" w:beforeLines="50" w:after="50"/>
        <w:rPr>
          <w:rFonts w:hint="eastAsia" w:ascii="宋体" w:hAnsi="宋体" w:cs="宋体"/>
          <w:color w:val="auto"/>
          <w:sz w:val="24"/>
          <w:highlight w:val="none"/>
        </w:rPr>
      </w:pPr>
    </w:p>
    <w:p w14:paraId="3AAFA0F2">
      <w:pPr>
        <w:snapToGrid w:val="0"/>
        <w:spacing w:before="120" w:beforeLines="50" w:after="50"/>
        <w:jc w:val="center"/>
        <w:rPr>
          <w:rFonts w:hint="eastAsia" w:ascii="宋体" w:hAnsi="宋体" w:cs="宋体"/>
          <w:color w:val="auto"/>
          <w:highlight w:val="none"/>
        </w:rPr>
        <w:sectPr>
          <w:footerReference r:id="rId5" w:type="first"/>
          <w:footerReference r:id="rId4" w:type="default"/>
          <w:pgSz w:w="11906" w:h="16838"/>
          <w:pgMar w:top="1474" w:right="1247" w:bottom="1247" w:left="1588" w:header="851" w:footer="851" w:gutter="0"/>
          <w:pgNumType w:start="1"/>
          <w:cols w:space="720" w:num="1"/>
          <w:titlePg/>
          <w:docGrid w:linePitch="312" w:charSpace="0"/>
        </w:sectPr>
      </w:pPr>
    </w:p>
    <w:p w14:paraId="7897715F">
      <w:pPr>
        <w:snapToGrid w:val="0"/>
        <w:spacing w:before="50" w:after="120" w:afterLines="50"/>
        <w:jc w:val="left"/>
        <w:rPr>
          <w:rFonts w:hint="eastAsia" w:ascii="宋体" w:hAnsi="宋体" w:cs="宋体"/>
          <w:b/>
          <w:color w:val="auto"/>
          <w:sz w:val="24"/>
          <w:highlight w:val="none"/>
        </w:rPr>
      </w:pPr>
      <w:r>
        <w:rPr>
          <w:rFonts w:hint="eastAsia" w:ascii="宋体" w:hAnsi="宋体" w:cs="宋体"/>
          <w:b/>
          <w:color w:val="auto"/>
          <w:sz w:val="24"/>
          <w:highlight w:val="none"/>
        </w:rPr>
        <w:t>投标单位情况表：</w:t>
      </w:r>
    </w:p>
    <w:p w14:paraId="4B59D98C">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24"/>
          <w:highlight w:val="none"/>
        </w:rPr>
        <w:t>投标单位情况表</w:t>
      </w:r>
    </w:p>
    <w:p w14:paraId="29FEBEC2">
      <w:pPr>
        <w:spacing w:before="120" w:after="120"/>
        <w:ind w:firstLine="630" w:firstLineChars="300"/>
        <w:rPr>
          <w:rFonts w:hint="eastAsia" w:ascii="宋体" w:hAnsi="宋体" w:cs="宋体"/>
          <w:color w:val="auto"/>
          <w:highlight w:val="none"/>
        </w:rPr>
      </w:pPr>
      <w:r>
        <w:rPr>
          <w:rFonts w:hint="eastAsia" w:ascii="宋体" w:hAnsi="宋体" w:cs="宋体"/>
          <w:color w:val="auto"/>
          <w:highlight w:val="none"/>
        </w:rPr>
        <w:t>投标单位：                                        填表日期：</w:t>
      </w:r>
    </w:p>
    <w:tbl>
      <w:tblPr>
        <w:tblStyle w:val="25"/>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60"/>
        <w:gridCol w:w="3263"/>
        <w:gridCol w:w="1222"/>
        <w:gridCol w:w="166"/>
        <w:gridCol w:w="2534"/>
      </w:tblGrid>
      <w:tr w14:paraId="4C46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728" w:type="dxa"/>
            <w:gridSpan w:val="2"/>
            <w:noWrap w:val="0"/>
            <w:vAlign w:val="center"/>
          </w:tcPr>
          <w:p w14:paraId="1527AF16">
            <w:pPr>
              <w:spacing w:before="120" w:after="120"/>
              <w:rPr>
                <w:rFonts w:hint="eastAsia" w:ascii="宋体" w:hAnsi="宋体" w:cs="宋体"/>
                <w:color w:val="auto"/>
                <w:highlight w:val="none"/>
              </w:rPr>
            </w:pPr>
            <w:r>
              <w:rPr>
                <w:rFonts w:hint="eastAsia" w:ascii="宋体" w:hAnsi="宋体" w:cs="宋体"/>
                <w:color w:val="auto"/>
                <w:highlight w:val="none"/>
              </w:rPr>
              <w:t>单位名称</w:t>
            </w:r>
          </w:p>
        </w:tc>
        <w:tc>
          <w:tcPr>
            <w:tcW w:w="3263" w:type="dxa"/>
            <w:noWrap w:val="0"/>
            <w:vAlign w:val="center"/>
          </w:tcPr>
          <w:p w14:paraId="31C55436">
            <w:pPr>
              <w:widowControl/>
              <w:jc w:val="center"/>
              <w:rPr>
                <w:rFonts w:hint="eastAsia" w:ascii="宋体" w:hAnsi="宋体" w:cs="宋体"/>
                <w:color w:val="auto"/>
                <w:sz w:val="24"/>
                <w:highlight w:val="none"/>
              </w:rPr>
            </w:pPr>
          </w:p>
        </w:tc>
        <w:tc>
          <w:tcPr>
            <w:tcW w:w="1388" w:type="dxa"/>
            <w:gridSpan w:val="2"/>
            <w:noWrap w:val="0"/>
            <w:vAlign w:val="center"/>
          </w:tcPr>
          <w:p w14:paraId="73320EA8">
            <w:pPr>
              <w:spacing w:before="120" w:after="120"/>
              <w:rPr>
                <w:rFonts w:hint="eastAsia" w:ascii="宋体" w:hAnsi="宋体" w:cs="宋体"/>
                <w:color w:val="auto"/>
                <w:highlight w:val="none"/>
              </w:rPr>
            </w:pPr>
            <w:r>
              <w:rPr>
                <w:rFonts w:hint="eastAsia" w:ascii="宋体" w:hAnsi="宋体" w:cs="宋体"/>
                <w:color w:val="auto"/>
                <w:highlight w:val="none"/>
              </w:rPr>
              <w:t>电话</w:t>
            </w:r>
          </w:p>
        </w:tc>
        <w:tc>
          <w:tcPr>
            <w:tcW w:w="2534" w:type="dxa"/>
            <w:noWrap w:val="0"/>
            <w:vAlign w:val="center"/>
          </w:tcPr>
          <w:p w14:paraId="1732BEBB">
            <w:pPr>
              <w:spacing w:before="120" w:after="120"/>
              <w:jc w:val="center"/>
              <w:rPr>
                <w:rFonts w:hint="eastAsia" w:ascii="宋体" w:hAnsi="宋体" w:cs="宋体"/>
                <w:color w:val="auto"/>
                <w:highlight w:val="none"/>
              </w:rPr>
            </w:pPr>
          </w:p>
        </w:tc>
      </w:tr>
      <w:tr w14:paraId="38F5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28" w:type="dxa"/>
            <w:gridSpan w:val="2"/>
            <w:noWrap w:val="0"/>
            <w:vAlign w:val="center"/>
          </w:tcPr>
          <w:p w14:paraId="16898EC3">
            <w:pPr>
              <w:spacing w:before="120" w:after="120"/>
              <w:rPr>
                <w:rFonts w:hint="eastAsia" w:ascii="宋体" w:hAnsi="宋体" w:cs="宋体"/>
                <w:color w:val="auto"/>
                <w:highlight w:val="none"/>
              </w:rPr>
            </w:pPr>
            <w:r>
              <w:rPr>
                <w:rFonts w:hint="eastAsia" w:ascii="宋体" w:hAnsi="宋体" w:cs="宋体"/>
                <w:color w:val="auto"/>
                <w:highlight w:val="none"/>
              </w:rPr>
              <w:t>地址</w:t>
            </w:r>
          </w:p>
        </w:tc>
        <w:tc>
          <w:tcPr>
            <w:tcW w:w="3263" w:type="dxa"/>
            <w:noWrap w:val="0"/>
            <w:vAlign w:val="center"/>
          </w:tcPr>
          <w:p w14:paraId="6CB1E328">
            <w:pPr>
              <w:spacing w:before="120" w:after="120"/>
              <w:jc w:val="center"/>
              <w:rPr>
                <w:rFonts w:hint="eastAsia" w:ascii="宋体" w:hAnsi="宋体" w:cs="宋体"/>
                <w:color w:val="auto"/>
                <w:highlight w:val="none"/>
              </w:rPr>
            </w:pPr>
          </w:p>
        </w:tc>
        <w:tc>
          <w:tcPr>
            <w:tcW w:w="1388" w:type="dxa"/>
            <w:gridSpan w:val="2"/>
            <w:noWrap w:val="0"/>
            <w:vAlign w:val="center"/>
          </w:tcPr>
          <w:p w14:paraId="01259F2D">
            <w:pPr>
              <w:spacing w:before="120" w:after="120"/>
              <w:rPr>
                <w:rFonts w:hint="eastAsia" w:ascii="宋体" w:hAnsi="宋体" w:cs="宋体"/>
                <w:color w:val="auto"/>
                <w:highlight w:val="none"/>
              </w:rPr>
            </w:pPr>
            <w:r>
              <w:rPr>
                <w:rFonts w:hint="eastAsia" w:ascii="宋体" w:hAnsi="宋体" w:cs="宋体"/>
                <w:color w:val="auto"/>
                <w:highlight w:val="none"/>
              </w:rPr>
              <w:t>传真</w:t>
            </w:r>
          </w:p>
        </w:tc>
        <w:tc>
          <w:tcPr>
            <w:tcW w:w="2534" w:type="dxa"/>
            <w:noWrap w:val="0"/>
            <w:vAlign w:val="center"/>
          </w:tcPr>
          <w:p w14:paraId="76D07E8E">
            <w:pPr>
              <w:spacing w:before="120" w:after="120"/>
              <w:jc w:val="center"/>
              <w:rPr>
                <w:rFonts w:hint="eastAsia" w:ascii="宋体" w:hAnsi="宋体" w:cs="宋体"/>
                <w:color w:val="auto"/>
                <w:highlight w:val="none"/>
              </w:rPr>
            </w:pPr>
          </w:p>
        </w:tc>
      </w:tr>
      <w:tr w14:paraId="2325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728" w:type="dxa"/>
            <w:gridSpan w:val="2"/>
            <w:noWrap w:val="0"/>
            <w:vAlign w:val="center"/>
          </w:tcPr>
          <w:p w14:paraId="6270EA06">
            <w:pPr>
              <w:spacing w:before="120" w:after="120"/>
              <w:rPr>
                <w:rFonts w:hint="eastAsia" w:ascii="宋体" w:hAnsi="宋体" w:cs="宋体"/>
                <w:color w:val="auto"/>
                <w:highlight w:val="none"/>
              </w:rPr>
            </w:pPr>
            <w:r>
              <w:rPr>
                <w:rFonts w:hint="eastAsia" w:ascii="宋体" w:hAnsi="宋体" w:cs="宋体"/>
                <w:color w:val="auto"/>
                <w:highlight w:val="none"/>
              </w:rPr>
              <w:t>主管部门</w:t>
            </w:r>
          </w:p>
        </w:tc>
        <w:tc>
          <w:tcPr>
            <w:tcW w:w="3263" w:type="dxa"/>
            <w:noWrap w:val="0"/>
            <w:vAlign w:val="center"/>
          </w:tcPr>
          <w:p w14:paraId="2DD08894">
            <w:pPr>
              <w:spacing w:before="120" w:after="120"/>
              <w:jc w:val="center"/>
              <w:rPr>
                <w:rFonts w:hint="eastAsia" w:ascii="宋体" w:hAnsi="宋体" w:cs="宋体"/>
                <w:color w:val="auto"/>
                <w:highlight w:val="none"/>
              </w:rPr>
            </w:pPr>
          </w:p>
        </w:tc>
        <w:tc>
          <w:tcPr>
            <w:tcW w:w="1388" w:type="dxa"/>
            <w:gridSpan w:val="2"/>
            <w:noWrap w:val="0"/>
            <w:vAlign w:val="center"/>
          </w:tcPr>
          <w:p w14:paraId="1A5CA6C2">
            <w:pPr>
              <w:spacing w:before="120" w:after="120"/>
              <w:rPr>
                <w:rFonts w:hint="eastAsia" w:ascii="宋体" w:hAnsi="宋体" w:cs="宋体"/>
                <w:color w:val="auto"/>
                <w:highlight w:val="none"/>
              </w:rPr>
            </w:pPr>
            <w:r>
              <w:rPr>
                <w:rFonts w:hint="eastAsia" w:ascii="宋体" w:hAnsi="宋体" w:cs="宋体"/>
                <w:color w:val="auto"/>
                <w:highlight w:val="none"/>
              </w:rPr>
              <w:t>企业性质</w:t>
            </w:r>
          </w:p>
        </w:tc>
        <w:tc>
          <w:tcPr>
            <w:tcW w:w="2534" w:type="dxa"/>
            <w:noWrap w:val="0"/>
            <w:vAlign w:val="center"/>
          </w:tcPr>
          <w:p w14:paraId="6376617F">
            <w:pPr>
              <w:spacing w:before="120" w:after="120"/>
              <w:jc w:val="center"/>
              <w:rPr>
                <w:rFonts w:hint="eastAsia" w:ascii="宋体" w:hAnsi="宋体" w:cs="宋体"/>
                <w:color w:val="auto"/>
                <w:highlight w:val="none"/>
              </w:rPr>
            </w:pPr>
          </w:p>
        </w:tc>
      </w:tr>
      <w:tr w14:paraId="1253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28" w:type="dxa"/>
            <w:gridSpan w:val="2"/>
            <w:noWrap w:val="0"/>
            <w:vAlign w:val="center"/>
          </w:tcPr>
          <w:p w14:paraId="33F253C7">
            <w:pPr>
              <w:spacing w:before="120" w:after="120"/>
              <w:rPr>
                <w:rFonts w:hint="eastAsia" w:ascii="宋体" w:hAnsi="宋体" w:cs="宋体"/>
                <w:color w:val="auto"/>
                <w:highlight w:val="none"/>
              </w:rPr>
            </w:pPr>
            <w:r>
              <w:rPr>
                <w:rFonts w:hint="eastAsia" w:ascii="宋体" w:hAnsi="宋体" w:cs="宋体"/>
                <w:color w:val="auto"/>
                <w:highlight w:val="none"/>
              </w:rPr>
              <w:t>企业法人</w:t>
            </w:r>
          </w:p>
        </w:tc>
        <w:tc>
          <w:tcPr>
            <w:tcW w:w="3263" w:type="dxa"/>
            <w:noWrap w:val="0"/>
            <w:vAlign w:val="center"/>
          </w:tcPr>
          <w:p w14:paraId="78B4F482">
            <w:pPr>
              <w:spacing w:before="120" w:after="120"/>
              <w:jc w:val="center"/>
              <w:rPr>
                <w:rFonts w:hint="eastAsia" w:ascii="宋体" w:hAnsi="宋体" w:cs="宋体"/>
                <w:color w:val="auto"/>
                <w:highlight w:val="none"/>
              </w:rPr>
            </w:pPr>
          </w:p>
        </w:tc>
        <w:tc>
          <w:tcPr>
            <w:tcW w:w="1388" w:type="dxa"/>
            <w:gridSpan w:val="2"/>
            <w:noWrap w:val="0"/>
            <w:vAlign w:val="center"/>
          </w:tcPr>
          <w:p w14:paraId="187FEA6D">
            <w:pPr>
              <w:spacing w:before="120" w:after="120"/>
              <w:rPr>
                <w:rFonts w:hint="eastAsia" w:ascii="宋体" w:hAnsi="宋体" w:cs="宋体"/>
                <w:color w:val="auto"/>
                <w:highlight w:val="none"/>
              </w:rPr>
            </w:pPr>
            <w:r>
              <w:rPr>
                <w:rFonts w:hint="eastAsia" w:ascii="宋体" w:hAnsi="宋体" w:cs="宋体"/>
                <w:color w:val="auto"/>
                <w:highlight w:val="none"/>
              </w:rPr>
              <w:t>资质等级</w:t>
            </w:r>
          </w:p>
        </w:tc>
        <w:tc>
          <w:tcPr>
            <w:tcW w:w="2534" w:type="dxa"/>
            <w:noWrap w:val="0"/>
            <w:vAlign w:val="center"/>
          </w:tcPr>
          <w:p w14:paraId="24E142EB">
            <w:pPr>
              <w:spacing w:before="120" w:after="120"/>
              <w:jc w:val="center"/>
              <w:rPr>
                <w:rFonts w:hint="eastAsia" w:ascii="宋体" w:hAnsi="宋体" w:cs="宋体"/>
                <w:color w:val="auto"/>
                <w:highlight w:val="none"/>
              </w:rPr>
            </w:pPr>
          </w:p>
        </w:tc>
      </w:tr>
      <w:tr w14:paraId="32E3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28" w:type="dxa"/>
            <w:gridSpan w:val="2"/>
            <w:noWrap w:val="0"/>
            <w:vAlign w:val="center"/>
          </w:tcPr>
          <w:p w14:paraId="59423193">
            <w:pPr>
              <w:spacing w:before="120" w:after="120"/>
              <w:rPr>
                <w:rFonts w:hint="eastAsia" w:ascii="宋体" w:hAnsi="宋体" w:cs="宋体"/>
                <w:color w:val="auto"/>
                <w:highlight w:val="none"/>
              </w:rPr>
            </w:pPr>
            <w:r>
              <w:rPr>
                <w:rFonts w:hint="eastAsia" w:ascii="宋体" w:hAnsi="宋体" w:cs="宋体"/>
                <w:color w:val="auto"/>
                <w:highlight w:val="none"/>
              </w:rPr>
              <w:t>授权代表</w:t>
            </w:r>
          </w:p>
        </w:tc>
        <w:tc>
          <w:tcPr>
            <w:tcW w:w="3263" w:type="dxa"/>
            <w:noWrap w:val="0"/>
            <w:vAlign w:val="center"/>
          </w:tcPr>
          <w:p w14:paraId="046BB225">
            <w:pPr>
              <w:spacing w:before="120" w:after="120"/>
              <w:jc w:val="center"/>
              <w:rPr>
                <w:rFonts w:hint="eastAsia" w:ascii="宋体" w:hAnsi="宋体" w:cs="宋体"/>
                <w:color w:val="auto"/>
                <w:highlight w:val="none"/>
              </w:rPr>
            </w:pPr>
          </w:p>
        </w:tc>
        <w:tc>
          <w:tcPr>
            <w:tcW w:w="1388" w:type="dxa"/>
            <w:gridSpan w:val="2"/>
            <w:noWrap w:val="0"/>
            <w:vAlign w:val="center"/>
          </w:tcPr>
          <w:p w14:paraId="2456FB4A">
            <w:pPr>
              <w:spacing w:before="120" w:after="120"/>
              <w:rPr>
                <w:rFonts w:hint="eastAsia" w:ascii="宋体" w:hAnsi="宋体" w:cs="宋体"/>
                <w:color w:val="auto"/>
                <w:highlight w:val="none"/>
              </w:rPr>
            </w:pPr>
            <w:r>
              <w:rPr>
                <w:rFonts w:hint="eastAsia" w:ascii="宋体" w:hAnsi="宋体" w:cs="宋体"/>
                <w:color w:val="auto"/>
                <w:highlight w:val="none"/>
              </w:rPr>
              <w:t>职务</w:t>
            </w:r>
          </w:p>
        </w:tc>
        <w:tc>
          <w:tcPr>
            <w:tcW w:w="2534" w:type="dxa"/>
            <w:noWrap w:val="0"/>
            <w:vAlign w:val="center"/>
          </w:tcPr>
          <w:p w14:paraId="66D6ACCC">
            <w:pPr>
              <w:spacing w:before="120" w:after="120"/>
              <w:jc w:val="center"/>
              <w:rPr>
                <w:rFonts w:hint="eastAsia" w:ascii="宋体" w:hAnsi="宋体" w:cs="宋体"/>
                <w:color w:val="auto"/>
                <w:highlight w:val="none"/>
              </w:rPr>
            </w:pPr>
          </w:p>
        </w:tc>
      </w:tr>
      <w:tr w14:paraId="0AD8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468" w:type="dxa"/>
            <w:vMerge w:val="restart"/>
            <w:noWrap w:val="0"/>
            <w:vAlign w:val="center"/>
          </w:tcPr>
          <w:p w14:paraId="412BB0D3">
            <w:pPr>
              <w:spacing w:before="120" w:after="120"/>
              <w:ind w:firstLine="630" w:firstLineChars="300"/>
              <w:jc w:val="center"/>
              <w:rPr>
                <w:rFonts w:hint="eastAsia" w:ascii="宋体" w:hAnsi="宋体" w:cs="宋体"/>
                <w:color w:val="auto"/>
                <w:highlight w:val="none"/>
              </w:rPr>
            </w:pPr>
          </w:p>
          <w:p w14:paraId="4B1090E3">
            <w:pPr>
              <w:spacing w:before="120" w:after="120"/>
              <w:jc w:val="center"/>
              <w:rPr>
                <w:rFonts w:hint="eastAsia" w:ascii="宋体" w:hAnsi="宋体" w:cs="宋体"/>
                <w:color w:val="auto"/>
                <w:highlight w:val="none"/>
              </w:rPr>
            </w:pPr>
            <w:r>
              <w:rPr>
                <w:rFonts w:hint="eastAsia" w:ascii="宋体" w:hAnsi="宋体" w:cs="宋体"/>
                <w:color w:val="auto"/>
                <w:highlight w:val="none"/>
              </w:rPr>
              <w:t>单位概况</w:t>
            </w:r>
          </w:p>
          <w:p w14:paraId="60B1917B">
            <w:pPr>
              <w:spacing w:before="120" w:after="120"/>
              <w:ind w:firstLine="630" w:firstLineChars="300"/>
              <w:jc w:val="center"/>
              <w:rPr>
                <w:rFonts w:hint="eastAsia" w:ascii="宋体" w:hAnsi="宋体" w:cs="宋体"/>
                <w:color w:val="auto"/>
                <w:highlight w:val="none"/>
              </w:rPr>
            </w:pPr>
          </w:p>
          <w:p w14:paraId="27C57BDB">
            <w:pPr>
              <w:spacing w:before="120" w:after="120"/>
              <w:ind w:firstLine="630" w:firstLineChars="300"/>
              <w:jc w:val="center"/>
              <w:rPr>
                <w:rFonts w:hint="eastAsia" w:ascii="宋体" w:hAnsi="宋体" w:cs="宋体"/>
                <w:color w:val="auto"/>
                <w:highlight w:val="none"/>
              </w:rPr>
            </w:pPr>
          </w:p>
          <w:p w14:paraId="3BA85CB8">
            <w:pPr>
              <w:spacing w:before="120" w:after="120"/>
              <w:ind w:firstLine="630" w:firstLineChars="300"/>
              <w:jc w:val="center"/>
              <w:rPr>
                <w:rFonts w:hint="eastAsia" w:ascii="宋体" w:hAnsi="宋体" w:cs="宋体"/>
                <w:color w:val="auto"/>
                <w:highlight w:val="none"/>
              </w:rPr>
            </w:pPr>
          </w:p>
          <w:p w14:paraId="64B53AB3">
            <w:pPr>
              <w:spacing w:before="120" w:after="120"/>
              <w:ind w:firstLine="630" w:firstLineChars="300"/>
              <w:jc w:val="center"/>
              <w:rPr>
                <w:rFonts w:hint="eastAsia" w:ascii="宋体" w:hAnsi="宋体" w:cs="宋体"/>
                <w:color w:val="auto"/>
                <w:highlight w:val="none"/>
              </w:rPr>
            </w:pPr>
          </w:p>
        </w:tc>
        <w:tc>
          <w:tcPr>
            <w:tcW w:w="1260" w:type="dxa"/>
            <w:vMerge w:val="restart"/>
            <w:noWrap w:val="0"/>
            <w:vAlign w:val="center"/>
          </w:tcPr>
          <w:p w14:paraId="6F790E20">
            <w:pPr>
              <w:jc w:val="center"/>
              <w:rPr>
                <w:rFonts w:hint="eastAsia" w:ascii="宋体" w:hAnsi="宋体" w:cs="宋体"/>
                <w:color w:val="auto"/>
                <w:sz w:val="24"/>
                <w:highlight w:val="none"/>
              </w:rPr>
            </w:pPr>
            <w:r>
              <w:rPr>
                <w:rFonts w:hint="eastAsia" w:ascii="宋体" w:hAnsi="宋体" w:cs="宋体"/>
                <w:color w:val="auto"/>
                <w:sz w:val="24"/>
                <w:highlight w:val="none"/>
              </w:rPr>
              <w:t>职工总数</w:t>
            </w:r>
          </w:p>
        </w:tc>
        <w:tc>
          <w:tcPr>
            <w:tcW w:w="3263" w:type="dxa"/>
            <w:noWrap w:val="0"/>
            <w:vAlign w:val="center"/>
          </w:tcPr>
          <w:p w14:paraId="1B433FB4">
            <w:pPr>
              <w:spacing w:before="120" w:after="120"/>
              <w:rPr>
                <w:rFonts w:hint="eastAsia" w:ascii="宋体" w:hAnsi="宋体" w:cs="宋体"/>
                <w:color w:val="auto"/>
                <w:highlight w:val="none"/>
              </w:rPr>
            </w:pPr>
            <w:r>
              <w:rPr>
                <w:rFonts w:hint="eastAsia" w:ascii="Times New Roman" w:hAnsi="Times New Roman"/>
                <w:color w:val="auto"/>
                <w:highlight w:val="none"/>
              </w:rPr>
              <w:t>员工（包括技术工人、</w:t>
            </w:r>
            <w:r>
              <w:rPr>
                <w:rFonts w:hint="eastAsia"/>
                <w:color w:val="auto"/>
                <w:highlight w:val="none"/>
              </w:rPr>
              <w:t>高级技师、工程师</w:t>
            </w:r>
            <w:r>
              <w:rPr>
                <w:rFonts w:hint="eastAsia" w:ascii="Times New Roman" w:hAnsi="Times New Roman"/>
                <w:color w:val="auto"/>
                <w:highlight w:val="none"/>
              </w:rPr>
              <w:t>）：   人</w:t>
            </w:r>
          </w:p>
        </w:tc>
        <w:tc>
          <w:tcPr>
            <w:tcW w:w="3922" w:type="dxa"/>
            <w:gridSpan w:val="3"/>
            <w:noWrap w:val="0"/>
            <w:vAlign w:val="center"/>
          </w:tcPr>
          <w:p w14:paraId="7167B245">
            <w:pPr>
              <w:spacing w:before="120" w:after="120"/>
              <w:rPr>
                <w:rFonts w:hint="eastAsia" w:ascii="宋体" w:hAnsi="宋体" w:cs="宋体"/>
                <w:color w:val="auto"/>
                <w:highlight w:val="none"/>
              </w:rPr>
            </w:pPr>
            <w:r>
              <w:rPr>
                <w:rFonts w:hint="eastAsia" w:ascii="宋体" w:hAnsi="宋体" w:cs="宋体"/>
                <w:color w:val="auto"/>
                <w:highlight w:val="none"/>
              </w:rPr>
              <w:t>技术工人：          人</w:t>
            </w:r>
          </w:p>
        </w:tc>
      </w:tr>
      <w:tr w14:paraId="71F6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68" w:type="dxa"/>
            <w:vMerge w:val="continue"/>
            <w:noWrap w:val="0"/>
            <w:vAlign w:val="center"/>
          </w:tcPr>
          <w:p w14:paraId="38487160">
            <w:pPr>
              <w:spacing w:before="120" w:after="120"/>
              <w:ind w:firstLine="630" w:firstLineChars="300"/>
              <w:jc w:val="center"/>
              <w:rPr>
                <w:rFonts w:hint="eastAsia" w:ascii="宋体" w:hAnsi="宋体" w:cs="宋体"/>
                <w:color w:val="auto"/>
                <w:highlight w:val="none"/>
              </w:rPr>
            </w:pPr>
          </w:p>
        </w:tc>
        <w:tc>
          <w:tcPr>
            <w:tcW w:w="1260" w:type="dxa"/>
            <w:vMerge w:val="continue"/>
            <w:noWrap w:val="0"/>
            <w:vAlign w:val="center"/>
          </w:tcPr>
          <w:p w14:paraId="3366415A">
            <w:pPr>
              <w:widowControl/>
              <w:jc w:val="center"/>
              <w:rPr>
                <w:rFonts w:hint="eastAsia" w:ascii="宋体" w:hAnsi="宋体" w:cs="宋体"/>
                <w:color w:val="auto"/>
                <w:sz w:val="24"/>
                <w:highlight w:val="none"/>
              </w:rPr>
            </w:pPr>
          </w:p>
        </w:tc>
        <w:tc>
          <w:tcPr>
            <w:tcW w:w="3263" w:type="dxa"/>
            <w:noWrap w:val="0"/>
            <w:vAlign w:val="center"/>
          </w:tcPr>
          <w:p w14:paraId="04288933">
            <w:pPr>
              <w:spacing w:before="120" w:after="120"/>
              <w:rPr>
                <w:rFonts w:hint="eastAsia" w:ascii="宋体" w:hAnsi="宋体" w:cs="宋体"/>
                <w:color w:val="auto"/>
                <w:highlight w:val="none"/>
              </w:rPr>
            </w:pPr>
            <w:r>
              <w:rPr>
                <w:rFonts w:hint="eastAsia" w:ascii="宋体" w:hAnsi="宋体" w:cs="宋体"/>
                <w:color w:val="auto"/>
                <w:highlight w:val="none"/>
              </w:rPr>
              <w:t>高级技师：       人</w:t>
            </w:r>
          </w:p>
        </w:tc>
        <w:tc>
          <w:tcPr>
            <w:tcW w:w="3922" w:type="dxa"/>
            <w:gridSpan w:val="3"/>
            <w:noWrap w:val="0"/>
            <w:vAlign w:val="center"/>
          </w:tcPr>
          <w:p w14:paraId="4999D0D1">
            <w:pPr>
              <w:spacing w:before="120" w:after="120"/>
              <w:rPr>
                <w:rFonts w:hint="eastAsia" w:ascii="宋体" w:hAnsi="宋体" w:cs="宋体"/>
                <w:color w:val="auto"/>
                <w:highlight w:val="none"/>
              </w:rPr>
            </w:pPr>
            <w:r>
              <w:rPr>
                <w:rFonts w:hint="eastAsia" w:ascii="宋体" w:hAnsi="宋体" w:cs="宋体"/>
                <w:color w:val="auto"/>
                <w:highlight w:val="none"/>
              </w:rPr>
              <w:t>工程师：            人</w:t>
            </w:r>
          </w:p>
        </w:tc>
      </w:tr>
      <w:tr w14:paraId="4F94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468" w:type="dxa"/>
            <w:vMerge w:val="continue"/>
            <w:noWrap w:val="0"/>
            <w:vAlign w:val="center"/>
          </w:tcPr>
          <w:p w14:paraId="77AD2C14">
            <w:pPr>
              <w:spacing w:before="120" w:after="120"/>
              <w:ind w:firstLine="630" w:firstLineChars="300"/>
              <w:jc w:val="center"/>
              <w:rPr>
                <w:rFonts w:hint="eastAsia" w:ascii="宋体" w:hAnsi="宋体" w:cs="宋体"/>
                <w:color w:val="auto"/>
                <w:highlight w:val="none"/>
              </w:rPr>
            </w:pPr>
          </w:p>
        </w:tc>
        <w:tc>
          <w:tcPr>
            <w:tcW w:w="1260" w:type="dxa"/>
            <w:noWrap w:val="0"/>
            <w:vAlign w:val="center"/>
          </w:tcPr>
          <w:p w14:paraId="28DACA04">
            <w:pPr>
              <w:spacing w:before="120" w:after="120"/>
              <w:jc w:val="center"/>
              <w:rPr>
                <w:rFonts w:hint="eastAsia" w:ascii="宋体" w:hAnsi="宋体" w:cs="宋体"/>
                <w:color w:val="auto"/>
                <w:highlight w:val="none"/>
              </w:rPr>
            </w:pPr>
            <w:r>
              <w:rPr>
                <w:rFonts w:hint="eastAsia" w:ascii="宋体" w:hAnsi="宋体" w:cs="宋体"/>
                <w:color w:val="auto"/>
                <w:highlight w:val="none"/>
              </w:rPr>
              <w:t>流动资金</w:t>
            </w:r>
          </w:p>
        </w:tc>
        <w:tc>
          <w:tcPr>
            <w:tcW w:w="3263" w:type="dxa"/>
            <w:noWrap w:val="0"/>
            <w:vAlign w:val="center"/>
          </w:tcPr>
          <w:p w14:paraId="2D085B93">
            <w:pPr>
              <w:spacing w:before="120" w:after="120"/>
              <w:jc w:val="center"/>
              <w:rPr>
                <w:rFonts w:hint="eastAsia" w:ascii="宋体" w:hAnsi="宋体" w:cs="宋体"/>
                <w:color w:val="auto"/>
                <w:highlight w:val="none"/>
              </w:rPr>
            </w:pPr>
          </w:p>
        </w:tc>
        <w:tc>
          <w:tcPr>
            <w:tcW w:w="1222" w:type="dxa"/>
            <w:noWrap w:val="0"/>
            <w:vAlign w:val="center"/>
          </w:tcPr>
          <w:p w14:paraId="74AA8DEC">
            <w:pPr>
              <w:spacing w:before="120" w:after="120"/>
              <w:jc w:val="center"/>
              <w:rPr>
                <w:rFonts w:hint="eastAsia" w:ascii="宋体" w:hAnsi="宋体" w:cs="宋体"/>
                <w:color w:val="auto"/>
                <w:highlight w:val="none"/>
              </w:rPr>
            </w:pPr>
            <w:r>
              <w:rPr>
                <w:rFonts w:hint="eastAsia" w:ascii="宋体" w:hAnsi="宋体" w:cs="宋体"/>
                <w:color w:val="auto"/>
                <w:highlight w:val="none"/>
              </w:rPr>
              <w:t>营业面积</w:t>
            </w:r>
          </w:p>
        </w:tc>
        <w:tc>
          <w:tcPr>
            <w:tcW w:w="2700" w:type="dxa"/>
            <w:gridSpan w:val="2"/>
            <w:noWrap w:val="0"/>
            <w:vAlign w:val="center"/>
          </w:tcPr>
          <w:p w14:paraId="0DC1B78D">
            <w:pPr>
              <w:spacing w:before="120" w:after="120"/>
              <w:jc w:val="center"/>
              <w:rPr>
                <w:rFonts w:hint="eastAsia" w:ascii="宋体" w:hAnsi="宋体" w:cs="宋体"/>
                <w:color w:val="auto"/>
                <w:highlight w:val="none"/>
              </w:rPr>
            </w:pPr>
          </w:p>
        </w:tc>
      </w:tr>
      <w:tr w14:paraId="6D62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468" w:type="dxa"/>
            <w:vMerge w:val="continue"/>
            <w:noWrap w:val="0"/>
            <w:vAlign w:val="center"/>
          </w:tcPr>
          <w:p w14:paraId="3B03E1B4">
            <w:pPr>
              <w:spacing w:before="120" w:after="120"/>
              <w:ind w:firstLine="630" w:firstLineChars="300"/>
              <w:jc w:val="center"/>
              <w:rPr>
                <w:rFonts w:hint="eastAsia" w:ascii="宋体" w:hAnsi="宋体" w:cs="宋体"/>
                <w:color w:val="auto"/>
                <w:highlight w:val="none"/>
              </w:rPr>
            </w:pPr>
          </w:p>
        </w:tc>
        <w:tc>
          <w:tcPr>
            <w:tcW w:w="1260" w:type="dxa"/>
            <w:noWrap w:val="0"/>
            <w:vAlign w:val="center"/>
          </w:tcPr>
          <w:p w14:paraId="6AE34B9F">
            <w:pPr>
              <w:spacing w:before="120" w:after="120"/>
              <w:jc w:val="center"/>
              <w:rPr>
                <w:rFonts w:hint="eastAsia" w:ascii="宋体" w:hAnsi="宋体" w:cs="宋体"/>
                <w:color w:val="auto"/>
                <w:highlight w:val="none"/>
              </w:rPr>
            </w:pPr>
            <w:r>
              <w:rPr>
                <w:rFonts w:hint="eastAsia" w:ascii="宋体" w:hAnsi="宋体" w:cs="宋体"/>
                <w:color w:val="auto"/>
                <w:highlight w:val="none"/>
              </w:rPr>
              <w:t>固定资金</w:t>
            </w:r>
          </w:p>
        </w:tc>
        <w:tc>
          <w:tcPr>
            <w:tcW w:w="3263" w:type="dxa"/>
            <w:noWrap w:val="0"/>
            <w:vAlign w:val="center"/>
          </w:tcPr>
          <w:p w14:paraId="5CB943F5">
            <w:pPr>
              <w:widowControl/>
              <w:jc w:val="center"/>
              <w:rPr>
                <w:rFonts w:hint="eastAsia" w:ascii="宋体" w:hAnsi="宋体" w:cs="宋体"/>
                <w:color w:val="auto"/>
                <w:sz w:val="24"/>
                <w:highlight w:val="none"/>
              </w:rPr>
            </w:pPr>
          </w:p>
        </w:tc>
        <w:tc>
          <w:tcPr>
            <w:tcW w:w="1222" w:type="dxa"/>
            <w:noWrap w:val="0"/>
            <w:vAlign w:val="center"/>
          </w:tcPr>
          <w:p w14:paraId="4CD6E4F2">
            <w:pPr>
              <w:spacing w:before="120" w:after="120"/>
              <w:jc w:val="center"/>
              <w:rPr>
                <w:rFonts w:hint="eastAsia" w:ascii="宋体" w:hAnsi="宋体" w:cs="宋体"/>
                <w:color w:val="auto"/>
                <w:highlight w:val="none"/>
              </w:rPr>
            </w:pPr>
            <w:r>
              <w:rPr>
                <w:rFonts w:hint="eastAsia" w:ascii="宋体" w:hAnsi="宋体" w:cs="宋体"/>
                <w:color w:val="auto"/>
                <w:highlight w:val="none"/>
              </w:rPr>
              <w:t>售后网点</w:t>
            </w:r>
          </w:p>
        </w:tc>
        <w:tc>
          <w:tcPr>
            <w:tcW w:w="2700" w:type="dxa"/>
            <w:gridSpan w:val="2"/>
            <w:noWrap w:val="0"/>
            <w:vAlign w:val="center"/>
          </w:tcPr>
          <w:p w14:paraId="3177D967">
            <w:pPr>
              <w:widowControl/>
              <w:jc w:val="center"/>
              <w:rPr>
                <w:rFonts w:hint="eastAsia" w:ascii="宋体" w:hAnsi="宋体" w:cs="宋体"/>
                <w:color w:val="auto"/>
                <w:sz w:val="24"/>
                <w:highlight w:val="none"/>
              </w:rPr>
            </w:pPr>
          </w:p>
        </w:tc>
      </w:tr>
      <w:tr w14:paraId="5F8E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468" w:type="dxa"/>
            <w:noWrap w:val="0"/>
            <w:vAlign w:val="center"/>
          </w:tcPr>
          <w:p w14:paraId="52098058">
            <w:pPr>
              <w:spacing w:before="120" w:after="120"/>
              <w:jc w:val="center"/>
              <w:rPr>
                <w:rFonts w:hint="eastAsia" w:ascii="宋体" w:hAnsi="宋体" w:cs="宋体"/>
                <w:color w:val="auto"/>
                <w:highlight w:val="none"/>
              </w:rPr>
            </w:pPr>
            <w:r>
              <w:rPr>
                <w:rFonts w:hint="eastAsia" w:ascii="宋体" w:hAnsi="宋体" w:cs="宋体"/>
                <w:color w:val="auto"/>
                <w:highlight w:val="none"/>
              </w:rPr>
              <w:t>单位简历</w:t>
            </w:r>
          </w:p>
        </w:tc>
        <w:tc>
          <w:tcPr>
            <w:tcW w:w="8445" w:type="dxa"/>
            <w:gridSpan w:val="5"/>
            <w:noWrap w:val="0"/>
            <w:vAlign w:val="top"/>
          </w:tcPr>
          <w:p w14:paraId="04B3FC24">
            <w:pPr>
              <w:jc w:val="left"/>
              <w:rPr>
                <w:rFonts w:hint="eastAsia" w:ascii="宋体" w:hAnsi="宋体" w:cs="宋体"/>
                <w:color w:val="auto"/>
                <w:sz w:val="24"/>
                <w:highlight w:val="none"/>
              </w:rPr>
            </w:pPr>
          </w:p>
        </w:tc>
      </w:tr>
      <w:tr w14:paraId="6F4A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468" w:type="dxa"/>
            <w:noWrap w:val="0"/>
            <w:vAlign w:val="center"/>
          </w:tcPr>
          <w:p w14:paraId="00FFD037">
            <w:pPr>
              <w:spacing w:before="120" w:after="120"/>
              <w:jc w:val="center"/>
              <w:rPr>
                <w:rFonts w:hint="eastAsia" w:ascii="宋体" w:hAnsi="宋体" w:cs="宋体"/>
                <w:color w:val="auto"/>
                <w:highlight w:val="none"/>
              </w:rPr>
            </w:pPr>
            <w:r>
              <w:rPr>
                <w:rFonts w:hint="eastAsia" w:ascii="宋体" w:hAnsi="宋体" w:cs="宋体"/>
                <w:color w:val="auto"/>
                <w:highlight w:val="none"/>
              </w:rPr>
              <w:t>优势及特长</w:t>
            </w:r>
          </w:p>
        </w:tc>
        <w:tc>
          <w:tcPr>
            <w:tcW w:w="8445" w:type="dxa"/>
            <w:gridSpan w:val="5"/>
            <w:noWrap w:val="0"/>
            <w:vAlign w:val="top"/>
          </w:tcPr>
          <w:p w14:paraId="7B5DD3A1">
            <w:pPr>
              <w:jc w:val="left"/>
              <w:rPr>
                <w:rFonts w:hint="eastAsia" w:ascii="宋体" w:hAnsi="宋体" w:cs="宋体"/>
                <w:color w:val="auto"/>
                <w:sz w:val="24"/>
                <w:highlight w:val="none"/>
              </w:rPr>
            </w:pPr>
          </w:p>
        </w:tc>
      </w:tr>
    </w:tbl>
    <w:p w14:paraId="4A7B9CE5">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注：附营业执照、资质证书复印件等相关资料。</w:t>
      </w:r>
    </w:p>
    <w:p w14:paraId="4C7530F1">
      <w:pPr>
        <w:rPr>
          <w:rFonts w:hint="eastAsia" w:ascii="宋体" w:hAnsi="宋体" w:cs="宋体"/>
          <w:color w:val="auto"/>
          <w:sz w:val="24"/>
          <w:highlight w:val="none"/>
        </w:rPr>
      </w:pPr>
    </w:p>
    <w:p w14:paraId="0A57F17B">
      <w:pPr>
        <w:snapToGrid w:val="0"/>
        <w:spacing w:line="360" w:lineRule="auto"/>
        <w:ind w:firstLine="560" w:firstLineChars="200"/>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26086660">
      <w:pPr>
        <w:snapToGrid w:val="0"/>
        <w:spacing w:line="360" w:lineRule="auto"/>
        <w:ind w:firstLine="560" w:firstLineChars="200"/>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02227174">
      <w:pPr>
        <w:snapToGrid w:val="0"/>
        <w:spacing w:before="120" w:beforeLines="50" w:after="50"/>
        <w:rPr>
          <w:rFonts w:hint="eastAsia" w:ascii="宋体" w:hAnsi="宋体" w:cs="宋体"/>
          <w:snapToGrid w:val="0"/>
          <w:color w:val="auto"/>
          <w:sz w:val="24"/>
          <w:highlight w:val="none"/>
        </w:rPr>
      </w:pPr>
      <w:r>
        <w:rPr>
          <w:rFonts w:hint="eastAsia" w:ascii="宋体" w:hAnsi="宋体" w:cs="宋体"/>
          <w:snapToGrid w:val="0"/>
          <w:color w:val="auto"/>
          <w:sz w:val="24"/>
          <w:highlight w:val="none"/>
        </w:rPr>
        <w:br w:type="page"/>
      </w:r>
    </w:p>
    <w:p w14:paraId="0189DD52">
      <w:pPr>
        <w:pStyle w:val="2"/>
        <w:keepNext w:val="0"/>
        <w:keepLines w:val="0"/>
        <w:pageBreakBefore/>
        <w:spacing w:line="36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符合参加政府采购活动应当具备的一般条件的承诺函：</w:t>
      </w:r>
    </w:p>
    <w:p w14:paraId="37BCCA80">
      <w:pPr>
        <w:pStyle w:val="20"/>
        <w:keepNext w:val="0"/>
        <w:keepLines w:val="0"/>
        <w:widowControl/>
        <w:suppressLineNumbers w:val="0"/>
        <w:spacing w:before="100" w:beforeAutospacing="0" w:after="100" w:afterAutospacing="0" w:line="360" w:lineRule="auto"/>
        <w:ind w:left="0" w:right="0"/>
        <w:jc w:val="center"/>
        <w:rPr>
          <w:color w:val="auto"/>
          <w:highlight w:val="none"/>
        </w:rPr>
      </w:pPr>
      <w:r>
        <w:rPr>
          <w:rFonts w:ascii="黑体" w:hAnsi="宋体" w:eastAsia="黑体" w:cs="黑体"/>
          <w:b/>
          <w:bCs/>
          <w:i w:val="0"/>
          <w:iCs w:val="0"/>
          <w:color w:val="auto"/>
          <w:spacing w:val="0"/>
          <w:w w:val="100"/>
          <w:sz w:val="27"/>
          <w:szCs w:val="27"/>
          <w:highlight w:val="none"/>
          <w:vertAlign w:val="baseline"/>
        </w:rPr>
        <w:t>符合参加政府采购活动应当具备的一般条件的承诺函</w:t>
      </w:r>
    </w:p>
    <w:p w14:paraId="678CD44B">
      <w:pPr>
        <w:pStyle w:val="20"/>
        <w:keepNext w:val="0"/>
        <w:keepLines w:val="0"/>
        <w:widowControl/>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（采购人）、（采购代理机构）：</w:t>
      </w:r>
    </w:p>
    <w:p w14:paraId="2462F212">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我方参与</w:t>
      </w:r>
      <w:r>
        <w:rPr>
          <w:rFonts w:hint="eastAsia"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项目【项目编号：</w:t>
      </w:r>
      <w:r>
        <w:rPr>
          <w:rFonts w:hint="eastAsia"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】政府采购活动，郑重承诺：</w:t>
      </w:r>
    </w:p>
    <w:p w14:paraId="5D27B32A">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（一）具备《中华人民共和国政府采购法》第二十二条第一款规定的条件：</w:t>
      </w:r>
    </w:p>
    <w:p w14:paraId="2CDAE0ED">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1、具有独立承担民事责任的能力；</w:t>
      </w:r>
    </w:p>
    <w:p w14:paraId="6F74DB87">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2、具有良好的商业信誉和健全的财务会计制度； </w:t>
      </w:r>
    </w:p>
    <w:p w14:paraId="09D4A1A5">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3、具有履行合同所必需的设备和专业技术能力；</w:t>
      </w:r>
    </w:p>
    <w:p w14:paraId="26E10131">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4、有依法缴纳税收和社会保障资金的良好记录；</w:t>
      </w:r>
    </w:p>
    <w:p w14:paraId="69302BA8">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5、参加政府采购活动前三年内，在经营活动中没有重大违法记录；</w:t>
      </w:r>
    </w:p>
    <w:p w14:paraId="6CD0F133">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6、具有法律、行政法规规定的其他条件。</w:t>
      </w:r>
    </w:p>
    <w:p w14:paraId="3E22EE82">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（二）未被信用中国（www.creditchina.gov.cn)、中国政府采购网（www.ccgp.gov.cn）列入失信被执行人、重大税收违法案件当事人名单、政府采购严重违法失信行为记录名单。</w:t>
      </w:r>
    </w:p>
    <w:p w14:paraId="08CFCDC2">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（三）不存在以下情况：</w:t>
      </w:r>
    </w:p>
    <w:p w14:paraId="7F8CD50C">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1、单位负责人为同一人或者存在直接控股、管理关系的不同供应商参加同一合同项下的政府采购活动的；</w:t>
      </w:r>
    </w:p>
    <w:p w14:paraId="7E8254D8">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2、为采购项目提供整体设计、规范编制或者项目管理、监理、检测等服务后再参加该采购项目的其他采购活动的。</w:t>
      </w:r>
    </w:p>
    <w:p w14:paraId="618BEC0D">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p>
    <w:p w14:paraId="287F8AA5">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p>
    <w:p w14:paraId="0C203646">
      <w:pPr>
        <w:pStyle w:val="20"/>
        <w:keepNext w:val="0"/>
        <w:keepLines w:val="0"/>
        <w:widowControl/>
        <w:suppressLineNumbers w:val="0"/>
        <w:spacing w:before="0" w:beforeAutospacing="0" w:after="0" w:afterAutospacing="0" w:line="360" w:lineRule="auto"/>
        <w:ind w:left="480" w:right="0"/>
        <w:jc w:val="both"/>
        <w:rPr>
          <w:rFonts w:hint="eastAsia" w:ascii="宋体" w:hAnsi="宋体" w:eastAsia="宋体" w:cs="宋体"/>
          <w:b w:val="0"/>
          <w:bCs w:val="0"/>
          <w:color w:val="auto"/>
          <w:kern w:val="2"/>
          <w:sz w:val="24"/>
          <w:szCs w:val="24"/>
          <w:highlight w:val="none"/>
          <w:lang w:val="en-US" w:eastAsia="zh-CN" w:bidi="ar-SA"/>
        </w:rPr>
      </w:pPr>
    </w:p>
    <w:p w14:paraId="5C0E836C">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0FE9663B">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34D58B4E">
      <w:pPr>
        <w:rPr>
          <w:rFonts w:ascii="宋体" w:hAnsi="宋体" w:cs="宋体"/>
          <w:color w:val="auto"/>
          <w:sz w:val="24"/>
          <w:highlight w:val="none"/>
        </w:rPr>
      </w:pPr>
    </w:p>
    <w:p w14:paraId="5D4913B7">
      <w:pPr>
        <w:pStyle w:val="20"/>
        <w:keepNext w:val="0"/>
        <w:keepLines w:val="0"/>
        <w:widowControl/>
        <w:suppressLineNumbers w:val="0"/>
        <w:spacing w:before="100" w:beforeAutospacing="0" w:after="100" w:afterAutospacing="0" w:line="360" w:lineRule="auto"/>
        <w:ind w:left="0" w:right="0"/>
        <w:jc w:val="left"/>
        <w:rPr>
          <w:rFonts w:hint="eastAsia" w:ascii="宋体" w:hAnsi="宋体" w:eastAsia="宋体" w:cs="宋体"/>
          <w:b w:val="0"/>
          <w:bCs w:val="0"/>
          <w:color w:val="auto"/>
          <w:kern w:val="2"/>
          <w:sz w:val="24"/>
          <w:szCs w:val="24"/>
          <w:highlight w:val="none"/>
          <w:lang w:val="en-US" w:eastAsia="zh-CN" w:bidi="ar-SA"/>
        </w:rPr>
      </w:pPr>
    </w:p>
    <w:p w14:paraId="48C7B057">
      <w:pPr>
        <w:pStyle w:val="2"/>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投标人依法缴纳税收和社保费、无失信行为的声明函</w:t>
      </w:r>
    </w:p>
    <w:p w14:paraId="38C24ED5">
      <w:pPr>
        <w:pStyle w:val="2"/>
        <w:jc w:val="center"/>
        <w:rPr>
          <w:rFonts w:ascii="宋体" w:hAnsi="宋体" w:cs="宋体"/>
          <w:bCs w:val="0"/>
          <w:color w:val="auto"/>
          <w:sz w:val="30"/>
          <w:szCs w:val="30"/>
          <w:highlight w:val="none"/>
        </w:rPr>
      </w:pPr>
      <w:r>
        <w:rPr>
          <w:rFonts w:hint="eastAsia" w:ascii="宋体" w:hAnsi="宋体" w:eastAsia="宋体" w:cs="宋体"/>
          <w:bCs w:val="0"/>
          <w:color w:val="auto"/>
          <w:sz w:val="30"/>
          <w:szCs w:val="30"/>
          <w:highlight w:val="none"/>
        </w:rPr>
        <w:t>投标人依法缴纳税收和社保费、无失信行为的声明函</w:t>
      </w:r>
    </w:p>
    <w:p w14:paraId="3DC4404A">
      <w:pPr>
        <w:pStyle w:val="2"/>
        <w:jc w:val="center"/>
        <w:rPr>
          <w:rFonts w:ascii="宋体" w:hAnsi="宋体" w:cs="宋体"/>
          <w:bCs w:val="0"/>
          <w:color w:val="auto"/>
          <w:sz w:val="30"/>
          <w:szCs w:val="30"/>
          <w:highlight w:val="none"/>
        </w:rPr>
      </w:pPr>
    </w:p>
    <w:p w14:paraId="47BF225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致：采购人</w:t>
      </w:r>
    </w:p>
    <w:p w14:paraId="148DBE0A">
      <w:pPr>
        <w:pStyle w:val="49"/>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本公司</w:t>
      </w:r>
      <w:r>
        <w:rPr>
          <w:rFonts w:hint="eastAsia" w:ascii="宋体" w:hAnsi="宋体" w:cs="宋体"/>
          <w:color w:val="auto"/>
          <w:sz w:val="24"/>
          <w:szCs w:val="24"/>
          <w:highlight w:val="none"/>
          <w:u w:val="single"/>
        </w:rPr>
        <w:t xml:space="preserve">   （单位）   </w:t>
      </w:r>
      <w:r>
        <w:rPr>
          <w:rFonts w:hint="eastAsia" w:ascii="宋体" w:hAnsi="宋体" w:cs="宋体"/>
          <w:color w:val="auto"/>
          <w:sz w:val="24"/>
          <w:szCs w:val="24"/>
          <w:highlight w:val="none"/>
        </w:rPr>
        <w:t>在参加采购编号为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，项目名称为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政府采购活动前，我方具有良好的财务会计制度、依法缴纳税收和社会保障资金，不偷逃税款和逃避缴纳社会保障资金,截至公告发布日止，相关主体在“信用中国”网站(www.creditchina.gov.cn)及中国政府采购网(www.ccgp.gov.cn)无有失信行为。</w:t>
      </w:r>
      <w:r>
        <w:rPr>
          <w:rFonts w:hint="eastAsia" w:ascii="宋体" w:hAnsi="宋体" w:eastAsia="宋体"/>
          <w:color w:val="auto"/>
          <w:sz w:val="24"/>
          <w:highlight w:val="none"/>
        </w:rPr>
        <w:t>如有虚假，招标人可取消我方任何资格（投标/中标/签订合同），我方对此无任何异议。</w:t>
      </w:r>
    </w:p>
    <w:p w14:paraId="3C0ADD7F">
      <w:pPr>
        <w:pStyle w:val="2"/>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特此声明。</w:t>
      </w:r>
    </w:p>
    <w:p w14:paraId="74CC2C3A">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1D1D5CA6">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28E9F7F2">
      <w:pPr>
        <w:snapToGrid w:val="0"/>
        <w:spacing w:before="50" w:after="120" w:afterLines="50"/>
        <w:jc w:val="left"/>
        <w:rPr>
          <w:rFonts w:ascii="宋体" w:hAnsi="宋体" w:cs="宋体"/>
          <w:b/>
          <w:color w:val="auto"/>
          <w:sz w:val="24"/>
          <w:highlight w:val="none"/>
        </w:rPr>
      </w:pPr>
    </w:p>
    <w:p w14:paraId="7698D916">
      <w:pPr>
        <w:pStyle w:val="7"/>
        <w:rPr>
          <w:rFonts w:ascii="宋体" w:hAnsi="宋体" w:cs="宋体"/>
          <w:b/>
          <w:color w:val="auto"/>
          <w:sz w:val="24"/>
          <w:highlight w:val="none"/>
        </w:rPr>
      </w:pPr>
    </w:p>
    <w:p w14:paraId="64BFE00E">
      <w:pPr>
        <w:pStyle w:val="19"/>
        <w:rPr>
          <w:rFonts w:ascii="宋体" w:hAnsi="宋体" w:cs="宋体"/>
          <w:b/>
          <w:color w:val="auto"/>
          <w:sz w:val="24"/>
          <w:highlight w:val="none"/>
        </w:rPr>
      </w:pPr>
    </w:p>
    <w:p w14:paraId="41F1BE18">
      <w:pPr>
        <w:rPr>
          <w:rFonts w:ascii="宋体" w:hAnsi="宋体" w:cs="宋体"/>
          <w:b/>
          <w:color w:val="auto"/>
          <w:sz w:val="24"/>
          <w:highlight w:val="none"/>
        </w:rPr>
      </w:pPr>
    </w:p>
    <w:p w14:paraId="1C8AE8E4">
      <w:pPr>
        <w:pStyle w:val="7"/>
        <w:rPr>
          <w:rFonts w:ascii="宋体" w:hAnsi="宋体" w:cs="宋体"/>
          <w:b/>
          <w:color w:val="auto"/>
          <w:sz w:val="24"/>
          <w:highlight w:val="none"/>
        </w:rPr>
      </w:pPr>
    </w:p>
    <w:p w14:paraId="771CBED4">
      <w:pPr>
        <w:pStyle w:val="19"/>
        <w:rPr>
          <w:rFonts w:ascii="宋体" w:hAnsi="宋体" w:cs="宋体"/>
          <w:b/>
          <w:color w:val="auto"/>
          <w:sz w:val="24"/>
          <w:highlight w:val="none"/>
        </w:rPr>
      </w:pPr>
    </w:p>
    <w:p w14:paraId="0C768D82">
      <w:pPr>
        <w:rPr>
          <w:rFonts w:ascii="宋体" w:hAnsi="宋体" w:cs="宋体"/>
          <w:b/>
          <w:color w:val="auto"/>
          <w:sz w:val="24"/>
          <w:highlight w:val="none"/>
        </w:rPr>
      </w:pPr>
    </w:p>
    <w:p w14:paraId="33A78E8B">
      <w:pPr>
        <w:pStyle w:val="7"/>
        <w:rPr>
          <w:rFonts w:ascii="宋体" w:hAnsi="宋体" w:cs="宋体"/>
          <w:b/>
          <w:color w:val="auto"/>
          <w:sz w:val="24"/>
          <w:highlight w:val="none"/>
        </w:rPr>
      </w:pPr>
    </w:p>
    <w:p w14:paraId="677A6FDA">
      <w:pPr>
        <w:pStyle w:val="19"/>
        <w:rPr>
          <w:rFonts w:ascii="宋体" w:hAnsi="宋体" w:cs="宋体"/>
          <w:b/>
          <w:color w:val="auto"/>
          <w:sz w:val="24"/>
          <w:highlight w:val="none"/>
        </w:rPr>
      </w:pPr>
    </w:p>
    <w:p w14:paraId="3F6BC4CA">
      <w:pPr>
        <w:rPr>
          <w:rFonts w:ascii="宋体" w:hAnsi="宋体" w:cs="宋体"/>
          <w:b/>
          <w:color w:val="auto"/>
          <w:sz w:val="24"/>
          <w:highlight w:val="none"/>
        </w:rPr>
      </w:pPr>
    </w:p>
    <w:p w14:paraId="316AD2BE">
      <w:pPr>
        <w:pStyle w:val="7"/>
        <w:rPr>
          <w:rFonts w:ascii="宋体" w:hAnsi="宋体" w:cs="宋体"/>
          <w:b/>
          <w:color w:val="auto"/>
          <w:sz w:val="24"/>
          <w:highlight w:val="none"/>
        </w:rPr>
      </w:pPr>
    </w:p>
    <w:p w14:paraId="3909985B">
      <w:pPr>
        <w:pStyle w:val="19"/>
        <w:rPr>
          <w:rFonts w:ascii="宋体" w:hAnsi="宋体" w:cs="宋体"/>
          <w:b/>
          <w:color w:val="auto"/>
          <w:sz w:val="24"/>
          <w:highlight w:val="none"/>
        </w:rPr>
      </w:pPr>
    </w:p>
    <w:p w14:paraId="3E5E1068">
      <w:pPr>
        <w:rPr>
          <w:rFonts w:ascii="宋体" w:hAnsi="宋体" w:cs="宋体"/>
          <w:b/>
          <w:color w:val="auto"/>
          <w:sz w:val="24"/>
          <w:highlight w:val="none"/>
        </w:rPr>
      </w:pPr>
    </w:p>
    <w:p w14:paraId="38CFD4C8">
      <w:pPr>
        <w:pStyle w:val="7"/>
        <w:rPr>
          <w:rFonts w:ascii="宋体" w:hAnsi="宋体" w:cs="宋体"/>
          <w:b/>
          <w:color w:val="auto"/>
          <w:sz w:val="24"/>
          <w:highlight w:val="none"/>
        </w:rPr>
      </w:pPr>
    </w:p>
    <w:p w14:paraId="3886ADB1">
      <w:pPr>
        <w:pStyle w:val="19"/>
        <w:rPr>
          <w:rFonts w:ascii="宋体" w:hAnsi="宋体" w:cs="宋体"/>
          <w:b/>
          <w:color w:val="auto"/>
          <w:sz w:val="24"/>
          <w:highlight w:val="none"/>
        </w:rPr>
      </w:pPr>
    </w:p>
    <w:p w14:paraId="1CA1240E">
      <w:pPr>
        <w:snapToGrid w:val="0"/>
        <w:spacing w:before="120" w:beforeLines="50" w:after="50"/>
        <w:rPr>
          <w:rFonts w:ascii="宋体" w:hAnsi="宋体" w:cs="宋体"/>
          <w:b/>
          <w:color w:val="auto"/>
          <w:sz w:val="24"/>
          <w:highlight w:val="none"/>
        </w:rPr>
      </w:pPr>
    </w:p>
    <w:p w14:paraId="34B8E8FF">
      <w:pPr>
        <w:pStyle w:val="2"/>
        <w:rPr>
          <w:rFonts w:ascii="宋体" w:hAnsi="宋体" w:eastAsia="宋体"/>
          <w:color w:val="auto"/>
          <w:sz w:val="24"/>
          <w:szCs w:val="24"/>
          <w:highlight w:val="none"/>
        </w:rPr>
      </w:pPr>
      <w:r>
        <w:rPr>
          <w:rFonts w:hint="eastAsia" w:ascii="宋体" w:hAnsi="宋体" w:eastAsia="宋体"/>
          <w:color w:val="auto"/>
          <w:sz w:val="24"/>
          <w:szCs w:val="24"/>
          <w:highlight w:val="none"/>
        </w:rPr>
        <w:t>无重大违法记录声明书:</w:t>
      </w:r>
    </w:p>
    <w:p w14:paraId="2DA953AB">
      <w:pPr>
        <w:pStyle w:val="3"/>
        <w:spacing w:line="360" w:lineRule="auto"/>
        <w:ind w:firstLine="0"/>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无重大违法记录声明书</w:t>
      </w:r>
    </w:p>
    <w:p w14:paraId="2B50B3E4">
      <w:pPr>
        <w:pStyle w:val="50"/>
        <w:spacing w:line="360" w:lineRule="auto"/>
        <w:rPr>
          <w:rFonts w:ascii="宋体" w:hAnsi="宋体" w:eastAsia="宋体"/>
          <w:color w:val="auto"/>
          <w:spacing w:val="6"/>
          <w:sz w:val="24"/>
          <w:highlight w:val="none"/>
        </w:rPr>
      </w:pPr>
      <w:r>
        <w:rPr>
          <w:rFonts w:hint="eastAsia" w:ascii="宋体" w:hAnsi="宋体" w:eastAsia="宋体"/>
          <w:color w:val="auto"/>
          <w:sz w:val="24"/>
          <w:highlight w:val="none"/>
          <w:u w:val="single"/>
        </w:rPr>
        <w:t>（采购人名称）</w:t>
      </w:r>
      <w:r>
        <w:rPr>
          <w:rFonts w:hint="eastAsia" w:ascii="宋体" w:hAnsi="宋体" w:eastAsia="宋体"/>
          <w:color w:val="auto"/>
          <w:spacing w:val="6"/>
          <w:sz w:val="24"/>
          <w:highlight w:val="none"/>
        </w:rPr>
        <w:t>：</w:t>
      </w:r>
    </w:p>
    <w:p w14:paraId="12152FBD">
      <w:pPr>
        <w:pStyle w:val="50"/>
        <w:spacing w:line="360" w:lineRule="auto"/>
        <w:ind w:firstLine="504" w:firstLineChars="200"/>
        <w:rPr>
          <w:rFonts w:ascii="宋体" w:hAnsi="宋体" w:eastAsia="宋体"/>
          <w:color w:val="auto"/>
          <w:spacing w:val="6"/>
          <w:sz w:val="24"/>
          <w:highlight w:val="none"/>
        </w:rPr>
      </w:pPr>
      <w:r>
        <w:rPr>
          <w:rFonts w:hint="eastAsia" w:ascii="宋体" w:hAnsi="宋体" w:eastAsia="宋体"/>
          <w:color w:val="auto"/>
          <w:spacing w:val="6"/>
          <w:sz w:val="24"/>
          <w:highlight w:val="none"/>
        </w:rPr>
        <w:t xml:space="preserve"> 我方参与的</w:t>
      </w:r>
      <w:r>
        <w:rPr>
          <w:rFonts w:hint="eastAsia" w:ascii="宋体" w:hAnsi="宋体" w:eastAsia="宋体"/>
          <w:color w:val="auto"/>
          <w:spacing w:val="6"/>
          <w:sz w:val="24"/>
          <w:highlight w:val="none"/>
          <w:u w:val="single"/>
        </w:rPr>
        <w:t xml:space="preserve">     （项目名称）（项目编号）（标项）    </w:t>
      </w:r>
      <w:r>
        <w:rPr>
          <w:rFonts w:hint="eastAsia" w:ascii="宋体" w:hAnsi="宋体" w:eastAsia="宋体"/>
          <w:color w:val="auto"/>
          <w:spacing w:val="6"/>
          <w:sz w:val="24"/>
          <w:highlight w:val="none"/>
        </w:rPr>
        <w:t>的投标活动，我方郑重声明，我方参加本项目投标活动前三年内无重大违法记录（重大违法记录是指投标人因违法经营受到刑事处罚或者责令停产停业、吊销许可证或者执照、较大数额罚款等行政处罚），符合《中华人民共和国政府采购法》、《中华人民共和国政府采购法实施条例》的规定。我方对此声明负全部法律责任。</w:t>
      </w:r>
    </w:p>
    <w:p w14:paraId="048A9DC7">
      <w:pPr>
        <w:pStyle w:val="50"/>
        <w:spacing w:line="360" w:lineRule="auto"/>
        <w:ind w:firstLine="504" w:firstLineChars="200"/>
        <w:rPr>
          <w:rFonts w:ascii="宋体" w:hAnsi="宋体" w:eastAsia="宋体"/>
          <w:color w:val="auto"/>
          <w:spacing w:val="6"/>
          <w:sz w:val="24"/>
          <w:highlight w:val="none"/>
        </w:rPr>
      </w:pPr>
      <w:r>
        <w:rPr>
          <w:rFonts w:hint="eastAsia" w:ascii="宋体" w:hAnsi="宋体" w:eastAsia="宋体"/>
          <w:color w:val="auto"/>
          <w:spacing w:val="6"/>
          <w:sz w:val="24"/>
          <w:highlight w:val="none"/>
        </w:rPr>
        <w:tab/>
      </w:r>
      <w:r>
        <w:rPr>
          <w:rFonts w:hint="eastAsia" w:ascii="宋体" w:hAnsi="宋体" w:eastAsia="宋体"/>
          <w:color w:val="auto"/>
          <w:spacing w:val="6"/>
          <w:sz w:val="24"/>
          <w:highlight w:val="none"/>
        </w:rPr>
        <w:t>特此声明。</w:t>
      </w:r>
    </w:p>
    <w:p w14:paraId="4BCE2F4A">
      <w:pPr>
        <w:pStyle w:val="50"/>
        <w:spacing w:line="360" w:lineRule="auto"/>
        <w:ind w:firstLine="504" w:firstLineChars="200"/>
        <w:rPr>
          <w:rFonts w:ascii="宋体" w:hAnsi="宋体" w:eastAsia="宋体"/>
          <w:color w:val="auto"/>
          <w:spacing w:val="6"/>
          <w:sz w:val="24"/>
          <w:highlight w:val="none"/>
        </w:rPr>
      </w:pPr>
    </w:p>
    <w:p w14:paraId="316EBB3A">
      <w:pPr>
        <w:pStyle w:val="50"/>
        <w:spacing w:line="360" w:lineRule="auto"/>
        <w:ind w:firstLine="504" w:firstLineChars="200"/>
        <w:rPr>
          <w:rFonts w:ascii="宋体" w:hAnsi="宋体" w:eastAsia="宋体"/>
          <w:color w:val="auto"/>
          <w:spacing w:val="6"/>
          <w:sz w:val="24"/>
          <w:highlight w:val="none"/>
        </w:rPr>
      </w:pPr>
    </w:p>
    <w:p w14:paraId="5DC86E90">
      <w:pPr>
        <w:snapToGrid w:val="0"/>
        <w:spacing w:line="360" w:lineRule="auto"/>
        <w:jc w:val="left"/>
        <w:rPr>
          <w:rFonts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cs="宋体"/>
          <w:color w:val="auto"/>
          <w:sz w:val="24"/>
          <w:highlight w:val="none"/>
        </w:rPr>
        <w:t>（盖公章或电子签章）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508061E1">
      <w:pPr>
        <w:snapToGrid w:val="0"/>
        <w:spacing w:line="360" w:lineRule="auto"/>
        <w:jc w:val="left"/>
        <w:rPr>
          <w:rFonts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42D55DD0">
      <w:pPr>
        <w:snapToGrid w:val="0"/>
        <w:spacing w:before="120" w:beforeLines="50" w:after="50"/>
        <w:rPr>
          <w:rFonts w:ascii="宋体" w:hAnsi="宋体" w:cs="宋体"/>
          <w:b/>
          <w:color w:val="auto"/>
          <w:sz w:val="24"/>
          <w:highlight w:val="none"/>
        </w:rPr>
      </w:pPr>
    </w:p>
    <w:p w14:paraId="74BCFBDA">
      <w:pPr>
        <w:snapToGrid w:val="0"/>
        <w:spacing w:before="120" w:beforeLines="50" w:after="50"/>
        <w:rPr>
          <w:rFonts w:ascii="宋体" w:hAnsi="宋体" w:cs="宋体"/>
          <w:b/>
          <w:color w:val="auto"/>
          <w:sz w:val="24"/>
          <w:highlight w:val="none"/>
        </w:rPr>
      </w:pPr>
    </w:p>
    <w:p w14:paraId="142FBB4D">
      <w:pPr>
        <w:snapToGrid w:val="0"/>
        <w:spacing w:before="120" w:beforeLines="50" w:after="50"/>
        <w:rPr>
          <w:rFonts w:ascii="宋体" w:hAnsi="宋体" w:cs="宋体"/>
          <w:b/>
          <w:color w:val="auto"/>
          <w:sz w:val="24"/>
          <w:highlight w:val="none"/>
        </w:rPr>
      </w:pPr>
    </w:p>
    <w:p w14:paraId="38B339A8">
      <w:pPr>
        <w:snapToGrid w:val="0"/>
        <w:spacing w:before="120" w:beforeLines="50" w:after="50"/>
        <w:rPr>
          <w:rFonts w:ascii="宋体" w:hAnsi="宋体" w:cs="宋体"/>
          <w:b/>
          <w:color w:val="auto"/>
          <w:sz w:val="24"/>
          <w:highlight w:val="none"/>
        </w:rPr>
      </w:pPr>
    </w:p>
    <w:p w14:paraId="7723C97F">
      <w:pPr>
        <w:snapToGrid w:val="0"/>
        <w:spacing w:before="120" w:beforeLines="50" w:after="50"/>
        <w:rPr>
          <w:rFonts w:ascii="宋体" w:hAnsi="宋体" w:cs="宋体"/>
          <w:b/>
          <w:color w:val="auto"/>
          <w:sz w:val="24"/>
          <w:highlight w:val="none"/>
        </w:rPr>
      </w:pPr>
    </w:p>
    <w:p w14:paraId="10F83482">
      <w:pPr>
        <w:snapToGrid w:val="0"/>
        <w:spacing w:before="120" w:beforeLines="50" w:after="50"/>
        <w:rPr>
          <w:rFonts w:ascii="宋体" w:hAnsi="宋体" w:cs="宋体"/>
          <w:b/>
          <w:color w:val="auto"/>
          <w:sz w:val="24"/>
          <w:highlight w:val="none"/>
        </w:rPr>
      </w:pPr>
    </w:p>
    <w:p w14:paraId="3DB5388C">
      <w:pPr>
        <w:snapToGrid w:val="0"/>
        <w:spacing w:before="120" w:beforeLines="50" w:after="50"/>
        <w:rPr>
          <w:rFonts w:ascii="宋体" w:hAnsi="宋体" w:cs="宋体"/>
          <w:b/>
          <w:color w:val="auto"/>
          <w:sz w:val="24"/>
          <w:highlight w:val="none"/>
        </w:rPr>
      </w:pPr>
    </w:p>
    <w:p w14:paraId="7F72E56B">
      <w:pPr>
        <w:snapToGrid w:val="0"/>
        <w:spacing w:before="120" w:beforeLines="50" w:after="50"/>
        <w:rPr>
          <w:rFonts w:ascii="宋体" w:hAnsi="宋体" w:cs="宋体"/>
          <w:b/>
          <w:color w:val="auto"/>
          <w:sz w:val="24"/>
          <w:highlight w:val="none"/>
        </w:rPr>
      </w:pPr>
    </w:p>
    <w:p w14:paraId="537E140A">
      <w:pPr>
        <w:snapToGrid w:val="0"/>
        <w:spacing w:before="120" w:beforeLines="50" w:after="50"/>
        <w:rPr>
          <w:rFonts w:ascii="宋体" w:hAnsi="宋体" w:cs="宋体"/>
          <w:b/>
          <w:color w:val="auto"/>
          <w:sz w:val="24"/>
          <w:highlight w:val="none"/>
        </w:rPr>
      </w:pPr>
    </w:p>
    <w:p w14:paraId="62D8D9E9">
      <w:pPr>
        <w:snapToGrid w:val="0"/>
        <w:spacing w:before="120" w:beforeLines="50" w:after="50"/>
        <w:rPr>
          <w:rFonts w:ascii="宋体" w:hAnsi="宋体" w:cs="宋体"/>
          <w:b/>
          <w:color w:val="auto"/>
          <w:sz w:val="24"/>
          <w:highlight w:val="none"/>
        </w:rPr>
      </w:pPr>
    </w:p>
    <w:p w14:paraId="31B47587">
      <w:pPr>
        <w:snapToGrid w:val="0"/>
        <w:spacing w:before="120" w:beforeLines="50" w:after="50"/>
        <w:rPr>
          <w:rFonts w:ascii="宋体" w:hAnsi="宋体" w:cs="宋体"/>
          <w:b/>
          <w:color w:val="auto"/>
          <w:sz w:val="24"/>
          <w:highlight w:val="none"/>
        </w:rPr>
      </w:pPr>
    </w:p>
    <w:p w14:paraId="453CD1BD">
      <w:pPr>
        <w:snapToGrid w:val="0"/>
        <w:spacing w:before="120" w:beforeLines="50" w:after="50"/>
        <w:rPr>
          <w:rFonts w:ascii="宋体" w:hAnsi="宋体" w:cs="宋体"/>
          <w:b/>
          <w:color w:val="auto"/>
          <w:sz w:val="24"/>
          <w:highlight w:val="none"/>
        </w:rPr>
      </w:pPr>
    </w:p>
    <w:p w14:paraId="4BF2C2C4">
      <w:pPr>
        <w:snapToGrid w:val="0"/>
        <w:spacing w:before="120" w:beforeLines="50" w:after="50"/>
        <w:rPr>
          <w:rFonts w:ascii="宋体" w:hAnsi="宋体" w:cs="宋体"/>
          <w:b/>
          <w:color w:val="auto"/>
          <w:sz w:val="24"/>
          <w:highlight w:val="none"/>
        </w:rPr>
      </w:pPr>
    </w:p>
    <w:p w14:paraId="3FFA3843">
      <w:pPr>
        <w:snapToGrid w:val="0"/>
        <w:spacing w:before="120" w:beforeLines="50" w:after="50"/>
        <w:rPr>
          <w:rFonts w:ascii="宋体" w:hAnsi="宋体" w:cs="宋体"/>
          <w:b/>
          <w:color w:val="auto"/>
          <w:sz w:val="24"/>
          <w:highlight w:val="none"/>
        </w:rPr>
      </w:pPr>
    </w:p>
    <w:p w14:paraId="6DD98263">
      <w:pPr>
        <w:snapToGrid w:val="0"/>
        <w:spacing w:before="120" w:beforeLines="50" w:after="50"/>
        <w:rPr>
          <w:rFonts w:ascii="宋体" w:hAnsi="宋体" w:cs="宋体"/>
          <w:b/>
          <w:color w:val="auto"/>
          <w:sz w:val="24"/>
          <w:highlight w:val="none"/>
        </w:rPr>
      </w:pPr>
    </w:p>
    <w:p w14:paraId="443B5EC0">
      <w:pPr>
        <w:snapToGrid w:val="0"/>
        <w:spacing w:before="120" w:beforeLines="50" w:after="50"/>
        <w:rPr>
          <w:rFonts w:hint="eastAsia" w:ascii="宋体" w:hAnsi="宋体" w:cs="宋体"/>
          <w:b/>
          <w:color w:val="auto"/>
          <w:sz w:val="24"/>
          <w:highlight w:val="none"/>
        </w:rPr>
      </w:pPr>
    </w:p>
    <w:p w14:paraId="4586DA40">
      <w:pPr>
        <w:snapToGrid w:val="0"/>
        <w:spacing w:before="120" w:beforeLines="50" w:after="50"/>
        <w:rPr>
          <w:rFonts w:ascii="宋体" w:hAnsi="宋体" w:cs="宋体"/>
          <w:b/>
          <w:color w:val="auto"/>
          <w:sz w:val="24"/>
          <w:highlight w:val="none"/>
        </w:rPr>
      </w:pPr>
      <w:r>
        <w:rPr>
          <w:rFonts w:hint="eastAsia" w:ascii="宋体" w:hAnsi="宋体" w:cs="宋体"/>
          <w:b/>
          <w:color w:val="auto"/>
          <w:sz w:val="24"/>
          <w:highlight w:val="none"/>
        </w:rPr>
        <w:t>政府采购供应商诚信承诺书：</w:t>
      </w:r>
    </w:p>
    <w:p w14:paraId="1DFF0F6F">
      <w:pPr>
        <w:widowControl/>
        <w:spacing w:before="100" w:beforeAutospacing="1" w:after="190"/>
        <w:ind w:firstLine="2789" w:firstLineChars="926"/>
        <w:rPr>
          <w:rFonts w:ascii="宋体" w:hAnsi="宋体" w:cs="宋体"/>
          <w:color w:val="auto"/>
          <w:kern w:val="0"/>
          <w:sz w:val="30"/>
          <w:szCs w:val="30"/>
          <w:highlight w:val="none"/>
        </w:rPr>
      </w:pPr>
      <w:r>
        <w:rPr>
          <w:rFonts w:hint="eastAsia" w:ascii="宋体" w:hAnsi="宋体" w:cs="宋体"/>
          <w:b/>
          <w:bCs/>
          <w:color w:val="auto"/>
          <w:kern w:val="0"/>
          <w:sz w:val="30"/>
          <w:szCs w:val="30"/>
          <w:highlight w:val="none"/>
        </w:rPr>
        <w:t>政府采购供应商诚信承诺书</w:t>
      </w:r>
    </w:p>
    <w:p w14:paraId="54650CFD">
      <w:pPr>
        <w:widowControl/>
        <w:spacing w:before="100" w:beforeAutospacing="1" w:after="190"/>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东阳耀辉工程咨询有限公司：</w:t>
      </w:r>
    </w:p>
    <w:p w14:paraId="4981E970">
      <w:pPr>
        <w:spacing w:line="3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我公司自愿参与贵单位组织的</w:t>
      </w:r>
      <w:r>
        <w:rPr>
          <w:rFonts w:hint="eastAsia" w:ascii="宋体" w:hAnsi="宋体" w:cs="宋体"/>
          <w:b/>
          <w:color w:val="auto"/>
          <w:kern w:val="0"/>
          <w:sz w:val="24"/>
          <w:highlight w:val="none"/>
          <w:u w:val="single"/>
        </w:rPr>
        <w:t xml:space="preserve">                   项目（招标编号：     ）</w:t>
      </w:r>
      <w:r>
        <w:rPr>
          <w:rFonts w:hint="eastAsia" w:ascii="宋体" w:hAnsi="宋体" w:cs="宋体"/>
          <w:color w:val="auto"/>
          <w:kern w:val="0"/>
          <w:sz w:val="24"/>
          <w:highlight w:val="none"/>
        </w:rPr>
        <w:t>采购活动，严格遵守《中华人民共和国</w:t>
      </w:r>
      <w:r>
        <w:rPr>
          <w:rFonts w:hint="eastAsia" w:ascii="宋体" w:hAnsi="宋体" w:cs="宋体"/>
          <w:color w:val="auto"/>
          <w:sz w:val="24"/>
          <w:highlight w:val="none"/>
        </w:rPr>
        <w:t>政府采购法》等相关法律法规的规定，坚守公平竞争，并无条件地遵守本次采购活动各项规定。我们郑重承诺：如果在本次招标活动中有以下情形的，愿接受政府采购监管等部门给予相关处罚并承担法律责任。</w:t>
      </w:r>
    </w:p>
    <w:p w14:paraId="3AFBA450">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（一）提供虚假材料谋取中标的；</w:t>
      </w:r>
    </w:p>
    <w:p w14:paraId="29C15A10">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（二）采取不正当手段诋毁、排挤</w:t>
      </w:r>
      <w:r>
        <w:rPr>
          <w:color w:val="auto"/>
          <w:highlight w:val="none"/>
        </w:rPr>
        <w:fldChar w:fldCharType="begin"/>
      </w:r>
      <w:r>
        <w:rPr>
          <w:color w:val="auto"/>
          <w:highlight w:val="none"/>
        </w:rPr>
        <w:instrText xml:space="preserve"> HYPERLINK "http://www.oh100.com/qita/" \t "_blank" </w:instrText>
      </w:r>
      <w:r>
        <w:rPr>
          <w:color w:val="auto"/>
          <w:highlight w:val="none"/>
        </w:rPr>
        <w:fldChar w:fldCharType="separate"/>
      </w:r>
      <w:r>
        <w:rPr>
          <w:rStyle w:val="28"/>
          <w:rFonts w:hint="eastAsia" w:ascii="宋体" w:hAnsi="宋体" w:cs="宋体"/>
          <w:color w:val="auto"/>
          <w:sz w:val="24"/>
          <w:highlight w:val="none"/>
        </w:rPr>
        <w:t>其他</w:t>
      </w:r>
      <w:r>
        <w:rPr>
          <w:rStyle w:val="28"/>
          <w:rFonts w:hint="eastAsia" w:ascii="宋体" w:hAnsi="宋体" w:cs="宋体"/>
          <w:color w:val="auto"/>
          <w:sz w:val="24"/>
          <w:highlight w:val="none"/>
        </w:rPr>
        <w:fldChar w:fldCharType="end"/>
      </w:r>
      <w:r>
        <w:rPr>
          <w:rFonts w:hint="eastAsia" w:ascii="宋体" w:hAnsi="宋体" w:cs="宋体"/>
          <w:color w:val="auto"/>
          <w:sz w:val="24"/>
          <w:highlight w:val="none"/>
        </w:rPr>
        <w:t>供应商的；</w:t>
      </w:r>
    </w:p>
    <w:p w14:paraId="69BDE10D">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（三）与招标采购单位、其他投标人恶意串通的；</w:t>
      </w:r>
    </w:p>
    <w:p w14:paraId="746EB27F">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（四）向招标采购单位行贿或提供其他不正当利益的；</w:t>
      </w:r>
    </w:p>
    <w:p w14:paraId="52DF4C59">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（五）在招标过程中与招标采购单位进行协商谈判、不按照招标文件和投标文件订立合同，或者与采购人另立背离合同实质性内容协议的；</w:t>
      </w:r>
    </w:p>
    <w:p w14:paraId="2231D29E">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（六）开标后擅自撤销投标，影响招标继续进行的或领取招标文件后不投标导致废标的；</w:t>
      </w:r>
    </w:p>
    <w:p w14:paraId="78D271CE">
      <w:pPr>
        <w:spacing w:line="3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（七）中标后无正当理由，在规定时间内不与采购单位签订合同的；</w:t>
      </w:r>
    </w:p>
    <w:p w14:paraId="3F336BD5">
      <w:pPr>
        <w:spacing w:line="3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（八）将中标项目转让给他人或非法分包他人的；</w:t>
      </w:r>
    </w:p>
    <w:p w14:paraId="2F9FD6AA">
      <w:pPr>
        <w:spacing w:line="3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（九）无正当理由，拒绝履行合同义务的；</w:t>
      </w:r>
    </w:p>
    <w:p w14:paraId="6864F9F7">
      <w:pPr>
        <w:spacing w:line="3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（十）无正当理由放弃中标（成交）项目的；</w:t>
      </w:r>
    </w:p>
    <w:p w14:paraId="3F3AF3FF">
      <w:pPr>
        <w:spacing w:line="3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（十一）擅自或与采购人串通或接受采购人要求，在履约合同中通过减少货物数量，更换品牌、降低配置、技术要求、质量和服务标准等，却仍按原合同进行虚假验收或终止政府采购合同的；</w:t>
      </w:r>
    </w:p>
    <w:p w14:paraId="282DFBF9">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（十二）与采购人串通，对尚未履约完毕的采购项目出具虚假验收报告的；</w:t>
      </w:r>
    </w:p>
    <w:p w14:paraId="531ED503">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（十三）无不可抗力因素，拒绝提供售后服务、售后服务态度恶劣、故意提高维修配件价格（高于市场平均价）的；</w:t>
      </w:r>
    </w:p>
    <w:p w14:paraId="29EB0B87">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（十四）开标后对招标文件的相关内容再进行质疑的；</w:t>
      </w:r>
    </w:p>
    <w:p w14:paraId="42E0D643">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（十五）恶意投诉的行为：投诉经查无实据的、捏造事实或者提供虚假投诉材料的；</w:t>
      </w:r>
    </w:p>
    <w:p w14:paraId="7A647918">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（十六）拒绝有关部门监督检查或者提供虚假情况的；</w:t>
      </w:r>
    </w:p>
    <w:p w14:paraId="1258471D">
      <w:pPr>
        <w:spacing w:line="3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（十七）财政、监察部门认定的其他不诚信行为</w:t>
      </w:r>
      <w:r>
        <w:rPr>
          <w:rFonts w:hint="eastAsia" w:ascii="宋体" w:hAnsi="宋体" w:cs="宋体"/>
          <w:color w:val="auto"/>
          <w:sz w:val="24"/>
          <w:highlight w:val="none"/>
          <w:lang w:eastAsia="zh-CN"/>
        </w:rPr>
        <w:t>；</w:t>
      </w:r>
    </w:p>
    <w:p w14:paraId="04346BF2">
      <w:pPr>
        <w:spacing w:line="3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（十八）招标文件规定的其他不诚信行为。</w:t>
      </w:r>
    </w:p>
    <w:p w14:paraId="3D7A1648">
      <w:pPr>
        <w:spacing w:line="340" w:lineRule="exact"/>
        <w:ind w:firstLine="5760" w:firstLineChars="2400"/>
        <w:rPr>
          <w:rFonts w:ascii="宋体" w:hAnsi="宋体" w:cs="宋体"/>
          <w:color w:val="auto"/>
          <w:sz w:val="24"/>
          <w:highlight w:val="none"/>
        </w:rPr>
      </w:pPr>
    </w:p>
    <w:p w14:paraId="1C07DCF2">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66CD1608">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40D3E76F">
      <w:pPr>
        <w:pStyle w:val="23"/>
        <w:spacing w:line="240" w:lineRule="auto"/>
        <w:ind w:firstLine="0" w:firstLineChars="0"/>
        <w:rPr>
          <w:rFonts w:hAnsi="宋体" w:cs="宋体"/>
          <w:b/>
          <w:color w:val="auto"/>
          <w:sz w:val="24"/>
          <w:szCs w:val="24"/>
          <w:highlight w:val="none"/>
        </w:rPr>
      </w:pPr>
    </w:p>
    <w:p w14:paraId="383653B5">
      <w:pPr>
        <w:pStyle w:val="23"/>
        <w:spacing w:line="240" w:lineRule="auto"/>
        <w:ind w:firstLine="0" w:firstLineChars="0"/>
        <w:rPr>
          <w:rFonts w:hAnsi="宋体" w:cs="宋体"/>
          <w:b/>
          <w:color w:val="auto"/>
          <w:sz w:val="24"/>
          <w:szCs w:val="24"/>
          <w:highlight w:val="none"/>
        </w:rPr>
      </w:pPr>
    </w:p>
    <w:p w14:paraId="77214276">
      <w:pPr>
        <w:pStyle w:val="23"/>
        <w:spacing w:line="240" w:lineRule="auto"/>
        <w:ind w:firstLine="0" w:firstLineChars="0"/>
        <w:rPr>
          <w:rFonts w:hAnsi="宋体" w:cs="宋体"/>
          <w:b/>
          <w:color w:val="auto"/>
          <w:sz w:val="24"/>
          <w:szCs w:val="24"/>
          <w:highlight w:val="none"/>
        </w:rPr>
      </w:pPr>
    </w:p>
    <w:p w14:paraId="7BD436E9">
      <w:pPr>
        <w:pStyle w:val="23"/>
        <w:spacing w:line="240" w:lineRule="auto"/>
        <w:ind w:firstLine="0" w:firstLineChars="0"/>
        <w:rPr>
          <w:rFonts w:hAnsi="宋体" w:cs="宋体"/>
          <w:b/>
          <w:color w:val="auto"/>
          <w:sz w:val="24"/>
          <w:szCs w:val="24"/>
          <w:highlight w:val="none"/>
        </w:rPr>
      </w:pPr>
    </w:p>
    <w:p w14:paraId="4A7718EB">
      <w:pPr>
        <w:snapToGrid w:val="0"/>
        <w:spacing w:line="300" w:lineRule="exact"/>
        <w:jc w:val="left"/>
        <w:rPr>
          <w:rFonts w:ascii="宋体" w:hAnsi="宋体" w:cs="宋体"/>
          <w:color w:val="auto"/>
          <w:sz w:val="24"/>
          <w:highlight w:val="none"/>
        </w:rPr>
      </w:pPr>
    </w:p>
    <w:p w14:paraId="4D1091A7">
      <w:pPr>
        <w:rPr>
          <w:rFonts w:ascii="宋体" w:hAnsi="宋体" w:cs="宋体"/>
          <w:b/>
          <w:color w:val="auto"/>
          <w:sz w:val="24"/>
          <w:highlight w:val="none"/>
        </w:rPr>
      </w:pPr>
    </w:p>
    <w:p w14:paraId="61C76D56">
      <w:pPr>
        <w:rPr>
          <w:rFonts w:ascii="宋体" w:hAnsi="宋体" w:cs="宋体"/>
          <w:b/>
          <w:color w:val="auto"/>
          <w:sz w:val="24"/>
          <w:highlight w:val="none"/>
        </w:rPr>
      </w:pPr>
    </w:p>
    <w:p w14:paraId="295ADF38">
      <w:pPr>
        <w:rPr>
          <w:rFonts w:ascii="宋体" w:hAnsi="宋体" w:cs="宋体"/>
          <w:b/>
          <w:color w:val="auto"/>
          <w:sz w:val="30"/>
          <w:szCs w:val="30"/>
          <w:highlight w:val="none"/>
        </w:rPr>
      </w:pPr>
      <w:r>
        <w:rPr>
          <w:rFonts w:hint="eastAsia" w:ascii="宋体" w:hAnsi="宋体" w:cs="宋体"/>
          <w:b/>
          <w:color w:val="auto"/>
          <w:sz w:val="24"/>
          <w:highlight w:val="none"/>
        </w:rPr>
        <w:t>中标服务费承诺书：</w:t>
      </w:r>
    </w:p>
    <w:p w14:paraId="3609C469">
      <w:pPr>
        <w:jc w:val="center"/>
        <w:rPr>
          <w:rFonts w:ascii="宋体" w:hAnsi="宋体" w:cs="宋体"/>
          <w:b/>
          <w:color w:val="auto"/>
          <w:sz w:val="30"/>
          <w:szCs w:val="30"/>
          <w:highlight w:val="none"/>
        </w:rPr>
      </w:pPr>
      <w:r>
        <w:rPr>
          <w:rFonts w:hint="eastAsia" w:ascii="宋体" w:hAnsi="宋体" w:cs="宋体"/>
          <w:b/>
          <w:color w:val="auto"/>
          <w:sz w:val="30"/>
          <w:szCs w:val="30"/>
          <w:highlight w:val="none"/>
          <w:lang w:eastAsia="zh-CN"/>
        </w:rPr>
        <w:t>中标服务费</w:t>
      </w:r>
      <w:r>
        <w:rPr>
          <w:rFonts w:hint="eastAsia" w:ascii="宋体" w:hAnsi="宋体" w:cs="宋体"/>
          <w:b/>
          <w:color w:val="auto"/>
          <w:sz w:val="30"/>
          <w:szCs w:val="30"/>
          <w:highlight w:val="none"/>
        </w:rPr>
        <w:t>承诺书</w:t>
      </w:r>
    </w:p>
    <w:p w14:paraId="3AD44A4F">
      <w:pPr>
        <w:widowControl/>
        <w:spacing w:line="360" w:lineRule="auto"/>
        <w:jc w:val="left"/>
        <w:rPr>
          <w:rFonts w:ascii="宋体" w:hAnsi="宋体" w:cs="宋体"/>
          <w:b/>
          <w:color w:val="auto"/>
          <w:sz w:val="28"/>
          <w:szCs w:val="28"/>
          <w:highlight w:val="none"/>
        </w:rPr>
      </w:pPr>
    </w:p>
    <w:p w14:paraId="4DD5BF1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u w:val="single"/>
        </w:rPr>
        <w:t>致：东阳耀辉工程咨询有限公司</w:t>
      </w:r>
    </w:p>
    <w:p w14:paraId="04092E70">
      <w:pPr>
        <w:widowControl/>
        <w:spacing w:line="360" w:lineRule="auto"/>
        <w:ind w:firstLine="600" w:firstLineChars="250"/>
        <w:jc w:val="left"/>
        <w:rPr>
          <w:rFonts w:ascii="宋体" w:hAnsi="宋体" w:cs="宋体"/>
          <w:color w:val="auto"/>
          <w:kern w:val="0"/>
          <w:sz w:val="24"/>
          <w:highlight w:val="none"/>
        </w:rPr>
      </w:pPr>
    </w:p>
    <w:p w14:paraId="0FB94A56">
      <w:pPr>
        <w:widowControl/>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若我公司中标时，愿按招标文件规定的收费标准向东阳耀辉工程咨询有限公司支付中标服务费。</w:t>
      </w:r>
    </w:p>
    <w:p w14:paraId="3367D5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我方如未在规定时间交纳时，愿意凭贵方开出的违约通知，由采购人在本次招标项目的服务款中200%直接扣缴。</w:t>
      </w:r>
    </w:p>
    <w:p w14:paraId="18A12F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38E6ADDE">
      <w:pPr>
        <w:spacing w:line="360" w:lineRule="auto"/>
        <w:rPr>
          <w:rFonts w:ascii="宋体" w:hAnsi="宋体" w:cs="宋体"/>
          <w:color w:val="auto"/>
          <w:sz w:val="24"/>
          <w:highlight w:val="none"/>
        </w:rPr>
      </w:pPr>
    </w:p>
    <w:p w14:paraId="6E8A62CD">
      <w:pPr>
        <w:spacing w:line="360" w:lineRule="auto"/>
        <w:rPr>
          <w:rFonts w:ascii="宋体" w:hAnsi="宋体" w:cs="宋体"/>
          <w:color w:val="auto"/>
          <w:sz w:val="24"/>
          <w:highlight w:val="none"/>
        </w:rPr>
      </w:pPr>
    </w:p>
    <w:p w14:paraId="76D680AE">
      <w:pPr>
        <w:spacing w:line="360" w:lineRule="auto"/>
        <w:rPr>
          <w:rFonts w:ascii="宋体" w:hAnsi="宋体" w:cs="宋体"/>
          <w:color w:val="auto"/>
          <w:sz w:val="24"/>
          <w:highlight w:val="none"/>
        </w:rPr>
      </w:pPr>
    </w:p>
    <w:p w14:paraId="5740839F">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66473E27">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560A6980">
      <w:pPr>
        <w:snapToGrid w:val="0"/>
        <w:spacing w:line="360" w:lineRule="auto"/>
        <w:jc w:val="left"/>
        <w:rPr>
          <w:rFonts w:ascii="宋体" w:hAnsi="宋体"/>
          <w:color w:val="auto"/>
          <w:spacing w:val="20"/>
          <w:sz w:val="24"/>
          <w:highlight w:val="none"/>
          <w:u w:val="single"/>
        </w:rPr>
      </w:pPr>
    </w:p>
    <w:p w14:paraId="2855C948">
      <w:pPr>
        <w:snapToGrid w:val="0"/>
        <w:spacing w:line="360" w:lineRule="auto"/>
        <w:jc w:val="left"/>
        <w:rPr>
          <w:rFonts w:ascii="宋体" w:hAnsi="宋体"/>
          <w:color w:val="auto"/>
          <w:spacing w:val="20"/>
          <w:sz w:val="24"/>
          <w:highlight w:val="none"/>
          <w:u w:val="single"/>
        </w:rPr>
      </w:pPr>
    </w:p>
    <w:p w14:paraId="4F5C39EB">
      <w:pPr>
        <w:snapToGrid w:val="0"/>
        <w:spacing w:line="360" w:lineRule="auto"/>
        <w:jc w:val="left"/>
        <w:rPr>
          <w:rFonts w:ascii="宋体" w:hAnsi="宋体"/>
          <w:color w:val="auto"/>
          <w:spacing w:val="20"/>
          <w:sz w:val="24"/>
          <w:highlight w:val="none"/>
          <w:u w:val="single"/>
        </w:rPr>
      </w:pPr>
    </w:p>
    <w:p w14:paraId="591D6DD1">
      <w:pPr>
        <w:snapToGrid w:val="0"/>
        <w:spacing w:line="360" w:lineRule="auto"/>
        <w:jc w:val="left"/>
        <w:rPr>
          <w:rFonts w:ascii="宋体" w:hAnsi="宋体"/>
          <w:color w:val="auto"/>
          <w:spacing w:val="20"/>
          <w:sz w:val="24"/>
          <w:highlight w:val="none"/>
          <w:u w:val="single"/>
        </w:rPr>
      </w:pPr>
    </w:p>
    <w:p w14:paraId="58436C3F">
      <w:pPr>
        <w:snapToGrid w:val="0"/>
        <w:spacing w:line="360" w:lineRule="auto"/>
        <w:jc w:val="left"/>
        <w:rPr>
          <w:rFonts w:ascii="宋体" w:hAnsi="宋体"/>
          <w:color w:val="auto"/>
          <w:spacing w:val="20"/>
          <w:sz w:val="24"/>
          <w:highlight w:val="none"/>
          <w:u w:val="single"/>
        </w:rPr>
      </w:pPr>
    </w:p>
    <w:p w14:paraId="55E40E6E">
      <w:pPr>
        <w:snapToGrid w:val="0"/>
        <w:spacing w:line="360" w:lineRule="auto"/>
        <w:jc w:val="left"/>
        <w:rPr>
          <w:rFonts w:ascii="宋体" w:hAnsi="宋体"/>
          <w:color w:val="auto"/>
          <w:spacing w:val="20"/>
          <w:sz w:val="24"/>
          <w:highlight w:val="none"/>
          <w:u w:val="single"/>
        </w:rPr>
      </w:pPr>
    </w:p>
    <w:p w14:paraId="18DD641C">
      <w:pPr>
        <w:snapToGrid w:val="0"/>
        <w:spacing w:line="360" w:lineRule="auto"/>
        <w:jc w:val="left"/>
        <w:rPr>
          <w:rFonts w:ascii="宋体" w:hAnsi="宋体"/>
          <w:color w:val="auto"/>
          <w:spacing w:val="20"/>
          <w:sz w:val="24"/>
          <w:highlight w:val="none"/>
          <w:u w:val="single"/>
        </w:rPr>
      </w:pPr>
    </w:p>
    <w:p w14:paraId="6144504E">
      <w:pPr>
        <w:snapToGrid w:val="0"/>
        <w:spacing w:line="360" w:lineRule="auto"/>
        <w:jc w:val="left"/>
        <w:rPr>
          <w:rFonts w:ascii="宋体" w:hAnsi="宋体"/>
          <w:color w:val="auto"/>
          <w:spacing w:val="20"/>
          <w:sz w:val="24"/>
          <w:highlight w:val="none"/>
          <w:u w:val="single"/>
        </w:rPr>
      </w:pPr>
    </w:p>
    <w:p w14:paraId="7E7496D0">
      <w:pPr>
        <w:snapToGrid w:val="0"/>
        <w:spacing w:line="360" w:lineRule="auto"/>
        <w:jc w:val="left"/>
        <w:rPr>
          <w:rFonts w:ascii="宋体" w:hAnsi="宋体"/>
          <w:color w:val="auto"/>
          <w:spacing w:val="20"/>
          <w:sz w:val="24"/>
          <w:highlight w:val="none"/>
          <w:u w:val="single"/>
        </w:rPr>
      </w:pPr>
    </w:p>
    <w:p w14:paraId="76970603">
      <w:pPr>
        <w:snapToGrid w:val="0"/>
        <w:spacing w:line="360" w:lineRule="auto"/>
        <w:jc w:val="left"/>
        <w:rPr>
          <w:rFonts w:ascii="宋体" w:hAnsi="宋体"/>
          <w:color w:val="auto"/>
          <w:spacing w:val="20"/>
          <w:sz w:val="24"/>
          <w:highlight w:val="none"/>
          <w:u w:val="single"/>
        </w:rPr>
      </w:pPr>
    </w:p>
    <w:p w14:paraId="6F65A2AD">
      <w:pPr>
        <w:snapToGrid w:val="0"/>
        <w:spacing w:line="360" w:lineRule="auto"/>
        <w:jc w:val="left"/>
        <w:rPr>
          <w:rFonts w:ascii="宋体" w:hAnsi="宋体"/>
          <w:color w:val="auto"/>
          <w:spacing w:val="20"/>
          <w:sz w:val="24"/>
          <w:highlight w:val="none"/>
          <w:u w:val="single"/>
        </w:rPr>
      </w:pPr>
    </w:p>
    <w:p w14:paraId="3E60B9A7">
      <w:pPr>
        <w:snapToGrid w:val="0"/>
        <w:spacing w:line="360" w:lineRule="auto"/>
        <w:jc w:val="left"/>
        <w:rPr>
          <w:rFonts w:ascii="宋体" w:hAnsi="宋体"/>
          <w:color w:val="auto"/>
          <w:spacing w:val="20"/>
          <w:sz w:val="24"/>
          <w:highlight w:val="none"/>
          <w:u w:val="single"/>
        </w:rPr>
      </w:pPr>
    </w:p>
    <w:p w14:paraId="50DC7C44">
      <w:pPr>
        <w:snapToGrid w:val="0"/>
        <w:spacing w:line="360" w:lineRule="auto"/>
        <w:jc w:val="left"/>
        <w:rPr>
          <w:rFonts w:ascii="宋体" w:hAnsi="宋体"/>
          <w:color w:val="auto"/>
          <w:spacing w:val="20"/>
          <w:sz w:val="24"/>
          <w:highlight w:val="none"/>
          <w:u w:val="single"/>
        </w:rPr>
      </w:pPr>
    </w:p>
    <w:p w14:paraId="7ED23108">
      <w:pPr>
        <w:snapToGrid w:val="0"/>
        <w:spacing w:line="360" w:lineRule="auto"/>
        <w:jc w:val="left"/>
        <w:rPr>
          <w:rFonts w:ascii="宋体" w:hAnsi="宋体"/>
          <w:color w:val="auto"/>
          <w:spacing w:val="20"/>
          <w:sz w:val="24"/>
          <w:highlight w:val="none"/>
          <w:u w:val="single"/>
        </w:rPr>
      </w:pPr>
    </w:p>
    <w:p w14:paraId="11CB4422">
      <w:pPr>
        <w:snapToGrid w:val="0"/>
        <w:spacing w:before="50" w:after="120" w:afterLines="50"/>
        <w:rPr>
          <w:rFonts w:hint="eastAsia" w:ascii="宋体" w:hAnsi="宋体" w:eastAsia="宋体" w:cs="宋体"/>
          <w:b/>
          <w:color w:val="auto"/>
          <w:sz w:val="24"/>
          <w:highlight w:val="none"/>
        </w:rPr>
      </w:pPr>
    </w:p>
    <w:p w14:paraId="081966CC">
      <w:pPr>
        <w:snapToGrid w:val="0"/>
        <w:spacing w:before="50" w:after="120" w:afterLine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技术响应表格式:</w:t>
      </w:r>
    </w:p>
    <w:p w14:paraId="3BD25C07">
      <w:pPr>
        <w:snapToGrid w:val="0"/>
        <w:spacing w:before="50" w:after="120" w:afterLines="50"/>
        <w:jc w:val="left"/>
        <w:rPr>
          <w:rFonts w:hint="eastAsia" w:ascii="宋体" w:hAnsi="宋体" w:eastAsia="宋体" w:cs="宋体"/>
          <w:b/>
          <w:color w:val="auto"/>
          <w:sz w:val="24"/>
          <w:highlight w:val="none"/>
        </w:rPr>
      </w:pPr>
    </w:p>
    <w:p w14:paraId="363FC5E3">
      <w:pPr>
        <w:snapToGrid w:val="0"/>
        <w:spacing w:before="50" w:after="120" w:afterLines="50"/>
        <w:jc w:val="center"/>
        <w:rPr>
          <w:rFonts w:hint="eastAsia" w:ascii="宋体" w:hAnsi="宋体" w:eastAsia="宋体" w:cs="宋体"/>
          <w:b/>
          <w:color w:val="auto"/>
          <w:sz w:val="24"/>
          <w:highlight w:val="none"/>
        </w:rPr>
      </w:pPr>
    </w:p>
    <w:p w14:paraId="2D7EF190">
      <w:pPr>
        <w:snapToGrid w:val="0"/>
        <w:spacing w:before="50" w:after="120" w:afterLines="5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技术响应表格式</w:t>
      </w:r>
    </w:p>
    <w:tbl>
      <w:tblPr>
        <w:tblStyle w:val="25"/>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55"/>
        <w:gridCol w:w="1957"/>
        <w:gridCol w:w="1620"/>
        <w:gridCol w:w="2328"/>
      </w:tblGrid>
      <w:tr w14:paraId="6AE6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8" w:type="dxa"/>
            <w:tcBorders>
              <w:bottom w:val="single" w:color="auto" w:sz="4" w:space="0"/>
            </w:tcBorders>
            <w:noWrap w:val="0"/>
            <w:vAlign w:val="center"/>
          </w:tcPr>
          <w:p w14:paraId="15BAF38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55" w:type="dxa"/>
            <w:tcBorders>
              <w:bottom w:val="single" w:color="auto" w:sz="4" w:space="0"/>
            </w:tcBorders>
            <w:noWrap w:val="0"/>
            <w:vAlign w:val="center"/>
          </w:tcPr>
          <w:p w14:paraId="7E6E94D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957" w:type="dxa"/>
            <w:tcBorders>
              <w:bottom w:val="single" w:color="auto" w:sz="4" w:space="0"/>
            </w:tcBorders>
            <w:noWrap w:val="0"/>
            <w:vAlign w:val="center"/>
          </w:tcPr>
          <w:p w14:paraId="47BDBF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50BFF63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1620" w:type="dxa"/>
            <w:tcBorders>
              <w:bottom w:val="single" w:color="auto" w:sz="4" w:space="0"/>
            </w:tcBorders>
            <w:noWrap w:val="0"/>
            <w:vAlign w:val="center"/>
          </w:tcPr>
          <w:p w14:paraId="49F16C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07CFEE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328" w:type="dxa"/>
            <w:tcBorders>
              <w:bottom w:val="single" w:color="auto" w:sz="4" w:space="0"/>
            </w:tcBorders>
            <w:noWrap w:val="0"/>
            <w:vAlign w:val="center"/>
          </w:tcPr>
          <w:p w14:paraId="1372DE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44EF60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（注明正偏离、负偏离或无偏离）</w:t>
            </w:r>
          </w:p>
        </w:tc>
      </w:tr>
      <w:tr w14:paraId="22F2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089D778B">
            <w:pPr>
              <w:spacing w:line="360" w:lineRule="auto"/>
              <w:jc w:val="center"/>
              <w:rPr>
                <w:rFonts w:hint="eastAsia" w:ascii="宋体" w:hAnsi="宋体" w:eastAsia="宋体" w:cs="宋体"/>
                <w:color w:val="auto"/>
                <w:sz w:val="24"/>
                <w:highlight w:val="none"/>
              </w:rPr>
            </w:pPr>
          </w:p>
        </w:tc>
        <w:tc>
          <w:tcPr>
            <w:tcW w:w="1855" w:type="dxa"/>
            <w:noWrap w:val="0"/>
            <w:vAlign w:val="top"/>
          </w:tcPr>
          <w:p w14:paraId="75ADDB95">
            <w:pPr>
              <w:spacing w:line="360" w:lineRule="auto"/>
              <w:rPr>
                <w:rFonts w:hint="eastAsia" w:ascii="宋体" w:hAnsi="宋体" w:eastAsia="宋体" w:cs="宋体"/>
                <w:color w:val="auto"/>
                <w:sz w:val="24"/>
                <w:highlight w:val="none"/>
              </w:rPr>
            </w:pPr>
          </w:p>
        </w:tc>
        <w:tc>
          <w:tcPr>
            <w:tcW w:w="1957" w:type="dxa"/>
            <w:noWrap w:val="0"/>
            <w:vAlign w:val="top"/>
          </w:tcPr>
          <w:p w14:paraId="398A49D6">
            <w:pPr>
              <w:spacing w:line="360" w:lineRule="auto"/>
              <w:rPr>
                <w:rFonts w:hint="eastAsia" w:ascii="宋体" w:hAnsi="宋体" w:eastAsia="宋体" w:cs="宋体"/>
                <w:color w:val="auto"/>
                <w:sz w:val="24"/>
                <w:highlight w:val="none"/>
              </w:rPr>
            </w:pPr>
          </w:p>
        </w:tc>
        <w:tc>
          <w:tcPr>
            <w:tcW w:w="1620" w:type="dxa"/>
            <w:noWrap w:val="0"/>
            <w:vAlign w:val="top"/>
          </w:tcPr>
          <w:p w14:paraId="74D69DA1">
            <w:pPr>
              <w:spacing w:line="360" w:lineRule="auto"/>
              <w:rPr>
                <w:rFonts w:hint="eastAsia" w:ascii="宋体" w:hAnsi="宋体" w:eastAsia="宋体" w:cs="宋体"/>
                <w:color w:val="auto"/>
                <w:sz w:val="24"/>
                <w:highlight w:val="none"/>
              </w:rPr>
            </w:pPr>
          </w:p>
        </w:tc>
        <w:tc>
          <w:tcPr>
            <w:tcW w:w="2328" w:type="dxa"/>
            <w:noWrap w:val="0"/>
            <w:vAlign w:val="top"/>
          </w:tcPr>
          <w:p w14:paraId="35E886C3">
            <w:pPr>
              <w:spacing w:line="360" w:lineRule="auto"/>
              <w:rPr>
                <w:rFonts w:hint="eastAsia" w:ascii="宋体" w:hAnsi="宋体" w:eastAsia="宋体" w:cs="宋体"/>
                <w:color w:val="auto"/>
                <w:sz w:val="24"/>
                <w:highlight w:val="none"/>
              </w:rPr>
            </w:pPr>
          </w:p>
        </w:tc>
      </w:tr>
      <w:tr w14:paraId="3210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0FE226DB">
            <w:pPr>
              <w:spacing w:line="360" w:lineRule="auto"/>
              <w:rPr>
                <w:rFonts w:hint="eastAsia" w:ascii="宋体" w:hAnsi="宋体" w:eastAsia="宋体" w:cs="宋体"/>
                <w:color w:val="auto"/>
                <w:sz w:val="24"/>
                <w:highlight w:val="none"/>
              </w:rPr>
            </w:pPr>
          </w:p>
        </w:tc>
        <w:tc>
          <w:tcPr>
            <w:tcW w:w="1855" w:type="dxa"/>
            <w:noWrap w:val="0"/>
            <w:vAlign w:val="top"/>
          </w:tcPr>
          <w:p w14:paraId="53D19700">
            <w:pPr>
              <w:spacing w:line="360" w:lineRule="auto"/>
              <w:rPr>
                <w:rFonts w:hint="eastAsia" w:ascii="宋体" w:hAnsi="宋体" w:eastAsia="宋体" w:cs="宋体"/>
                <w:color w:val="auto"/>
                <w:sz w:val="24"/>
                <w:highlight w:val="none"/>
              </w:rPr>
            </w:pPr>
          </w:p>
        </w:tc>
        <w:tc>
          <w:tcPr>
            <w:tcW w:w="1957" w:type="dxa"/>
            <w:noWrap w:val="0"/>
            <w:vAlign w:val="top"/>
          </w:tcPr>
          <w:p w14:paraId="4C215324">
            <w:pPr>
              <w:spacing w:line="360" w:lineRule="auto"/>
              <w:rPr>
                <w:rFonts w:hint="eastAsia" w:ascii="宋体" w:hAnsi="宋体" w:eastAsia="宋体" w:cs="宋体"/>
                <w:color w:val="auto"/>
                <w:sz w:val="24"/>
                <w:highlight w:val="none"/>
              </w:rPr>
            </w:pPr>
          </w:p>
        </w:tc>
        <w:tc>
          <w:tcPr>
            <w:tcW w:w="1620" w:type="dxa"/>
            <w:noWrap w:val="0"/>
            <w:vAlign w:val="top"/>
          </w:tcPr>
          <w:p w14:paraId="144DA92A">
            <w:pPr>
              <w:spacing w:line="360" w:lineRule="auto"/>
              <w:rPr>
                <w:rFonts w:hint="eastAsia" w:ascii="宋体" w:hAnsi="宋体" w:eastAsia="宋体" w:cs="宋体"/>
                <w:color w:val="auto"/>
                <w:sz w:val="24"/>
                <w:highlight w:val="none"/>
              </w:rPr>
            </w:pPr>
          </w:p>
        </w:tc>
        <w:tc>
          <w:tcPr>
            <w:tcW w:w="2328" w:type="dxa"/>
            <w:noWrap w:val="0"/>
            <w:vAlign w:val="top"/>
          </w:tcPr>
          <w:p w14:paraId="60433A91">
            <w:pPr>
              <w:spacing w:line="360" w:lineRule="auto"/>
              <w:rPr>
                <w:rFonts w:hint="eastAsia" w:ascii="宋体" w:hAnsi="宋体" w:eastAsia="宋体" w:cs="宋体"/>
                <w:color w:val="auto"/>
                <w:sz w:val="24"/>
                <w:highlight w:val="none"/>
              </w:rPr>
            </w:pPr>
          </w:p>
        </w:tc>
      </w:tr>
      <w:tr w14:paraId="5DD7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75C68455">
            <w:pPr>
              <w:spacing w:line="360" w:lineRule="auto"/>
              <w:rPr>
                <w:rFonts w:hint="eastAsia" w:ascii="宋体" w:hAnsi="宋体" w:eastAsia="宋体" w:cs="宋体"/>
                <w:color w:val="auto"/>
                <w:sz w:val="24"/>
                <w:highlight w:val="none"/>
              </w:rPr>
            </w:pPr>
          </w:p>
        </w:tc>
        <w:tc>
          <w:tcPr>
            <w:tcW w:w="1855" w:type="dxa"/>
            <w:noWrap w:val="0"/>
            <w:vAlign w:val="top"/>
          </w:tcPr>
          <w:p w14:paraId="6166C98E">
            <w:pPr>
              <w:spacing w:line="360" w:lineRule="auto"/>
              <w:rPr>
                <w:rFonts w:hint="eastAsia" w:ascii="宋体" w:hAnsi="宋体" w:eastAsia="宋体" w:cs="宋体"/>
                <w:color w:val="auto"/>
                <w:sz w:val="24"/>
                <w:highlight w:val="none"/>
              </w:rPr>
            </w:pPr>
          </w:p>
        </w:tc>
        <w:tc>
          <w:tcPr>
            <w:tcW w:w="1957" w:type="dxa"/>
            <w:noWrap w:val="0"/>
            <w:vAlign w:val="top"/>
          </w:tcPr>
          <w:p w14:paraId="3371DA7B">
            <w:pPr>
              <w:spacing w:line="360" w:lineRule="auto"/>
              <w:rPr>
                <w:rFonts w:hint="eastAsia" w:ascii="宋体" w:hAnsi="宋体" w:eastAsia="宋体" w:cs="宋体"/>
                <w:color w:val="auto"/>
                <w:sz w:val="24"/>
                <w:highlight w:val="none"/>
              </w:rPr>
            </w:pPr>
          </w:p>
        </w:tc>
        <w:tc>
          <w:tcPr>
            <w:tcW w:w="1620" w:type="dxa"/>
            <w:noWrap w:val="0"/>
            <w:vAlign w:val="top"/>
          </w:tcPr>
          <w:p w14:paraId="2B773528">
            <w:pPr>
              <w:spacing w:line="360" w:lineRule="auto"/>
              <w:rPr>
                <w:rFonts w:hint="eastAsia" w:ascii="宋体" w:hAnsi="宋体" w:eastAsia="宋体" w:cs="宋体"/>
                <w:color w:val="auto"/>
                <w:sz w:val="24"/>
                <w:highlight w:val="none"/>
              </w:rPr>
            </w:pPr>
          </w:p>
        </w:tc>
        <w:tc>
          <w:tcPr>
            <w:tcW w:w="2328" w:type="dxa"/>
            <w:noWrap w:val="0"/>
            <w:vAlign w:val="top"/>
          </w:tcPr>
          <w:p w14:paraId="489DB721">
            <w:pPr>
              <w:spacing w:line="360" w:lineRule="auto"/>
              <w:rPr>
                <w:rFonts w:hint="eastAsia" w:ascii="宋体" w:hAnsi="宋体" w:eastAsia="宋体" w:cs="宋体"/>
                <w:color w:val="auto"/>
                <w:sz w:val="24"/>
                <w:highlight w:val="none"/>
              </w:rPr>
            </w:pPr>
          </w:p>
        </w:tc>
      </w:tr>
      <w:tr w14:paraId="0C32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78" w:type="dxa"/>
            <w:noWrap w:val="0"/>
            <w:vAlign w:val="top"/>
          </w:tcPr>
          <w:p w14:paraId="3CAD8E04">
            <w:pPr>
              <w:spacing w:line="360" w:lineRule="auto"/>
              <w:rPr>
                <w:rFonts w:hint="eastAsia" w:ascii="宋体" w:hAnsi="宋体" w:eastAsia="宋体" w:cs="宋体"/>
                <w:color w:val="auto"/>
                <w:sz w:val="24"/>
                <w:highlight w:val="none"/>
              </w:rPr>
            </w:pPr>
          </w:p>
        </w:tc>
        <w:tc>
          <w:tcPr>
            <w:tcW w:w="1855" w:type="dxa"/>
            <w:noWrap w:val="0"/>
            <w:vAlign w:val="top"/>
          </w:tcPr>
          <w:p w14:paraId="1B8515AD">
            <w:pPr>
              <w:spacing w:line="360" w:lineRule="auto"/>
              <w:rPr>
                <w:rFonts w:hint="eastAsia" w:ascii="宋体" w:hAnsi="宋体" w:eastAsia="宋体" w:cs="宋体"/>
                <w:color w:val="auto"/>
                <w:sz w:val="24"/>
                <w:highlight w:val="none"/>
              </w:rPr>
            </w:pPr>
          </w:p>
        </w:tc>
        <w:tc>
          <w:tcPr>
            <w:tcW w:w="1957" w:type="dxa"/>
            <w:noWrap w:val="0"/>
            <w:vAlign w:val="top"/>
          </w:tcPr>
          <w:p w14:paraId="1267B9DC">
            <w:pPr>
              <w:spacing w:line="360" w:lineRule="auto"/>
              <w:rPr>
                <w:rFonts w:hint="eastAsia" w:ascii="宋体" w:hAnsi="宋体" w:eastAsia="宋体" w:cs="宋体"/>
                <w:color w:val="auto"/>
                <w:sz w:val="24"/>
                <w:highlight w:val="none"/>
              </w:rPr>
            </w:pPr>
          </w:p>
        </w:tc>
        <w:tc>
          <w:tcPr>
            <w:tcW w:w="1620" w:type="dxa"/>
            <w:noWrap w:val="0"/>
            <w:vAlign w:val="top"/>
          </w:tcPr>
          <w:p w14:paraId="5BBD2BF1">
            <w:pPr>
              <w:spacing w:line="360" w:lineRule="auto"/>
              <w:rPr>
                <w:rFonts w:hint="eastAsia" w:ascii="宋体" w:hAnsi="宋体" w:eastAsia="宋体" w:cs="宋体"/>
                <w:color w:val="auto"/>
                <w:sz w:val="24"/>
                <w:highlight w:val="none"/>
              </w:rPr>
            </w:pPr>
          </w:p>
        </w:tc>
        <w:tc>
          <w:tcPr>
            <w:tcW w:w="2328" w:type="dxa"/>
            <w:noWrap w:val="0"/>
            <w:vAlign w:val="top"/>
          </w:tcPr>
          <w:p w14:paraId="677BD1AD">
            <w:pPr>
              <w:spacing w:line="360" w:lineRule="auto"/>
              <w:rPr>
                <w:rFonts w:hint="eastAsia" w:ascii="宋体" w:hAnsi="宋体" w:eastAsia="宋体" w:cs="宋体"/>
                <w:color w:val="auto"/>
                <w:sz w:val="24"/>
                <w:highlight w:val="none"/>
              </w:rPr>
            </w:pPr>
          </w:p>
        </w:tc>
      </w:tr>
      <w:tr w14:paraId="0A0F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28F11211">
            <w:pPr>
              <w:spacing w:line="360" w:lineRule="auto"/>
              <w:rPr>
                <w:rFonts w:hint="eastAsia" w:ascii="宋体" w:hAnsi="宋体" w:eastAsia="宋体" w:cs="宋体"/>
                <w:color w:val="auto"/>
                <w:sz w:val="24"/>
                <w:highlight w:val="none"/>
              </w:rPr>
            </w:pPr>
          </w:p>
        </w:tc>
        <w:tc>
          <w:tcPr>
            <w:tcW w:w="1855" w:type="dxa"/>
            <w:noWrap w:val="0"/>
            <w:vAlign w:val="top"/>
          </w:tcPr>
          <w:p w14:paraId="626ED6A7">
            <w:pPr>
              <w:spacing w:line="360" w:lineRule="auto"/>
              <w:rPr>
                <w:rFonts w:hint="eastAsia" w:ascii="宋体" w:hAnsi="宋体" w:eastAsia="宋体" w:cs="宋体"/>
                <w:color w:val="auto"/>
                <w:sz w:val="24"/>
                <w:highlight w:val="none"/>
              </w:rPr>
            </w:pPr>
          </w:p>
        </w:tc>
        <w:tc>
          <w:tcPr>
            <w:tcW w:w="1957" w:type="dxa"/>
            <w:noWrap w:val="0"/>
            <w:vAlign w:val="top"/>
          </w:tcPr>
          <w:p w14:paraId="3B59298B">
            <w:pPr>
              <w:spacing w:line="360" w:lineRule="auto"/>
              <w:rPr>
                <w:rFonts w:hint="eastAsia" w:ascii="宋体" w:hAnsi="宋体" w:eastAsia="宋体" w:cs="宋体"/>
                <w:color w:val="auto"/>
                <w:sz w:val="24"/>
                <w:highlight w:val="none"/>
              </w:rPr>
            </w:pPr>
          </w:p>
        </w:tc>
        <w:tc>
          <w:tcPr>
            <w:tcW w:w="1620" w:type="dxa"/>
            <w:noWrap w:val="0"/>
            <w:vAlign w:val="top"/>
          </w:tcPr>
          <w:p w14:paraId="1312008A">
            <w:pPr>
              <w:spacing w:line="360" w:lineRule="auto"/>
              <w:rPr>
                <w:rFonts w:hint="eastAsia" w:ascii="宋体" w:hAnsi="宋体" w:eastAsia="宋体" w:cs="宋体"/>
                <w:color w:val="auto"/>
                <w:sz w:val="24"/>
                <w:highlight w:val="none"/>
              </w:rPr>
            </w:pPr>
          </w:p>
        </w:tc>
        <w:tc>
          <w:tcPr>
            <w:tcW w:w="2328" w:type="dxa"/>
            <w:noWrap w:val="0"/>
            <w:vAlign w:val="top"/>
          </w:tcPr>
          <w:p w14:paraId="297A73DE">
            <w:pPr>
              <w:spacing w:line="360" w:lineRule="auto"/>
              <w:rPr>
                <w:rFonts w:hint="eastAsia" w:ascii="宋体" w:hAnsi="宋体" w:eastAsia="宋体" w:cs="宋体"/>
                <w:color w:val="auto"/>
                <w:sz w:val="24"/>
                <w:highlight w:val="none"/>
              </w:rPr>
            </w:pPr>
          </w:p>
        </w:tc>
      </w:tr>
      <w:tr w14:paraId="1556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7A7C3172">
            <w:pPr>
              <w:spacing w:line="360" w:lineRule="auto"/>
              <w:rPr>
                <w:rFonts w:hint="eastAsia" w:ascii="宋体" w:hAnsi="宋体" w:eastAsia="宋体" w:cs="宋体"/>
                <w:color w:val="auto"/>
                <w:sz w:val="24"/>
                <w:highlight w:val="none"/>
              </w:rPr>
            </w:pPr>
          </w:p>
        </w:tc>
        <w:tc>
          <w:tcPr>
            <w:tcW w:w="1855" w:type="dxa"/>
            <w:noWrap w:val="0"/>
            <w:vAlign w:val="top"/>
          </w:tcPr>
          <w:p w14:paraId="442C7970">
            <w:pPr>
              <w:spacing w:line="360" w:lineRule="auto"/>
              <w:rPr>
                <w:rFonts w:hint="eastAsia" w:ascii="宋体" w:hAnsi="宋体" w:eastAsia="宋体" w:cs="宋体"/>
                <w:color w:val="auto"/>
                <w:sz w:val="24"/>
                <w:highlight w:val="none"/>
              </w:rPr>
            </w:pPr>
          </w:p>
        </w:tc>
        <w:tc>
          <w:tcPr>
            <w:tcW w:w="1957" w:type="dxa"/>
            <w:noWrap w:val="0"/>
            <w:vAlign w:val="top"/>
          </w:tcPr>
          <w:p w14:paraId="26768A99">
            <w:pPr>
              <w:spacing w:line="360" w:lineRule="auto"/>
              <w:rPr>
                <w:rFonts w:hint="eastAsia" w:ascii="宋体" w:hAnsi="宋体" w:eastAsia="宋体" w:cs="宋体"/>
                <w:color w:val="auto"/>
                <w:sz w:val="24"/>
                <w:highlight w:val="none"/>
              </w:rPr>
            </w:pPr>
          </w:p>
        </w:tc>
        <w:tc>
          <w:tcPr>
            <w:tcW w:w="1620" w:type="dxa"/>
            <w:noWrap w:val="0"/>
            <w:vAlign w:val="top"/>
          </w:tcPr>
          <w:p w14:paraId="6EF4B61B">
            <w:pPr>
              <w:spacing w:line="360" w:lineRule="auto"/>
              <w:rPr>
                <w:rFonts w:hint="eastAsia" w:ascii="宋体" w:hAnsi="宋体" w:eastAsia="宋体" w:cs="宋体"/>
                <w:color w:val="auto"/>
                <w:sz w:val="24"/>
                <w:highlight w:val="none"/>
              </w:rPr>
            </w:pPr>
          </w:p>
        </w:tc>
        <w:tc>
          <w:tcPr>
            <w:tcW w:w="2328" w:type="dxa"/>
            <w:noWrap w:val="0"/>
            <w:vAlign w:val="top"/>
          </w:tcPr>
          <w:p w14:paraId="3BD34C17">
            <w:pPr>
              <w:spacing w:line="360" w:lineRule="auto"/>
              <w:rPr>
                <w:rFonts w:hint="eastAsia" w:ascii="宋体" w:hAnsi="宋体" w:eastAsia="宋体" w:cs="宋体"/>
                <w:color w:val="auto"/>
                <w:sz w:val="24"/>
                <w:highlight w:val="none"/>
              </w:rPr>
            </w:pPr>
          </w:p>
        </w:tc>
      </w:tr>
      <w:tr w14:paraId="71E6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4085F99F">
            <w:pPr>
              <w:spacing w:line="360" w:lineRule="auto"/>
              <w:rPr>
                <w:rFonts w:hint="eastAsia" w:ascii="宋体" w:hAnsi="宋体" w:eastAsia="宋体" w:cs="宋体"/>
                <w:color w:val="auto"/>
                <w:sz w:val="24"/>
                <w:highlight w:val="none"/>
              </w:rPr>
            </w:pPr>
          </w:p>
        </w:tc>
        <w:tc>
          <w:tcPr>
            <w:tcW w:w="1855" w:type="dxa"/>
            <w:noWrap w:val="0"/>
            <w:vAlign w:val="top"/>
          </w:tcPr>
          <w:p w14:paraId="759D544A">
            <w:pPr>
              <w:spacing w:line="360" w:lineRule="auto"/>
              <w:rPr>
                <w:rFonts w:hint="eastAsia" w:ascii="宋体" w:hAnsi="宋体" w:eastAsia="宋体" w:cs="宋体"/>
                <w:color w:val="auto"/>
                <w:sz w:val="24"/>
                <w:highlight w:val="none"/>
              </w:rPr>
            </w:pPr>
          </w:p>
        </w:tc>
        <w:tc>
          <w:tcPr>
            <w:tcW w:w="1957" w:type="dxa"/>
            <w:noWrap w:val="0"/>
            <w:vAlign w:val="top"/>
          </w:tcPr>
          <w:p w14:paraId="7745A5E1">
            <w:pPr>
              <w:spacing w:line="360" w:lineRule="auto"/>
              <w:rPr>
                <w:rFonts w:hint="eastAsia" w:ascii="宋体" w:hAnsi="宋体" w:eastAsia="宋体" w:cs="宋体"/>
                <w:color w:val="auto"/>
                <w:sz w:val="24"/>
                <w:highlight w:val="none"/>
              </w:rPr>
            </w:pPr>
          </w:p>
        </w:tc>
        <w:tc>
          <w:tcPr>
            <w:tcW w:w="1620" w:type="dxa"/>
            <w:noWrap w:val="0"/>
            <w:vAlign w:val="top"/>
          </w:tcPr>
          <w:p w14:paraId="33C5DAB6">
            <w:pPr>
              <w:spacing w:line="360" w:lineRule="auto"/>
              <w:rPr>
                <w:rFonts w:hint="eastAsia" w:ascii="宋体" w:hAnsi="宋体" w:eastAsia="宋体" w:cs="宋体"/>
                <w:color w:val="auto"/>
                <w:sz w:val="24"/>
                <w:highlight w:val="none"/>
              </w:rPr>
            </w:pPr>
          </w:p>
        </w:tc>
        <w:tc>
          <w:tcPr>
            <w:tcW w:w="2328" w:type="dxa"/>
            <w:noWrap w:val="0"/>
            <w:vAlign w:val="top"/>
          </w:tcPr>
          <w:p w14:paraId="00985898">
            <w:pPr>
              <w:spacing w:line="360" w:lineRule="auto"/>
              <w:rPr>
                <w:rFonts w:hint="eastAsia" w:ascii="宋体" w:hAnsi="宋体" w:eastAsia="宋体" w:cs="宋体"/>
                <w:color w:val="auto"/>
                <w:sz w:val="24"/>
                <w:highlight w:val="none"/>
              </w:rPr>
            </w:pPr>
          </w:p>
        </w:tc>
      </w:tr>
      <w:tr w14:paraId="2FCA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5FF0236D">
            <w:pPr>
              <w:spacing w:line="360" w:lineRule="auto"/>
              <w:rPr>
                <w:rFonts w:hint="eastAsia" w:ascii="宋体" w:hAnsi="宋体" w:eastAsia="宋体" w:cs="宋体"/>
                <w:color w:val="auto"/>
                <w:sz w:val="24"/>
                <w:highlight w:val="none"/>
              </w:rPr>
            </w:pPr>
          </w:p>
        </w:tc>
        <w:tc>
          <w:tcPr>
            <w:tcW w:w="1855" w:type="dxa"/>
            <w:noWrap w:val="0"/>
            <w:vAlign w:val="top"/>
          </w:tcPr>
          <w:p w14:paraId="13207B6F">
            <w:pPr>
              <w:spacing w:line="360" w:lineRule="auto"/>
              <w:rPr>
                <w:rFonts w:hint="eastAsia" w:ascii="宋体" w:hAnsi="宋体" w:eastAsia="宋体" w:cs="宋体"/>
                <w:color w:val="auto"/>
                <w:sz w:val="24"/>
                <w:highlight w:val="none"/>
              </w:rPr>
            </w:pPr>
          </w:p>
        </w:tc>
        <w:tc>
          <w:tcPr>
            <w:tcW w:w="1957" w:type="dxa"/>
            <w:noWrap w:val="0"/>
            <w:vAlign w:val="top"/>
          </w:tcPr>
          <w:p w14:paraId="4AD8266F">
            <w:pPr>
              <w:spacing w:line="360" w:lineRule="auto"/>
              <w:rPr>
                <w:rFonts w:hint="eastAsia" w:ascii="宋体" w:hAnsi="宋体" w:eastAsia="宋体" w:cs="宋体"/>
                <w:color w:val="auto"/>
                <w:sz w:val="24"/>
                <w:highlight w:val="none"/>
              </w:rPr>
            </w:pPr>
          </w:p>
        </w:tc>
        <w:tc>
          <w:tcPr>
            <w:tcW w:w="1620" w:type="dxa"/>
            <w:noWrap w:val="0"/>
            <w:vAlign w:val="top"/>
          </w:tcPr>
          <w:p w14:paraId="170B6A96">
            <w:pPr>
              <w:spacing w:line="360" w:lineRule="auto"/>
              <w:rPr>
                <w:rFonts w:hint="eastAsia" w:ascii="宋体" w:hAnsi="宋体" w:eastAsia="宋体" w:cs="宋体"/>
                <w:color w:val="auto"/>
                <w:sz w:val="24"/>
                <w:highlight w:val="none"/>
              </w:rPr>
            </w:pPr>
          </w:p>
        </w:tc>
        <w:tc>
          <w:tcPr>
            <w:tcW w:w="2328" w:type="dxa"/>
            <w:noWrap w:val="0"/>
            <w:vAlign w:val="top"/>
          </w:tcPr>
          <w:p w14:paraId="6AD2F815">
            <w:pPr>
              <w:spacing w:line="360" w:lineRule="auto"/>
              <w:rPr>
                <w:rFonts w:hint="eastAsia" w:ascii="宋体" w:hAnsi="宋体" w:eastAsia="宋体" w:cs="宋体"/>
                <w:color w:val="auto"/>
                <w:sz w:val="24"/>
                <w:highlight w:val="none"/>
              </w:rPr>
            </w:pPr>
          </w:p>
        </w:tc>
      </w:tr>
      <w:tr w14:paraId="27CD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2DCC20AB">
            <w:pPr>
              <w:spacing w:line="360" w:lineRule="auto"/>
              <w:rPr>
                <w:rFonts w:hint="eastAsia" w:ascii="宋体" w:hAnsi="宋体" w:eastAsia="宋体" w:cs="宋体"/>
                <w:color w:val="auto"/>
                <w:sz w:val="24"/>
                <w:highlight w:val="none"/>
              </w:rPr>
            </w:pPr>
          </w:p>
        </w:tc>
        <w:tc>
          <w:tcPr>
            <w:tcW w:w="1855" w:type="dxa"/>
            <w:noWrap w:val="0"/>
            <w:vAlign w:val="top"/>
          </w:tcPr>
          <w:p w14:paraId="14A7C4F8">
            <w:pPr>
              <w:spacing w:line="360" w:lineRule="auto"/>
              <w:rPr>
                <w:rFonts w:hint="eastAsia" w:ascii="宋体" w:hAnsi="宋体" w:eastAsia="宋体" w:cs="宋体"/>
                <w:color w:val="auto"/>
                <w:sz w:val="24"/>
                <w:highlight w:val="none"/>
              </w:rPr>
            </w:pPr>
          </w:p>
        </w:tc>
        <w:tc>
          <w:tcPr>
            <w:tcW w:w="1957" w:type="dxa"/>
            <w:noWrap w:val="0"/>
            <w:vAlign w:val="top"/>
          </w:tcPr>
          <w:p w14:paraId="29BA9D79">
            <w:pPr>
              <w:spacing w:line="360" w:lineRule="auto"/>
              <w:rPr>
                <w:rFonts w:hint="eastAsia" w:ascii="宋体" w:hAnsi="宋体" w:eastAsia="宋体" w:cs="宋体"/>
                <w:color w:val="auto"/>
                <w:sz w:val="24"/>
                <w:highlight w:val="none"/>
              </w:rPr>
            </w:pPr>
          </w:p>
        </w:tc>
        <w:tc>
          <w:tcPr>
            <w:tcW w:w="1620" w:type="dxa"/>
            <w:noWrap w:val="0"/>
            <w:vAlign w:val="top"/>
          </w:tcPr>
          <w:p w14:paraId="39DCC341">
            <w:pPr>
              <w:spacing w:line="360" w:lineRule="auto"/>
              <w:rPr>
                <w:rFonts w:hint="eastAsia" w:ascii="宋体" w:hAnsi="宋体" w:eastAsia="宋体" w:cs="宋体"/>
                <w:color w:val="auto"/>
                <w:sz w:val="24"/>
                <w:highlight w:val="none"/>
              </w:rPr>
            </w:pPr>
          </w:p>
        </w:tc>
        <w:tc>
          <w:tcPr>
            <w:tcW w:w="2328" w:type="dxa"/>
            <w:noWrap w:val="0"/>
            <w:vAlign w:val="top"/>
          </w:tcPr>
          <w:p w14:paraId="6E056C2C">
            <w:pPr>
              <w:spacing w:line="360" w:lineRule="auto"/>
              <w:rPr>
                <w:rFonts w:hint="eastAsia" w:ascii="宋体" w:hAnsi="宋体" w:eastAsia="宋体" w:cs="宋体"/>
                <w:color w:val="auto"/>
                <w:sz w:val="24"/>
                <w:highlight w:val="none"/>
              </w:rPr>
            </w:pPr>
          </w:p>
        </w:tc>
      </w:tr>
      <w:tr w14:paraId="12DD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35168439">
            <w:pPr>
              <w:spacing w:line="360" w:lineRule="auto"/>
              <w:rPr>
                <w:rFonts w:hint="eastAsia" w:ascii="宋体" w:hAnsi="宋体" w:eastAsia="宋体" w:cs="宋体"/>
                <w:color w:val="auto"/>
                <w:sz w:val="24"/>
                <w:highlight w:val="none"/>
              </w:rPr>
            </w:pPr>
          </w:p>
        </w:tc>
        <w:tc>
          <w:tcPr>
            <w:tcW w:w="1855" w:type="dxa"/>
            <w:noWrap w:val="0"/>
            <w:vAlign w:val="top"/>
          </w:tcPr>
          <w:p w14:paraId="58A2099F">
            <w:pPr>
              <w:spacing w:line="360" w:lineRule="auto"/>
              <w:rPr>
                <w:rFonts w:hint="eastAsia" w:ascii="宋体" w:hAnsi="宋体" w:eastAsia="宋体" w:cs="宋体"/>
                <w:color w:val="auto"/>
                <w:sz w:val="24"/>
                <w:highlight w:val="none"/>
              </w:rPr>
            </w:pPr>
          </w:p>
        </w:tc>
        <w:tc>
          <w:tcPr>
            <w:tcW w:w="1957" w:type="dxa"/>
            <w:noWrap w:val="0"/>
            <w:vAlign w:val="top"/>
          </w:tcPr>
          <w:p w14:paraId="6238CF74">
            <w:pPr>
              <w:spacing w:line="360" w:lineRule="auto"/>
              <w:rPr>
                <w:rFonts w:hint="eastAsia" w:ascii="宋体" w:hAnsi="宋体" w:eastAsia="宋体" w:cs="宋体"/>
                <w:color w:val="auto"/>
                <w:sz w:val="24"/>
                <w:highlight w:val="none"/>
              </w:rPr>
            </w:pPr>
          </w:p>
        </w:tc>
        <w:tc>
          <w:tcPr>
            <w:tcW w:w="1620" w:type="dxa"/>
            <w:noWrap w:val="0"/>
            <w:vAlign w:val="top"/>
          </w:tcPr>
          <w:p w14:paraId="1ED74D93">
            <w:pPr>
              <w:spacing w:line="360" w:lineRule="auto"/>
              <w:rPr>
                <w:rFonts w:hint="eastAsia" w:ascii="宋体" w:hAnsi="宋体" w:eastAsia="宋体" w:cs="宋体"/>
                <w:color w:val="auto"/>
                <w:sz w:val="24"/>
                <w:highlight w:val="none"/>
              </w:rPr>
            </w:pPr>
          </w:p>
        </w:tc>
        <w:tc>
          <w:tcPr>
            <w:tcW w:w="2328" w:type="dxa"/>
            <w:noWrap w:val="0"/>
            <w:vAlign w:val="top"/>
          </w:tcPr>
          <w:p w14:paraId="5E8D9B7D">
            <w:pPr>
              <w:spacing w:line="360" w:lineRule="auto"/>
              <w:rPr>
                <w:rFonts w:hint="eastAsia" w:ascii="宋体" w:hAnsi="宋体" w:eastAsia="宋体" w:cs="宋体"/>
                <w:color w:val="auto"/>
                <w:sz w:val="24"/>
                <w:highlight w:val="none"/>
              </w:rPr>
            </w:pPr>
          </w:p>
        </w:tc>
      </w:tr>
      <w:tr w14:paraId="4701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3628F8B0">
            <w:pPr>
              <w:spacing w:line="360" w:lineRule="auto"/>
              <w:rPr>
                <w:rFonts w:hint="eastAsia" w:ascii="宋体" w:hAnsi="宋体" w:eastAsia="宋体" w:cs="宋体"/>
                <w:color w:val="auto"/>
                <w:sz w:val="24"/>
                <w:highlight w:val="none"/>
              </w:rPr>
            </w:pPr>
          </w:p>
        </w:tc>
        <w:tc>
          <w:tcPr>
            <w:tcW w:w="1855" w:type="dxa"/>
            <w:noWrap w:val="0"/>
            <w:vAlign w:val="top"/>
          </w:tcPr>
          <w:p w14:paraId="75E4FA01">
            <w:pPr>
              <w:spacing w:line="360" w:lineRule="auto"/>
              <w:rPr>
                <w:rFonts w:hint="eastAsia" w:ascii="宋体" w:hAnsi="宋体" w:eastAsia="宋体" w:cs="宋体"/>
                <w:color w:val="auto"/>
                <w:sz w:val="24"/>
                <w:highlight w:val="none"/>
              </w:rPr>
            </w:pPr>
          </w:p>
        </w:tc>
        <w:tc>
          <w:tcPr>
            <w:tcW w:w="1957" w:type="dxa"/>
            <w:noWrap w:val="0"/>
            <w:vAlign w:val="top"/>
          </w:tcPr>
          <w:p w14:paraId="7A25BD6A">
            <w:pPr>
              <w:spacing w:line="360" w:lineRule="auto"/>
              <w:rPr>
                <w:rFonts w:hint="eastAsia" w:ascii="宋体" w:hAnsi="宋体" w:eastAsia="宋体" w:cs="宋体"/>
                <w:color w:val="auto"/>
                <w:sz w:val="24"/>
                <w:highlight w:val="none"/>
              </w:rPr>
            </w:pPr>
          </w:p>
        </w:tc>
        <w:tc>
          <w:tcPr>
            <w:tcW w:w="1620" w:type="dxa"/>
            <w:noWrap w:val="0"/>
            <w:vAlign w:val="top"/>
          </w:tcPr>
          <w:p w14:paraId="41AEEFBC">
            <w:pPr>
              <w:spacing w:line="360" w:lineRule="auto"/>
              <w:rPr>
                <w:rFonts w:hint="eastAsia" w:ascii="宋体" w:hAnsi="宋体" w:eastAsia="宋体" w:cs="宋体"/>
                <w:color w:val="auto"/>
                <w:sz w:val="24"/>
                <w:highlight w:val="none"/>
              </w:rPr>
            </w:pPr>
          </w:p>
        </w:tc>
        <w:tc>
          <w:tcPr>
            <w:tcW w:w="2328" w:type="dxa"/>
            <w:noWrap w:val="0"/>
            <w:vAlign w:val="top"/>
          </w:tcPr>
          <w:p w14:paraId="01DC47F2">
            <w:pPr>
              <w:spacing w:line="360" w:lineRule="auto"/>
              <w:rPr>
                <w:rFonts w:hint="eastAsia" w:ascii="宋体" w:hAnsi="宋体" w:eastAsia="宋体" w:cs="宋体"/>
                <w:color w:val="auto"/>
                <w:sz w:val="24"/>
                <w:highlight w:val="none"/>
              </w:rPr>
            </w:pPr>
          </w:p>
        </w:tc>
      </w:tr>
      <w:tr w14:paraId="14C2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noWrap w:val="0"/>
            <w:vAlign w:val="top"/>
          </w:tcPr>
          <w:p w14:paraId="795A821F">
            <w:pPr>
              <w:spacing w:line="360" w:lineRule="auto"/>
              <w:rPr>
                <w:rFonts w:hint="eastAsia" w:ascii="宋体" w:hAnsi="宋体" w:eastAsia="宋体" w:cs="宋体"/>
                <w:color w:val="auto"/>
                <w:sz w:val="24"/>
                <w:highlight w:val="none"/>
              </w:rPr>
            </w:pPr>
          </w:p>
        </w:tc>
        <w:tc>
          <w:tcPr>
            <w:tcW w:w="1855" w:type="dxa"/>
            <w:noWrap w:val="0"/>
            <w:vAlign w:val="top"/>
          </w:tcPr>
          <w:p w14:paraId="1CF34861">
            <w:pPr>
              <w:spacing w:line="360" w:lineRule="auto"/>
              <w:rPr>
                <w:rFonts w:hint="eastAsia" w:ascii="宋体" w:hAnsi="宋体" w:eastAsia="宋体" w:cs="宋体"/>
                <w:color w:val="auto"/>
                <w:sz w:val="24"/>
                <w:highlight w:val="none"/>
              </w:rPr>
            </w:pPr>
          </w:p>
        </w:tc>
        <w:tc>
          <w:tcPr>
            <w:tcW w:w="1957" w:type="dxa"/>
            <w:noWrap w:val="0"/>
            <w:vAlign w:val="top"/>
          </w:tcPr>
          <w:p w14:paraId="7A1A925C">
            <w:pPr>
              <w:spacing w:line="360" w:lineRule="auto"/>
              <w:rPr>
                <w:rFonts w:hint="eastAsia" w:ascii="宋体" w:hAnsi="宋体" w:eastAsia="宋体" w:cs="宋体"/>
                <w:color w:val="auto"/>
                <w:sz w:val="24"/>
                <w:highlight w:val="none"/>
              </w:rPr>
            </w:pPr>
          </w:p>
        </w:tc>
        <w:tc>
          <w:tcPr>
            <w:tcW w:w="1620" w:type="dxa"/>
            <w:noWrap w:val="0"/>
            <w:vAlign w:val="top"/>
          </w:tcPr>
          <w:p w14:paraId="30D87845">
            <w:pPr>
              <w:spacing w:line="360" w:lineRule="auto"/>
              <w:rPr>
                <w:rFonts w:hint="eastAsia" w:ascii="宋体" w:hAnsi="宋体" w:eastAsia="宋体" w:cs="宋体"/>
                <w:color w:val="auto"/>
                <w:sz w:val="24"/>
                <w:highlight w:val="none"/>
              </w:rPr>
            </w:pPr>
          </w:p>
        </w:tc>
        <w:tc>
          <w:tcPr>
            <w:tcW w:w="2328" w:type="dxa"/>
            <w:noWrap w:val="0"/>
            <w:vAlign w:val="top"/>
          </w:tcPr>
          <w:p w14:paraId="072EF56D">
            <w:pPr>
              <w:spacing w:line="360" w:lineRule="auto"/>
              <w:rPr>
                <w:rFonts w:hint="eastAsia" w:ascii="宋体" w:hAnsi="宋体" w:eastAsia="宋体" w:cs="宋体"/>
                <w:color w:val="auto"/>
                <w:sz w:val="24"/>
                <w:highlight w:val="none"/>
              </w:rPr>
            </w:pPr>
          </w:p>
        </w:tc>
      </w:tr>
    </w:tbl>
    <w:p w14:paraId="51CE5684">
      <w:pPr>
        <w:pStyle w:val="12"/>
        <w:rPr>
          <w:rFonts w:hint="eastAsia" w:ascii="宋体" w:hAnsi="宋体" w:eastAsia="宋体" w:cs="宋体"/>
          <w:color w:val="auto"/>
          <w:highlight w:val="none"/>
        </w:rPr>
      </w:pPr>
    </w:p>
    <w:p w14:paraId="4F330811">
      <w:pPr>
        <w:pStyle w:val="12"/>
        <w:rPr>
          <w:rFonts w:hint="eastAsia" w:ascii="宋体" w:hAnsi="宋体" w:eastAsia="宋体" w:cs="宋体"/>
          <w:color w:val="auto"/>
          <w:spacing w:val="20"/>
          <w:highlight w:val="none"/>
        </w:rPr>
      </w:pPr>
      <w:r>
        <w:rPr>
          <w:rFonts w:hint="eastAsia" w:ascii="宋体" w:hAnsi="宋体" w:eastAsia="宋体" w:cs="宋体"/>
          <w:color w:val="auto"/>
          <w:highlight w:val="none"/>
        </w:rPr>
        <w:t>注：投标人应根据招标文件要求在“偏离情况”栏注明“正偏离”、“负偏离”或“无偏离”。</w:t>
      </w:r>
    </w:p>
    <w:p w14:paraId="41A4A7B6">
      <w:pPr>
        <w:snapToGrid w:val="0"/>
        <w:spacing w:before="50" w:after="50"/>
        <w:rPr>
          <w:rFonts w:hint="eastAsia" w:ascii="宋体" w:hAnsi="宋体" w:eastAsia="宋体" w:cs="宋体"/>
          <w:color w:val="auto"/>
          <w:spacing w:val="20"/>
          <w:sz w:val="24"/>
          <w:highlight w:val="none"/>
        </w:rPr>
      </w:pPr>
    </w:p>
    <w:p w14:paraId="2A27ED27">
      <w:pPr>
        <w:snapToGrid w:val="0"/>
        <w:spacing w:line="360" w:lineRule="auto"/>
        <w:ind w:firstLine="560" w:firstLineChars="200"/>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06B44988">
      <w:pPr>
        <w:snapToGrid w:val="0"/>
        <w:spacing w:line="360" w:lineRule="auto"/>
        <w:ind w:firstLine="560" w:firstLineChars="200"/>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5C513267">
      <w:pPr>
        <w:snapToGrid w:val="0"/>
        <w:spacing w:before="50" w:after="120" w:afterLines="50"/>
        <w:jc w:val="left"/>
        <w:rPr>
          <w:rFonts w:hint="eastAsia" w:ascii="宋体" w:hAnsi="宋体" w:eastAsia="宋体" w:cs="宋体"/>
          <w:color w:val="auto"/>
          <w:sz w:val="24"/>
          <w:szCs w:val="20"/>
          <w:highlight w:val="none"/>
        </w:rPr>
      </w:pPr>
    </w:p>
    <w:p w14:paraId="031BAF7C">
      <w:pPr>
        <w:snapToGrid w:val="0"/>
        <w:spacing w:before="50" w:after="120" w:afterLines="50"/>
        <w:jc w:val="left"/>
        <w:rPr>
          <w:rFonts w:hint="eastAsia" w:ascii="宋体" w:hAnsi="宋体" w:eastAsia="宋体" w:cs="宋体"/>
          <w:color w:val="auto"/>
          <w:sz w:val="24"/>
          <w:szCs w:val="20"/>
          <w:highlight w:val="none"/>
        </w:rPr>
      </w:pPr>
    </w:p>
    <w:p w14:paraId="3C583C41">
      <w:pPr>
        <w:snapToGrid w:val="0"/>
        <w:spacing w:before="50" w:after="120" w:afterLines="50"/>
        <w:jc w:val="left"/>
        <w:rPr>
          <w:rFonts w:hint="eastAsia" w:ascii="宋体" w:hAnsi="宋体" w:eastAsia="宋体" w:cs="宋体"/>
          <w:color w:val="auto"/>
          <w:sz w:val="24"/>
          <w:szCs w:val="20"/>
          <w:highlight w:val="none"/>
        </w:rPr>
      </w:pPr>
    </w:p>
    <w:p w14:paraId="46AEDC0B">
      <w:pPr>
        <w:snapToGrid w:val="0"/>
        <w:spacing w:after="120" w:afterLines="50" w:line="420" w:lineRule="exact"/>
        <w:jc w:val="left"/>
        <w:rPr>
          <w:rFonts w:hint="eastAsia" w:ascii="宋体" w:hAnsi="宋体" w:eastAsia="宋体" w:cs="宋体"/>
          <w:b/>
          <w:color w:val="auto"/>
          <w:sz w:val="24"/>
          <w:highlight w:val="none"/>
        </w:rPr>
      </w:pPr>
    </w:p>
    <w:p w14:paraId="19B2AA9D">
      <w:pPr>
        <w:pStyle w:val="23"/>
        <w:ind w:firstLine="466"/>
        <w:rPr>
          <w:rFonts w:hint="eastAsia" w:ascii="宋体" w:hAnsi="宋体" w:eastAsia="宋体" w:cs="宋体"/>
          <w:b/>
          <w:color w:val="auto"/>
          <w:sz w:val="24"/>
          <w:highlight w:val="none"/>
        </w:rPr>
      </w:pPr>
    </w:p>
    <w:p w14:paraId="6669A752">
      <w:pPr>
        <w:pStyle w:val="23"/>
        <w:ind w:firstLine="466"/>
        <w:rPr>
          <w:rFonts w:hint="eastAsia" w:ascii="宋体" w:hAnsi="宋体" w:eastAsia="宋体" w:cs="宋体"/>
          <w:b/>
          <w:color w:val="auto"/>
          <w:sz w:val="24"/>
          <w:highlight w:val="none"/>
        </w:rPr>
      </w:pPr>
    </w:p>
    <w:p w14:paraId="069E0A26">
      <w:pPr>
        <w:pStyle w:val="23"/>
        <w:ind w:firstLine="466"/>
        <w:rPr>
          <w:rFonts w:hint="eastAsia" w:ascii="宋体" w:hAnsi="宋体" w:eastAsia="宋体" w:cs="宋体"/>
          <w:b/>
          <w:color w:val="auto"/>
          <w:sz w:val="24"/>
          <w:highlight w:val="none"/>
        </w:rPr>
      </w:pPr>
    </w:p>
    <w:p w14:paraId="0BE84EFB">
      <w:pPr>
        <w:pStyle w:val="23"/>
        <w:ind w:left="0" w:leftChars="0" w:firstLine="0" w:firstLineChars="0"/>
        <w:rPr>
          <w:rFonts w:hint="eastAsia" w:ascii="宋体" w:hAnsi="宋体" w:eastAsia="宋体" w:cs="宋体"/>
          <w:b/>
          <w:color w:val="auto"/>
          <w:sz w:val="24"/>
          <w:highlight w:val="none"/>
        </w:rPr>
      </w:pPr>
    </w:p>
    <w:p w14:paraId="0073298D">
      <w:pPr>
        <w:pStyle w:val="23"/>
        <w:ind w:firstLine="466"/>
        <w:rPr>
          <w:rFonts w:hint="eastAsia" w:ascii="宋体" w:hAnsi="宋体" w:eastAsia="宋体" w:cs="宋体"/>
          <w:b/>
          <w:color w:val="auto"/>
          <w:sz w:val="24"/>
          <w:highlight w:val="none"/>
        </w:rPr>
      </w:pPr>
    </w:p>
    <w:p w14:paraId="47FB127E">
      <w:pPr>
        <w:snapToGrid w:val="0"/>
        <w:spacing w:before="50" w:after="120" w:afterLines="50"/>
        <w:jc w:val="left"/>
        <w:rPr>
          <w:rFonts w:hint="eastAsia" w:ascii="宋体" w:hAnsi="宋体" w:cs="宋体"/>
          <w:b/>
          <w:color w:val="auto"/>
          <w:sz w:val="24"/>
          <w:highlight w:val="none"/>
        </w:rPr>
      </w:pPr>
    </w:p>
    <w:p w14:paraId="193DCD8C">
      <w:pPr>
        <w:snapToGrid w:val="0"/>
        <w:spacing w:before="50" w:after="120" w:afterLines="50"/>
        <w:jc w:val="left"/>
        <w:rPr>
          <w:rFonts w:ascii="宋体"/>
          <w:bCs/>
          <w:color w:val="auto"/>
          <w:sz w:val="28"/>
          <w:szCs w:val="28"/>
          <w:highlight w:val="none"/>
        </w:rPr>
      </w:pPr>
      <w:r>
        <w:rPr>
          <w:rFonts w:hint="eastAsia" w:ascii="宋体" w:hAnsi="宋体" w:cs="宋体"/>
          <w:b/>
          <w:color w:val="auto"/>
          <w:sz w:val="24"/>
          <w:highlight w:val="none"/>
        </w:rPr>
        <w:t>商务响应表：</w:t>
      </w:r>
    </w:p>
    <w:p w14:paraId="5A078FBA">
      <w:pPr>
        <w:snapToGrid w:val="0"/>
        <w:spacing w:before="50" w:after="120" w:afterLines="50"/>
        <w:jc w:val="center"/>
        <w:rPr>
          <w:rFonts w:ascii="宋体"/>
          <w:b/>
          <w:color w:val="auto"/>
          <w:sz w:val="28"/>
          <w:szCs w:val="28"/>
          <w:highlight w:val="none"/>
        </w:rPr>
      </w:pPr>
    </w:p>
    <w:p w14:paraId="6052763C">
      <w:pPr>
        <w:snapToGrid w:val="0"/>
        <w:spacing w:before="50" w:after="120" w:afterLines="50"/>
        <w:jc w:val="center"/>
        <w:rPr>
          <w:rFonts w:hint="eastAsia" w:ascii="宋体"/>
          <w:b/>
          <w:color w:val="auto"/>
          <w:sz w:val="28"/>
          <w:szCs w:val="28"/>
          <w:highlight w:val="none"/>
        </w:rPr>
      </w:pPr>
      <w:r>
        <w:rPr>
          <w:rFonts w:hint="eastAsia" w:ascii="宋体"/>
          <w:b/>
          <w:color w:val="auto"/>
          <w:sz w:val="28"/>
          <w:szCs w:val="28"/>
          <w:highlight w:val="none"/>
        </w:rPr>
        <w:t>商务响应表</w:t>
      </w:r>
    </w:p>
    <w:p w14:paraId="0B3AC58C">
      <w:pPr>
        <w:pStyle w:val="4"/>
        <w:rPr>
          <w:rFonts w:hint="eastAsia" w:ascii="宋体" w:hAnsi="宋体" w:eastAsia="宋体" w:cs="宋体"/>
          <w:color w:val="auto"/>
          <w:sz w:val="28"/>
          <w:szCs w:val="28"/>
          <w:highlight w:val="none"/>
        </w:rPr>
      </w:pPr>
    </w:p>
    <w:tbl>
      <w:tblPr>
        <w:tblStyle w:val="25"/>
        <w:tblW w:w="86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18"/>
        <w:gridCol w:w="1727"/>
        <w:gridCol w:w="1959"/>
        <w:gridCol w:w="2409"/>
      </w:tblGrid>
      <w:tr w14:paraId="49DEF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518" w:type="dxa"/>
            <w:tcBorders>
              <w:top w:val="single" w:color="auto" w:sz="4" w:space="0"/>
              <w:bottom w:val="single" w:color="auto" w:sz="4" w:space="0"/>
              <w:right w:val="single" w:color="auto" w:sz="4" w:space="0"/>
            </w:tcBorders>
            <w:noWrap w:val="0"/>
            <w:vAlign w:val="top"/>
          </w:tcPr>
          <w:p w14:paraId="477D69F0">
            <w:pPr>
              <w:snapToGrid w:val="0"/>
              <w:spacing w:before="120" w:beforeLines="50"/>
              <w:jc w:val="center"/>
              <w:rPr>
                <w:rFonts w:ascii="宋体"/>
                <w:color w:val="auto"/>
                <w:sz w:val="24"/>
                <w:szCs w:val="20"/>
                <w:highlight w:val="none"/>
              </w:rPr>
            </w:pPr>
            <w:r>
              <w:rPr>
                <w:rFonts w:hint="eastAsia" w:ascii="宋体"/>
                <w:color w:val="auto"/>
                <w:sz w:val="24"/>
                <w:highlight w:val="none"/>
              </w:rPr>
              <w:t>项目</w:t>
            </w:r>
          </w:p>
        </w:tc>
        <w:tc>
          <w:tcPr>
            <w:tcW w:w="1727" w:type="dxa"/>
            <w:tcBorders>
              <w:top w:val="single" w:color="auto" w:sz="4" w:space="0"/>
              <w:left w:val="single" w:color="auto" w:sz="4" w:space="0"/>
              <w:bottom w:val="single" w:color="auto" w:sz="4" w:space="0"/>
              <w:right w:val="single" w:color="auto" w:sz="4" w:space="0"/>
            </w:tcBorders>
            <w:noWrap w:val="0"/>
            <w:vAlign w:val="top"/>
          </w:tcPr>
          <w:p w14:paraId="2ABB3ABC">
            <w:pPr>
              <w:snapToGrid w:val="0"/>
              <w:spacing w:before="120" w:beforeLines="50"/>
              <w:jc w:val="center"/>
              <w:rPr>
                <w:rFonts w:ascii="宋体"/>
                <w:color w:val="auto"/>
                <w:sz w:val="24"/>
                <w:szCs w:val="20"/>
                <w:highlight w:val="none"/>
              </w:rPr>
            </w:pPr>
            <w:r>
              <w:rPr>
                <w:rFonts w:hint="eastAsia" w:ascii="宋体"/>
                <w:color w:val="auto"/>
                <w:sz w:val="24"/>
                <w:highlight w:val="none"/>
              </w:rPr>
              <w:t>招标文件要求</w:t>
            </w:r>
          </w:p>
        </w:tc>
        <w:tc>
          <w:tcPr>
            <w:tcW w:w="1959" w:type="dxa"/>
            <w:tcBorders>
              <w:top w:val="single" w:color="auto" w:sz="4" w:space="0"/>
              <w:left w:val="single" w:color="auto" w:sz="4" w:space="0"/>
              <w:bottom w:val="single" w:color="auto" w:sz="4" w:space="0"/>
              <w:right w:val="single" w:color="auto" w:sz="4" w:space="0"/>
            </w:tcBorders>
            <w:noWrap w:val="0"/>
            <w:vAlign w:val="top"/>
          </w:tcPr>
          <w:p w14:paraId="1B6204CF">
            <w:pPr>
              <w:snapToGrid w:val="0"/>
              <w:spacing w:before="120" w:beforeLines="50"/>
              <w:jc w:val="center"/>
              <w:rPr>
                <w:rFonts w:ascii="宋体"/>
                <w:color w:val="auto"/>
                <w:sz w:val="24"/>
                <w:szCs w:val="20"/>
                <w:highlight w:val="none"/>
              </w:rPr>
            </w:pPr>
            <w:r>
              <w:rPr>
                <w:rFonts w:hint="eastAsia" w:ascii="宋体"/>
                <w:color w:val="auto"/>
                <w:sz w:val="24"/>
                <w:highlight w:val="none"/>
              </w:rPr>
              <w:t>响应及偏离情况</w:t>
            </w:r>
          </w:p>
        </w:tc>
        <w:tc>
          <w:tcPr>
            <w:tcW w:w="2409" w:type="dxa"/>
            <w:tcBorders>
              <w:top w:val="single" w:color="auto" w:sz="4" w:space="0"/>
              <w:left w:val="single" w:color="auto" w:sz="4" w:space="0"/>
              <w:bottom w:val="single" w:color="auto" w:sz="4" w:space="0"/>
            </w:tcBorders>
            <w:noWrap w:val="0"/>
            <w:vAlign w:val="top"/>
          </w:tcPr>
          <w:p w14:paraId="705B82CD">
            <w:pPr>
              <w:snapToGrid w:val="0"/>
              <w:spacing w:before="120" w:beforeLines="50"/>
              <w:jc w:val="center"/>
              <w:rPr>
                <w:rFonts w:ascii="宋体"/>
                <w:color w:val="auto"/>
                <w:sz w:val="24"/>
                <w:szCs w:val="20"/>
                <w:highlight w:val="none"/>
              </w:rPr>
            </w:pPr>
            <w:r>
              <w:rPr>
                <w:rFonts w:hint="eastAsia" w:ascii="宋体"/>
                <w:color w:val="auto"/>
                <w:sz w:val="24"/>
                <w:highlight w:val="none"/>
              </w:rPr>
              <w:t>投标人的承诺或说明</w:t>
            </w:r>
          </w:p>
        </w:tc>
      </w:tr>
      <w:tr w14:paraId="08B6C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518" w:type="dxa"/>
            <w:tcBorders>
              <w:top w:val="single" w:color="auto" w:sz="4" w:space="0"/>
              <w:bottom w:val="single" w:color="auto" w:sz="4" w:space="0"/>
              <w:right w:val="single" w:color="auto" w:sz="4" w:space="0"/>
            </w:tcBorders>
            <w:noWrap w:val="0"/>
            <w:vAlign w:val="center"/>
          </w:tcPr>
          <w:p w14:paraId="3536CCA2">
            <w:pPr>
              <w:pStyle w:val="10"/>
              <w:snapToGrid w:val="0"/>
              <w:spacing w:beforeLines="0" w:afterLines="0" w:line="240" w:lineRule="auto"/>
              <w:outlineLvl w:val="0"/>
              <w:rPr>
                <w:color w:val="auto"/>
                <w:highlight w:val="none"/>
              </w:rPr>
            </w:pPr>
            <w:bookmarkStart w:id="17" w:name="_Toc408477084"/>
            <w:bookmarkStart w:id="18" w:name="_Toc414870809"/>
            <w:r>
              <w:rPr>
                <w:rFonts w:hint="eastAsia"/>
                <w:color w:val="auto"/>
                <w:highlight w:val="none"/>
              </w:rPr>
              <w:t>一、</w:t>
            </w:r>
            <w:bookmarkEnd w:id="17"/>
            <w:bookmarkEnd w:id="18"/>
            <w:r>
              <w:rPr>
                <w:rFonts w:hint="eastAsia"/>
                <w:color w:val="auto"/>
                <w:highlight w:val="none"/>
              </w:rPr>
              <w:t>人员配备</w:t>
            </w:r>
          </w:p>
        </w:tc>
        <w:tc>
          <w:tcPr>
            <w:tcW w:w="1727" w:type="dxa"/>
            <w:tcBorders>
              <w:top w:val="single" w:color="auto" w:sz="4" w:space="0"/>
              <w:left w:val="single" w:color="auto" w:sz="4" w:space="0"/>
              <w:bottom w:val="single" w:color="auto" w:sz="4" w:space="0"/>
              <w:right w:val="single" w:color="auto" w:sz="4" w:space="0"/>
            </w:tcBorders>
            <w:noWrap w:val="0"/>
            <w:vAlign w:val="top"/>
          </w:tcPr>
          <w:p w14:paraId="3D95015A">
            <w:pPr>
              <w:snapToGrid w:val="0"/>
              <w:spacing w:before="120" w:beforeLines="50"/>
              <w:rPr>
                <w:rFonts w:ascii="宋体"/>
                <w:color w:val="auto"/>
                <w:sz w:val="24"/>
                <w:highlight w:val="none"/>
              </w:rPr>
            </w:pPr>
          </w:p>
        </w:tc>
        <w:tc>
          <w:tcPr>
            <w:tcW w:w="1959" w:type="dxa"/>
            <w:tcBorders>
              <w:top w:val="single" w:color="auto" w:sz="4" w:space="0"/>
              <w:left w:val="single" w:color="auto" w:sz="4" w:space="0"/>
              <w:bottom w:val="single" w:color="auto" w:sz="4" w:space="0"/>
              <w:right w:val="single" w:color="auto" w:sz="4" w:space="0"/>
            </w:tcBorders>
            <w:noWrap w:val="0"/>
            <w:vAlign w:val="top"/>
          </w:tcPr>
          <w:p w14:paraId="01B34961">
            <w:pPr>
              <w:snapToGrid w:val="0"/>
              <w:spacing w:before="120" w:beforeLines="50"/>
              <w:rPr>
                <w:rFonts w:ascii="宋体"/>
                <w:b/>
                <w:color w:val="auto"/>
                <w:sz w:val="24"/>
                <w:highlight w:val="none"/>
                <w:u w:val="single"/>
              </w:rPr>
            </w:pPr>
          </w:p>
        </w:tc>
        <w:tc>
          <w:tcPr>
            <w:tcW w:w="2409" w:type="dxa"/>
            <w:tcBorders>
              <w:top w:val="single" w:color="auto" w:sz="4" w:space="0"/>
              <w:left w:val="single" w:color="auto" w:sz="4" w:space="0"/>
              <w:bottom w:val="single" w:color="auto" w:sz="4" w:space="0"/>
            </w:tcBorders>
            <w:noWrap w:val="0"/>
            <w:vAlign w:val="top"/>
          </w:tcPr>
          <w:p w14:paraId="7FC6F9E5">
            <w:pPr>
              <w:snapToGrid w:val="0"/>
              <w:spacing w:before="120" w:beforeLines="50"/>
              <w:rPr>
                <w:rFonts w:ascii="宋体"/>
                <w:b/>
                <w:color w:val="auto"/>
                <w:sz w:val="24"/>
                <w:highlight w:val="none"/>
                <w:u w:val="single"/>
              </w:rPr>
            </w:pPr>
          </w:p>
        </w:tc>
      </w:tr>
      <w:tr w14:paraId="60FFE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518" w:type="dxa"/>
            <w:tcBorders>
              <w:top w:val="single" w:color="auto" w:sz="4" w:space="0"/>
              <w:bottom w:val="single" w:color="auto" w:sz="4" w:space="0"/>
              <w:right w:val="single" w:color="auto" w:sz="4" w:space="0"/>
            </w:tcBorders>
            <w:noWrap w:val="0"/>
            <w:vAlign w:val="center"/>
          </w:tcPr>
          <w:p w14:paraId="6B1119FB">
            <w:pPr>
              <w:pStyle w:val="10"/>
              <w:tabs>
                <w:tab w:val="right" w:pos="2302"/>
              </w:tabs>
              <w:snapToGrid w:val="0"/>
              <w:spacing w:beforeLines="0" w:afterLines="0" w:line="240" w:lineRule="auto"/>
              <w:outlineLvl w:val="0"/>
              <w:rPr>
                <w:color w:val="auto"/>
                <w:highlight w:val="none"/>
              </w:rPr>
            </w:pPr>
            <w:bookmarkStart w:id="19" w:name="_Toc414870810"/>
            <w:bookmarkStart w:id="20" w:name="_Toc408477085"/>
            <w:r>
              <w:rPr>
                <w:rFonts w:hint="eastAsia"/>
                <w:color w:val="auto"/>
                <w:highlight w:val="none"/>
              </w:rPr>
              <w:t>二、售后服务</w:t>
            </w:r>
            <w:bookmarkEnd w:id="19"/>
            <w:bookmarkEnd w:id="20"/>
          </w:p>
        </w:tc>
        <w:tc>
          <w:tcPr>
            <w:tcW w:w="1727" w:type="dxa"/>
            <w:tcBorders>
              <w:top w:val="single" w:color="auto" w:sz="4" w:space="0"/>
              <w:left w:val="single" w:color="auto" w:sz="4" w:space="0"/>
              <w:bottom w:val="single" w:color="auto" w:sz="4" w:space="0"/>
              <w:right w:val="single" w:color="auto" w:sz="4" w:space="0"/>
            </w:tcBorders>
            <w:noWrap w:val="0"/>
            <w:vAlign w:val="top"/>
          </w:tcPr>
          <w:p w14:paraId="1C583564">
            <w:pPr>
              <w:snapToGrid w:val="0"/>
              <w:spacing w:before="120" w:beforeLines="50"/>
              <w:rPr>
                <w:rFonts w:ascii="宋体"/>
                <w:color w:val="auto"/>
                <w:sz w:val="24"/>
                <w:highlight w:val="none"/>
              </w:rPr>
            </w:pPr>
          </w:p>
        </w:tc>
        <w:tc>
          <w:tcPr>
            <w:tcW w:w="1959" w:type="dxa"/>
            <w:tcBorders>
              <w:top w:val="single" w:color="auto" w:sz="4" w:space="0"/>
              <w:left w:val="single" w:color="auto" w:sz="4" w:space="0"/>
              <w:bottom w:val="single" w:color="auto" w:sz="4" w:space="0"/>
              <w:right w:val="single" w:color="auto" w:sz="4" w:space="0"/>
            </w:tcBorders>
            <w:noWrap w:val="0"/>
            <w:vAlign w:val="top"/>
          </w:tcPr>
          <w:p w14:paraId="4DBC6D7B">
            <w:pPr>
              <w:snapToGrid w:val="0"/>
              <w:spacing w:before="120" w:beforeLines="50"/>
              <w:rPr>
                <w:rFonts w:ascii="宋体"/>
                <w:b/>
                <w:color w:val="auto"/>
                <w:sz w:val="24"/>
                <w:highlight w:val="none"/>
                <w:u w:val="single"/>
              </w:rPr>
            </w:pPr>
          </w:p>
        </w:tc>
        <w:tc>
          <w:tcPr>
            <w:tcW w:w="2409" w:type="dxa"/>
            <w:tcBorders>
              <w:top w:val="single" w:color="auto" w:sz="4" w:space="0"/>
              <w:left w:val="single" w:color="auto" w:sz="4" w:space="0"/>
              <w:bottom w:val="single" w:color="auto" w:sz="4" w:space="0"/>
            </w:tcBorders>
            <w:noWrap w:val="0"/>
            <w:vAlign w:val="top"/>
          </w:tcPr>
          <w:p w14:paraId="7EBCF974">
            <w:pPr>
              <w:snapToGrid w:val="0"/>
              <w:spacing w:before="120" w:beforeLines="50"/>
              <w:rPr>
                <w:rFonts w:ascii="宋体"/>
                <w:b/>
                <w:color w:val="auto"/>
                <w:sz w:val="24"/>
                <w:highlight w:val="none"/>
                <w:u w:val="single"/>
              </w:rPr>
            </w:pPr>
          </w:p>
        </w:tc>
      </w:tr>
      <w:tr w14:paraId="6B7DA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518" w:type="dxa"/>
            <w:tcBorders>
              <w:top w:val="single" w:color="auto" w:sz="4" w:space="0"/>
              <w:bottom w:val="single" w:color="auto" w:sz="4" w:space="0"/>
              <w:right w:val="single" w:color="auto" w:sz="4" w:space="0"/>
            </w:tcBorders>
            <w:noWrap w:val="0"/>
            <w:vAlign w:val="center"/>
          </w:tcPr>
          <w:p w14:paraId="4F1A93D2">
            <w:pPr>
              <w:pStyle w:val="10"/>
              <w:snapToGrid w:val="0"/>
              <w:spacing w:beforeLines="0" w:afterLines="0" w:line="240" w:lineRule="auto"/>
              <w:outlineLvl w:val="0"/>
              <w:rPr>
                <w:color w:val="auto"/>
                <w:highlight w:val="none"/>
              </w:rPr>
            </w:pPr>
            <w:bookmarkStart w:id="21" w:name="_Toc414870811"/>
            <w:bookmarkStart w:id="22" w:name="_Toc408477086"/>
            <w:r>
              <w:rPr>
                <w:rFonts w:hint="eastAsia"/>
                <w:color w:val="auto"/>
                <w:highlight w:val="none"/>
              </w:rPr>
              <w:t>三、</w:t>
            </w:r>
            <w:bookmarkEnd w:id="21"/>
            <w:bookmarkEnd w:id="22"/>
            <w:r>
              <w:rPr>
                <w:rFonts w:hint="eastAsia"/>
                <w:color w:val="auto"/>
                <w:highlight w:val="none"/>
              </w:rPr>
              <w:t>服务期限</w:t>
            </w:r>
          </w:p>
        </w:tc>
        <w:tc>
          <w:tcPr>
            <w:tcW w:w="1727" w:type="dxa"/>
            <w:tcBorders>
              <w:top w:val="single" w:color="auto" w:sz="4" w:space="0"/>
              <w:left w:val="single" w:color="auto" w:sz="4" w:space="0"/>
              <w:bottom w:val="single" w:color="auto" w:sz="4" w:space="0"/>
              <w:right w:val="single" w:color="auto" w:sz="4" w:space="0"/>
            </w:tcBorders>
            <w:noWrap w:val="0"/>
            <w:vAlign w:val="top"/>
          </w:tcPr>
          <w:p w14:paraId="73E739D3">
            <w:pPr>
              <w:snapToGrid w:val="0"/>
              <w:spacing w:before="120" w:beforeLines="50"/>
              <w:rPr>
                <w:rFonts w:ascii="宋体"/>
                <w:color w:val="auto"/>
                <w:sz w:val="24"/>
                <w:highlight w:val="none"/>
              </w:rPr>
            </w:pPr>
          </w:p>
        </w:tc>
        <w:tc>
          <w:tcPr>
            <w:tcW w:w="1959" w:type="dxa"/>
            <w:tcBorders>
              <w:top w:val="single" w:color="auto" w:sz="4" w:space="0"/>
              <w:left w:val="single" w:color="auto" w:sz="4" w:space="0"/>
              <w:bottom w:val="single" w:color="auto" w:sz="4" w:space="0"/>
              <w:right w:val="single" w:color="auto" w:sz="4" w:space="0"/>
            </w:tcBorders>
            <w:noWrap w:val="0"/>
            <w:vAlign w:val="top"/>
          </w:tcPr>
          <w:p w14:paraId="72DA7912">
            <w:pPr>
              <w:snapToGrid w:val="0"/>
              <w:spacing w:before="120" w:beforeLines="50"/>
              <w:rPr>
                <w:rFonts w:ascii="宋体"/>
                <w:b/>
                <w:color w:val="auto"/>
                <w:sz w:val="24"/>
                <w:highlight w:val="none"/>
                <w:u w:val="single"/>
              </w:rPr>
            </w:pPr>
          </w:p>
        </w:tc>
        <w:tc>
          <w:tcPr>
            <w:tcW w:w="2409" w:type="dxa"/>
            <w:tcBorders>
              <w:top w:val="single" w:color="auto" w:sz="4" w:space="0"/>
              <w:left w:val="single" w:color="auto" w:sz="4" w:space="0"/>
              <w:bottom w:val="single" w:color="auto" w:sz="4" w:space="0"/>
            </w:tcBorders>
            <w:noWrap w:val="0"/>
            <w:vAlign w:val="top"/>
          </w:tcPr>
          <w:p w14:paraId="3C25752D">
            <w:pPr>
              <w:snapToGrid w:val="0"/>
              <w:spacing w:before="120" w:beforeLines="50"/>
              <w:rPr>
                <w:rFonts w:ascii="宋体"/>
                <w:b/>
                <w:color w:val="auto"/>
                <w:sz w:val="24"/>
                <w:highlight w:val="none"/>
                <w:u w:val="single"/>
              </w:rPr>
            </w:pPr>
          </w:p>
        </w:tc>
      </w:tr>
      <w:tr w14:paraId="75752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518" w:type="dxa"/>
            <w:tcBorders>
              <w:top w:val="single" w:color="auto" w:sz="4" w:space="0"/>
              <w:bottom w:val="single" w:color="auto" w:sz="4" w:space="0"/>
              <w:right w:val="single" w:color="auto" w:sz="4" w:space="0"/>
            </w:tcBorders>
            <w:noWrap w:val="0"/>
            <w:vAlign w:val="center"/>
          </w:tcPr>
          <w:p w14:paraId="053B4D89">
            <w:pPr>
              <w:pStyle w:val="10"/>
              <w:snapToGrid w:val="0"/>
              <w:spacing w:beforeLines="0" w:afterLines="0" w:line="240" w:lineRule="auto"/>
              <w:outlineLvl w:val="0"/>
              <w:rPr>
                <w:color w:val="auto"/>
                <w:highlight w:val="none"/>
              </w:rPr>
            </w:pPr>
            <w:bookmarkStart w:id="23" w:name="_Toc414870812"/>
            <w:bookmarkStart w:id="24" w:name="_Toc408477087"/>
            <w:r>
              <w:rPr>
                <w:rFonts w:hint="eastAsia"/>
                <w:color w:val="auto"/>
                <w:highlight w:val="none"/>
              </w:rPr>
              <w:t>四、</w:t>
            </w:r>
            <w:bookmarkEnd w:id="23"/>
            <w:bookmarkEnd w:id="24"/>
            <w:r>
              <w:rPr>
                <w:rFonts w:hint="eastAsia"/>
                <w:color w:val="auto"/>
                <w:highlight w:val="none"/>
              </w:rPr>
              <w:t>付款方式</w:t>
            </w:r>
          </w:p>
        </w:tc>
        <w:tc>
          <w:tcPr>
            <w:tcW w:w="1727" w:type="dxa"/>
            <w:tcBorders>
              <w:top w:val="single" w:color="auto" w:sz="4" w:space="0"/>
              <w:left w:val="single" w:color="auto" w:sz="4" w:space="0"/>
              <w:bottom w:val="single" w:color="auto" w:sz="4" w:space="0"/>
              <w:right w:val="single" w:color="auto" w:sz="4" w:space="0"/>
            </w:tcBorders>
            <w:noWrap w:val="0"/>
            <w:vAlign w:val="top"/>
          </w:tcPr>
          <w:p w14:paraId="6E452EEB">
            <w:pPr>
              <w:snapToGrid w:val="0"/>
              <w:spacing w:before="120" w:beforeLines="50"/>
              <w:rPr>
                <w:rFonts w:ascii="宋体"/>
                <w:color w:val="auto"/>
                <w:sz w:val="24"/>
                <w:highlight w:val="none"/>
              </w:rPr>
            </w:pPr>
          </w:p>
        </w:tc>
        <w:tc>
          <w:tcPr>
            <w:tcW w:w="1959" w:type="dxa"/>
            <w:tcBorders>
              <w:top w:val="single" w:color="auto" w:sz="4" w:space="0"/>
              <w:left w:val="single" w:color="auto" w:sz="4" w:space="0"/>
              <w:bottom w:val="single" w:color="auto" w:sz="4" w:space="0"/>
              <w:right w:val="single" w:color="auto" w:sz="4" w:space="0"/>
            </w:tcBorders>
            <w:noWrap w:val="0"/>
            <w:vAlign w:val="top"/>
          </w:tcPr>
          <w:p w14:paraId="22957014">
            <w:pPr>
              <w:snapToGrid w:val="0"/>
              <w:spacing w:before="120" w:beforeLines="50"/>
              <w:rPr>
                <w:rFonts w:ascii="宋体"/>
                <w:b/>
                <w:color w:val="auto"/>
                <w:sz w:val="24"/>
                <w:highlight w:val="none"/>
                <w:u w:val="single"/>
              </w:rPr>
            </w:pPr>
          </w:p>
        </w:tc>
        <w:tc>
          <w:tcPr>
            <w:tcW w:w="2409" w:type="dxa"/>
            <w:tcBorders>
              <w:top w:val="single" w:color="auto" w:sz="4" w:space="0"/>
              <w:left w:val="single" w:color="auto" w:sz="4" w:space="0"/>
              <w:bottom w:val="single" w:color="auto" w:sz="4" w:space="0"/>
            </w:tcBorders>
            <w:noWrap w:val="0"/>
            <w:vAlign w:val="top"/>
          </w:tcPr>
          <w:p w14:paraId="34C3E0F7">
            <w:pPr>
              <w:snapToGrid w:val="0"/>
              <w:spacing w:before="120" w:beforeLines="50"/>
              <w:rPr>
                <w:rFonts w:ascii="宋体"/>
                <w:b/>
                <w:color w:val="auto"/>
                <w:sz w:val="24"/>
                <w:highlight w:val="none"/>
                <w:u w:val="single"/>
              </w:rPr>
            </w:pPr>
          </w:p>
        </w:tc>
      </w:tr>
      <w:tr w14:paraId="5D465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518" w:type="dxa"/>
            <w:tcBorders>
              <w:top w:val="single" w:color="auto" w:sz="4" w:space="0"/>
              <w:bottom w:val="single" w:color="auto" w:sz="4" w:space="0"/>
              <w:right w:val="single" w:color="auto" w:sz="4" w:space="0"/>
            </w:tcBorders>
            <w:noWrap w:val="0"/>
            <w:vAlign w:val="center"/>
          </w:tcPr>
          <w:p w14:paraId="7B212799">
            <w:pPr>
              <w:pStyle w:val="10"/>
              <w:snapToGrid w:val="0"/>
              <w:spacing w:beforeLines="0" w:afterLines="0" w:line="240" w:lineRule="auto"/>
              <w:outlineLvl w:val="0"/>
              <w:rPr>
                <w:color w:val="auto"/>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6975403E">
            <w:pPr>
              <w:snapToGrid w:val="0"/>
              <w:spacing w:before="120" w:beforeLines="50"/>
              <w:rPr>
                <w:rFonts w:ascii="宋体"/>
                <w:color w:val="auto"/>
                <w:sz w:val="24"/>
                <w:highlight w:val="none"/>
              </w:rPr>
            </w:pPr>
          </w:p>
        </w:tc>
        <w:tc>
          <w:tcPr>
            <w:tcW w:w="1959" w:type="dxa"/>
            <w:tcBorders>
              <w:top w:val="single" w:color="auto" w:sz="4" w:space="0"/>
              <w:left w:val="single" w:color="auto" w:sz="4" w:space="0"/>
              <w:bottom w:val="single" w:color="auto" w:sz="4" w:space="0"/>
              <w:right w:val="single" w:color="auto" w:sz="4" w:space="0"/>
            </w:tcBorders>
            <w:noWrap w:val="0"/>
            <w:vAlign w:val="top"/>
          </w:tcPr>
          <w:p w14:paraId="4B4EB98F">
            <w:pPr>
              <w:snapToGrid w:val="0"/>
              <w:spacing w:before="120" w:beforeLines="50"/>
              <w:rPr>
                <w:rFonts w:ascii="宋体"/>
                <w:b/>
                <w:color w:val="auto"/>
                <w:sz w:val="24"/>
                <w:highlight w:val="none"/>
                <w:u w:val="single"/>
              </w:rPr>
            </w:pPr>
          </w:p>
        </w:tc>
        <w:tc>
          <w:tcPr>
            <w:tcW w:w="2409" w:type="dxa"/>
            <w:tcBorders>
              <w:top w:val="single" w:color="auto" w:sz="4" w:space="0"/>
              <w:left w:val="single" w:color="auto" w:sz="4" w:space="0"/>
              <w:bottom w:val="single" w:color="auto" w:sz="4" w:space="0"/>
            </w:tcBorders>
            <w:noWrap w:val="0"/>
            <w:vAlign w:val="top"/>
          </w:tcPr>
          <w:p w14:paraId="6E2E85EF">
            <w:pPr>
              <w:snapToGrid w:val="0"/>
              <w:spacing w:before="120" w:beforeLines="50"/>
              <w:rPr>
                <w:rFonts w:ascii="宋体"/>
                <w:b/>
                <w:color w:val="auto"/>
                <w:sz w:val="24"/>
                <w:highlight w:val="none"/>
                <w:u w:val="single"/>
              </w:rPr>
            </w:pPr>
          </w:p>
        </w:tc>
      </w:tr>
      <w:tr w14:paraId="418A2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518" w:type="dxa"/>
            <w:tcBorders>
              <w:top w:val="single" w:color="auto" w:sz="4" w:space="0"/>
              <w:bottom w:val="single" w:color="auto" w:sz="4" w:space="0"/>
              <w:right w:val="single" w:color="auto" w:sz="4" w:space="0"/>
            </w:tcBorders>
            <w:noWrap w:val="0"/>
            <w:vAlign w:val="center"/>
          </w:tcPr>
          <w:p w14:paraId="7250C3AC">
            <w:pPr>
              <w:pStyle w:val="10"/>
              <w:snapToGrid w:val="0"/>
              <w:spacing w:beforeLines="0" w:afterLines="0" w:line="240" w:lineRule="auto"/>
              <w:outlineLvl w:val="0"/>
              <w:rPr>
                <w:color w:val="auto"/>
                <w:highlight w:val="none"/>
              </w:rPr>
            </w:pPr>
            <w:bookmarkStart w:id="25" w:name="_Toc414870816"/>
            <w:r>
              <w:rPr>
                <w:rFonts w:hint="eastAsia"/>
                <w:color w:val="auto"/>
                <w:highlight w:val="none"/>
              </w:rPr>
              <w:t>……</w:t>
            </w:r>
            <w:bookmarkEnd w:id="25"/>
          </w:p>
        </w:tc>
        <w:tc>
          <w:tcPr>
            <w:tcW w:w="1727" w:type="dxa"/>
            <w:tcBorders>
              <w:top w:val="single" w:color="auto" w:sz="4" w:space="0"/>
              <w:left w:val="single" w:color="auto" w:sz="4" w:space="0"/>
              <w:bottom w:val="single" w:color="auto" w:sz="4" w:space="0"/>
              <w:right w:val="single" w:color="auto" w:sz="4" w:space="0"/>
            </w:tcBorders>
            <w:noWrap w:val="0"/>
            <w:vAlign w:val="top"/>
          </w:tcPr>
          <w:p w14:paraId="5677EDC7">
            <w:pPr>
              <w:snapToGrid w:val="0"/>
              <w:spacing w:before="120" w:beforeLines="50"/>
              <w:rPr>
                <w:rFonts w:ascii="宋体"/>
                <w:color w:val="auto"/>
                <w:sz w:val="24"/>
                <w:highlight w:val="none"/>
              </w:rPr>
            </w:pPr>
          </w:p>
        </w:tc>
        <w:tc>
          <w:tcPr>
            <w:tcW w:w="1959" w:type="dxa"/>
            <w:tcBorders>
              <w:top w:val="single" w:color="auto" w:sz="4" w:space="0"/>
              <w:left w:val="single" w:color="auto" w:sz="4" w:space="0"/>
              <w:bottom w:val="single" w:color="auto" w:sz="4" w:space="0"/>
              <w:right w:val="single" w:color="auto" w:sz="4" w:space="0"/>
            </w:tcBorders>
            <w:noWrap w:val="0"/>
            <w:vAlign w:val="top"/>
          </w:tcPr>
          <w:p w14:paraId="42D4DD15">
            <w:pPr>
              <w:snapToGrid w:val="0"/>
              <w:spacing w:before="120" w:beforeLines="50"/>
              <w:rPr>
                <w:rFonts w:ascii="宋体"/>
                <w:b/>
                <w:color w:val="auto"/>
                <w:sz w:val="24"/>
                <w:highlight w:val="none"/>
                <w:u w:val="single"/>
              </w:rPr>
            </w:pPr>
          </w:p>
        </w:tc>
        <w:tc>
          <w:tcPr>
            <w:tcW w:w="2409" w:type="dxa"/>
            <w:tcBorders>
              <w:top w:val="single" w:color="auto" w:sz="4" w:space="0"/>
              <w:left w:val="single" w:color="auto" w:sz="4" w:space="0"/>
              <w:bottom w:val="single" w:color="auto" w:sz="4" w:space="0"/>
            </w:tcBorders>
            <w:noWrap w:val="0"/>
            <w:vAlign w:val="top"/>
          </w:tcPr>
          <w:p w14:paraId="14381C6A">
            <w:pPr>
              <w:snapToGrid w:val="0"/>
              <w:spacing w:before="120" w:beforeLines="50"/>
              <w:rPr>
                <w:rFonts w:ascii="宋体"/>
                <w:b/>
                <w:color w:val="auto"/>
                <w:sz w:val="24"/>
                <w:highlight w:val="none"/>
                <w:u w:val="single"/>
              </w:rPr>
            </w:pPr>
          </w:p>
        </w:tc>
      </w:tr>
      <w:tr w14:paraId="10708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518" w:type="dxa"/>
            <w:tcBorders>
              <w:top w:val="single" w:color="auto" w:sz="4" w:space="0"/>
              <w:bottom w:val="single" w:color="auto" w:sz="4" w:space="0"/>
              <w:right w:val="single" w:color="auto" w:sz="4" w:space="0"/>
            </w:tcBorders>
            <w:noWrap w:val="0"/>
            <w:vAlign w:val="center"/>
          </w:tcPr>
          <w:p w14:paraId="7EBBAF8F">
            <w:pPr>
              <w:pStyle w:val="10"/>
              <w:snapToGrid w:val="0"/>
              <w:spacing w:beforeLines="0" w:afterLines="0" w:line="240" w:lineRule="auto"/>
              <w:outlineLvl w:val="0"/>
              <w:rPr>
                <w:color w:val="auto"/>
                <w:highlight w:val="none"/>
              </w:rPr>
            </w:pPr>
            <w:bookmarkStart w:id="26" w:name="_Toc408477092"/>
            <w:bookmarkStart w:id="27" w:name="_Toc414870817"/>
            <w:r>
              <w:rPr>
                <w:rFonts w:hint="eastAsia"/>
                <w:color w:val="auto"/>
                <w:highlight w:val="none"/>
              </w:rPr>
              <w:t>……</w:t>
            </w:r>
            <w:bookmarkEnd w:id="26"/>
            <w:bookmarkEnd w:id="27"/>
          </w:p>
        </w:tc>
        <w:tc>
          <w:tcPr>
            <w:tcW w:w="1727" w:type="dxa"/>
            <w:tcBorders>
              <w:top w:val="single" w:color="auto" w:sz="4" w:space="0"/>
              <w:left w:val="single" w:color="auto" w:sz="4" w:space="0"/>
              <w:bottom w:val="single" w:color="auto" w:sz="4" w:space="0"/>
              <w:right w:val="single" w:color="auto" w:sz="4" w:space="0"/>
            </w:tcBorders>
            <w:noWrap w:val="0"/>
            <w:vAlign w:val="top"/>
          </w:tcPr>
          <w:p w14:paraId="734B76FD">
            <w:pPr>
              <w:snapToGrid w:val="0"/>
              <w:spacing w:before="120" w:beforeLines="50"/>
              <w:rPr>
                <w:rFonts w:ascii="宋体"/>
                <w:color w:val="auto"/>
                <w:sz w:val="24"/>
                <w:highlight w:val="none"/>
              </w:rPr>
            </w:pPr>
          </w:p>
        </w:tc>
        <w:tc>
          <w:tcPr>
            <w:tcW w:w="1959" w:type="dxa"/>
            <w:tcBorders>
              <w:top w:val="single" w:color="auto" w:sz="4" w:space="0"/>
              <w:left w:val="single" w:color="auto" w:sz="4" w:space="0"/>
              <w:bottom w:val="single" w:color="auto" w:sz="4" w:space="0"/>
              <w:right w:val="single" w:color="auto" w:sz="4" w:space="0"/>
            </w:tcBorders>
            <w:noWrap w:val="0"/>
            <w:vAlign w:val="top"/>
          </w:tcPr>
          <w:p w14:paraId="51A42806">
            <w:pPr>
              <w:snapToGrid w:val="0"/>
              <w:spacing w:before="120" w:beforeLines="50"/>
              <w:rPr>
                <w:rFonts w:ascii="宋体"/>
                <w:b/>
                <w:color w:val="auto"/>
                <w:sz w:val="24"/>
                <w:highlight w:val="none"/>
                <w:u w:val="single"/>
              </w:rPr>
            </w:pPr>
          </w:p>
        </w:tc>
        <w:tc>
          <w:tcPr>
            <w:tcW w:w="2409" w:type="dxa"/>
            <w:tcBorders>
              <w:top w:val="single" w:color="auto" w:sz="4" w:space="0"/>
              <w:left w:val="single" w:color="auto" w:sz="4" w:space="0"/>
              <w:bottom w:val="single" w:color="auto" w:sz="4" w:space="0"/>
            </w:tcBorders>
            <w:noWrap w:val="0"/>
            <w:vAlign w:val="top"/>
          </w:tcPr>
          <w:p w14:paraId="54EE7026">
            <w:pPr>
              <w:snapToGrid w:val="0"/>
              <w:spacing w:before="120" w:beforeLines="50"/>
              <w:rPr>
                <w:rFonts w:ascii="宋体"/>
                <w:b/>
                <w:color w:val="auto"/>
                <w:sz w:val="24"/>
                <w:highlight w:val="none"/>
                <w:u w:val="single"/>
              </w:rPr>
            </w:pPr>
          </w:p>
        </w:tc>
      </w:tr>
    </w:tbl>
    <w:p w14:paraId="40037FB1">
      <w:pPr>
        <w:snapToGrid w:val="0"/>
        <w:spacing w:before="120" w:beforeLines="50"/>
        <w:rPr>
          <w:rFonts w:ascii="宋体"/>
          <w:color w:val="auto"/>
          <w:sz w:val="24"/>
          <w:szCs w:val="20"/>
          <w:highlight w:val="none"/>
        </w:rPr>
      </w:pPr>
    </w:p>
    <w:p w14:paraId="2A82AE8C">
      <w:pPr>
        <w:pStyle w:val="6"/>
        <w:snapToGrid w:val="0"/>
        <w:rPr>
          <w:rFonts w:ascii="宋体" w:hAnsi="宋体" w:eastAsia="宋体" w:cs="宋体"/>
          <w:color w:val="auto"/>
          <w:sz w:val="24"/>
          <w:highlight w:val="none"/>
        </w:rPr>
      </w:pPr>
    </w:p>
    <w:p w14:paraId="790E8DC5">
      <w:pPr>
        <w:pStyle w:val="6"/>
        <w:snapToGrid w:val="0"/>
        <w:rPr>
          <w:rFonts w:ascii="宋体" w:hAnsi="宋体" w:eastAsia="宋体" w:cs="宋体"/>
          <w:color w:val="auto"/>
          <w:sz w:val="24"/>
          <w:highlight w:val="none"/>
        </w:rPr>
      </w:pPr>
    </w:p>
    <w:p w14:paraId="1A549DAF">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2BF19125">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316FC308">
      <w:pPr>
        <w:snapToGrid w:val="0"/>
        <w:spacing w:before="50" w:after="120" w:afterLines="50"/>
        <w:jc w:val="left"/>
        <w:rPr>
          <w:rFonts w:hint="eastAsia" w:ascii="宋体" w:hAnsi="宋体" w:eastAsia="宋体" w:cs="宋体"/>
          <w:b/>
          <w:color w:val="auto"/>
          <w:sz w:val="24"/>
          <w:highlight w:val="none"/>
        </w:rPr>
      </w:pPr>
    </w:p>
    <w:p w14:paraId="5D5BC805">
      <w:pPr>
        <w:snapToGrid w:val="0"/>
        <w:spacing w:before="50" w:after="120" w:afterLines="50"/>
        <w:jc w:val="left"/>
        <w:rPr>
          <w:rFonts w:hint="eastAsia" w:ascii="宋体" w:hAnsi="宋体" w:eastAsia="宋体" w:cs="宋体"/>
          <w:b/>
          <w:color w:val="auto"/>
          <w:sz w:val="24"/>
          <w:highlight w:val="none"/>
        </w:rPr>
      </w:pPr>
    </w:p>
    <w:p w14:paraId="220E5DAD">
      <w:pPr>
        <w:snapToGrid w:val="0"/>
        <w:spacing w:before="50" w:after="120" w:afterLines="50"/>
        <w:jc w:val="left"/>
        <w:rPr>
          <w:rFonts w:hint="eastAsia" w:ascii="宋体" w:hAnsi="宋体" w:eastAsia="宋体" w:cs="宋体"/>
          <w:b/>
          <w:color w:val="auto"/>
          <w:sz w:val="24"/>
          <w:highlight w:val="none"/>
        </w:rPr>
      </w:pPr>
    </w:p>
    <w:p w14:paraId="05FDC5D1">
      <w:pPr>
        <w:snapToGrid w:val="0"/>
        <w:spacing w:before="50" w:after="120" w:afterLines="50"/>
        <w:jc w:val="left"/>
        <w:rPr>
          <w:rFonts w:hint="eastAsia" w:ascii="宋体" w:hAnsi="宋体" w:eastAsia="宋体" w:cs="宋体"/>
          <w:b/>
          <w:color w:val="auto"/>
          <w:sz w:val="24"/>
          <w:highlight w:val="none"/>
        </w:rPr>
      </w:pPr>
    </w:p>
    <w:p w14:paraId="6C254C3C">
      <w:pPr>
        <w:snapToGrid w:val="0"/>
        <w:spacing w:before="50" w:after="120" w:afterLines="50"/>
        <w:jc w:val="left"/>
        <w:rPr>
          <w:rFonts w:hint="eastAsia" w:ascii="宋体" w:hAnsi="宋体" w:eastAsia="宋体" w:cs="宋体"/>
          <w:b/>
          <w:color w:val="auto"/>
          <w:sz w:val="24"/>
          <w:highlight w:val="none"/>
        </w:rPr>
      </w:pPr>
    </w:p>
    <w:p w14:paraId="6BCCE71B">
      <w:pPr>
        <w:snapToGrid w:val="0"/>
        <w:spacing w:before="50" w:after="120" w:afterLines="50"/>
        <w:jc w:val="left"/>
        <w:rPr>
          <w:rFonts w:hint="eastAsia" w:ascii="宋体" w:hAnsi="宋体" w:eastAsia="宋体" w:cs="宋体"/>
          <w:b/>
          <w:color w:val="auto"/>
          <w:sz w:val="24"/>
          <w:highlight w:val="none"/>
        </w:rPr>
      </w:pPr>
    </w:p>
    <w:p w14:paraId="3ABF7CB3">
      <w:pPr>
        <w:snapToGrid w:val="0"/>
        <w:spacing w:before="50" w:after="120" w:afterLines="50"/>
        <w:jc w:val="left"/>
        <w:rPr>
          <w:rFonts w:hint="eastAsia" w:ascii="宋体" w:hAnsi="宋体" w:eastAsia="宋体" w:cs="宋体"/>
          <w:b/>
          <w:color w:val="auto"/>
          <w:sz w:val="24"/>
          <w:highlight w:val="none"/>
        </w:rPr>
      </w:pPr>
    </w:p>
    <w:p w14:paraId="62283B2E">
      <w:pPr>
        <w:snapToGrid w:val="0"/>
        <w:spacing w:before="50" w:after="120" w:afterLines="50"/>
        <w:jc w:val="left"/>
        <w:rPr>
          <w:rFonts w:hint="eastAsia" w:ascii="宋体" w:hAnsi="宋体" w:eastAsia="宋体" w:cs="宋体"/>
          <w:b/>
          <w:color w:val="auto"/>
          <w:sz w:val="24"/>
          <w:highlight w:val="none"/>
        </w:rPr>
      </w:pPr>
    </w:p>
    <w:p w14:paraId="5F727C8E">
      <w:pPr>
        <w:pStyle w:val="23"/>
        <w:ind w:firstLine="466"/>
        <w:rPr>
          <w:rFonts w:hint="eastAsia" w:hAnsi="宋体" w:cs="宋体"/>
          <w:b/>
          <w:color w:val="auto"/>
          <w:sz w:val="24"/>
          <w:highlight w:val="none"/>
        </w:rPr>
      </w:pPr>
    </w:p>
    <w:p w14:paraId="769A3984">
      <w:pPr>
        <w:snapToGrid w:val="0"/>
        <w:spacing w:before="50" w:after="120" w:afterLines="50"/>
        <w:jc w:val="left"/>
        <w:rPr>
          <w:rFonts w:hint="eastAsia" w:ascii="宋体" w:hAnsi="宋体" w:cs="宋体"/>
          <w:b/>
          <w:color w:val="auto"/>
          <w:sz w:val="24"/>
          <w:highlight w:val="none"/>
        </w:rPr>
      </w:pPr>
      <w:r>
        <w:rPr>
          <w:rFonts w:hint="eastAsia" w:ascii="宋体" w:hAnsi="宋体" w:cs="宋体"/>
          <w:b/>
          <w:color w:val="auto"/>
          <w:sz w:val="24"/>
          <w:highlight w:val="none"/>
        </w:rPr>
        <w:t>同类业绩一览表：</w:t>
      </w:r>
    </w:p>
    <w:p w14:paraId="022226A1">
      <w:pPr>
        <w:snapToGrid w:val="0"/>
        <w:spacing w:before="50" w:after="120" w:afterLines="50"/>
        <w:jc w:val="center"/>
        <w:rPr>
          <w:rFonts w:hint="eastAsia" w:ascii="宋体" w:hAnsi="宋体" w:cs="宋体"/>
          <w:b/>
          <w:color w:val="auto"/>
          <w:sz w:val="30"/>
          <w:szCs w:val="30"/>
          <w:highlight w:val="none"/>
        </w:rPr>
      </w:pPr>
    </w:p>
    <w:p w14:paraId="5280BD5F">
      <w:pPr>
        <w:snapToGrid w:val="0"/>
        <w:spacing w:before="50" w:after="120" w:afterLines="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同类业绩一览表</w:t>
      </w:r>
    </w:p>
    <w:p w14:paraId="10A75CA4">
      <w:pPr>
        <w:snapToGrid w:val="0"/>
        <w:spacing w:before="50" w:after="120" w:afterLines="50"/>
        <w:jc w:val="left"/>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olor w:val="auto"/>
          <w:sz w:val="24"/>
          <w:highlight w:val="none"/>
        </w:rPr>
        <w:t>招标编号：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tbl>
      <w:tblPr>
        <w:tblStyle w:val="25"/>
        <w:tblW w:w="9852" w:type="dxa"/>
        <w:tblInd w:w="0" w:type="dxa"/>
        <w:tblLayout w:type="fixed"/>
        <w:tblCellMar>
          <w:top w:w="0" w:type="dxa"/>
          <w:left w:w="108" w:type="dxa"/>
          <w:bottom w:w="0" w:type="dxa"/>
          <w:right w:w="108" w:type="dxa"/>
        </w:tblCellMar>
      </w:tblPr>
      <w:tblGrid>
        <w:gridCol w:w="1741"/>
        <w:gridCol w:w="1797"/>
        <w:gridCol w:w="1825"/>
        <w:gridCol w:w="1614"/>
        <w:gridCol w:w="1438"/>
        <w:gridCol w:w="1437"/>
      </w:tblGrid>
      <w:tr w14:paraId="7EC4B50E">
        <w:tblPrEx>
          <w:tblCellMar>
            <w:top w:w="0" w:type="dxa"/>
            <w:left w:w="108" w:type="dxa"/>
            <w:bottom w:w="0" w:type="dxa"/>
            <w:right w:w="108" w:type="dxa"/>
          </w:tblCellMar>
        </w:tblPrEx>
        <w:trPr>
          <w:trHeight w:val="1431"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085E05C1">
            <w:pPr>
              <w:adjustRightInd w:val="0"/>
              <w:snapToGrid w:val="0"/>
              <w:spacing w:before="50" w:after="120" w:afterLines="50"/>
              <w:jc w:val="center"/>
              <w:rPr>
                <w:rFonts w:hint="eastAsia" w:ascii="宋体" w:hAnsi="宋体" w:cs="宋体"/>
                <w:color w:val="auto"/>
                <w:sz w:val="24"/>
                <w:highlight w:val="none"/>
              </w:rPr>
            </w:pPr>
            <w:r>
              <w:rPr>
                <w:rFonts w:hint="eastAsia" w:ascii="宋体" w:hAnsi="宋体" w:cs="宋体"/>
                <w:color w:val="auto"/>
                <w:sz w:val="24"/>
                <w:highlight w:val="none"/>
              </w:rPr>
              <w:t>采购单位</w:t>
            </w:r>
          </w:p>
          <w:p w14:paraId="794E9C3E">
            <w:pPr>
              <w:adjustRightInd w:val="0"/>
              <w:snapToGrid w:val="0"/>
              <w:spacing w:before="50" w:after="120" w:afterLines="50"/>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1AA6390">
            <w:pPr>
              <w:adjustRightInd w:val="0"/>
              <w:snapToGrid w:val="0"/>
              <w:spacing w:before="50" w:after="120" w:afterLines="5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8E3330D">
            <w:pPr>
              <w:adjustRightInd w:val="0"/>
              <w:snapToGrid w:val="0"/>
              <w:spacing w:before="50" w:after="120" w:afterLines="50"/>
              <w:jc w:val="center"/>
              <w:rPr>
                <w:rFonts w:hint="eastAsia" w:ascii="宋体" w:hAnsi="宋体" w:cs="宋体"/>
                <w:color w:val="auto"/>
                <w:sz w:val="24"/>
                <w:highlight w:val="none"/>
              </w:rPr>
            </w:pPr>
            <w:r>
              <w:rPr>
                <w:rFonts w:hint="eastAsia" w:ascii="宋体" w:hAnsi="宋体" w:cs="宋体"/>
                <w:color w:val="auto"/>
                <w:sz w:val="24"/>
                <w:highlight w:val="none"/>
              </w:rPr>
              <w:t>合同金额</w:t>
            </w:r>
          </w:p>
          <w:p w14:paraId="51C77831">
            <w:pPr>
              <w:adjustRightInd w:val="0"/>
              <w:snapToGrid w:val="0"/>
              <w:spacing w:before="50" w:after="120" w:afterLines="50"/>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1614" w:type="dxa"/>
            <w:tcBorders>
              <w:top w:val="single" w:color="auto" w:sz="4" w:space="0"/>
              <w:left w:val="single" w:color="auto" w:sz="4" w:space="0"/>
              <w:right w:val="single" w:color="auto" w:sz="4" w:space="0"/>
            </w:tcBorders>
            <w:noWrap w:val="0"/>
            <w:vAlign w:val="center"/>
          </w:tcPr>
          <w:p w14:paraId="59423D12">
            <w:pPr>
              <w:adjustRightInd w:val="0"/>
              <w:snapToGrid w:val="0"/>
              <w:spacing w:before="50" w:after="120" w:afterLines="50"/>
              <w:jc w:val="center"/>
              <w:rPr>
                <w:rFonts w:hint="eastAsia" w:ascii="宋体" w:hAnsi="宋体" w:cs="宋体"/>
                <w:color w:val="auto"/>
                <w:sz w:val="24"/>
                <w:highlight w:val="none"/>
              </w:rPr>
            </w:pPr>
            <w:r>
              <w:rPr>
                <w:rFonts w:hint="eastAsia" w:ascii="宋体" w:hAnsi="宋体" w:cs="宋体"/>
                <w:color w:val="auto"/>
                <w:sz w:val="24"/>
                <w:highlight w:val="none"/>
              </w:rPr>
              <w:t>合同日期</w:t>
            </w:r>
          </w:p>
        </w:tc>
        <w:tc>
          <w:tcPr>
            <w:tcW w:w="1438" w:type="dxa"/>
            <w:tcBorders>
              <w:top w:val="single" w:color="auto" w:sz="4" w:space="0"/>
              <w:left w:val="single" w:color="auto" w:sz="4" w:space="0"/>
              <w:right w:val="single" w:color="auto" w:sz="4" w:space="0"/>
            </w:tcBorders>
            <w:noWrap w:val="0"/>
            <w:vAlign w:val="center"/>
          </w:tcPr>
          <w:p w14:paraId="18C81007">
            <w:pPr>
              <w:adjustRightInd w:val="0"/>
              <w:snapToGrid w:val="0"/>
              <w:spacing w:before="50" w:after="120" w:afterLines="50"/>
              <w:jc w:val="center"/>
              <w:rPr>
                <w:rFonts w:hint="eastAsia" w:ascii="宋体" w:hAnsi="宋体" w:cs="宋体"/>
                <w:color w:val="auto"/>
                <w:sz w:val="24"/>
                <w:highlight w:val="none"/>
              </w:rPr>
            </w:pPr>
            <w:r>
              <w:rPr>
                <w:rFonts w:hint="eastAsia" w:ascii="宋体" w:hAnsi="宋体" w:cs="宋体"/>
                <w:color w:val="auto"/>
                <w:sz w:val="24"/>
                <w:highlight w:val="none"/>
              </w:rPr>
              <w:t>采购单位联系人及联系电话</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7281790">
            <w:pPr>
              <w:adjustRightInd w:val="0"/>
              <w:snapToGrid w:val="0"/>
              <w:spacing w:before="50" w:after="120" w:afterLines="50"/>
              <w:jc w:val="center"/>
              <w:rPr>
                <w:rFonts w:hint="eastAsia" w:ascii="宋体" w:hAnsi="宋体" w:cs="宋体"/>
                <w:color w:val="auto"/>
                <w:sz w:val="24"/>
                <w:highlight w:val="none"/>
              </w:rPr>
            </w:pPr>
            <w:r>
              <w:rPr>
                <w:rFonts w:hint="eastAsia" w:ascii="宋体" w:hAnsi="宋体" w:cs="宋体"/>
                <w:color w:val="auto"/>
                <w:sz w:val="24"/>
                <w:highlight w:val="none"/>
              </w:rPr>
              <w:t>附件页码</w:t>
            </w:r>
          </w:p>
        </w:tc>
      </w:tr>
      <w:tr w14:paraId="038C0561">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03498CD1">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10C723F">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470D42C">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FB1B8FF">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58E1031">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34885608">
            <w:pPr>
              <w:adjustRightInd w:val="0"/>
              <w:snapToGrid w:val="0"/>
              <w:spacing w:before="50" w:after="120" w:afterLines="50"/>
              <w:jc w:val="center"/>
              <w:rPr>
                <w:rFonts w:hint="eastAsia" w:ascii="宋体" w:hAnsi="宋体" w:cs="宋体"/>
                <w:color w:val="auto"/>
                <w:sz w:val="24"/>
                <w:highlight w:val="none"/>
              </w:rPr>
            </w:pPr>
          </w:p>
        </w:tc>
      </w:tr>
      <w:tr w14:paraId="4867DEA1">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26C90F3F">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C4E9CE3">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0CCDF10">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62479BFC">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59C215DE">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5326ED7">
            <w:pPr>
              <w:adjustRightInd w:val="0"/>
              <w:snapToGrid w:val="0"/>
              <w:spacing w:before="50" w:after="120" w:afterLines="50"/>
              <w:jc w:val="center"/>
              <w:rPr>
                <w:rFonts w:hint="eastAsia" w:ascii="宋体" w:hAnsi="宋体" w:cs="宋体"/>
                <w:color w:val="auto"/>
                <w:sz w:val="24"/>
                <w:highlight w:val="none"/>
              </w:rPr>
            </w:pPr>
          </w:p>
        </w:tc>
      </w:tr>
      <w:tr w14:paraId="20EF56E1">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529C77AD">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5CC0B66">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9E828DE">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E0DAE05">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4279AA29">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1D734498">
            <w:pPr>
              <w:adjustRightInd w:val="0"/>
              <w:snapToGrid w:val="0"/>
              <w:spacing w:before="50" w:after="120" w:afterLines="50"/>
              <w:jc w:val="center"/>
              <w:rPr>
                <w:rFonts w:hint="eastAsia" w:ascii="宋体" w:hAnsi="宋体" w:cs="宋体"/>
                <w:color w:val="auto"/>
                <w:sz w:val="24"/>
                <w:highlight w:val="none"/>
              </w:rPr>
            </w:pPr>
          </w:p>
        </w:tc>
      </w:tr>
      <w:tr w14:paraId="5ABCB775">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5FFD11E8">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9C98AD6">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FAAC6AC">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6DF936B">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0C318673">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4AA580D6">
            <w:pPr>
              <w:adjustRightInd w:val="0"/>
              <w:snapToGrid w:val="0"/>
              <w:spacing w:before="50" w:after="120" w:afterLines="50"/>
              <w:jc w:val="center"/>
              <w:rPr>
                <w:rFonts w:hint="eastAsia" w:ascii="宋体" w:hAnsi="宋体" w:cs="宋体"/>
                <w:color w:val="auto"/>
                <w:sz w:val="24"/>
                <w:highlight w:val="none"/>
              </w:rPr>
            </w:pPr>
          </w:p>
        </w:tc>
      </w:tr>
      <w:tr w14:paraId="55899E92">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444E33DA">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2CB2606">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2E8F256">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03CE863F">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17A9A57">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389973E4">
            <w:pPr>
              <w:adjustRightInd w:val="0"/>
              <w:snapToGrid w:val="0"/>
              <w:spacing w:before="50" w:after="120" w:afterLines="50"/>
              <w:jc w:val="center"/>
              <w:rPr>
                <w:rFonts w:hint="eastAsia" w:ascii="宋体" w:hAnsi="宋体" w:cs="宋体"/>
                <w:color w:val="auto"/>
                <w:sz w:val="24"/>
                <w:highlight w:val="none"/>
              </w:rPr>
            </w:pPr>
          </w:p>
        </w:tc>
      </w:tr>
      <w:tr w14:paraId="42A9736F">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1A61E756">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A46064C">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E9EB21B">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0B6352A5">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3A285A54">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D07B43C">
            <w:pPr>
              <w:adjustRightInd w:val="0"/>
              <w:snapToGrid w:val="0"/>
              <w:spacing w:before="50" w:after="120" w:afterLines="50"/>
              <w:jc w:val="center"/>
              <w:rPr>
                <w:rFonts w:hint="eastAsia" w:ascii="宋体" w:hAnsi="宋体" w:cs="宋体"/>
                <w:color w:val="auto"/>
                <w:sz w:val="24"/>
                <w:highlight w:val="none"/>
              </w:rPr>
            </w:pPr>
          </w:p>
        </w:tc>
      </w:tr>
      <w:tr w14:paraId="1C70B47B">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33507A61">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572E968">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CECC555">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70C546C">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65C06711">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51A10D8">
            <w:pPr>
              <w:adjustRightInd w:val="0"/>
              <w:snapToGrid w:val="0"/>
              <w:spacing w:before="50" w:after="120" w:afterLines="50"/>
              <w:jc w:val="center"/>
              <w:rPr>
                <w:rFonts w:hint="eastAsia" w:ascii="宋体" w:hAnsi="宋体" w:cs="宋体"/>
                <w:color w:val="auto"/>
                <w:sz w:val="24"/>
                <w:highlight w:val="none"/>
              </w:rPr>
            </w:pPr>
          </w:p>
        </w:tc>
      </w:tr>
      <w:tr w14:paraId="76B3AA30">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1B7F762C">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D9182F9">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62F752D">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B8447EC">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38FFC7CD">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BD593E5">
            <w:pPr>
              <w:adjustRightInd w:val="0"/>
              <w:snapToGrid w:val="0"/>
              <w:spacing w:before="50" w:after="120" w:afterLines="50"/>
              <w:jc w:val="center"/>
              <w:rPr>
                <w:rFonts w:hint="eastAsia" w:ascii="宋体" w:hAnsi="宋体" w:cs="宋体"/>
                <w:color w:val="auto"/>
                <w:sz w:val="24"/>
                <w:highlight w:val="none"/>
              </w:rPr>
            </w:pPr>
          </w:p>
        </w:tc>
      </w:tr>
      <w:tr w14:paraId="48798431">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348B45B0">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BC6B3C8">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987186F">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15D7833">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0123F162">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E0031A2">
            <w:pPr>
              <w:adjustRightInd w:val="0"/>
              <w:snapToGrid w:val="0"/>
              <w:spacing w:before="50" w:after="120" w:afterLines="50"/>
              <w:jc w:val="center"/>
              <w:rPr>
                <w:rFonts w:hint="eastAsia" w:ascii="宋体" w:hAnsi="宋体" w:cs="宋体"/>
                <w:color w:val="auto"/>
                <w:sz w:val="24"/>
                <w:highlight w:val="none"/>
              </w:rPr>
            </w:pPr>
          </w:p>
        </w:tc>
      </w:tr>
      <w:tr w14:paraId="23CB651A">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1F5C7A68">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24B74FA">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EF31F24">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5556FE6">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64CB5D21">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416040CB">
            <w:pPr>
              <w:adjustRightInd w:val="0"/>
              <w:snapToGrid w:val="0"/>
              <w:spacing w:before="50" w:after="120" w:afterLines="50"/>
              <w:jc w:val="center"/>
              <w:rPr>
                <w:rFonts w:hint="eastAsia" w:ascii="宋体" w:hAnsi="宋体" w:cs="宋体"/>
                <w:color w:val="auto"/>
                <w:sz w:val="24"/>
                <w:highlight w:val="none"/>
              </w:rPr>
            </w:pPr>
          </w:p>
        </w:tc>
      </w:tr>
      <w:tr w14:paraId="5335E74A">
        <w:tblPrEx>
          <w:tblCellMar>
            <w:top w:w="0" w:type="dxa"/>
            <w:left w:w="108" w:type="dxa"/>
            <w:bottom w:w="0" w:type="dxa"/>
            <w:right w:w="108" w:type="dxa"/>
          </w:tblCellMar>
        </w:tblPrEx>
        <w:trPr>
          <w:trHeight w:val="77" w:hRule="atLeast"/>
        </w:trPr>
        <w:tc>
          <w:tcPr>
            <w:tcW w:w="1741" w:type="dxa"/>
            <w:tcBorders>
              <w:top w:val="single" w:color="auto" w:sz="4" w:space="0"/>
              <w:left w:val="single" w:color="auto" w:sz="4" w:space="0"/>
              <w:bottom w:val="single" w:color="auto" w:sz="4" w:space="0"/>
              <w:right w:val="single" w:color="auto" w:sz="4" w:space="0"/>
            </w:tcBorders>
            <w:noWrap w:val="0"/>
            <w:vAlign w:val="center"/>
          </w:tcPr>
          <w:p w14:paraId="12AA217D">
            <w:pPr>
              <w:adjustRightInd w:val="0"/>
              <w:snapToGrid w:val="0"/>
              <w:spacing w:before="50" w:after="120" w:afterLines="50"/>
              <w:jc w:val="center"/>
              <w:rPr>
                <w:rFonts w:hint="eastAsia" w:ascii="宋体" w:hAnsi="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CB211FE">
            <w:pPr>
              <w:adjustRightInd w:val="0"/>
              <w:snapToGrid w:val="0"/>
              <w:spacing w:before="50" w:after="120" w:afterLines="50"/>
              <w:jc w:val="center"/>
              <w:rPr>
                <w:rFonts w:hint="eastAsia" w:ascii="宋体" w:hAnsi="宋体" w:cs="宋体"/>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C9AA11A">
            <w:pPr>
              <w:adjustRightInd w:val="0"/>
              <w:snapToGrid w:val="0"/>
              <w:spacing w:before="50" w:after="120" w:afterLines="50"/>
              <w:jc w:val="center"/>
              <w:rPr>
                <w:rFonts w:hint="eastAsia" w:ascii="宋体" w:hAnsi="宋体" w:cs="宋体"/>
                <w:color w:val="auto"/>
                <w:sz w:val="24"/>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6909EA9D">
            <w:pPr>
              <w:adjustRightInd w:val="0"/>
              <w:snapToGrid w:val="0"/>
              <w:spacing w:before="50" w:after="120" w:afterLines="50"/>
              <w:jc w:val="center"/>
              <w:rPr>
                <w:rFonts w:hint="eastAsia" w:ascii="宋体" w:hAnsi="宋体" w:cs="宋体"/>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76E23FDC">
            <w:pPr>
              <w:adjustRightInd w:val="0"/>
              <w:snapToGrid w:val="0"/>
              <w:spacing w:before="50" w:after="120" w:afterLines="50"/>
              <w:jc w:val="center"/>
              <w:rPr>
                <w:rFonts w:hint="eastAsia" w:ascii="宋体" w:hAnsi="宋体" w:cs="宋体"/>
                <w:color w:val="auto"/>
                <w:sz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36402E36">
            <w:pPr>
              <w:adjustRightInd w:val="0"/>
              <w:snapToGrid w:val="0"/>
              <w:spacing w:before="50" w:after="120" w:afterLines="50"/>
              <w:jc w:val="center"/>
              <w:rPr>
                <w:rFonts w:hint="eastAsia" w:ascii="宋体" w:hAnsi="宋体" w:cs="宋体"/>
                <w:color w:val="auto"/>
                <w:sz w:val="24"/>
                <w:highlight w:val="none"/>
              </w:rPr>
            </w:pPr>
          </w:p>
        </w:tc>
      </w:tr>
    </w:tbl>
    <w:p w14:paraId="7C6218D8">
      <w:pPr>
        <w:snapToGrid w:val="0"/>
        <w:spacing w:before="50" w:after="120" w:afterLines="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注：需提供相关</w:t>
      </w:r>
      <w:r>
        <w:rPr>
          <w:rFonts w:hint="eastAsia" w:ascii="宋体" w:hAnsi="宋体" w:cs="宋体"/>
          <w:b w:val="0"/>
          <w:bCs w:val="0"/>
          <w:color w:val="auto"/>
          <w:sz w:val="24"/>
          <w:highlight w:val="none"/>
          <w:lang w:eastAsia="zh-CN"/>
        </w:rPr>
        <w:t>中标通知书或</w:t>
      </w:r>
      <w:r>
        <w:rPr>
          <w:rFonts w:hint="eastAsia" w:ascii="宋体" w:hAnsi="宋体" w:cs="宋体"/>
          <w:b w:val="0"/>
          <w:bCs w:val="0"/>
          <w:color w:val="auto"/>
          <w:sz w:val="24"/>
          <w:highlight w:val="none"/>
        </w:rPr>
        <w:t>合同复印件，原件备查。</w:t>
      </w:r>
    </w:p>
    <w:p w14:paraId="74F5A24A">
      <w:pPr>
        <w:snapToGrid w:val="0"/>
        <w:spacing w:before="50" w:after="120" w:afterLines="50"/>
        <w:jc w:val="left"/>
        <w:rPr>
          <w:rFonts w:hint="eastAsia" w:ascii="宋体" w:hAnsi="宋体" w:cs="宋体"/>
          <w:color w:val="auto"/>
          <w:sz w:val="28"/>
          <w:szCs w:val="28"/>
          <w:highlight w:val="none"/>
        </w:rPr>
      </w:pPr>
    </w:p>
    <w:p w14:paraId="0248D90C">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0E5AA932">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48CB7F0E">
      <w:pPr>
        <w:snapToGrid w:val="0"/>
        <w:spacing w:before="120" w:beforeLines="50" w:after="50"/>
        <w:ind w:firstLine="720" w:firstLineChars="300"/>
        <w:rPr>
          <w:rFonts w:hint="eastAsia" w:ascii="宋体" w:hAnsi="宋体" w:cs="宋体"/>
          <w:color w:val="auto"/>
          <w:sz w:val="24"/>
          <w:highlight w:val="none"/>
        </w:rPr>
      </w:pPr>
    </w:p>
    <w:p w14:paraId="6F73D7ED">
      <w:pPr>
        <w:pStyle w:val="23"/>
        <w:ind w:firstLine="466"/>
        <w:rPr>
          <w:rFonts w:hint="eastAsia" w:hAnsi="宋体" w:cs="宋体"/>
          <w:b/>
          <w:color w:val="auto"/>
          <w:sz w:val="24"/>
          <w:highlight w:val="none"/>
        </w:rPr>
      </w:pPr>
    </w:p>
    <w:p w14:paraId="52B141B6">
      <w:pPr>
        <w:pStyle w:val="23"/>
        <w:ind w:firstLine="466"/>
        <w:rPr>
          <w:rFonts w:hint="eastAsia" w:hAnsi="宋体" w:cs="宋体"/>
          <w:b/>
          <w:color w:val="auto"/>
          <w:sz w:val="24"/>
          <w:highlight w:val="none"/>
        </w:rPr>
      </w:pPr>
    </w:p>
    <w:p w14:paraId="1C6D16F6">
      <w:pPr>
        <w:pStyle w:val="23"/>
        <w:ind w:firstLine="466"/>
        <w:rPr>
          <w:rFonts w:hint="eastAsia" w:hAnsi="宋体" w:cs="宋体"/>
          <w:b/>
          <w:color w:val="auto"/>
          <w:sz w:val="24"/>
          <w:highlight w:val="none"/>
        </w:rPr>
      </w:pPr>
    </w:p>
    <w:p w14:paraId="696802EB">
      <w:pPr>
        <w:snapToGrid w:val="0"/>
        <w:spacing w:line="360" w:lineRule="auto"/>
        <w:ind w:firstLine="482" w:firstLineChars="200"/>
        <w:jc w:val="center"/>
        <w:rPr>
          <w:rFonts w:hint="eastAsia" w:ascii="宋体" w:hAnsi="宋体" w:cs="宋体"/>
          <w:b/>
          <w:bCs/>
          <w:color w:val="auto"/>
          <w:sz w:val="24"/>
          <w:highlight w:val="none"/>
        </w:rPr>
      </w:pPr>
    </w:p>
    <w:p w14:paraId="49CF9535">
      <w:pPr>
        <w:snapToGrid w:val="0"/>
        <w:spacing w:line="360" w:lineRule="auto"/>
        <w:ind w:firstLine="482" w:firstLineChars="200"/>
        <w:jc w:val="center"/>
        <w:rPr>
          <w:rFonts w:hint="eastAsia" w:ascii="宋体" w:hAnsi="宋体" w:cs="宋体"/>
          <w:b/>
          <w:bCs/>
          <w:color w:val="auto"/>
          <w:sz w:val="24"/>
          <w:highlight w:val="none"/>
        </w:rPr>
      </w:pPr>
    </w:p>
    <w:p w14:paraId="0EA21621">
      <w:pPr>
        <w:pStyle w:val="2"/>
        <w:keepNext w:val="0"/>
        <w:keepLines w:val="0"/>
        <w:pageBreakBefore/>
        <w:spacing w:line="415" w:lineRule="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项目实施人员一览表:</w:t>
      </w:r>
    </w:p>
    <w:p w14:paraId="650AAA6D">
      <w:pPr>
        <w:snapToGrid w:val="0"/>
        <w:spacing w:line="360" w:lineRule="auto"/>
        <w:jc w:val="center"/>
        <w:rPr>
          <w:rFonts w:hint="eastAsia"/>
          <w:color w:val="auto"/>
          <w:highlight w:val="none"/>
        </w:rPr>
      </w:pPr>
    </w:p>
    <w:p w14:paraId="05EB7C88">
      <w:pPr>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项目实施人员一览表</w:t>
      </w:r>
    </w:p>
    <w:p w14:paraId="556EED12">
      <w:pPr>
        <w:snapToGrid w:val="0"/>
        <w:spacing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招标编号：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25"/>
        <w:tblW w:w="933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0"/>
        <w:gridCol w:w="1149"/>
        <w:gridCol w:w="1904"/>
        <w:gridCol w:w="1442"/>
        <w:gridCol w:w="3688"/>
      </w:tblGrid>
      <w:tr w14:paraId="156BF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150" w:type="dxa"/>
            <w:tcBorders>
              <w:top w:val="single" w:color="auto" w:sz="4" w:space="0"/>
              <w:left w:val="single" w:color="auto" w:sz="4" w:space="0"/>
              <w:bottom w:val="single" w:color="auto" w:sz="4" w:space="0"/>
              <w:right w:val="single" w:color="auto" w:sz="4" w:space="0"/>
            </w:tcBorders>
            <w:noWrap w:val="0"/>
            <w:vAlign w:val="center"/>
          </w:tcPr>
          <w:p w14:paraId="1C9D0DCE">
            <w:pPr>
              <w:snapToGrid w:val="0"/>
              <w:jc w:val="center"/>
              <w:rPr>
                <w:rFonts w:ascii="宋体" w:hAnsi="宋体"/>
                <w:color w:val="auto"/>
                <w:sz w:val="24"/>
                <w:highlight w:val="none"/>
              </w:rPr>
            </w:pPr>
            <w:r>
              <w:rPr>
                <w:rFonts w:hint="eastAsia" w:ascii="宋体" w:hAnsi="宋体"/>
                <w:color w:val="auto"/>
                <w:sz w:val="24"/>
                <w:highlight w:val="none"/>
              </w:rPr>
              <w:t>姓名</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93E0130">
            <w:pPr>
              <w:snapToGrid w:val="0"/>
              <w:jc w:val="center"/>
              <w:rPr>
                <w:rFonts w:ascii="宋体" w:hAnsi="宋体"/>
                <w:color w:val="auto"/>
                <w:sz w:val="24"/>
                <w:highlight w:val="none"/>
              </w:rPr>
            </w:pPr>
            <w:r>
              <w:rPr>
                <w:rFonts w:hint="eastAsia" w:ascii="宋体" w:hAnsi="宋体"/>
                <w:color w:val="auto"/>
                <w:sz w:val="24"/>
                <w:highlight w:val="none"/>
              </w:rPr>
              <w:t>职务</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2ADA3DB">
            <w:pPr>
              <w:snapToGrid w:val="0"/>
              <w:jc w:val="center"/>
              <w:rPr>
                <w:rFonts w:ascii="宋体" w:hAnsi="宋体"/>
                <w:color w:val="auto"/>
                <w:sz w:val="24"/>
                <w:highlight w:val="none"/>
              </w:rPr>
            </w:pPr>
            <w:r>
              <w:rPr>
                <w:rFonts w:hint="eastAsia" w:ascii="宋体" w:hAnsi="宋体"/>
                <w:color w:val="auto"/>
                <w:sz w:val="24"/>
                <w:highlight w:val="none"/>
              </w:rPr>
              <w:t>专业技术资格</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0E76E0D">
            <w:pPr>
              <w:snapToGrid w:val="0"/>
              <w:jc w:val="center"/>
              <w:rPr>
                <w:rFonts w:ascii="宋体" w:hAnsi="宋体"/>
                <w:color w:val="auto"/>
                <w:sz w:val="24"/>
                <w:highlight w:val="none"/>
              </w:rPr>
            </w:pPr>
            <w:r>
              <w:rPr>
                <w:rFonts w:hint="eastAsia" w:ascii="宋体" w:hAnsi="宋体"/>
                <w:color w:val="auto"/>
                <w:sz w:val="24"/>
                <w:highlight w:val="none"/>
              </w:rPr>
              <w:t>证书编号</w:t>
            </w:r>
          </w:p>
        </w:tc>
        <w:tc>
          <w:tcPr>
            <w:tcW w:w="3688" w:type="dxa"/>
            <w:tcBorders>
              <w:top w:val="single" w:color="auto" w:sz="4" w:space="0"/>
              <w:left w:val="single" w:color="auto" w:sz="4" w:space="0"/>
              <w:bottom w:val="single" w:color="auto" w:sz="4" w:space="0"/>
              <w:right w:val="single" w:color="auto" w:sz="4" w:space="0"/>
            </w:tcBorders>
            <w:noWrap w:val="0"/>
            <w:vAlign w:val="center"/>
          </w:tcPr>
          <w:p w14:paraId="252CEE4B">
            <w:pPr>
              <w:snapToGrid w:val="0"/>
              <w:jc w:val="center"/>
              <w:rPr>
                <w:rFonts w:ascii="宋体" w:hAnsi="宋体"/>
                <w:bCs/>
                <w:color w:val="auto"/>
                <w:sz w:val="24"/>
                <w:highlight w:val="none"/>
              </w:rPr>
            </w:pPr>
            <w:r>
              <w:rPr>
                <w:rFonts w:hint="eastAsia" w:ascii="宋体" w:hAnsi="宋体"/>
                <w:bCs/>
                <w:color w:val="auto"/>
                <w:sz w:val="24"/>
                <w:highlight w:val="none"/>
              </w:rPr>
              <w:t>参加本单位工作时间</w:t>
            </w:r>
          </w:p>
        </w:tc>
      </w:tr>
      <w:tr w14:paraId="1EA49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14:paraId="7139F98D">
            <w:pPr>
              <w:snapToGrid w:val="0"/>
              <w:spacing w:line="360" w:lineRule="auto"/>
              <w:rPr>
                <w:rFonts w:ascii="宋体" w:hAnsi="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79ECB4B2">
            <w:pPr>
              <w:snapToGrid w:val="0"/>
              <w:spacing w:line="360" w:lineRule="auto"/>
              <w:rPr>
                <w:rFonts w:ascii="宋体" w:hAnsi="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BA5FDE7">
            <w:pPr>
              <w:snapToGrid w:val="0"/>
              <w:spacing w:line="360" w:lineRule="auto"/>
              <w:rPr>
                <w:rFonts w:ascii="宋体" w:hAnsi="宋体"/>
                <w:color w:val="auto"/>
                <w:sz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52F21EFD">
            <w:pPr>
              <w:snapToGrid w:val="0"/>
              <w:spacing w:line="360" w:lineRule="auto"/>
              <w:rPr>
                <w:rFonts w:ascii="宋体" w:hAnsi="宋体"/>
                <w:color w:val="auto"/>
                <w:sz w:val="24"/>
                <w:highlight w:val="none"/>
              </w:rPr>
            </w:pPr>
          </w:p>
        </w:tc>
        <w:tc>
          <w:tcPr>
            <w:tcW w:w="3688" w:type="dxa"/>
            <w:tcBorders>
              <w:top w:val="single" w:color="auto" w:sz="4" w:space="0"/>
              <w:left w:val="single" w:color="auto" w:sz="4" w:space="0"/>
              <w:bottom w:val="single" w:color="auto" w:sz="4" w:space="0"/>
              <w:right w:val="single" w:color="auto" w:sz="4" w:space="0"/>
            </w:tcBorders>
            <w:noWrap w:val="0"/>
            <w:vAlign w:val="top"/>
          </w:tcPr>
          <w:p w14:paraId="31E94CD6">
            <w:pPr>
              <w:snapToGrid w:val="0"/>
              <w:spacing w:line="360" w:lineRule="auto"/>
              <w:rPr>
                <w:rFonts w:ascii="宋体" w:hAnsi="宋体"/>
                <w:color w:val="auto"/>
                <w:sz w:val="24"/>
                <w:highlight w:val="none"/>
              </w:rPr>
            </w:pPr>
          </w:p>
        </w:tc>
      </w:tr>
      <w:tr w14:paraId="2FE49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14:paraId="4B0645DA">
            <w:pPr>
              <w:snapToGrid w:val="0"/>
              <w:spacing w:line="360" w:lineRule="auto"/>
              <w:rPr>
                <w:rFonts w:ascii="宋体" w:hAnsi="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0E124205">
            <w:pPr>
              <w:snapToGrid w:val="0"/>
              <w:spacing w:line="360" w:lineRule="auto"/>
              <w:rPr>
                <w:rFonts w:ascii="宋体" w:hAnsi="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A06F755">
            <w:pPr>
              <w:snapToGrid w:val="0"/>
              <w:spacing w:line="360" w:lineRule="auto"/>
              <w:rPr>
                <w:rFonts w:ascii="宋体" w:hAnsi="宋体"/>
                <w:color w:val="auto"/>
                <w:sz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0FAC9727">
            <w:pPr>
              <w:snapToGrid w:val="0"/>
              <w:spacing w:line="360" w:lineRule="auto"/>
              <w:rPr>
                <w:rFonts w:ascii="宋体" w:hAnsi="宋体"/>
                <w:color w:val="auto"/>
                <w:sz w:val="24"/>
                <w:highlight w:val="none"/>
              </w:rPr>
            </w:pPr>
          </w:p>
        </w:tc>
        <w:tc>
          <w:tcPr>
            <w:tcW w:w="3688" w:type="dxa"/>
            <w:tcBorders>
              <w:top w:val="single" w:color="auto" w:sz="4" w:space="0"/>
              <w:left w:val="single" w:color="auto" w:sz="4" w:space="0"/>
              <w:bottom w:val="single" w:color="auto" w:sz="4" w:space="0"/>
              <w:right w:val="single" w:color="auto" w:sz="4" w:space="0"/>
            </w:tcBorders>
            <w:noWrap w:val="0"/>
            <w:vAlign w:val="top"/>
          </w:tcPr>
          <w:p w14:paraId="25698B8D">
            <w:pPr>
              <w:snapToGrid w:val="0"/>
              <w:spacing w:line="360" w:lineRule="auto"/>
              <w:rPr>
                <w:rFonts w:ascii="宋体" w:hAnsi="宋体"/>
                <w:color w:val="auto"/>
                <w:sz w:val="24"/>
                <w:highlight w:val="none"/>
              </w:rPr>
            </w:pPr>
          </w:p>
        </w:tc>
      </w:tr>
      <w:tr w14:paraId="2B1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14:paraId="26DD0BF6">
            <w:pPr>
              <w:snapToGrid w:val="0"/>
              <w:spacing w:line="360" w:lineRule="auto"/>
              <w:rPr>
                <w:rFonts w:ascii="宋体" w:hAnsi="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581E5BC6">
            <w:pPr>
              <w:snapToGrid w:val="0"/>
              <w:spacing w:line="360" w:lineRule="auto"/>
              <w:rPr>
                <w:rFonts w:ascii="宋体" w:hAnsi="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30C3938">
            <w:pPr>
              <w:snapToGrid w:val="0"/>
              <w:spacing w:line="360" w:lineRule="auto"/>
              <w:ind w:left="5250" w:leftChars="2500"/>
              <w:rPr>
                <w:rFonts w:ascii="宋体" w:hAnsi="宋体" w:eastAsia="楷体_GB2312"/>
                <w:color w:val="auto"/>
                <w:sz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51665253">
            <w:pPr>
              <w:snapToGrid w:val="0"/>
              <w:spacing w:line="360" w:lineRule="auto"/>
              <w:rPr>
                <w:rFonts w:ascii="宋体" w:hAnsi="宋体"/>
                <w:color w:val="auto"/>
                <w:sz w:val="24"/>
                <w:highlight w:val="none"/>
              </w:rPr>
            </w:pPr>
          </w:p>
        </w:tc>
        <w:tc>
          <w:tcPr>
            <w:tcW w:w="3688" w:type="dxa"/>
            <w:tcBorders>
              <w:top w:val="single" w:color="auto" w:sz="4" w:space="0"/>
              <w:left w:val="single" w:color="auto" w:sz="4" w:space="0"/>
              <w:bottom w:val="single" w:color="auto" w:sz="4" w:space="0"/>
              <w:right w:val="single" w:color="auto" w:sz="4" w:space="0"/>
            </w:tcBorders>
            <w:noWrap w:val="0"/>
            <w:vAlign w:val="top"/>
          </w:tcPr>
          <w:p w14:paraId="1B448534">
            <w:pPr>
              <w:snapToGrid w:val="0"/>
              <w:spacing w:line="360" w:lineRule="auto"/>
              <w:rPr>
                <w:rFonts w:ascii="宋体" w:hAnsi="宋体"/>
                <w:color w:val="auto"/>
                <w:sz w:val="24"/>
                <w:highlight w:val="none"/>
              </w:rPr>
            </w:pPr>
          </w:p>
        </w:tc>
      </w:tr>
      <w:tr w14:paraId="3286B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14:paraId="0AD64530">
            <w:pPr>
              <w:snapToGrid w:val="0"/>
              <w:spacing w:line="360" w:lineRule="auto"/>
              <w:rPr>
                <w:rFonts w:ascii="宋体" w:hAnsi="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2BDB3C7F">
            <w:pPr>
              <w:snapToGrid w:val="0"/>
              <w:spacing w:line="360" w:lineRule="auto"/>
              <w:rPr>
                <w:rFonts w:ascii="宋体" w:hAnsi="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A0CF9A6">
            <w:pPr>
              <w:snapToGrid w:val="0"/>
              <w:spacing w:line="360" w:lineRule="auto"/>
              <w:rPr>
                <w:rFonts w:ascii="宋体" w:hAnsi="宋体"/>
                <w:color w:val="auto"/>
                <w:sz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51AF8FE0">
            <w:pPr>
              <w:snapToGrid w:val="0"/>
              <w:spacing w:line="360" w:lineRule="auto"/>
              <w:rPr>
                <w:rFonts w:ascii="宋体" w:hAnsi="宋体"/>
                <w:color w:val="auto"/>
                <w:sz w:val="24"/>
                <w:highlight w:val="none"/>
              </w:rPr>
            </w:pPr>
          </w:p>
        </w:tc>
        <w:tc>
          <w:tcPr>
            <w:tcW w:w="3688" w:type="dxa"/>
            <w:tcBorders>
              <w:top w:val="single" w:color="auto" w:sz="4" w:space="0"/>
              <w:left w:val="single" w:color="auto" w:sz="4" w:space="0"/>
              <w:bottom w:val="single" w:color="auto" w:sz="4" w:space="0"/>
              <w:right w:val="single" w:color="auto" w:sz="4" w:space="0"/>
            </w:tcBorders>
            <w:noWrap w:val="0"/>
            <w:vAlign w:val="top"/>
          </w:tcPr>
          <w:p w14:paraId="58AB9F89">
            <w:pPr>
              <w:snapToGrid w:val="0"/>
              <w:spacing w:line="360" w:lineRule="auto"/>
              <w:rPr>
                <w:rFonts w:ascii="宋体" w:hAnsi="宋体"/>
                <w:color w:val="auto"/>
                <w:sz w:val="24"/>
                <w:highlight w:val="none"/>
              </w:rPr>
            </w:pPr>
          </w:p>
        </w:tc>
      </w:tr>
      <w:tr w14:paraId="6E524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14:paraId="44522CCC">
            <w:pPr>
              <w:snapToGrid w:val="0"/>
              <w:spacing w:line="360" w:lineRule="auto"/>
              <w:rPr>
                <w:rFonts w:ascii="宋体" w:hAnsi="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1153517E">
            <w:pPr>
              <w:snapToGrid w:val="0"/>
              <w:spacing w:line="360" w:lineRule="auto"/>
              <w:rPr>
                <w:rFonts w:ascii="宋体" w:hAnsi="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C0F77DE">
            <w:pPr>
              <w:snapToGrid w:val="0"/>
              <w:spacing w:line="360" w:lineRule="auto"/>
              <w:rPr>
                <w:rFonts w:ascii="宋体" w:hAnsi="宋体"/>
                <w:color w:val="auto"/>
                <w:sz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D49F825">
            <w:pPr>
              <w:snapToGrid w:val="0"/>
              <w:spacing w:line="360" w:lineRule="auto"/>
              <w:rPr>
                <w:rFonts w:ascii="宋体" w:hAnsi="宋体"/>
                <w:color w:val="auto"/>
                <w:sz w:val="24"/>
                <w:highlight w:val="none"/>
              </w:rPr>
            </w:pPr>
          </w:p>
        </w:tc>
        <w:tc>
          <w:tcPr>
            <w:tcW w:w="3688" w:type="dxa"/>
            <w:tcBorders>
              <w:top w:val="single" w:color="auto" w:sz="4" w:space="0"/>
              <w:left w:val="single" w:color="auto" w:sz="4" w:space="0"/>
              <w:bottom w:val="single" w:color="auto" w:sz="4" w:space="0"/>
              <w:right w:val="single" w:color="auto" w:sz="4" w:space="0"/>
            </w:tcBorders>
            <w:noWrap w:val="0"/>
            <w:vAlign w:val="top"/>
          </w:tcPr>
          <w:p w14:paraId="370F097E">
            <w:pPr>
              <w:snapToGrid w:val="0"/>
              <w:spacing w:line="360" w:lineRule="auto"/>
              <w:rPr>
                <w:rFonts w:ascii="宋体" w:hAnsi="宋体"/>
                <w:color w:val="auto"/>
                <w:sz w:val="24"/>
                <w:highlight w:val="none"/>
              </w:rPr>
            </w:pPr>
          </w:p>
        </w:tc>
      </w:tr>
      <w:tr w14:paraId="34FBE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14:paraId="2EEC53F6">
            <w:pPr>
              <w:snapToGrid w:val="0"/>
              <w:spacing w:line="360" w:lineRule="auto"/>
              <w:rPr>
                <w:rFonts w:ascii="宋体" w:hAnsi="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519894A8">
            <w:pPr>
              <w:snapToGrid w:val="0"/>
              <w:spacing w:line="360" w:lineRule="auto"/>
              <w:rPr>
                <w:rFonts w:ascii="宋体" w:hAnsi="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B963B03">
            <w:pPr>
              <w:snapToGrid w:val="0"/>
              <w:spacing w:line="360" w:lineRule="auto"/>
              <w:rPr>
                <w:rFonts w:ascii="宋体" w:hAnsi="宋体"/>
                <w:color w:val="auto"/>
                <w:sz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0F3F49D2">
            <w:pPr>
              <w:snapToGrid w:val="0"/>
              <w:spacing w:line="360" w:lineRule="auto"/>
              <w:rPr>
                <w:rFonts w:ascii="宋体" w:hAnsi="宋体"/>
                <w:color w:val="auto"/>
                <w:sz w:val="24"/>
                <w:highlight w:val="none"/>
              </w:rPr>
            </w:pPr>
          </w:p>
        </w:tc>
        <w:tc>
          <w:tcPr>
            <w:tcW w:w="3688" w:type="dxa"/>
            <w:tcBorders>
              <w:top w:val="single" w:color="auto" w:sz="4" w:space="0"/>
              <w:left w:val="single" w:color="auto" w:sz="4" w:space="0"/>
              <w:bottom w:val="single" w:color="auto" w:sz="4" w:space="0"/>
              <w:right w:val="single" w:color="auto" w:sz="4" w:space="0"/>
            </w:tcBorders>
            <w:noWrap w:val="0"/>
            <w:vAlign w:val="top"/>
          </w:tcPr>
          <w:p w14:paraId="2AF914A3">
            <w:pPr>
              <w:snapToGrid w:val="0"/>
              <w:spacing w:line="360" w:lineRule="auto"/>
              <w:rPr>
                <w:rFonts w:ascii="宋体" w:hAnsi="宋体"/>
                <w:color w:val="auto"/>
                <w:sz w:val="24"/>
                <w:highlight w:val="none"/>
              </w:rPr>
            </w:pPr>
          </w:p>
        </w:tc>
      </w:tr>
      <w:tr w14:paraId="62D1B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14:paraId="2945C11D">
            <w:pPr>
              <w:snapToGrid w:val="0"/>
              <w:spacing w:line="360" w:lineRule="auto"/>
              <w:rPr>
                <w:rFonts w:ascii="宋体" w:hAnsi="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3AEAA05F">
            <w:pPr>
              <w:snapToGrid w:val="0"/>
              <w:spacing w:line="360" w:lineRule="auto"/>
              <w:rPr>
                <w:rFonts w:ascii="宋体" w:hAnsi="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53F51E3">
            <w:pPr>
              <w:snapToGrid w:val="0"/>
              <w:spacing w:line="360" w:lineRule="auto"/>
              <w:rPr>
                <w:rFonts w:ascii="宋体" w:hAnsi="宋体"/>
                <w:color w:val="auto"/>
                <w:sz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74F02D05">
            <w:pPr>
              <w:snapToGrid w:val="0"/>
              <w:spacing w:line="360" w:lineRule="auto"/>
              <w:rPr>
                <w:rFonts w:ascii="宋体" w:hAnsi="宋体"/>
                <w:color w:val="auto"/>
                <w:sz w:val="24"/>
                <w:highlight w:val="none"/>
              </w:rPr>
            </w:pPr>
          </w:p>
        </w:tc>
        <w:tc>
          <w:tcPr>
            <w:tcW w:w="3688" w:type="dxa"/>
            <w:tcBorders>
              <w:top w:val="single" w:color="auto" w:sz="4" w:space="0"/>
              <w:left w:val="single" w:color="auto" w:sz="4" w:space="0"/>
              <w:bottom w:val="single" w:color="auto" w:sz="4" w:space="0"/>
              <w:right w:val="single" w:color="auto" w:sz="4" w:space="0"/>
            </w:tcBorders>
            <w:noWrap w:val="0"/>
            <w:vAlign w:val="top"/>
          </w:tcPr>
          <w:p w14:paraId="67C55342">
            <w:pPr>
              <w:snapToGrid w:val="0"/>
              <w:spacing w:line="360" w:lineRule="auto"/>
              <w:rPr>
                <w:rFonts w:ascii="宋体" w:hAnsi="宋体"/>
                <w:color w:val="auto"/>
                <w:sz w:val="24"/>
                <w:highlight w:val="none"/>
              </w:rPr>
            </w:pPr>
          </w:p>
        </w:tc>
      </w:tr>
      <w:tr w14:paraId="1053D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14:paraId="6F9CFB1B">
            <w:pPr>
              <w:snapToGrid w:val="0"/>
              <w:spacing w:line="360" w:lineRule="auto"/>
              <w:rPr>
                <w:rFonts w:ascii="宋体" w:hAnsi="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7061F839">
            <w:pPr>
              <w:snapToGrid w:val="0"/>
              <w:spacing w:line="360" w:lineRule="auto"/>
              <w:rPr>
                <w:rFonts w:ascii="宋体" w:hAnsi="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EC2732D">
            <w:pPr>
              <w:snapToGrid w:val="0"/>
              <w:spacing w:line="360" w:lineRule="auto"/>
              <w:rPr>
                <w:rFonts w:ascii="宋体" w:hAnsi="宋体"/>
                <w:color w:val="auto"/>
                <w:sz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177C9707">
            <w:pPr>
              <w:snapToGrid w:val="0"/>
              <w:spacing w:line="360" w:lineRule="auto"/>
              <w:rPr>
                <w:rFonts w:ascii="宋体" w:hAnsi="宋体"/>
                <w:color w:val="auto"/>
                <w:sz w:val="24"/>
                <w:highlight w:val="none"/>
              </w:rPr>
            </w:pPr>
          </w:p>
        </w:tc>
        <w:tc>
          <w:tcPr>
            <w:tcW w:w="3688" w:type="dxa"/>
            <w:tcBorders>
              <w:top w:val="single" w:color="auto" w:sz="4" w:space="0"/>
              <w:left w:val="single" w:color="auto" w:sz="4" w:space="0"/>
              <w:bottom w:val="single" w:color="auto" w:sz="4" w:space="0"/>
              <w:right w:val="single" w:color="auto" w:sz="4" w:space="0"/>
            </w:tcBorders>
            <w:noWrap w:val="0"/>
            <w:vAlign w:val="top"/>
          </w:tcPr>
          <w:p w14:paraId="454F8889">
            <w:pPr>
              <w:snapToGrid w:val="0"/>
              <w:spacing w:line="360" w:lineRule="auto"/>
              <w:rPr>
                <w:rFonts w:ascii="宋体" w:hAnsi="宋体"/>
                <w:color w:val="auto"/>
                <w:sz w:val="24"/>
                <w:highlight w:val="none"/>
              </w:rPr>
            </w:pPr>
          </w:p>
        </w:tc>
      </w:tr>
      <w:tr w14:paraId="07CD7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14:paraId="590EE285">
            <w:pPr>
              <w:snapToGrid w:val="0"/>
              <w:spacing w:line="360" w:lineRule="auto"/>
              <w:rPr>
                <w:rFonts w:ascii="宋体" w:hAnsi="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14:paraId="7AC5AD74">
            <w:pPr>
              <w:snapToGrid w:val="0"/>
              <w:spacing w:line="360" w:lineRule="auto"/>
              <w:rPr>
                <w:rFonts w:ascii="宋体" w:hAnsi="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950815">
            <w:pPr>
              <w:snapToGrid w:val="0"/>
              <w:spacing w:line="360" w:lineRule="auto"/>
              <w:rPr>
                <w:rFonts w:ascii="宋体" w:hAnsi="宋体"/>
                <w:color w:val="auto"/>
                <w:sz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7E59A0C2">
            <w:pPr>
              <w:snapToGrid w:val="0"/>
              <w:spacing w:line="360" w:lineRule="auto"/>
              <w:rPr>
                <w:rFonts w:ascii="宋体" w:hAnsi="宋体"/>
                <w:color w:val="auto"/>
                <w:sz w:val="24"/>
                <w:highlight w:val="none"/>
              </w:rPr>
            </w:pPr>
          </w:p>
        </w:tc>
        <w:tc>
          <w:tcPr>
            <w:tcW w:w="3688" w:type="dxa"/>
            <w:tcBorders>
              <w:top w:val="single" w:color="auto" w:sz="4" w:space="0"/>
              <w:left w:val="single" w:color="auto" w:sz="4" w:space="0"/>
              <w:bottom w:val="single" w:color="auto" w:sz="4" w:space="0"/>
              <w:right w:val="single" w:color="auto" w:sz="4" w:space="0"/>
            </w:tcBorders>
            <w:noWrap w:val="0"/>
            <w:vAlign w:val="top"/>
          </w:tcPr>
          <w:p w14:paraId="2B8C8AFC">
            <w:pPr>
              <w:snapToGrid w:val="0"/>
              <w:spacing w:line="360" w:lineRule="auto"/>
              <w:rPr>
                <w:rFonts w:ascii="宋体" w:hAnsi="宋体"/>
                <w:color w:val="auto"/>
                <w:sz w:val="24"/>
                <w:highlight w:val="none"/>
              </w:rPr>
            </w:pPr>
          </w:p>
        </w:tc>
      </w:tr>
    </w:tbl>
    <w:p w14:paraId="4F365A7C">
      <w:pPr>
        <w:snapToGrid w:val="0"/>
        <w:spacing w:line="360" w:lineRule="auto"/>
        <w:rPr>
          <w:rFonts w:hint="eastAsia" w:ascii="宋体" w:hAnsi="宋体"/>
          <w:color w:val="auto"/>
          <w:sz w:val="24"/>
          <w:highlight w:val="none"/>
        </w:rPr>
      </w:pPr>
      <w:r>
        <w:rPr>
          <w:rFonts w:hint="eastAsia" w:ascii="宋体" w:hAnsi="宋体"/>
          <w:color w:val="auto"/>
          <w:sz w:val="24"/>
          <w:highlight w:val="none"/>
        </w:rPr>
        <w:t>注：此表后</w:t>
      </w:r>
      <w:r>
        <w:rPr>
          <w:rFonts w:hint="eastAsia" w:ascii="宋体" w:hAnsi="宋体"/>
          <w:color w:val="auto"/>
          <w:sz w:val="24"/>
          <w:highlight w:val="none"/>
          <w:lang w:eastAsia="zh-CN"/>
        </w:rPr>
        <w:t>附</w:t>
      </w:r>
      <w:r>
        <w:rPr>
          <w:rFonts w:hint="eastAsia" w:ascii="宋体" w:hAnsi="宋体"/>
          <w:color w:val="auto"/>
          <w:sz w:val="24"/>
          <w:highlight w:val="none"/>
        </w:rPr>
        <w:t>项目实施人员资格证书</w:t>
      </w:r>
      <w:r>
        <w:rPr>
          <w:rFonts w:hint="eastAsia" w:ascii="宋体" w:hAnsi="宋体"/>
          <w:color w:val="auto"/>
          <w:sz w:val="24"/>
          <w:highlight w:val="none"/>
          <w:lang w:eastAsia="zh-CN"/>
        </w:rPr>
        <w:t>等相关资料</w:t>
      </w:r>
      <w:r>
        <w:rPr>
          <w:rFonts w:hint="eastAsia" w:ascii="宋体" w:hAnsi="宋体"/>
          <w:color w:val="auto"/>
          <w:sz w:val="24"/>
          <w:highlight w:val="none"/>
        </w:rPr>
        <w:t>复印件。</w:t>
      </w:r>
    </w:p>
    <w:p w14:paraId="54950F19">
      <w:pPr>
        <w:snapToGrid w:val="0"/>
        <w:spacing w:line="360" w:lineRule="auto"/>
        <w:rPr>
          <w:rFonts w:hint="eastAsia" w:ascii="宋体" w:hAnsi="宋体"/>
          <w:color w:val="auto"/>
          <w:sz w:val="24"/>
          <w:highlight w:val="none"/>
        </w:rPr>
      </w:pPr>
    </w:p>
    <w:p w14:paraId="06B3D0E3">
      <w:pPr>
        <w:snapToGrid w:val="0"/>
        <w:spacing w:line="360" w:lineRule="auto"/>
        <w:rPr>
          <w:rFonts w:hint="eastAsia" w:ascii="宋体" w:hAnsi="宋体"/>
          <w:color w:val="auto"/>
          <w:sz w:val="24"/>
          <w:highlight w:val="none"/>
        </w:rPr>
      </w:pPr>
    </w:p>
    <w:p w14:paraId="0AA57BCB">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4BEE1D7F">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030066D5">
      <w:pPr>
        <w:pStyle w:val="23"/>
        <w:tabs>
          <w:tab w:val="left" w:pos="0"/>
          <w:tab w:val="left" w:pos="993"/>
          <w:tab w:val="left" w:pos="1134"/>
        </w:tabs>
        <w:rPr>
          <w:rFonts w:hint="eastAsia" w:hAnsi="宋体"/>
          <w:color w:val="auto"/>
          <w:sz w:val="24"/>
          <w:highlight w:val="none"/>
          <w:lang w:val="zh-CN"/>
        </w:rPr>
      </w:pPr>
    </w:p>
    <w:p w14:paraId="156EEF24">
      <w:pPr>
        <w:pStyle w:val="23"/>
        <w:tabs>
          <w:tab w:val="left" w:pos="0"/>
          <w:tab w:val="left" w:pos="993"/>
          <w:tab w:val="left" w:pos="1134"/>
        </w:tabs>
        <w:rPr>
          <w:rFonts w:hint="eastAsia" w:hAnsi="宋体"/>
          <w:color w:val="auto"/>
          <w:sz w:val="24"/>
          <w:highlight w:val="none"/>
          <w:lang w:val="zh-CN"/>
        </w:rPr>
      </w:pPr>
    </w:p>
    <w:p w14:paraId="09259086">
      <w:pPr>
        <w:snapToGrid w:val="0"/>
        <w:spacing w:line="360" w:lineRule="auto"/>
        <w:ind w:firstLine="482" w:firstLineChars="200"/>
        <w:jc w:val="center"/>
        <w:rPr>
          <w:rFonts w:hint="eastAsia" w:ascii="宋体" w:hAnsi="宋体" w:cs="宋体"/>
          <w:b/>
          <w:bCs/>
          <w:color w:val="auto"/>
          <w:sz w:val="24"/>
          <w:highlight w:val="none"/>
        </w:rPr>
      </w:pPr>
    </w:p>
    <w:p w14:paraId="6CD969DF">
      <w:pPr>
        <w:pStyle w:val="2"/>
        <w:keepNext w:val="0"/>
        <w:keepLines w:val="0"/>
        <w:pageBreakBefore/>
        <w:spacing w:line="276" w:lineRule="auto"/>
        <w:rPr>
          <w:rFonts w:hint="eastAsia" w:ascii="宋体" w:hAnsi="宋体" w:eastAsia="宋体" w:cs="宋体"/>
          <w:b/>
          <w:bCs w:val="0"/>
          <w:color w:val="auto"/>
          <w:kern w:val="2"/>
          <w:sz w:val="28"/>
          <w:szCs w:val="28"/>
          <w:highlight w:val="none"/>
          <w:lang w:val="en-US" w:eastAsia="zh-CN" w:bidi="ar-SA"/>
        </w:rPr>
      </w:pPr>
      <w:bookmarkStart w:id="28" w:name="_Toc7495"/>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kern w:val="2"/>
          <w:sz w:val="24"/>
          <w:szCs w:val="24"/>
          <w:highlight w:val="none"/>
          <w:lang w:val="en-US" w:eastAsia="zh-CN" w:bidi="ar-SA"/>
        </w:rPr>
        <w:t>联合体协议书（联合体投标时提供）</w:t>
      </w:r>
      <w:bookmarkEnd w:id="28"/>
      <w:r>
        <w:rPr>
          <w:rFonts w:hint="eastAsia" w:ascii="宋体" w:hAnsi="宋体" w:eastAsia="宋体" w:cs="宋体"/>
          <w:b/>
          <w:bCs w:val="0"/>
          <w:color w:val="auto"/>
          <w:kern w:val="2"/>
          <w:sz w:val="24"/>
          <w:szCs w:val="24"/>
          <w:highlight w:val="none"/>
          <w:lang w:val="en-US" w:eastAsia="zh-CN" w:bidi="ar-SA"/>
        </w:rPr>
        <w:t>：</w:t>
      </w:r>
    </w:p>
    <w:p w14:paraId="3F9DBF78">
      <w:pPr>
        <w:pStyle w:val="1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联合体协议书（联合体投标时提供）</w:t>
      </w:r>
    </w:p>
    <w:p w14:paraId="0643E2CD">
      <w:pPr>
        <w:rPr>
          <w:rFonts w:ascii="宋体" w:hAnsi="宋体" w:cs="宋体"/>
          <w:color w:val="auto"/>
          <w:kern w:val="1"/>
          <w:highlight w:val="none"/>
        </w:rPr>
      </w:pPr>
    </w:p>
    <w:p w14:paraId="6EC37518">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（所有成员单位名称）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rPr>
        <w:t>投标。现就联合体投标事宜订立如下协议。</w:t>
      </w:r>
    </w:p>
    <w:p w14:paraId="2A2EA7A4">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（某成员单位名称）</w:t>
      </w:r>
      <w:r>
        <w:rPr>
          <w:rFonts w:hint="eastAsia" w:ascii="宋体" w:hAnsi="宋体" w:eastAsia="宋体" w:cs="宋体"/>
          <w:color w:val="auto"/>
          <w:sz w:val="24"/>
          <w:szCs w:val="24"/>
          <w:highlight w:val="none"/>
        </w:rPr>
        <w:t>为牵头人。</w:t>
      </w:r>
    </w:p>
    <w:p w14:paraId="622C3E42">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招标项目投标文件编制和合同谈判活动，代表联合体提交和接收相关的资料、信息及指示，处理与招标投标活动（包括投诉及处理）有关的一切事务，并负责合同实施阶段的主办、组织和协调工作。</w:t>
      </w:r>
    </w:p>
    <w:p w14:paraId="3128C91F">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如果中标并签订合同，则联合投标各方将共同履行对招标方和采购人所负有的全部义务并就采购合同约定的事项对采购人承担连带责任。</w:t>
      </w:r>
    </w:p>
    <w:p w14:paraId="34448E41">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4.联合体牵头人应在取得联合体各成员同意后，代表联合体签署投标文件，联合体牵头人的所有承诺均认为代表了联合体各成员。</w:t>
      </w:r>
    </w:p>
    <w:p w14:paraId="6D15F65C">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5.联合体各成员单位内部的职责分工如下： （牵头人名称）承担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（成员一名称）承担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34C1E2">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6.依据联合体内部分工安排，联合体收益按照</w:t>
      </w:r>
      <w:r>
        <w:rPr>
          <w:rFonts w:hint="eastAsia" w:ascii="宋体" w:hAnsi="宋体" w:eastAsia="宋体" w:cs="宋体"/>
          <w:color w:val="auto"/>
          <w:sz w:val="24"/>
          <w:szCs w:val="24"/>
          <w:highlight w:val="none"/>
          <w:u w:val="single"/>
        </w:rPr>
        <w:t>（牵头人名称）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（成员名称）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%分配。投标工作和联合体在中标后工程实施过程中的有关费用按各自承担的工作量分摊。</w:t>
      </w:r>
    </w:p>
    <w:p w14:paraId="47AE95E6">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、本协议提交招标方后，联合投标各方不得以任何形式对上述实质内容进行修改或撤销。</w:t>
      </w:r>
    </w:p>
    <w:p w14:paraId="40D985E8">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.本协议书自签署之日起生效，合同履行完毕后自动失效。</w:t>
      </w:r>
    </w:p>
    <w:p w14:paraId="18E7A11D">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份，联合体成员和招标人各执一份。</w:t>
      </w:r>
    </w:p>
    <w:p w14:paraId="56E86D6B">
      <w:pPr>
        <w:snapToGrid w:val="0"/>
        <w:spacing w:before="120" w:beforeLines="50" w:after="50" w:line="276" w:lineRule="auto"/>
        <w:ind w:firstLine="720" w:firstLineChars="300"/>
        <w:rPr>
          <w:rFonts w:hint="eastAsia" w:ascii="宋体" w:hAnsi="宋体" w:eastAsia="宋体" w:cs="宋体"/>
          <w:color w:val="auto"/>
          <w:sz w:val="24"/>
          <w:szCs w:val="24"/>
          <w:highlight w:val="none"/>
        </w:rPr>
      </w:pPr>
    </w:p>
    <w:p w14:paraId="17B9AC5B">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                                  （盖单位章）</w:t>
      </w:r>
    </w:p>
    <w:p w14:paraId="763B7CAC">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（签字）</w:t>
      </w:r>
    </w:p>
    <w:p w14:paraId="686EFC29">
      <w:pPr>
        <w:snapToGrid w:val="0"/>
        <w:spacing w:before="120" w:beforeLines="50" w:after="50" w:line="276" w:lineRule="auto"/>
        <w:ind w:firstLine="720" w:firstLineChars="300"/>
        <w:rPr>
          <w:rFonts w:hint="eastAsia" w:ascii="宋体" w:hAnsi="宋体" w:eastAsia="宋体" w:cs="宋体"/>
          <w:color w:val="auto"/>
          <w:sz w:val="24"/>
          <w:szCs w:val="24"/>
          <w:highlight w:val="none"/>
        </w:rPr>
      </w:pPr>
    </w:p>
    <w:p w14:paraId="4251DC75">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成员一名称：                                  （盖单位章） </w:t>
      </w:r>
    </w:p>
    <w:p w14:paraId="6548FF3D">
      <w:pPr>
        <w:snapToGrid w:val="0"/>
        <w:spacing w:before="120" w:beforeLines="50" w:after="50" w:line="276"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（签字）</w:t>
      </w:r>
    </w:p>
    <w:p w14:paraId="738085A2">
      <w:pPr>
        <w:snapToGrid w:val="0"/>
        <w:spacing w:before="120" w:beforeLines="50" w:after="50" w:line="276" w:lineRule="auto"/>
        <w:ind w:firstLine="720" w:firstLineChars="300"/>
        <w:rPr>
          <w:rFonts w:hint="eastAsia" w:ascii="宋体" w:hAnsi="宋体" w:eastAsia="宋体" w:cs="宋体"/>
          <w:color w:val="auto"/>
          <w:sz w:val="24"/>
          <w:szCs w:val="24"/>
          <w:highlight w:val="none"/>
        </w:rPr>
      </w:pPr>
    </w:p>
    <w:p w14:paraId="4F5BB20B">
      <w:pPr>
        <w:snapToGrid w:val="0"/>
        <w:spacing w:before="120" w:beforeLines="50" w:after="50" w:line="276" w:lineRule="auto"/>
        <w:ind w:firstLine="720" w:firstLineChars="300"/>
        <w:rPr>
          <w:rFonts w:hint="eastAsia"/>
          <w:color w:val="auto"/>
          <w:highlight w:val="none"/>
        </w:rPr>
      </w:pPr>
      <w:bookmarkStart w:id="29" w:name="_Toc533947637"/>
      <w:r>
        <w:rPr>
          <w:rFonts w:hint="eastAsia" w:ascii="宋体" w:hAnsi="宋体" w:eastAsia="宋体" w:cs="宋体"/>
          <w:color w:val="auto"/>
          <w:sz w:val="24"/>
          <w:szCs w:val="24"/>
          <w:highlight w:val="none"/>
        </w:rPr>
        <w:t>年    月    日</w:t>
      </w:r>
      <w:bookmarkEnd w:id="29"/>
    </w:p>
    <w:p w14:paraId="6E126C74">
      <w:pPr>
        <w:pStyle w:val="2"/>
        <w:keepNext w:val="0"/>
        <w:keepLines w:val="0"/>
        <w:pageBreakBefore/>
        <w:spacing w:line="276" w:lineRule="auto"/>
        <w:rPr>
          <w:rFonts w:hint="eastAsia" w:ascii="宋体" w:hAnsi="宋体" w:eastAsia="宋体" w:cs="宋体"/>
          <w:b w:val="0"/>
          <w:bCs/>
          <w:color w:val="auto"/>
          <w:kern w:val="2"/>
          <w:sz w:val="28"/>
          <w:szCs w:val="28"/>
          <w:highlight w:val="none"/>
          <w:lang w:val="en-US" w:eastAsia="zh-CN" w:bidi="ar-SA"/>
        </w:rPr>
      </w:pPr>
      <w:bookmarkStart w:id="30" w:name="_Toc15059"/>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kern w:val="2"/>
          <w:sz w:val="24"/>
          <w:szCs w:val="24"/>
          <w:highlight w:val="none"/>
          <w:lang w:val="en-US" w:eastAsia="zh-CN" w:bidi="ar-SA"/>
        </w:rPr>
        <w:t>分包意向协议</w:t>
      </w:r>
      <w:bookmarkEnd w:id="30"/>
      <w:r>
        <w:rPr>
          <w:rFonts w:hint="eastAsia" w:ascii="宋体" w:hAnsi="宋体" w:eastAsia="宋体" w:cs="宋体"/>
          <w:b/>
          <w:bCs w:val="0"/>
          <w:color w:val="auto"/>
          <w:kern w:val="2"/>
          <w:sz w:val="24"/>
          <w:szCs w:val="24"/>
          <w:highlight w:val="none"/>
          <w:lang w:val="en-US" w:eastAsia="zh-CN" w:bidi="ar-SA"/>
        </w:rPr>
        <w:t>：</w:t>
      </w:r>
    </w:p>
    <w:p w14:paraId="6D318FEF">
      <w:pPr>
        <w:snapToGrid w:val="0"/>
        <w:spacing w:line="360" w:lineRule="auto"/>
        <w:ind w:firstLine="3855" w:firstLineChars="12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分包意向协议</w:t>
      </w:r>
    </w:p>
    <w:p w14:paraId="7A34F224">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中标后以分包方式履行合同的，提供分包意向协议；投标人中标后不以分包方式履行合同的，则不需要提供。</w:t>
      </w:r>
      <w:r>
        <w:rPr>
          <w:rFonts w:hint="eastAsia" w:ascii="宋体" w:hAnsi="宋体" w:eastAsia="宋体" w:cs="宋体"/>
          <w:color w:val="auto"/>
          <w:sz w:val="24"/>
          <w:highlight w:val="none"/>
        </w:rPr>
        <w:t>）</w:t>
      </w:r>
    </w:p>
    <w:p w14:paraId="34F6488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232B83F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162CA3F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（某分包供应商名称）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（某分包供应商名称），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06452FD8">
      <w:pPr>
        <w:snapToGrid w:val="0"/>
        <w:spacing w:line="360" w:lineRule="auto"/>
        <w:ind w:firstLine="576"/>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p>
    <w:p w14:paraId="0A9FDF5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二、分包工作履行期限、地点、方式</w:t>
      </w:r>
    </w:p>
    <w:p w14:paraId="3A1642DF">
      <w:pPr>
        <w:snapToGrid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566E839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三、质量</w:t>
      </w:r>
    </w:p>
    <w:p w14:paraId="74DCAE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5B6E1F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四、价款或者报酬</w:t>
      </w:r>
    </w:p>
    <w:p w14:paraId="600BF70F">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B7620C1">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五、违约责任</w:t>
      </w:r>
      <w:r>
        <w:rPr>
          <w:rFonts w:hint="eastAsia" w:ascii="宋体" w:hAnsi="宋体" w:eastAsia="宋体" w:cs="宋体"/>
          <w:color w:val="auto"/>
          <w:highlight w:val="none"/>
          <w:u w:val="single"/>
        </w:rPr>
        <w:t xml:space="preserve">                                                                            </w:t>
      </w:r>
    </w:p>
    <w:p w14:paraId="03BAEFA0">
      <w:pPr>
        <w:snapToGrid w:val="0"/>
        <w:spacing w:line="360" w:lineRule="auto"/>
        <w:ind w:firstLine="576"/>
        <w:rPr>
          <w:rFonts w:hint="eastAsia" w:ascii="宋体" w:hAnsi="宋体" w:eastAsia="宋体" w:cs="宋体"/>
          <w:color w:val="auto"/>
          <w:kern w:val="0"/>
          <w:sz w:val="24"/>
          <w:highlight w:val="none"/>
          <w:lang w:val="zh-CN"/>
        </w:rPr>
      </w:pPr>
    </w:p>
    <w:p w14:paraId="6A6BD67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六、争议解决的办法</w:t>
      </w:r>
      <w:r>
        <w:rPr>
          <w:rFonts w:hint="eastAsia" w:ascii="宋体" w:hAnsi="宋体" w:eastAsia="宋体" w:cs="宋体"/>
          <w:color w:val="auto"/>
          <w:highlight w:val="none"/>
          <w:u w:val="single"/>
        </w:rPr>
        <w:t xml:space="preserve">                                                                              </w:t>
      </w:r>
    </w:p>
    <w:p w14:paraId="233AC8BA">
      <w:pPr>
        <w:snapToGrid w:val="0"/>
        <w:spacing w:line="360" w:lineRule="auto"/>
        <w:rPr>
          <w:rFonts w:hint="eastAsia" w:ascii="宋体" w:hAnsi="宋体" w:eastAsia="宋体" w:cs="宋体"/>
          <w:color w:val="auto"/>
          <w:kern w:val="0"/>
          <w:sz w:val="24"/>
          <w:highlight w:val="none"/>
          <w:lang w:val="zh-CN"/>
        </w:rPr>
      </w:pPr>
    </w:p>
    <w:p w14:paraId="01CBC58E">
      <w:pPr>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七、其他</w:t>
      </w:r>
    </w:p>
    <w:p w14:paraId="72E4E454">
      <w:pPr>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分包合同</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合同金额达到</w:t>
      </w:r>
      <w:r>
        <w:rPr>
          <w:rFonts w:hint="eastAsia" w:ascii="宋体" w:hAnsi="宋体" w:eastAsia="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 xml:space="preserve"> % 。                                                </w:t>
      </w:r>
    </w:p>
    <w:p w14:paraId="4405CC92">
      <w:pPr>
        <w:snapToGrid w:val="0"/>
        <w:spacing w:line="360" w:lineRule="auto"/>
        <w:ind w:firstLine="5760" w:firstLineChars="24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投标人名称(签名)：</w:t>
      </w:r>
    </w:p>
    <w:p w14:paraId="0DFE2089">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w:t>
      </w:r>
    </w:p>
    <w:p w14:paraId="42F53920">
      <w:pPr>
        <w:snapToGrid w:val="0"/>
        <w:spacing w:line="360" w:lineRule="auto"/>
        <w:ind w:firstLine="5760" w:firstLineChars="2400"/>
        <w:rPr>
          <w:color w:val="auto"/>
          <w:highlight w:val="none"/>
        </w:rPr>
      </w:pPr>
      <w:r>
        <w:rPr>
          <w:rFonts w:hint="eastAsia" w:ascii="仿宋_GB2312" w:hAnsi="仿宋" w:eastAsia="仿宋_GB2312" w:cs="仿宋_GB2312"/>
          <w:color w:val="auto"/>
          <w:kern w:val="0"/>
          <w:sz w:val="24"/>
          <w:highlight w:val="none"/>
          <w:lang w:val="zh-CN"/>
        </w:rPr>
        <w:t>……</w:t>
      </w:r>
    </w:p>
    <w:p w14:paraId="20079292">
      <w:pPr>
        <w:snapToGrid w:val="0"/>
        <w:spacing w:line="360" w:lineRule="auto"/>
        <w:rPr>
          <w:rFonts w:hint="eastAsia" w:ascii="宋体" w:hAnsi="宋体" w:eastAsia="宋体" w:cs="宋体"/>
          <w:color w:val="auto"/>
          <w:kern w:val="0"/>
          <w:sz w:val="24"/>
          <w:highlight w:val="none"/>
          <w:lang w:val="zh-CN"/>
        </w:rPr>
      </w:pPr>
      <w:r>
        <w:rPr>
          <w:rFonts w:ascii="仿宋_GB2312" w:hAnsi="仿宋" w:eastAsia="仿宋_GB2312" w:cs="仿宋_GB2312"/>
          <w:color w:val="auto"/>
          <w:kern w:val="0"/>
          <w:sz w:val="24"/>
          <w:highlight w:val="none"/>
          <w:lang w:val="zh-CN"/>
        </w:rPr>
        <w:t xml:space="preserve">                                              </w:t>
      </w:r>
      <w:r>
        <w:rPr>
          <w:rFonts w:hint="eastAsia" w:ascii="宋体" w:hAnsi="宋体" w:eastAsia="宋体" w:cs="宋体"/>
          <w:color w:val="auto"/>
          <w:kern w:val="0"/>
          <w:sz w:val="24"/>
          <w:highlight w:val="none"/>
          <w:lang w:val="zh-CN"/>
        </w:rPr>
        <w:t xml:space="preserve"> 日期：  年  月   日</w:t>
      </w:r>
    </w:p>
    <w:p w14:paraId="404934D8">
      <w:pPr>
        <w:snapToGrid w:val="0"/>
        <w:spacing w:line="360" w:lineRule="auto"/>
        <w:jc w:val="both"/>
        <w:rPr>
          <w:rFonts w:hint="eastAsia" w:ascii="宋体" w:hAnsi="宋体" w:cs="宋体"/>
          <w:b/>
          <w:bCs/>
          <w:color w:val="auto"/>
          <w:sz w:val="24"/>
          <w:highlight w:val="none"/>
        </w:rPr>
      </w:pPr>
    </w:p>
    <w:p w14:paraId="4A873357">
      <w:pPr>
        <w:snapToGrid w:val="0"/>
        <w:spacing w:line="360" w:lineRule="auto"/>
        <w:ind w:firstLine="482" w:firstLineChars="200"/>
        <w:jc w:val="center"/>
        <w:rPr>
          <w:rFonts w:hint="eastAsia" w:ascii="宋体" w:hAnsi="宋体" w:cs="宋体"/>
          <w:b/>
          <w:bCs/>
          <w:color w:val="auto"/>
          <w:sz w:val="24"/>
          <w:highlight w:val="none"/>
        </w:rPr>
      </w:pPr>
    </w:p>
    <w:p w14:paraId="27077298">
      <w:pPr>
        <w:snapToGrid w:val="0"/>
        <w:spacing w:line="360" w:lineRule="auto"/>
        <w:ind w:firstLine="482" w:firstLineChars="200"/>
        <w:jc w:val="center"/>
        <w:rPr>
          <w:rFonts w:hint="eastAsia" w:ascii="宋体" w:hAnsi="宋体" w:cs="宋体"/>
          <w:b/>
          <w:bCs/>
          <w:color w:val="auto"/>
          <w:sz w:val="24"/>
          <w:highlight w:val="none"/>
        </w:rPr>
      </w:pPr>
    </w:p>
    <w:p w14:paraId="02F8894A">
      <w:pPr>
        <w:snapToGrid w:val="0"/>
        <w:spacing w:line="360" w:lineRule="auto"/>
        <w:ind w:firstLine="482" w:firstLineChars="200"/>
        <w:jc w:val="center"/>
        <w:rPr>
          <w:rFonts w:hint="eastAsia" w:ascii="宋体" w:hAnsi="宋体" w:cs="宋体"/>
          <w:b/>
          <w:bCs/>
          <w:color w:val="auto"/>
          <w:sz w:val="24"/>
          <w:highlight w:val="none"/>
        </w:rPr>
      </w:pPr>
      <w:r>
        <w:rPr>
          <w:rFonts w:hint="eastAsia" w:ascii="宋体" w:hAnsi="宋体" w:cs="宋体"/>
          <w:b/>
          <w:bCs/>
          <w:color w:val="auto"/>
          <w:sz w:val="24"/>
          <w:highlight w:val="none"/>
        </w:rPr>
        <w:t>技术方案（格式自拟）</w:t>
      </w:r>
    </w:p>
    <w:p w14:paraId="7CF5CDE1">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至少包括</w:t>
      </w:r>
      <w:r>
        <w:rPr>
          <w:rFonts w:hint="eastAsia" w:ascii="宋体" w:hAnsi="宋体" w:cs="宋体"/>
          <w:color w:val="auto"/>
          <w:sz w:val="24"/>
          <w:highlight w:val="none"/>
          <w:lang w:eastAsia="zh-CN"/>
        </w:rPr>
        <w:t>技术方案、服务</w:t>
      </w:r>
      <w:r>
        <w:rPr>
          <w:rFonts w:hint="eastAsia" w:ascii="宋体" w:hAnsi="宋体" w:cs="宋体"/>
          <w:color w:val="auto"/>
          <w:sz w:val="24"/>
          <w:highlight w:val="none"/>
        </w:rPr>
        <w:t>方案、质量保障措施、</w:t>
      </w:r>
      <w:r>
        <w:rPr>
          <w:rFonts w:hint="eastAsia" w:ascii="宋体" w:hAnsi="宋体" w:cs="宋体"/>
          <w:color w:val="auto"/>
          <w:sz w:val="24"/>
          <w:highlight w:val="none"/>
          <w:lang w:eastAsia="zh-CN"/>
        </w:rPr>
        <w:t>售后服务</w:t>
      </w:r>
      <w:r>
        <w:rPr>
          <w:rFonts w:hint="eastAsia" w:ascii="宋体" w:hAnsi="宋体" w:cs="宋体"/>
          <w:color w:val="auto"/>
          <w:sz w:val="24"/>
          <w:highlight w:val="none"/>
        </w:rPr>
        <w:t>建议等内容</w:t>
      </w:r>
    </w:p>
    <w:p w14:paraId="431F82FA">
      <w:pPr>
        <w:pStyle w:val="23"/>
        <w:ind w:firstLine="466"/>
        <w:rPr>
          <w:rFonts w:hint="eastAsia" w:hAnsi="宋体" w:cs="宋体"/>
          <w:b/>
          <w:color w:val="auto"/>
          <w:sz w:val="24"/>
          <w:highlight w:val="none"/>
        </w:rPr>
      </w:pPr>
    </w:p>
    <w:p w14:paraId="6CC57FED">
      <w:pPr>
        <w:pStyle w:val="23"/>
        <w:ind w:firstLine="464"/>
        <w:rPr>
          <w:rFonts w:hint="eastAsia" w:hAnsi="宋体" w:cs="宋体"/>
          <w:color w:val="auto"/>
          <w:sz w:val="24"/>
          <w:szCs w:val="24"/>
          <w:highlight w:val="none"/>
        </w:rPr>
      </w:pPr>
    </w:p>
    <w:p w14:paraId="3FAB4B7E">
      <w:pPr>
        <w:pStyle w:val="23"/>
        <w:ind w:firstLine="464"/>
        <w:rPr>
          <w:rFonts w:hint="eastAsia" w:hAnsi="宋体" w:cs="宋体"/>
          <w:color w:val="auto"/>
          <w:sz w:val="24"/>
          <w:szCs w:val="24"/>
          <w:highlight w:val="none"/>
        </w:rPr>
      </w:pPr>
    </w:p>
    <w:p w14:paraId="70BB2072">
      <w:pPr>
        <w:pStyle w:val="23"/>
        <w:ind w:firstLine="464"/>
        <w:rPr>
          <w:rFonts w:hint="eastAsia" w:hAnsi="宋体" w:cs="宋体"/>
          <w:color w:val="auto"/>
          <w:sz w:val="24"/>
          <w:szCs w:val="24"/>
          <w:highlight w:val="none"/>
        </w:rPr>
      </w:pPr>
    </w:p>
    <w:p w14:paraId="22BD5A0E">
      <w:pPr>
        <w:pStyle w:val="23"/>
        <w:ind w:firstLine="464"/>
        <w:rPr>
          <w:rFonts w:hint="eastAsia" w:hAnsi="宋体" w:cs="宋体"/>
          <w:color w:val="auto"/>
          <w:sz w:val="24"/>
          <w:szCs w:val="24"/>
          <w:highlight w:val="none"/>
        </w:rPr>
      </w:pPr>
    </w:p>
    <w:p w14:paraId="29430FCB">
      <w:pPr>
        <w:pStyle w:val="23"/>
        <w:ind w:firstLine="466"/>
        <w:rPr>
          <w:rFonts w:hint="eastAsia" w:hAnsi="宋体" w:cs="宋体"/>
          <w:b/>
          <w:color w:val="auto"/>
          <w:sz w:val="24"/>
          <w:highlight w:val="none"/>
        </w:rPr>
      </w:pPr>
    </w:p>
    <w:p w14:paraId="15947B97">
      <w:pPr>
        <w:pStyle w:val="23"/>
        <w:ind w:firstLine="466"/>
        <w:rPr>
          <w:rFonts w:hint="eastAsia" w:hAnsi="宋体" w:cs="宋体"/>
          <w:b/>
          <w:color w:val="auto"/>
          <w:sz w:val="24"/>
          <w:highlight w:val="none"/>
        </w:rPr>
      </w:pPr>
    </w:p>
    <w:p w14:paraId="143A51DC">
      <w:pPr>
        <w:pStyle w:val="23"/>
        <w:ind w:firstLine="466"/>
        <w:rPr>
          <w:rFonts w:hint="eastAsia" w:hAnsi="宋体" w:cs="宋体"/>
          <w:b/>
          <w:color w:val="auto"/>
          <w:sz w:val="24"/>
          <w:highlight w:val="none"/>
        </w:rPr>
      </w:pPr>
    </w:p>
    <w:p w14:paraId="19E9A0CA">
      <w:pPr>
        <w:pStyle w:val="23"/>
        <w:ind w:firstLine="466"/>
        <w:rPr>
          <w:rFonts w:hint="eastAsia" w:hAnsi="宋体" w:cs="宋体"/>
          <w:b/>
          <w:color w:val="auto"/>
          <w:sz w:val="24"/>
          <w:highlight w:val="none"/>
        </w:rPr>
      </w:pPr>
    </w:p>
    <w:p w14:paraId="21D1D951">
      <w:pPr>
        <w:pStyle w:val="23"/>
        <w:ind w:firstLine="466"/>
        <w:rPr>
          <w:rFonts w:hint="eastAsia" w:hAnsi="宋体" w:cs="宋体"/>
          <w:b/>
          <w:color w:val="auto"/>
          <w:sz w:val="24"/>
          <w:highlight w:val="none"/>
        </w:rPr>
      </w:pPr>
    </w:p>
    <w:p w14:paraId="78681540">
      <w:pPr>
        <w:pStyle w:val="23"/>
        <w:ind w:firstLine="466"/>
        <w:rPr>
          <w:rFonts w:hint="eastAsia" w:hAnsi="宋体" w:cs="宋体"/>
          <w:b/>
          <w:color w:val="auto"/>
          <w:sz w:val="24"/>
          <w:highlight w:val="none"/>
        </w:rPr>
      </w:pPr>
    </w:p>
    <w:p w14:paraId="1265D9ED">
      <w:pPr>
        <w:pStyle w:val="23"/>
        <w:ind w:firstLine="466"/>
        <w:rPr>
          <w:rFonts w:hint="eastAsia" w:hAnsi="宋体" w:cs="宋体"/>
          <w:b/>
          <w:color w:val="auto"/>
          <w:sz w:val="24"/>
          <w:highlight w:val="none"/>
        </w:rPr>
      </w:pPr>
    </w:p>
    <w:p w14:paraId="0DB6C0FE">
      <w:pPr>
        <w:pStyle w:val="23"/>
        <w:ind w:firstLine="466"/>
        <w:rPr>
          <w:rFonts w:hint="eastAsia" w:hAnsi="宋体" w:cs="宋体"/>
          <w:b/>
          <w:color w:val="auto"/>
          <w:sz w:val="24"/>
          <w:highlight w:val="none"/>
        </w:rPr>
      </w:pPr>
    </w:p>
    <w:p w14:paraId="2CE0DCEB">
      <w:pPr>
        <w:pStyle w:val="23"/>
        <w:ind w:firstLine="466"/>
        <w:rPr>
          <w:rFonts w:hint="eastAsia" w:hAnsi="宋体" w:cs="宋体"/>
          <w:b/>
          <w:color w:val="auto"/>
          <w:sz w:val="24"/>
          <w:highlight w:val="none"/>
        </w:rPr>
      </w:pPr>
    </w:p>
    <w:p w14:paraId="42A866A1">
      <w:pPr>
        <w:pStyle w:val="23"/>
        <w:ind w:firstLine="466"/>
        <w:rPr>
          <w:rFonts w:hint="eastAsia" w:hAnsi="宋体" w:cs="宋体"/>
          <w:b/>
          <w:color w:val="auto"/>
          <w:sz w:val="24"/>
          <w:highlight w:val="none"/>
        </w:rPr>
      </w:pPr>
    </w:p>
    <w:p w14:paraId="2A707BC6">
      <w:pPr>
        <w:pStyle w:val="23"/>
        <w:ind w:firstLine="466"/>
        <w:rPr>
          <w:rFonts w:hint="eastAsia" w:hAnsi="宋体" w:cs="宋体"/>
          <w:b/>
          <w:color w:val="auto"/>
          <w:sz w:val="24"/>
          <w:highlight w:val="none"/>
        </w:rPr>
      </w:pPr>
    </w:p>
    <w:p w14:paraId="65B1D9B1">
      <w:pPr>
        <w:pStyle w:val="23"/>
        <w:ind w:firstLine="466"/>
        <w:rPr>
          <w:rFonts w:hint="eastAsia" w:hAnsi="宋体" w:cs="宋体"/>
          <w:b/>
          <w:color w:val="auto"/>
          <w:sz w:val="24"/>
          <w:highlight w:val="none"/>
        </w:rPr>
      </w:pPr>
    </w:p>
    <w:p w14:paraId="749A66DD">
      <w:pPr>
        <w:pStyle w:val="23"/>
        <w:ind w:firstLine="466"/>
        <w:rPr>
          <w:rFonts w:hint="eastAsia" w:hAnsi="宋体" w:cs="宋体"/>
          <w:b/>
          <w:color w:val="auto"/>
          <w:sz w:val="24"/>
          <w:highlight w:val="none"/>
        </w:rPr>
      </w:pPr>
    </w:p>
    <w:p w14:paraId="5B501FFE">
      <w:pPr>
        <w:pStyle w:val="23"/>
        <w:ind w:firstLine="466"/>
        <w:rPr>
          <w:rFonts w:hint="eastAsia" w:hAnsi="宋体" w:cs="宋体"/>
          <w:b/>
          <w:color w:val="auto"/>
          <w:sz w:val="24"/>
          <w:highlight w:val="none"/>
        </w:rPr>
      </w:pPr>
    </w:p>
    <w:p w14:paraId="65D571DA">
      <w:pPr>
        <w:pStyle w:val="23"/>
        <w:ind w:firstLine="466"/>
        <w:rPr>
          <w:rFonts w:hint="eastAsia" w:hAnsi="宋体" w:cs="宋体"/>
          <w:b/>
          <w:color w:val="auto"/>
          <w:sz w:val="24"/>
          <w:highlight w:val="none"/>
        </w:rPr>
      </w:pPr>
    </w:p>
    <w:p w14:paraId="166ABD42">
      <w:pPr>
        <w:pStyle w:val="23"/>
        <w:ind w:firstLine="466"/>
        <w:rPr>
          <w:rFonts w:hint="eastAsia" w:hAnsi="宋体" w:cs="宋体"/>
          <w:b/>
          <w:color w:val="auto"/>
          <w:sz w:val="24"/>
          <w:highlight w:val="none"/>
        </w:rPr>
      </w:pPr>
    </w:p>
    <w:p w14:paraId="2F3C6B70">
      <w:pPr>
        <w:pStyle w:val="23"/>
        <w:ind w:firstLine="466"/>
        <w:rPr>
          <w:rFonts w:hint="eastAsia" w:hAnsi="宋体" w:cs="宋体"/>
          <w:b/>
          <w:color w:val="auto"/>
          <w:sz w:val="24"/>
          <w:highlight w:val="none"/>
        </w:rPr>
      </w:pPr>
    </w:p>
    <w:p w14:paraId="1D390280">
      <w:pPr>
        <w:pStyle w:val="23"/>
        <w:ind w:firstLine="466"/>
        <w:rPr>
          <w:rFonts w:hint="eastAsia" w:hAnsi="宋体" w:cs="宋体"/>
          <w:b/>
          <w:color w:val="auto"/>
          <w:sz w:val="24"/>
          <w:highlight w:val="none"/>
        </w:rPr>
      </w:pPr>
    </w:p>
    <w:p w14:paraId="1871288C">
      <w:pPr>
        <w:pStyle w:val="23"/>
        <w:ind w:firstLine="466"/>
        <w:rPr>
          <w:rFonts w:hint="eastAsia" w:hAnsi="宋体" w:cs="宋体"/>
          <w:b/>
          <w:color w:val="auto"/>
          <w:sz w:val="24"/>
          <w:highlight w:val="none"/>
        </w:rPr>
      </w:pPr>
    </w:p>
    <w:p w14:paraId="22E0BF76">
      <w:pPr>
        <w:pStyle w:val="23"/>
        <w:ind w:firstLine="466"/>
        <w:rPr>
          <w:rFonts w:hint="eastAsia" w:hAnsi="宋体" w:cs="宋体"/>
          <w:b/>
          <w:color w:val="auto"/>
          <w:sz w:val="24"/>
          <w:highlight w:val="none"/>
        </w:rPr>
      </w:pPr>
    </w:p>
    <w:p w14:paraId="275F2FFE">
      <w:pPr>
        <w:pStyle w:val="23"/>
        <w:ind w:firstLine="466"/>
        <w:rPr>
          <w:rFonts w:hint="eastAsia" w:hAnsi="宋体" w:cs="宋体"/>
          <w:b/>
          <w:color w:val="auto"/>
          <w:sz w:val="24"/>
          <w:highlight w:val="none"/>
        </w:rPr>
      </w:pPr>
    </w:p>
    <w:p w14:paraId="13ED78DB">
      <w:pPr>
        <w:pStyle w:val="23"/>
        <w:ind w:firstLine="466"/>
        <w:rPr>
          <w:rFonts w:hint="eastAsia" w:hAnsi="宋体" w:cs="宋体"/>
          <w:b/>
          <w:color w:val="auto"/>
          <w:sz w:val="24"/>
          <w:highlight w:val="none"/>
        </w:rPr>
      </w:pPr>
    </w:p>
    <w:p w14:paraId="1F358422">
      <w:pPr>
        <w:pStyle w:val="23"/>
        <w:ind w:firstLine="466"/>
        <w:rPr>
          <w:rFonts w:hint="eastAsia" w:hAnsi="宋体" w:cs="宋体"/>
          <w:b/>
          <w:color w:val="auto"/>
          <w:sz w:val="24"/>
          <w:highlight w:val="none"/>
        </w:rPr>
      </w:pPr>
    </w:p>
    <w:p w14:paraId="3B15EB1F">
      <w:pPr>
        <w:pStyle w:val="23"/>
        <w:ind w:firstLine="466"/>
        <w:rPr>
          <w:rFonts w:hint="eastAsia" w:hAnsi="宋体" w:cs="宋体"/>
          <w:b/>
          <w:color w:val="auto"/>
          <w:sz w:val="24"/>
          <w:highlight w:val="none"/>
        </w:rPr>
      </w:pPr>
    </w:p>
    <w:p w14:paraId="2AC7FE7F">
      <w:pPr>
        <w:pStyle w:val="23"/>
        <w:ind w:firstLine="466"/>
        <w:rPr>
          <w:rFonts w:hint="eastAsia" w:hAnsi="宋体" w:cs="宋体"/>
          <w:b/>
          <w:color w:val="auto"/>
          <w:sz w:val="24"/>
          <w:highlight w:val="none"/>
        </w:rPr>
      </w:pPr>
    </w:p>
    <w:p w14:paraId="18391257">
      <w:pPr>
        <w:pStyle w:val="23"/>
        <w:ind w:firstLine="466"/>
        <w:rPr>
          <w:rFonts w:hint="eastAsia" w:hAnsi="宋体" w:cs="宋体"/>
          <w:b/>
          <w:color w:val="auto"/>
          <w:sz w:val="24"/>
          <w:highlight w:val="none"/>
        </w:rPr>
      </w:pPr>
    </w:p>
    <w:p w14:paraId="6C39344D">
      <w:pPr>
        <w:pStyle w:val="23"/>
        <w:ind w:firstLine="466"/>
        <w:rPr>
          <w:rFonts w:hint="eastAsia" w:hAnsi="宋体" w:cs="宋体"/>
          <w:b/>
          <w:color w:val="auto"/>
          <w:sz w:val="24"/>
          <w:highlight w:val="none"/>
        </w:rPr>
      </w:pPr>
    </w:p>
    <w:p w14:paraId="3A68B225">
      <w:pPr>
        <w:pStyle w:val="23"/>
        <w:ind w:firstLine="466"/>
        <w:rPr>
          <w:rFonts w:hint="eastAsia" w:hAnsi="宋体" w:cs="宋体"/>
          <w:b/>
          <w:color w:val="auto"/>
          <w:sz w:val="24"/>
          <w:highlight w:val="none"/>
        </w:rPr>
      </w:pPr>
    </w:p>
    <w:p w14:paraId="7DADDE88">
      <w:pPr>
        <w:pStyle w:val="23"/>
        <w:ind w:firstLine="466"/>
        <w:rPr>
          <w:rFonts w:hint="eastAsia" w:hAnsi="宋体" w:cs="宋体"/>
          <w:b/>
          <w:color w:val="auto"/>
          <w:sz w:val="24"/>
          <w:highlight w:val="none"/>
        </w:rPr>
      </w:pPr>
    </w:p>
    <w:p w14:paraId="65DAE55A">
      <w:pPr>
        <w:pStyle w:val="23"/>
        <w:ind w:firstLine="466"/>
        <w:rPr>
          <w:rFonts w:hint="eastAsia" w:hAnsi="宋体" w:cs="宋体"/>
          <w:b/>
          <w:color w:val="auto"/>
          <w:sz w:val="24"/>
          <w:highlight w:val="none"/>
        </w:rPr>
      </w:pPr>
    </w:p>
    <w:p w14:paraId="56A88938">
      <w:pPr>
        <w:pStyle w:val="23"/>
        <w:ind w:firstLine="466"/>
        <w:rPr>
          <w:rFonts w:hint="eastAsia" w:hAnsi="宋体" w:cs="宋体"/>
          <w:b/>
          <w:color w:val="auto"/>
          <w:sz w:val="24"/>
          <w:highlight w:val="none"/>
        </w:rPr>
      </w:pPr>
    </w:p>
    <w:p w14:paraId="15595C0C">
      <w:pPr>
        <w:pStyle w:val="23"/>
        <w:ind w:firstLine="466"/>
        <w:rPr>
          <w:rFonts w:hint="eastAsia" w:hAnsi="宋体" w:cs="宋体"/>
          <w:b/>
          <w:color w:val="auto"/>
          <w:sz w:val="24"/>
          <w:highlight w:val="none"/>
        </w:rPr>
      </w:pPr>
    </w:p>
    <w:p w14:paraId="2632A4A9">
      <w:pPr>
        <w:pStyle w:val="23"/>
        <w:ind w:firstLine="466"/>
        <w:rPr>
          <w:rFonts w:hint="eastAsia" w:hAnsi="宋体" w:cs="宋体"/>
          <w:b/>
          <w:color w:val="auto"/>
          <w:sz w:val="24"/>
          <w:highlight w:val="none"/>
        </w:rPr>
      </w:pPr>
    </w:p>
    <w:p w14:paraId="6C710D47">
      <w:pPr>
        <w:pStyle w:val="23"/>
        <w:ind w:firstLine="466"/>
        <w:rPr>
          <w:rFonts w:hint="eastAsia" w:hAnsi="宋体" w:cs="宋体"/>
          <w:b/>
          <w:color w:val="auto"/>
          <w:sz w:val="24"/>
          <w:highlight w:val="none"/>
        </w:rPr>
      </w:pPr>
    </w:p>
    <w:p w14:paraId="554EB2D4">
      <w:pPr>
        <w:pStyle w:val="23"/>
        <w:ind w:firstLine="466"/>
        <w:rPr>
          <w:rFonts w:hint="eastAsia" w:hAnsi="宋体" w:cs="宋体"/>
          <w:b/>
          <w:color w:val="auto"/>
          <w:sz w:val="24"/>
          <w:highlight w:val="none"/>
        </w:rPr>
      </w:pPr>
    </w:p>
    <w:p w14:paraId="78B1A8B7">
      <w:pPr>
        <w:pStyle w:val="23"/>
        <w:ind w:firstLine="466"/>
        <w:rPr>
          <w:rFonts w:hint="eastAsia" w:hAnsi="宋体" w:cs="宋体"/>
          <w:b/>
          <w:color w:val="auto"/>
          <w:sz w:val="24"/>
          <w:highlight w:val="none"/>
        </w:rPr>
      </w:pPr>
    </w:p>
    <w:p w14:paraId="55B65E9C">
      <w:pPr>
        <w:pStyle w:val="23"/>
        <w:ind w:firstLine="466"/>
        <w:rPr>
          <w:rFonts w:hint="eastAsia" w:hAnsi="宋体" w:cs="宋体"/>
          <w:b/>
          <w:color w:val="auto"/>
          <w:sz w:val="24"/>
          <w:highlight w:val="none"/>
        </w:rPr>
      </w:pPr>
    </w:p>
    <w:p w14:paraId="7AB7245C">
      <w:pPr>
        <w:pStyle w:val="23"/>
        <w:ind w:firstLine="466"/>
        <w:rPr>
          <w:rFonts w:hint="eastAsia" w:hAnsi="宋体" w:cs="宋体"/>
          <w:b/>
          <w:color w:val="auto"/>
          <w:sz w:val="24"/>
          <w:highlight w:val="none"/>
        </w:rPr>
      </w:pPr>
    </w:p>
    <w:p w14:paraId="18C74B88">
      <w:pPr>
        <w:pStyle w:val="23"/>
        <w:ind w:firstLine="466"/>
        <w:rPr>
          <w:rFonts w:hint="eastAsia" w:hAnsi="宋体" w:cs="宋体"/>
          <w:b/>
          <w:color w:val="auto"/>
          <w:sz w:val="24"/>
          <w:highlight w:val="none"/>
        </w:rPr>
      </w:pPr>
    </w:p>
    <w:p w14:paraId="0117A079">
      <w:pPr>
        <w:pStyle w:val="23"/>
        <w:ind w:firstLine="466"/>
        <w:rPr>
          <w:rFonts w:hint="eastAsia" w:hAnsi="宋体" w:cs="宋体"/>
          <w:b/>
          <w:color w:val="auto"/>
          <w:sz w:val="24"/>
          <w:highlight w:val="none"/>
        </w:rPr>
      </w:pPr>
    </w:p>
    <w:p w14:paraId="2F4D9DF9">
      <w:pPr>
        <w:pStyle w:val="23"/>
        <w:ind w:firstLine="466"/>
        <w:rPr>
          <w:rFonts w:hint="eastAsia" w:hAnsi="宋体" w:cs="宋体"/>
          <w:b/>
          <w:color w:val="auto"/>
          <w:sz w:val="24"/>
          <w:highlight w:val="none"/>
        </w:rPr>
      </w:pPr>
    </w:p>
    <w:p w14:paraId="2252163C">
      <w:pPr>
        <w:pStyle w:val="23"/>
        <w:ind w:firstLine="466"/>
        <w:rPr>
          <w:rFonts w:hint="eastAsia" w:hAnsi="宋体" w:cs="宋体"/>
          <w:b/>
          <w:color w:val="auto"/>
          <w:sz w:val="24"/>
          <w:highlight w:val="none"/>
        </w:rPr>
      </w:pPr>
    </w:p>
    <w:p w14:paraId="5786EA8C">
      <w:pPr>
        <w:pStyle w:val="23"/>
        <w:ind w:firstLine="466"/>
        <w:rPr>
          <w:rFonts w:hint="eastAsia" w:hAnsi="宋体" w:cs="宋体"/>
          <w:b/>
          <w:color w:val="auto"/>
          <w:sz w:val="24"/>
          <w:highlight w:val="none"/>
        </w:rPr>
      </w:pPr>
    </w:p>
    <w:p w14:paraId="47565F5F">
      <w:pPr>
        <w:pStyle w:val="23"/>
        <w:ind w:firstLine="466"/>
        <w:rPr>
          <w:rFonts w:hint="eastAsia" w:hAnsi="宋体" w:cs="宋体"/>
          <w:b/>
          <w:color w:val="auto"/>
          <w:sz w:val="24"/>
          <w:highlight w:val="none"/>
        </w:rPr>
      </w:pPr>
    </w:p>
    <w:p w14:paraId="77A4161A">
      <w:pPr>
        <w:pStyle w:val="23"/>
        <w:ind w:firstLine="466"/>
        <w:rPr>
          <w:rFonts w:hint="eastAsia" w:hAnsi="宋体" w:cs="宋体"/>
          <w:b/>
          <w:color w:val="auto"/>
          <w:sz w:val="24"/>
          <w:highlight w:val="none"/>
        </w:rPr>
      </w:pPr>
    </w:p>
    <w:p w14:paraId="31DA58B8">
      <w:pPr>
        <w:pStyle w:val="23"/>
        <w:ind w:firstLine="466"/>
        <w:rPr>
          <w:rFonts w:hint="eastAsia" w:hAnsi="宋体" w:cs="宋体"/>
          <w:b/>
          <w:color w:val="auto"/>
          <w:sz w:val="24"/>
          <w:highlight w:val="none"/>
        </w:rPr>
      </w:pPr>
    </w:p>
    <w:p w14:paraId="61229730">
      <w:pPr>
        <w:pStyle w:val="23"/>
        <w:ind w:firstLine="466"/>
        <w:rPr>
          <w:rFonts w:hint="eastAsia" w:hAnsi="宋体" w:cs="宋体"/>
          <w:b/>
          <w:color w:val="auto"/>
          <w:sz w:val="24"/>
          <w:highlight w:val="none"/>
        </w:rPr>
      </w:pPr>
    </w:p>
    <w:p w14:paraId="768BE0E4">
      <w:pPr>
        <w:pStyle w:val="23"/>
        <w:ind w:firstLine="466"/>
        <w:rPr>
          <w:rFonts w:hint="eastAsia" w:hAnsi="宋体" w:cs="宋体"/>
          <w:b/>
          <w:color w:val="auto"/>
          <w:sz w:val="24"/>
          <w:highlight w:val="none"/>
        </w:rPr>
      </w:pPr>
    </w:p>
    <w:p w14:paraId="3340713B">
      <w:pPr>
        <w:pStyle w:val="23"/>
        <w:ind w:firstLine="466"/>
        <w:rPr>
          <w:rFonts w:hint="eastAsia" w:hAnsi="宋体" w:cs="宋体"/>
          <w:b/>
          <w:color w:val="auto"/>
          <w:sz w:val="24"/>
          <w:highlight w:val="none"/>
        </w:rPr>
      </w:pPr>
    </w:p>
    <w:p w14:paraId="5042C660">
      <w:pPr>
        <w:pStyle w:val="23"/>
        <w:ind w:firstLine="466"/>
        <w:rPr>
          <w:rFonts w:hint="eastAsia" w:hAnsi="宋体" w:cs="宋体"/>
          <w:b/>
          <w:color w:val="auto"/>
          <w:sz w:val="24"/>
          <w:highlight w:val="none"/>
        </w:rPr>
      </w:pPr>
    </w:p>
    <w:p w14:paraId="22A72217">
      <w:pPr>
        <w:pStyle w:val="23"/>
        <w:ind w:firstLine="466"/>
        <w:rPr>
          <w:rFonts w:hint="eastAsia" w:hAnsi="宋体" w:cs="宋体"/>
          <w:b/>
          <w:color w:val="auto"/>
          <w:sz w:val="24"/>
          <w:highlight w:val="none"/>
        </w:rPr>
      </w:pPr>
    </w:p>
    <w:p w14:paraId="79C2C028">
      <w:pPr>
        <w:pStyle w:val="23"/>
        <w:ind w:firstLine="466"/>
        <w:rPr>
          <w:rFonts w:hint="eastAsia" w:hAnsi="宋体" w:cs="宋体"/>
          <w:b/>
          <w:color w:val="auto"/>
          <w:sz w:val="24"/>
          <w:highlight w:val="none"/>
        </w:rPr>
      </w:pPr>
    </w:p>
    <w:p w14:paraId="3D921F30">
      <w:pPr>
        <w:pStyle w:val="23"/>
        <w:ind w:firstLine="466"/>
        <w:rPr>
          <w:rFonts w:hint="eastAsia" w:hAnsi="宋体" w:cs="宋体"/>
          <w:b/>
          <w:color w:val="auto"/>
          <w:sz w:val="24"/>
          <w:highlight w:val="none"/>
        </w:rPr>
      </w:pPr>
    </w:p>
    <w:p w14:paraId="472C01F5">
      <w:pPr>
        <w:pStyle w:val="23"/>
        <w:ind w:firstLine="466"/>
        <w:rPr>
          <w:rFonts w:hint="eastAsia" w:hAnsi="宋体" w:cs="宋体"/>
          <w:b/>
          <w:color w:val="auto"/>
          <w:sz w:val="24"/>
          <w:highlight w:val="none"/>
        </w:rPr>
      </w:pPr>
    </w:p>
    <w:p w14:paraId="0C2082BF">
      <w:pPr>
        <w:pStyle w:val="23"/>
        <w:ind w:firstLine="466"/>
        <w:rPr>
          <w:rFonts w:hint="eastAsia" w:hAnsi="宋体" w:cs="宋体"/>
          <w:b/>
          <w:color w:val="auto"/>
          <w:sz w:val="24"/>
          <w:highlight w:val="none"/>
        </w:rPr>
      </w:pPr>
    </w:p>
    <w:p w14:paraId="65EE4A8F">
      <w:pPr>
        <w:pStyle w:val="23"/>
        <w:ind w:firstLine="466"/>
        <w:rPr>
          <w:rFonts w:hint="eastAsia" w:hAnsi="宋体" w:cs="宋体"/>
          <w:b/>
          <w:color w:val="auto"/>
          <w:sz w:val="24"/>
          <w:highlight w:val="none"/>
        </w:rPr>
      </w:pPr>
    </w:p>
    <w:p w14:paraId="1083D25F">
      <w:pPr>
        <w:pStyle w:val="23"/>
        <w:ind w:firstLine="466"/>
        <w:rPr>
          <w:rFonts w:hint="eastAsia" w:hAnsi="宋体" w:cs="宋体"/>
          <w:b/>
          <w:color w:val="auto"/>
          <w:sz w:val="24"/>
          <w:highlight w:val="none"/>
        </w:rPr>
      </w:pPr>
    </w:p>
    <w:p w14:paraId="6966B6BF">
      <w:pPr>
        <w:pStyle w:val="23"/>
        <w:ind w:left="0" w:leftChars="0" w:firstLine="0" w:firstLineChars="0"/>
        <w:rPr>
          <w:rFonts w:hint="eastAsia" w:hAnsi="宋体" w:cs="宋体"/>
          <w:b/>
          <w:color w:val="auto"/>
          <w:sz w:val="24"/>
          <w:highlight w:val="none"/>
        </w:rPr>
      </w:pPr>
    </w:p>
    <w:p w14:paraId="02C18676">
      <w:pPr>
        <w:pStyle w:val="23"/>
        <w:ind w:firstLine="0" w:firstLineChars="0"/>
        <w:rPr>
          <w:rFonts w:hint="eastAsia" w:hAnsi="宋体" w:cs="宋体"/>
          <w:b/>
          <w:color w:val="auto"/>
          <w:sz w:val="24"/>
          <w:highlight w:val="none"/>
        </w:rPr>
      </w:pPr>
    </w:p>
    <w:p w14:paraId="49CC6BB7">
      <w:pPr>
        <w:snapToGrid w:val="0"/>
        <w:spacing w:after="120" w:afterLines="50" w:line="420" w:lineRule="exact"/>
        <w:jc w:val="left"/>
        <w:rPr>
          <w:rFonts w:hint="eastAsia" w:ascii="宋体" w:hAnsi="宋体" w:cs="宋体"/>
          <w:b/>
          <w:color w:val="auto"/>
          <w:sz w:val="24"/>
          <w:highlight w:val="none"/>
        </w:rPr>
      </w:pPr>
      <w:r>
        <w:rPr>
          <w:rFonts w:hint="eastAsia" w:ascii="宋体" w:hAnsi="宋体" w:cs="宋体"/>
          <w:b/>
          <w:color w:val="auto"/>
          <w:sz w:val="24"/>
          <w:highlight w:val="none"/>
        </w:rPr>
        <w:t>6.报价文件目录</w:t>
      </w:r>
    </w:p>
    <w:p w14:paraId="434871A2">
      <w:pPr>
        <w:tabs>
          <w:tab w:val="left" w:pos="3870"/>
          <w:tab w:val="left" w:pos="4085"/>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（1）投标函（格式见附件）；</w:t>
      </w:r>
    </w:p>
    <w:p w14:paraId="2D87E245">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（2）开标一览表（格式见附件）；</w:t>
      </w:r>
    </w:p>
    <w:p w14:paraId="11E9396D">
      <w:pPr>
        <w:pStyle w:val="11"/>
        <w:snapToGrid w:val="0"/>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投标人针对报价需要说明的其他文件和说明（不允许含报价）。</w:t>
      </w:r>
    </w:p>
    <w:p w14:paraId="4DB72BBB">
      <w:pPr>
        <w:snapToGrid w:val="0"/>
        <w:spacing w:before="50" w:after="120" w:afterLines="50"/>
        <w:jc w:val="left"/>
        <w:rPr>
          <w:rFonts w:hint="eastAsia" w:ascii="宋体" w:hAnsi="宋体" w:cs="宋体"/>
          <w:b/>
          <w:color w:val="auto"/>
          <w:sz w:val="24"/>
          <w:highlight w:val="none"/>
        </w:rPr>
      </w:pPr>
    </w:p>
    <w:p w14:paraId="0B323CEE">
      <w:pPr>
        <w:snapToGrid w:val="0"/>
        <w:spacing w:before="50" w:after="120" w:afterLines="50"/>
        <w:jc w:val="left"/>
        <w:rPr>
          <w:rFonts w:hint="eastAsia" w:ascii="宋体" w:hAnsi="宋体" w:cs="宋体"/>
          <w:b/>
          <w:color w:val="auto"/>
          <w:sz w:val="24"/>
          <w:highlight w:val="none"/>
        </w:rPr>
      </w:pPr>
    </w:p>
    <w:p w14:paraId="5F285751">
      <w:pPr>
        <w:snapToGrid w:val="0"/>
        <w:spacing w:before="50" w:after="120" w:afterLines="50"/>
        <w:jc w:val="left"/>
        <w:rPr>
          <w:rFonts w:hint="eastAsia" w:ascii="宋体" w:hAnsi="宋体" w:cs="宋体"/>
          <w:b/>
          <w:color w:val="auto"/>
          <w:sz w:val="24"/>
          <w:highlight w:val="none"/>
        </w:rPr>
      </w:pPr>
    </w:p>
    <w:p w14:paraId="124870FD">
      <w:pPr>
        <w:snapToGrid w:val="0"/>
        <w:spacing w:before="50" w:after="120" w:afterLines="50"/>
        <w:jc w:val="left"/>
        <w:rPr>
          <w:rFonts w:hint="eastAsia" w:ascii="宋体" w:hAnsi="宋体" w:cs="宋体"/>
          <w:b/>
          <w:color w:val="auto"/>
          <w:sz w:val="24"/>
          <w:highlight w:val="none"/>
        </w:rPr>
      </w:pPr>
    </w:p>
    <w:p w14:paraId="76C52828">
      <w:pPr>
        <w:snapToGrid w:val="0"/>
        <w:spacing w:before="50" w:after="120" w:afterLines="50"/>
        <w:jc w:val="left"/>
        <w:rPr>
          <w:rFonts w:hint="eastAsia" w:ascii="宋体" w:hAnsi="宋体" w:cs="宋体"/>
          <w:b/>
          <w:color w:val="auto"/>
          <w:sz w:val="24"/>
          <w:highlight w:val="none"/>
        </w:rPr>
      </w:pPr>
    </w:p>
    <w:p w14:paraId="6EB4F8F4">
      <w:pPr>
        <w:snapToGrid w:val="0"/>
        <w:spacing w:before="50" w:after="120" w:afterLines="50"/>
        <w:jc w:val="left"/>
        <w:rPr>
          <w:rFonts w:hint="eastAsia" w:ascii="宋体" w:hAnsi="宋体" w:cs="宋体"/>
          <w:b/>
          <w:color w:val="auto"/>
          <w:sz w:val="24"/>
          <w:highlight w:val="none"/>
        </w:rPr>
      </w:pPr>
    </w:p>
    <w:p w14:paraId="6EAE59C2">
      <w:pPr>
        <w:snapToGrid w:val="0"/>
        <w:spacing w:before="50" w:after="120" w:afterLines="50"/>
        <w:jc w:val="left"/>
        <w:rPr>
          <w:rFonts w:hint="eastAsia" w:ascii="宋体" w:hAnsi="宋体" w:cs="宋体"/>
          <w:b/>
          <w:color w:val="auto"/>
          <w:sz w:val="24"/>
          <w:highlight w:val="none"/>
        </w:rPr>
      </w:pPr>
    </w:p>
    <w:p w14:paraId="24F96B6E">
      <w:pPr>
        <w:snapToGrid w:val="0"/>
        <w:spacing w:before="50" w:after="120" w:afterLines="50"/>
        <w:jc w:val="left"/>
        <w:rPr>
          <w:rFonts w:hint="eastAsia" w:ascii="宋体" w:hAnsi="宋体" w:cs="宋体"/>
          <w:b/>
          <w:color w:val="auto"/>
          <w:sz w:val="24"/>
          <w:highlight w:val="none"/>
        </w:rPr>
      </w:pPr>
    </w:p>
    <w:p w14:paraId="0610CDED">
      <w:pPr>
        <w:snapToGrid w:val="0"/>
        <w:spacing w:before="50" w:after="120" w:afterLines="50"/>
        <w:jc w:val="left"/>
        <w:rPr>
          <w:rFonts w:hint="eastAsia" w:ascii="宋体" w:hAnsi="宋体" w:cs="宋体"/>
          <w:b/>
          <w:color w:val="auto"/>
          <w:sz w:val="24"/>
          <w:highlight w:val="none"/>
        </w:rPr>
      </w:pPr>
    </w:p>
    <w:p w14:paraId="572F7FDC">
      <w:pPr>
        <w:snapToGrid w:val="0"/>
        <w:spacing w:before="50" w:after="120" w:afterLines="50"/>
        <w:jc w:val="left"/>
        <w:rPr>
          <w:rFonts w:hint="eastAsia" w:ascii="宋体" w:hAnsi="宋体" w:cs="宋体"/>
          <w:b/>
          <w:color w:val="auto"/>
          <w:sz w:val="24"/>
          <w:highlight w:val="none"/>
        </w:rPr>
      </w:pPr>
    </w:p>
    <w:p w14:paraId="44C9BA3C">
      <w:pPr>
        <w:snapToGrid w:val="0"/>
        <w:spacing w:before="50" w:after="120" w:afterLines="50"/>
        <w:jc w:val="left"/>
        <w:rPr>
          <w:rFonts w:hint="eastAsia" w:ascii="宋体" w:hAnsi="宋体" w:cs="宋体"/>
          <w:b/>
          <w:color w:val="auto"/>
          <w:sz w:val="24"/>
          <w:highlight w:val="none"/>
        </w:rPr>
      </w:pPr>
    </w:p>
    <w:p w14:paraId="4488343F">
      <w:pPr>
        <w:snapToGrid w:val="0"/>
        <w:spacing w:before="50" w:after="120" w:afterLines="50"/>
        <w:jc w:val="left"/>
        <w:rPr>
          <w:rFonts w:hint="eastAsia" w:ascii="宋体" w:hAnsi="宋体" w:cs="宋体"/>
          <w:b/>
          <w:color w:val="auto"/>
          <w:sz w:val="24"/>
          <w:highlight w:val="none"/>
        </w:rPr>
      </w:pPr>
    </w:p>
    <w:p w14:paraId="2555DB8E">
      <w:pPr>
        <w:snapToGrid w:val="0"/>
        <w:spacing w:before="50" w:after="120" w:afterLines="50"/>
        <w:jc w:val="left"/>
        <w:rPr>
          <w:rFonts w:hint="eastAsia" w:ascii="宋体" w:hAnsi="宋体" w:cs="宋体"/>
          <w:b/>
          <w:color w:val="auto"/>
          <w:sz w:val="24"/>
          <w:highlight w:val="none"/>
        </w:rPr>
      </w:pPr>
    </w:p>
    <w:p w14:paraId="21AB0587">
      <w:pPr>
        <w:snapToGrid w:val="0"/>
        <w:spacing w:before="50" w:after="120" w:afterLines="50"/>
        <w:jc w:val="left"/>
        <w:rPr>
          <w:rFonts w:hint="eastAsia" w:ascii="宋体" w:hAnsi="宋体" w:cs="宋体"/>
          <w:b/>
          <w:color w:val="auto"/>
          <w:sz w:val="24"/>
          <w:highlight w:val="none"/>
        </w:rPr>
      </w:pPr>
    </w:p>
    <w:p w14:paraId="0CF2B1DC">
      <w:pPr>
        <w:snapToGrid w:val="0"/>
        <w:spacing w:before="50" w:after="120" w:afterLines="50"/>
        <w:jc w:val="left"/>
        <w:rPr>
          <w:rFonts w:hint="eastAsia" w:ascii="宋体" w:hAnsi="宋体" w:cs="宋体"/>
          <w:b/>
          <w:color w:val="auto"/>
          <w:sz w:val="24"/>
          <w:highlight w:val="none"/>
        </w:rPr>
      </w:pPr>
    </w:p>
    <w:p w14:paraId="021C4EB9">
      <w:pPr>
        <w:pStyle w:val="33"/>
        <w:rPr>
          <w:rFonts w:hint="eastAsia" w:ascii="宋体" w:hAnsi="宋体" w:cs="宋体"/>
          <w:b/>
          <w:color w:val="auto"/>
          <w:sz w:val="24"/>
          <w:highlight w:val="none"/>
        </w:rPr>
      </w:pPr>
    </w:p>
    <w:p w14:paraId="3971528E">
      <w:pPr>
        <w:pStyle w:val="33"/>
        <w:rPr>
          <w:rFonts w:hint="eastAsia" w:ascii="宋体" w:hAnsi="宋体" w:cs="宋体"/>
          <w:b/>
          <w:color w:val="auto"/>
          <w:sz w:val="24"/>
          <w:highlight w:val="none"/>
        </w:rPr>
      </w:pPr>
    </w:p>
    <w:p w14:paraId="26486179">
      <w:pPr>
        <w:pStyle w:val="33"/>
        <w:rPr>
          <w:rFonts w:hint="eastAsia" w:ascii="宋体" w:hAnsi="宋体" w:cs="宋体"/>
          <w:b/>
          <w:color w:val="auto"/>
          <w:sz w:val="24"/>
          <w:highlight w:val="none"/>
        </w:rPr>
      </w:pPr>
    </w:p>
    <w:p w14:paraId="5CEBD399">
      <w:pPr>
        <w:pStyle w:val="33"/>
        <w:rPr>
          <w:rFonts w:hint="eastAsia" w:ascii="宋体" w:hAnsi="宋体" w:cs="宋体"/>
          <w:b/>
          <w:color w:val="auto"/>
          <w:sz w:val="24"/>
          <w:highlight w:val="none"/>
        </w:rPr>
      </w:pPr>
    </w:p>
    <w:p w14:paraId="11F5D8D3">
      <w:pPr>
        <w:pStyle w:val="33"/>
        <w:rPr>
          <w:rFonts w:hint="eastAsia" w:ascii="宋体" w:hAnsi="宋体" w:cs="宋体"/>
          <w:b/>
          <w:color w:val="auto"/>
          <w:sz w:val="24"/>
          <w:highlight w:val="none"/>
        </w:rPr>
      </w:pPr>
    </w:p>
    <w:p w14:paraId="62B920D5">
      <w:pPr>
        <w:pStyle w:val="33"/>
        <w:rPr>
          <w:rFonts w:hint="eastAsia" w:ascii="宋体" w:hAnsi="宋体" w:cs="宋体"/>
          <w:b/>
          <w:color w:val="auto"/>
          <w:sz w:val="24"/>
          <w:highlight w:val="none"/>
        </w:rPr>
      </w:pPr>
    </w:p>
    <w:p w14:paraId="717B0CA4">
      <w:pPr>
        <w:snapToGrid w:val="0"/>
        <w:spacing w:before="50" w:after="120" w:afterLines="50"/>
        <w:jc w:val="left"/>
        <w:rPr>
          <w:rFonts w:hint="eastAsia" w:ascii="宋体" w:hAnsi="宋体" w:cs="宋体"/>
          <w:b/>
          <w:color w:val="auto"/>
          <w:sz w:val="24"/>
          <w:highlight w:val="none"/>
        </w:rPr>
      </w:pPr>
    </w:p>
    <w:p w14:paraId="57C8F1F9">
      <w:pPr>
        <w:snapToGrid w:val="0"/>
        <w:spacing w:before="50" w:after="120" w:afterLines="50"/>
        <w:jc w:val="left"/>
        <w:rPr>
          <w:rFonts w:hint="eastAsia" w:ascii="宋体" w:hAnsi="宋体" w:cs="宋体"/>
          <w:b/>
          <w:color w:val="auto"/>
          <w:sz w:val="24"/>
          <w:highlight w:val="none"/>
        </w:rPr>
      </w:pPr>
    </w:p>
    <w:p w14:paraId="1E69E224">
      <w:pPr>
        <w:snapToGrid w:val="0"/>
        <w:spacing w:before="50" w:after="120" w:afterLines="50"/>
        <w:jc w:val="left"/>
        <w:rPr>
          <w:rFonts w:hint="eastAsia" w:ascii="宋体" w:hAnsi="宋体" w:cs="宋体"/>
          <w:b/>
          <w:color w:val="auto"/>
          <w:sz w:val="24"/>
          <w:highlight w:val="none"/>
        </w:rPr>
      </w:pPr>
    </w:p>
    <w:p w14:paraId="5A593A35">
      <w:pPr>
        <w:snapToGrid w:val="0"/>
        <w:spacing w:before="50" w:after="120" w:afterLines="50"/>
        <w:jc w:val="left"/>
        <w:rPr>
          <w:rFonts w:hint="eastAsia" w:ascii="宋体" w:hAnsi="宋体" w:cs="宋体"/>
          <w:b/>
          <w:color w:val="auto"/>
          <w:sz w:val="24"/>
          <w:highlight w:val="none"/>
        </w:rPr>
      </w:pPr>
    </w:p>
    <w:p w14:paraId="5EF9FE4F">
      <w:pPr>
        <w:snapToGrid w:val="0"/>
        <w:spacing w:before="50" w:after="120" w:afterLines="50"/>
        <w:jc w:val="left"/>
        <w:rPr>
          <w:rFonts w:hint="eastAsia" w:ascii="宋体" w:hAnsi="宋体" w:cs="宋体"/>
          <w:b/>
          <w:color w:val="auto"/>
          <w:sz w:val="24"/>
          <w:highlight w:val="none"/>
        </w:rPr>
      </w:pPr>
    </w:p>
    <w:p w14:paraId="0606ADAA">
      <w:pPr>
        <w:snapToGrid w:val="0"/>
        <w:spacing w:before="50" w:after="120" w:afterLines="50"/>
        <w:jc w:val="left"/>
        <w:rPr>
          <w:rFonts w:hint="eastAsia" w:ascii="宋体" w:hAnsi="宋体" w:cs="宋体"/>
          <w:b/>
          <w:color w:val="auto"/>
          <w:sz w:val="24"/>
          <w:highlight w:val="none"/>
        </w:rPr>
      </w:pPr>
    </w:p>
    <w:p w14:paraId="358772A4">
      <w:pPr>
        <w:snapToGrid w:val="0"/>
        <w:spacing w:before="50" w:after="120" w:afterLines="50"/>
        <w:jc w:val="left"/>
        <w:rPr>
          <w:rFonts w:hint="eastAsia" w:ascii="宋体" w:hAnsi="宋体" w:cs="宋体"/>
          <w:b/>
          <w:color w:val="auto"/>
          <w:sz w:val="24"/>
          <w:highlight w:val="none"/>
        </w:rPr>
      </w:pPr>
    </w:p>
    <w:p w14:paraId="2142B155">
      <w:pPr>
        <w:pStyle w:val="23"/>
        <w:ind w:firstLine="344"/>
        <w:rPr>
          <w:rFonts w:hint="eastAsia" w:hAnsi="宋体" w:cs="宋体"/>
          <w:color w:val="auto"/>
          <w:highlight w:val="none"/>
        </w:rPr>
      </w:pPr>
    </w:p>
    <w:p w14:paraId="38C4BA48">
      <w:pPr>
        <w:snapToGrid w:val="0"/>
        <w:spacing w:before="50" w:after="120" w:afterLines="50"/>
        <w:jc w:val="left"/>
        <w:rPr>
          <w:rFonts w:hint="eastAsia" w:ascii="宋体" w:hAnsi="宋体" w:cs="宋体"/>
          <w:b/>
          <w:color w:val="auto"/>
          <w:sz w:val="24"/>
          <w:highlight w:val="none"/>
        </w:rPr>
      </w:pPr>
    </w:p>
    <w:p w14:paraId="0812758E">
      <w:pPr>
        <w:snapToGrid w:val="0"/>
        <w:spacing w:before="50" w:after="120" w:afterLines="50"/>
        <w:jc w:val="left"/>
        <w:rPr>
          <w:rFonts w:hint="eastAsia" w:ascii="宋体" w:hAnsi="宋体" w:cs="宋体"/>
          <w:b/>
          <w:color w:val="auto"/>
          <w:sz w:val="24"/>
          <w:highlight w:val="none"/>
        </w:rPr>
      </w:pPr>
    </w:p>
    <w:p w14:paraId="3B49D0CE">
      <w:pPr>
        <w:snapToGrid w:val="0"/>
        <w:spacing w:before="50" w:after="120" w:afterLines="50"/>
        <w:jc w:val="left"/>
        <w:rPr>
          <w:rFonts w:hint="eastAsia" w:ascii="宋体" w:hAnsi="宋体" w:cs="宋体"/>
          <w:b/>
          <w:color w:val="auto"/>
          <w:sz w:val="24"/>
          <w:highlight w:val="none"/>
        </w:rPr>
      </w:pPr>
      <w:r>
        <w:rPr>
          <w:rFonts w:hint="eastAsia" w:ascii="宋体" w:hAnsi="宋体" w:cs="宋体"/>
          <w:b/>
          <w:color w:val="auto"/>
          <w:sz w:val="24"/>
          <w:highlight w:val="none"/>
        </w:rPr>
        <w:t>投标函格式：</w:t>
      </w:r>
    </w:p>
    <w:p w14:paraId="7287F286">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24"/>
          <w:highlight w:val="none"/>
        </w:rPr>
        <w:t>投 标 函</w:t>
      </w:r>
    </w:p>
    <w:p w14:paraId="25DD3408">
      <w:pPr>
        <w:snapToGrid w:val="0"/>
        <w:spacing w:line="360" w:lineRule="auto"/>
        <w:rPr>
          <w:rFonts w:hint="eastAsia" w:ascii="宋体" w:hAnsi="宋体" w:cs="宋体"/>
          <w:color w:val="auto"/>
          <w:sz w:val="24"/>
          <w:szCs w:val="20"/>
          <w:highlight w:val="none"/>
        </w:rPr>
      </w:pPr>
      <w:r>
        <w:rPr>
          <w:rFonts w:hint="eastAsia" w:ascii="宋体" w:hAnsi="宋体" w:cs="宋体"/>
          <w:color w:val="auto"/>
          <w:sz w:val="24"/>
          <w:highlight w:val="none"/>
        </w:rPr>
        <w:t>致：</w:t>
      </w:r>
      <w:r>
        <w:rPr>
          <w:rFonts w:hint="eastAsia" w:ascii="宋体" w:hAnsi="宋体" w:cs="宋体"/>
          <w:color w:val="auto"/>
          <w:kern w:val="0"/>
          <w:sz w:val="24"/>
          <w:highlight w:val="none"/>
          <w:u w:val="single"/>
        </w:rPr>
        <w:t>东阳耀辉工程咨询有限公司</w:t>
      </w:r>
    </w:p>
    <w:p w14:paraId="1BB05024">
      <w:pPr>
        <w:snapToGrid w:val="0"/>
        <w:spacing w:line="360" w:lineRule="auto"/>
        <w:ind w:firstLine="480"/>
        <w:rPr>
          <w:rFonts w:hint="eastAsia" w:ascii="宋体" w:hAnsi="宋体" w:cs="宋体"/>
          <w:color w:val="auto"/>
          <w:sz w:val="24"/>
          <w:szCs w:val="20"/>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lang w:eastAsia="zh-CN"/>
        </w:rPr>
        <w:t>东阳市国土空间规划中期评估采购项目</w:t>
      </w:r>
      <w:r>
        <w:rPr>
          <w:rFonts w:hint="eastAsia" w:ascii="宋体" w:hAnsi="宋体" w:cs="宋体"/>
          <w:color w:val="auto"/>
          <w:sz w:val="24"/>
          <w:highlight w:val="none"/>
        </w:rPr>
        <w:t>的招标公告（项目编号：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），签字代表______（全名）经正式授权并代表投标人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（投标人名称）提交资格</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文件、资信商务技术文件、报价文件。</w:t>
      </w:r>
    </w:p>
    <w:p w14:paraId="3D64E16D">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据此函，签字代表宣布同意如下：</w:t>
      </w:r>
    </w:p>
    <w:p w14:paraId="7857A95B">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3D4F06B3">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2.投标人在投标之前已经与贵方进行了充分的沟通，完全理解并接受招标文件的各项规定和要求，对招标文件的合理性、合法性不再有异议。</w:t>
      </w:r>
    </w:p>
    <w:p w14:paraId="2ACDBB49">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3.本投标有效期自开标日起 ______天。</w:t>
      </w:r>
    </w:p>
    <w:p w14:paraId="35F0CD87">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4.如中标，本投标文件至本项目合同履行完毕止均保持有效，本投标人将按“招标文件”及政府采购法律、法规的规定履行合同责任和义务。</w:t>
      </w:r>
    </w:p>
    <w:p w14:paraId="5D8B43F4">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5.投标人同意按照贵方要求提供与投标有关的一切数据或资料。</w:t>
      </w:r>
    </w:p>
    <w:p w14:paraId="01959E10">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6.与本投标有关的一切正式往来信函请寄：</w:t>
      </w:r>
    </w:p>
    <w:p w14:paraId="0BF273A3">
      <w:pPr>
        <w:snapToGrid w:val="0"/>
        <w:spacing w:line="360" w:lineRule="auto"/>
        <w:rPr>
          <w:rFonts w:hint="eastAsia" w:ascii="宋体" w:hAnsi="宋体" w:cs="宋体"/>
          <w:color w:val="auto"/>
          <w:sz w:val="24"/>
          <w:szCs w:val="20"/>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邮编：__________   电话：____________</w:t>
      </w:r>
    </w:p>
    <w:p w14:paraId="6F851957">
      <w:pPr>
        <w:snapToGrid w:val="0"/>
        <w:spacing w:line="360" w:lineRule="auto"/>
        <w:rPr>
          <w:rFonts w:hint="eastAsia" w:ascii="宋体" w:hAnsi="宋体" w:cs="宋体"/>
          <w:color w:val="auto"/>
          <w:sz w:val="24"/>
          <w:szCs w:val="20"/>
          <w:highlight w:val="none"/>
        </w:rPr>
      </w:pPr>
      <w:r>
        <w:rPr>
          <w:rFonts w:hint="eastAsia" w:ascii="宋体" w:hAnsi="宋体" w:cs="宋体"/>
          <w:color w:val="auto"/>
          <w:sz w:val="24"/>
          <w:highlight w:val="none"/>
        </w:rPr>
        <w:t>传真：______________投标人代表姓名 ___________  职务：____________</w:t>
      </w:r>
    </w:p>
    <w:p w14:paraId="38D82EFA">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2BC9224F">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54E351C8">
      <w:pPr>
        <w:snapToGrid w:val="0"/>
        <w:spacing w:line="360" w:lineRule="auto"/>
        <w:rPr>
          <w:rFonts w:hint="eastAsia" w:ascii="宋体" w:hAnsi="宋体" w:cs="宋体"/>
          <w:color w:val="auto"/>
          <w:sz w:val="30"/>
          <w:szCs w:val="20"/>
          <w:highlight w:val="none"/>
        </w:rPr>
      </w:pPr>
    </w:p>
    <w:p w14:paraId="7559B52E">
      <w:pPr>
        <w:snapToGrid w:val="0"/>
        <w:spacing w:before="50" w:after="120" w:afterLines="50"/>
        <w:jc w:val="left"/>
        <w:rPr>
          <w:rFonts w:hint="eastAsia" w:ascii="宋体" w:hAnsi="宋体" w:cs="宋体"/>
          <w:b/>
          <w:color w:val="auto"/>
          <w:sz w:val="24"/>
          <w:highlight w:val="none"/>
        </w:rPr>
      </w:pPr>
    </w:p>
    <w:p w14:paraId="3EA6F203">
      <w:pPr>
        <w:snapToGrid w:val="0"/>
        <w:spacing w:before="50" w:after="120" w:afterLines="50"/>
        <w:jc w:val="left"/>
        <w:rPr>
          <w:rFonts w:hint="eastAsia" w:ascii="宋体" w:hAnsi="宋体" w:cs="宋体"/>
          <w:b/>
          <w:color w:val="auto"/>
          <w:sz w:val="24"/>
          <w:highlight w:val="none"/>
        </w:rPr>
      </w:pPr>
    </w:p>
    <w:p w14:paraId="271D7551">
      <w:pPr>
        <w:snapToGrid w:val="0"/>
        <w:spacing w:before="50" w:after="120" w:afterLines="50"/>
        <w:jc w:val="left"/>
        <w:rPr>
          <w:rFonts w:hint="eastAsia" w:ascii="宋体" w:hAnsi="宋体" w:cs="宋体"/>
          <w:b/>
          <w:color w:val="auto"/>
          <w:sz w:val="24"/>
          <w:highlight w:val="none"/>
        </w:rPr>
      </w:pPr>
    </w:p>
    <w:p w14:paraId="4A0C29E6">
      <w:pPr>
        <w:snapToGrid w:val="0"/>
        <w:spacing w:before="50" w:after="120" w:afterLines="50"/>
        <w:jc w:val="left"/>
        <w:rPr>
          <w:rFonts w:hint="eastAsia" w:ascii="宋体" w:hAnsi="宋体" w:cs="宋体"/>
          <w:b/>
          <w:color w:val="auto"/>
          <w:sz w:val="24"/>
          <w:highlight w:val="none"/>
        </w:rPr>
      </w:pPr>
    </w:p>
    <w:p w14:paraId="0104970B">
      <w:pPr>
        <w:snapToGrid w:val="0"/>
        <w:spacing w:before="50" w:after="120" w:afterLines="50"/>
        <w:jc w:val="left"/>
        <w:rPr>
          <w:rFonts w:hint="eastAsia" w:ascii="宋体" w:hAnsi="宋体" w:cs="宋体"/>
          <w:b/>
          <w:color w:val="auto"/>
          <w:sz w:val="24"/>
          <w:highlight w:val="none"/>
        </w:rPr>
      </w:pPr>
    </w:p>
    <w:p w14:paraId="45BE5FE9">
      <w:pPr>
        <w:snapToGrid w:val="0"/>
        <w:spacing w:before="50" w:after="120" w:afterLines="50"/>
        <w:jc w:val="left"/>
        <w:rPr>
          <w:rFonts w:hint="eastAsia" w:ascii="宋体" w:hAnsi="宋体" w:cs="宋体"/>
          <w:b/>
          <w:color w:val="auto"/>
          <w:sz w:val="24"/>
          <w:highlight w:val="none"/>
        </w:rPr>
      </w:pPr>
    </w:p>
    <w:p w14:paraId="37F01D80">
      <w:pPr>
        <w:pStyle w:val="23"/>
        <w:ind w:firstLine="466"/>
        <w:rPr>
          <w:rFonts w:hint="eastAsia" w:hAnsi="宋体" w:cs="宋体"/>
          <w:b/>
          <w:color w:val="auto"/>
          <w:sz w:val="24"/>
          <w:highlight w:val="none"/>
        </w:rPr>
      </w:pPr>
    </w:p>
    <w:p w14:paraId="76F3D7CE">
      <w:pPr>
        <w:pStyle w:val="23"/>
        <w:ind w:firstLine="466"/>
        <w:rPr>
          <w:rFonts w:hint="eastAsia" w:hAnsi="宋体" w:cs="宋体"/>
          <w:b/>
          <w:color w:val="auto"/>
          <w:sz w:val="24"/>
          <w:highlight w:val="none"/>
        </w:rPr>
      </w:pPr>
    </w:p>
    <w:p w14:paraId="32146B22">
      <w:pPr>
        <w:pStyle w:val="23"/>
        <w:ind w:firstLine="466"/>
        <w:rPr>
          <w:rFonts w:hint="eastAsia" w:hAnsi="宋体" w:cs="宋体"/>
          <w:b/>
          <w:color w:val="auto"/>
          <w:sz w:val="24"/>
          <w:highlight w:val="none"/>
        </w:rPr>
      </w:pPr>
    </w:p>
    <w:p w14:paraId="15401411">
      <w:pPr>
        <w:snapToGrid w:val="0"/>
        <w:spacing w:before="50" w:after="120" w:afterLines="50"/>
        <w:jc w:val="left"/>
        <w:rPr>
          <w:rFonts w:hint="eastAsia" w:ascii="宋体" w:hAnsi="宋体" w:cs="宋体"/>
          <w:b/>
          <w:color w:val="auto"/>
          <w:sz w:val="24"/>
          <w:highlight w:val="none"/>
        </w:rPr>
      </w:pPr>
    </w:p>
    <w:p w14:paraId="331B4766">
      <w:pPr>
        <w:snapToGrid w:val="0"/>
        <w:spacing w:before="50" w:after="120" w:afterLines="50"/>
        <w:jc w:val="left"/>
        <w:rPr>
          <w:rFonts w:hint="eastAsia" w:ascii="宋体" w:hAnsi="宋体" w:cs="宋体"/>
          <w:b/>
          <w:color w:val="auto"/>
          <w:sz w:val="30"/>
          <w:highlight w:val="none"/>
        </w:rPr>
      </w:pPr>
      <w:r>
        <w:rPr>
          <w:rFonts w:hint="eastAsia" w:ascii="宋体" w:hAnsi="宋体" w:cs="宋体"/>
          <w:b/>
          <w:color w:val="auto"/>
          <w:sz w:val="24"/>
          <w:highlight w:val="none"/>
        </w:rPr>
        <w:t>开标一览表</w:t>
      </w:r>
    </w:p>
    <w:p w14:paraId="5B8F0FD6">
      <w:pPr>
        <w:snapToGrid w:val="0"/>
        <w:spacing w:before="50" w:after="50"/>
        <w:jc w:val="center"/>
        <w:rPr>
          <w:rFonts w:hint="eastAsia" w:ascii="宋体" w:hAnsi="宋体" w:cs="宋体"/>
          <w:b/>
          <w:color w:val="auto"/>
          <w:sz w:val="30"/>
          <w:szCs w:val="20"/>
          <w:highlight w:val="none"/>
        </w:rPr>
      </w:pPr>
      <w:r>
        <w:rPr>
          <w:rFonts w:hint="eastAsia" w:ascii="宋体" w:hAnsi="宋体" w:cs="宋体"/>
          <w:b/>
          <w:color w:val="auto"/>
          <w:sz w:val="30"/>
          <w:highlight w:val="none"/>
        </w:rPr>
        <w:t>开标一览表</w:t>
      </w:r>
    </w:p>
    <w:p w14:paraId="00CC0508">
      <w:pPr>
        <w:snapToGrid w:val="0"/>
        <w:spacing w:before="50" w:after="50" w:line="34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招标项目名称：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14:paraId="57B40FF3">
      <w:pPr>
        <w:pStyle w:val="23"/>
        <w:ind w:firstLine="0" w:firstLineChars="0"/>
        <w:rPr>
          <w:rFonts w:hint="eastAsia" w:hAnsi="宋体" w:cs="宋体"/>
          <w:color w:val="auto"/>
          <w:sz w:val="24"/>
          <w:highlight w:val="none"/>
          <w:u w:val="single"/>
        </w:rPr>
      </w:pPr>
    </w:p>
    <w:tbl>
      <w:tblPr>
        <w:tblStyle w:val="25"/>
        <w:tblW w:w="10021" w:type="dxa"/>
        <w:tblInd w:w="-15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0"/>
        <w:gridCol w:w="4881"/>
      </w:tblGrid>
      <w:tr w14:paraId="12710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5140" w:type="dxa"/>
            <w:tcBorders>
              <w:top w:val="single" w:color="auto" w:sz="4" w:space="0"/>
              <w:left w:val="single" w:color="auto" w:sz="4" w:space="0"/>
              <w:bottom w:val="single" w:color="auto" w:sz="4" w:space="0"/>
              <w:right w:val="single" w:color="auto" w:sz="4" w:space="0"/>
            </w:tcBorders>
            <w:noWrap w:val="0"/>
            <w:vAlign w:val="center"/>
          </w:tcPr>
          <w:p w14:paraId="4FBF7F3E">
            <w:pPr>
              <w:snapToGrid w:val="0"/>
              <w:spacing w:before="50" w:after="50"/>
              <w:jc w:val="center"/>
              <w:rPr>
                <w:rFonts w:hint="eastAsia" w:ascii="宋体" w:hAnsi="宋体" w:cs="宋体"/>
                <w:b/>
                <w:color w:val="auto"/>
                <w:sz w:val="24"/>
                <w:highlight w:val="none"/>
              </w:rPr>
            </w:pPr>
            <w:r>
              <w:rPr>
                <w:rFonts w:hint="eastAsia" w:ascii="宋体" w:hAnsi="宋体" w:cs="宋体"/>
                <w:b/>
                <w:color w:val="auto"/>
                <w:sz w:val="24"/>
                <w:highlight w:val="none"/>
              </w:rPr>
              <w:t>采购内容</w:t>
            </w:r>
          </w:p>
        </w:tc>
        <w:tc>
          <w:tcPr>
            <w:tcW w:w="4881" w:type="dxa"/>
            <w:tcBorders>
              <w:top w:val="single" w:color="auto" w:sz="4" w:space="0"/>
              <w:left w:val="single" w:color="auto" w:sz="4" w:space="0"/>
              <w:bottom w:val="single" w:color="auto" w:sz="4" w:space="0"/>
              <w:right w:val="single" w:color="auto" w:sz="4" w:space="0"/>
            </w:tcBorders>
            <w:noWrap w:val="0"/>
            <w:vAlign w:val="center"/>
          </w:tcPr>
          <w:p w14:paraId="634ADF51">
            <w:pPr>
              <w:snapToGrid w:val="0"/>
              <w:spacing w:before="50" w:after="50"/>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投标报价（万元）</w:t>
            </w:r>
          </w:p>
        </w:tc>
      </w:tr>
      <w:tr w14:paraId="21046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140" w:type="dxa"/>
            <w:tcBorders>
              <w:top w:val="single" w:color="auto" w:sz="4" w:space="0"/>
              <w:left w:val="single" w:color="auto" w:sz="4" w:space="0"/>
              <w:bottom w:val="single" w:color="auto" w:sz="4" w:space="0"/>
              <w:right w:val="single" w:color="auto" w:sz="4" w:space="0"/>
            </w:tcBorders>
            <w:noWrap w:val="0"/>
            <w:vAlign w:val="center"/>
          </w:tcPr>
          <w:p w14:paraId="26222C4B">
            <w:pPr>
              <w:snapToGrid w:val="0"/>
              <w:spacing w:before="50" w:after="50"/>
              <w:jc w:val="center"/>
              <w:rPr>
                <w:rFonts w:hint="eastAsia" w:ascii="宋体" w:hAnsi="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东阳市国土空间规划中期评估采购项目</w:t>
            </w:r>
          </w:p>
        </w:tc>
        <w:tc>
          <w:tcPr>
            <w:tcW w:w="4881" w:type="dxa"/>
            <w:tcBorders>
              <w:top w:val="single" w:color="auto" w:sz="4" w:space="0"/>
              <w:left w:val="single" w:color="auto" w:sz="4" w:space="0"/>
              <w:bottom w:val="single" w:color="auto" w:sz="4" w:space="0"/>
              <w:right w:val="single" w:color="auto" w:sz="4" w:space="0"/>
            </w:tcBorders>
            <w:noWrap w:val="0"/>
            <w:vAlign w:val="center"/>
          </w:tcPr>
          <w:p w14:paraId="73302353">
            <w:pPr>
              <w:snapToGrid w:val="0"/>
              <w:spacing w:before="50" w:after="50"/>
              <w:jc w:val="both"/>
              <w:rPr>
                <w:rFonts w:hint="eastAsia" w:ascii="宋体" w:hAnsi="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大写：</w:t>
            </w:r>
          </w:p>
          <w:p w14:paraId="518A360C">
            <w:pPr>
              <w:snapToGrid w:val="0"/>
              <w:spacing w:before="50" w:after="50"/>
              <w:jc w:val="both"/>
              <w:rPr>
                <w:rFonts w:hint="eastAsia" w:ascii="宋体" w:hAnsi="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小写：</w:t>
            </w:r>
          </w:p>
        </w:tc>
      </w:tr>
    </w:tbl>
    <w:p w14:paraId="23D4E498">
      <w:pPr>
        <w:pStyle w:val="23"/>
        <w:ind w:firstLine="464"/>
        <w:rPr>
          <w:rFonts w:hint="eastAsia" w:hAnsi="宋体" w:cs="宋体"/>
          <w:color w:val="auto"/>
          <w:sz w:val="24"/>
          <w:highlight w:val="none"/>
          <w:u w:val="single"/>
        </w:rPr>
      </w:pPr>
    </w:p>
    <w:p w14:paraId="7BBC89E2">
      <w:pPr>
        <w:snapToGrid w:val="0"/>
        <w:spacing w:before="50" w:after="50" w:line="400" w:lineRule="exact"/>
        <w:jc w:val="left"/>
        <w:rPr>
          <w:rFonts w:hint="eastAsia" w:ascii="宋体" w:hAnsi="宋体" w:cs="宋体"/>
          <w:color w:val="auto"/>
          <w:sz w:val="24"/>
          <w:szCs w:val="20"/>
          <w:highlight w:val="none"/>
        </w:rPr>
      </w:pPr>
      <w:r>
        <w:rPr>
          <w:rFonts w:hint="eastAsia" w:ascii="宋体" w:hAnsi="宋体" w:cs="宋体"/>
          <w:color w:val="auto"/>
          <w:sz w:val="24"/>
          <w:highlight w:val="none"/>
        </w:rPr>
        <w:t>注: 1、报价一经涂改，应在涂改处加盖单位公章或者由法定代表人或授权委托人签字或盖章，否则其投标作无效标处理。</w:t>
      </w:r>
    </w:p>
    <w:p w14:paraId="29C53D8E">
      <w:pPr>
        <w:snapToGrid w:val="0"/>
        <w:spacing w:before="50" w:after="50"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投标报价是履行合同的最终价格，应为承包完成本次投标需完成全部工作所发生的所有费用，并承担一切风险责任，报价包括因领取基础资料、现场踏勘等需要产生的食、宿、交通等费用，</w:t>
      </w:r>
      <w:r>
        <w:rPr>
          <w:rFonts w:hint="eastAsia" w:ascii="宋体" w:hAnsi="宋体" w:cs="宋体"/>
          <w:color w:val="auto"/>
          <w:sz w:val="24"/>
          <w:highlight w:val="none"/>
          <w:lang w:eastAsia="zh-CN"/>
        </w:rPr>
        <w:t>编制</w:t>
      </w:r>
      <w:r>
        <w:rPr>
          <w:rFonts w:hint="eastAsia" w:ascii="宋体" w:hAnsi="宋体" w:cs="宋体"/>
          <w:color w:val="auto"/>
          <w:sz w:val="24"/>
          <w:highlight w:val="none"/>
        </w:rPr>
        <w:t>服务费、服务成果打印、</w:t>
      </w:r>
      <w:r>
        <w:rPr>
          <w:rFonts w:hint="eastAsia" w:ascii="宋体" w:hAnsi="宋体" w:cs="宋体"/>
          <w:color w:val="auto"/>
          <w:sz w:val="24"/>
          <w:highlight w:val="none"/>
          <w:lang w:val="en-US" w:eastAsia="zh-CN"/>
        </w:rPr>
        <w:t>人员劳务费（含人身意外保险费）</w:t>
      </w:r>
      <w:r>
        <w:rPr>
          <w:rFonts w:hint="eastAsia" w:ascii="宋体" w:hAnsi="宋体" w:cs="宋体"/>
          <w:color w:val="auto"/>
          <w:sz w:val="24"/>
          <w:highlight w:val="none"/>
        </w:rPr>
        <w:t>、</w:t>
      </w:r>
      <w:r>
        <w:rPr>
          <w:rFonts w:hint="eastAsia" w:ascii="宋体" w:hAnsi="宋体" w:cs="宋体"/>
          <w:color w:val="auto"/>
          <w:sz w:val="24"/>
          <w:highlight w:val="none"/>
          <w:lang w:eastAsia="zh-CN"/>
        </w:rPr>
        <w:t>代理服务费、</w:t>
      </w:r>
      <w:r>
        <w:rPr>
          <w:rFonts w:hint="eastAsia" w:ascii="宋体" w:hAnsi="宋体" w:cs="宋体"/>
          <w:color w:val="auto"/>
          <w:sz w:val="24"/>
          <w:highlight w:val="none"/>
        </w:rPr>
        <w:t>售后服务</w:t>
      </w:r>
      <w:r>
        <w:rPr>
          <w:rFonts w:hint="eastAsia" w:ascii="宋体" w:hAnsi="宋体" w:cs="宋体"/>
          <w:color w:val="auto"/>
          <w:sz w:val="24"/>
          <w:highlight w:val="none"/>
          <w:lang w:eastAsia="zh-CN"/>
        </w:rPr>
        <w:t>、</w:t>
      </w:r>
      <w:r>
        <w:rPr>
          <w:rFonts w:hint="eastAsia" w:ascii="宋体" w:hAnsi="宋体" w:cs="宋体"/>
          <w:color w:val="auto"/>
          <w:sz w:val="24"/>
          <w:highlight w:val="none"/>
        </w:rPr>
        <w:t>税金等一切</w:t>
      </w:r>
      <w:r>
        <w:rPr>
          <w:rFonts w:hint="eastAsia" w:ascii="宋体" w:hAnsi="宋体" w:cs="宋体"/>
          <w:color w:val="auto"/>
          <w:sz w:val="24"/>
          <w:highlight w:val="none"/>
          <w:lang w:eastAsia="zh-CN"/>
        </w:rPr>
        <w:t>与本项目相关的</w:t>
      </w:r>
      <w:r>
        <w:rPr>
          <w:rFonts w:hint="eastAsia" w:ascii="宋体" w:hAnsi="宋体" w:cs="宋体"/>
          <w:color w:val="auto"/>
          <w:sz w:val="24"/>
          <w:highlight w:val="none"/>
        </w:rPr>
        <w:t>费用。投标人所投报的投标报价为投标人所能承受的整个项目的最终最低报价，如有漏项，视同已包含在其它项目中，合同价不作调整。</w:t>
      </w:r>
    </w:p>
    <w:p w14:paraId="06ACAEB5">
      <w:pPr>
        <w:snapToGrid w:val="0"/>
        <w:spacing w:before="50" w:after="50" w:line="40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3、本表格式不允许修改，表格在格式不改的情况下可以作相应的增减，否则作无效标处理。</w:t>
      </w:r>
    </w:p>
    <w:p w14:paraId="0ADF7ED6">
      <w:pPr>
        <w:snapToGrid w:val="0"/>
        <w:spacing w:before="50" w:after="50" w:line="40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4、超过最高限价按废标处理。</w:t>
      </w:r>
    </w:p>
    <w:p w14:paraId="624FEC48">
      <w:pPr>
        <w:snapToGrid w:val="0"/>
        <w:spacing w:before="50" w:after="50" w:line="400" w:lineRule="exact"/>
        <w:jc w:val="left"/>
        <w:rPr>
          <w:rFonts w:hint="eastAsia" w:ascii="宋体" w:hAnsi="宋体" w:cs="宋体"/>
          <w:color w:val="auto"/>
          <w:sz w:val="24"/>
          <w:highlight w:val="none"/>
        </w:rPr>
      </w:pPr>
    </w:p>
    <w:p w14:paraId="3FEB91FC">
      <w:pPr>
        <w:snapToGrid w:val="0"/>
        <w:spacing w:before="50" w:after="50" w:line="340" w:lineRule="exact"/>
        <w:ind w:left="-3" w:leftChars="-72" w:right="-817" w:rightChars="-389" w:hanging="148" w:hangingChars="62"/>
        <w:rPr>
          <w:rFonts w:hint="eastAsia" w:ascii="宋体" w:hAnsi="宋体" w:cs="宋体"/>
          <w:color w:val="auto"/>
          <w:sz w:val="24"/>
          <w:highlight w:val="none"/>
        </w:rPr>
      </w:pPr>
    </w:p>
    <w:p w14:paraId="2CF2663F">
      <w:pPr>
        <w:snapToGrid w:val="0"/>
        <w:spacing w:line="360" w:lineRule="auto"/>
        <w:jc w:val="left"/>
        <w:rPr>
          <w:rFonts w:hint="eastAsia" w:ascii="宋体" w:hAnsi="宋体"/>
          <w:color w:val="auto"/>
          <w:spacing w:val="20"/>
          <w:sz w:val="24"/>
          <w:highlight w:val="none"/>
        </w:rPr>
      </w:pPr>
      <w:r>
        <w:rPr>
          <w:rFonts w:hint="eastAsia" w:ascii="宋体" w:hAnsi="宋体"/>
          <w:color w:val="auto"/>
          <w:spacing w:val="20"/>
          <w:sz w:val="24"/>
          <w:highlight w:val="none"/>
        </w:rPr>
        <w:t>投标人全称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或电子签章）</w:t>
      </w:r>
      <w:r>
        <w:rPr>
          <w:rFonts w:hint="eastAsia" w:ascii="宋体" w:hAnsi="宋体"/>
          <w:color w:val="auto"/>
          <w:spacing w:val="20"/>
          <w:sz w:val="24"/>
          <w:highlight w:val="none"/>
        </w:rPr>
        <w:t>：</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4E35FFB4">
      <w:pPr>
        <w:snapToGrid w:val="0"/>
        <w:spacing w:line="360" w:lineRule="auto"/>
        <w:jc w:val="left"/>
        <w:rPr>
          <w:rFonts w:hint="eastAsia" w:ascii="宋体" w:hAnsi="宋体"/>
          <w:b/>
          <w:bCs/>
          <w:color w:val="auto"/>
          <w:sz w:val="24"/>
          <w:highlight w:val="none"/>
        </w:rPr>
      </w:pPr>
      <w:r>
        <w:rPr>
          <w:rFonts w:hint="eastAsia" w:ascii="宋体" w:hAnsi="宋体"/>
          <w:color w:val="auto"/>
          <w:spacing w:val="20"/>
          <w:sz w:val="24"/>
          <w:highlight w:val="none"/>
        </w:rPr>
        <w:t>日</w:t>
      </w:r>
      <w:r>
        <w:rPr>
          <w:rFonts w:ascii="宋体" w:hAnsi="宋体"/>
          <w:color w:val="auto"/>
          <w:spacing w:val="20"/>
          <w:sz w:val="24"/>
          <w:highlight w:val="none"/>
        </w:rPr>
        <w:t xml:space="preserve">  </w:t>
      </w:r>
      <w:r>
        <w:rPr>
          <w:rFonts w:hint="eastAsia" w:ascii="宋体" w:hAnsi="宋体"/>
          <w:color w:val="auto"/>
          <w:spacing w:val="20"/>
          <w:sz w:val="24"/>
          <w:highlight w:val="none"/>
        </w:rPr>
        <w:t>期：</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p>
    <w:p w14:paraId="67AA7124">
      <w:pPr>
        <w:snapToGrid w:val="0"/>
        <w:spacing w:before="50" w:after="50" w:line="340" w:lineRule="exact"/>
        <w:ind w:left="-21" w:leftChars="-72" w:right="-817" w:rightChars="-389" w:hanging="130" w:hangingChars="62"/>
        <w:rPr>
          <w:rFonts w:hint="eastAsia" w:ascii="宋体" w:hAnsi="宋体" w:cs="宋体"/>
          <w:color w:val="auto"/>
          <w:highlight w:val="none"/>
        </w:rPr>
      </w:pPr>
    </w:p>
    <w:p w14:paraId="741BCD88">
      <w:pPr>
        <w:tabs>
          <w:tab w:val="left" w:pos="420"/>
        </w:tabs>
        <w:ind w:firstLine="723" w:firstLineChars="200"/>
        <w:jc w:val="center"/>
        <w:rPr>
          <w:rFonts w:hint="eastAsia" w:ascii="宋体" w:hAnsi="宋体" w:cs="宋体"/>
          <w:b/>
          <w:color w:val="auto"/>
          <w:sz w:val="36"/>
          <w:highlight w:val="none"/>
          <w:lang w:bidi="ar"/>
        </w:rPr>
      </w:pPr>
      <w:r>
        <w:rPr>
          <w:rFonts w:hint="eastAsia" w:ascii="宋体" w:hAnsi="宋体" w:cs="宋体"/>
          <w:b/>
          <w:color w:val="auto"/>
          <w:sz w:val="36"/>
          <w:highlight w:val="none"/>
          <w:lang w:bidi="ar"/>
        </w:rPr>
        <w:br w:type="page"/>
      </w:r>
      <w:r>
        <w:rPr>
          <w:rFonts w:hint="eastAsia" w:ascii="宋体" w:hAnsi="宋体" w:cs="宋体"/>
          <w:b/>
          <w:color w:val="auto"/>
          <w:sz w:val="36"/>
          <w:highlight w:val="none"/>
          <w:lang w:bidi="ar"/>
        </w:rPr>
        <w:t>中小企业声明函（服务）</w:t>
      </w:r>
    </w:p>
    <w:p w14:paraId="3AF0FD18">
      <w:pPr>
        <w:pStyle w:val="7"/>
        <w:jc w:val="center"/>
        <w:rPr>
          <w:rFonts w:hint="eastAsia" w:eastAsia="宋体"/>
          <w:color w:val="auto"/>
          <w:highlight w:val="none"/>
          <w:lang w:eastAsia="zh-CN"/>
        </w:rPr>
      </w:pPr>
      <w:r>
        <w:rPr>
          <w:rFonts w:hint="eastAsia" w:ascii="宋体" w:hAnsi="宋体" w:eastAsia="宋体" w:cs="宋体"/>
          <w:b/>
          <w:bCs/>
          <w:color w:val="auto"/>
          <w:sz w:val="24"/>
          <w:highlight w:val="none"/>
          <w:lang w:eastAsia="zh-CN"/>
        </w:rPr>
        <w:t>【非</w:t>
      </w:r>
      <w:r>
        <w:rPr>
          <w:rFonts w:hint="eastAsia" w:ascii="宋体" w:hAnsi="宋体" w:eastAsia="宋体" w:cs="宋体"/>
          <w:b/>
          <w:bCs/>
          <w:color w:val="auto"/>
          <w:sz w:val="24"/>
          <w:highlight w:val="none"/>
        </w:rPr>
        <w:t>中小企业</w:t>
      </w:r>
      <w:r>
        <w:rPr>
          <w:rFonts w:hint="eastAsia" w:ascii="宋体" w:hAnsi="宋体" w:cs="宋体"/>
          <w:b/>
          <w:bCs/>
          <w:color w:val="auto"/>
          <w:sz w:val="24"/>
          <w:highlight w:val="none"/>
        </w:rPr>
        <w:t>不用提供</w:t>
      </w:r>
      <w:r>
        <w:rPr>
          <w:rFonts w:hint="eastAsia" w:ascii="宋体" w:hAnsi="宋体" w:cs="宋体"/>
          <w:b/>
          <w:color w:val="auto"/>
          <w:sz w:val="24"/>
          <w:highlight w:val="none"/>
        </w:rPr>
        <w:t>】</w:t>
      </w:r>
    </w:p>
    <w:p w14:paraId="0A834127">
      <w:pPr>
        <w:pStyle w:val="23"/>
        <w:rPr>
          <w:color w:val="auto"/>
          <w:highlight w:val="none"/>
        </w:rPr>
      </w:pPr>
    </w:p>
    <w:p w14:paraId="1FDFD038">
      <w:pPr>
        <w:rPr>
          <w:color w:val="auto"/>
          <w:highlight w:val="none"/>
        </w:rPr>
      </w:pPr>
    </w:p>
    <w:p w14:paraId="0275738C">
      <w:pPr>
        <w:tabs>
          <w:tab w:val="left" w:pos="420"/>
        </w:tabs>
        <w:spacing w:line="360" w:lineRule="auto"/>
        <w:ind w:firstLine="480" w:firstLineChars="200"/>
        <w:jc w:val="left"/>
        <w:rPr>
          <w:rFonts w:ascii="宋体" w:hAnsi="宋体" w:cs="Arial"/>
          <w:bCs/>
          <w:color w:val="auto"/>
          <w:kern w:val="0"/>
          <w:sz w:val="24"/>
          <w:highlight w:val="none"/>
        </w:rPr>
      </w:pPr>
      <w:r>
        <w:rPr>
          <w:rFonts w:hint="eastAsia" w:ascii="宋体" w:hAnsi="宋体" w:cs="Arial"/>
          <w:bCs/>
          <w:color w:val="auto"/>
          <w:kern w:val="0"/>
          <w:sz w:val="24"/>
          <w:highlight w:val="none"/>
        </w:rPr>
        <w:t>本公司郑重声明，根据《政府采购促进中小企业发展管理办法》（财库﹝2020﹞46 号）的规定，本公司参加__________________（单位名称） 的__________________（项目名称） 采购活动，服务全部由符合政策要求的中小企业承接。相关企业（含联合体中的中小企业、签订分包意向协议的中小企业）的具体情况如下：</w:t>
      </w:r>
    </w:p>
    <w:p w14:paraId="36799FB4">
      <w:pPr>
        <w:tabs>
          <w:tab w:val="left" w:pos="420"/>
        </w:tabs>
        <w:spacing w:line="360" w:lineRule="auto"/>
        <w:ind w:firstLine="480" w:firstLineChars="200"/>
        <w:jc w:val="left"/>
        <w:rPr>
          <w:rFonts w:ascii="宋体" w:hAnsi="宋体" w:cs="Arial"/>
          <w:bCs/>
          <w:color w:val="auto"/>
          <w:kern w:val="0"/>
          <w:sz w:val="24"/>
          <w:highlight w:val="none"/>
        </w:rPr>
      </w:pP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（标的名称），属于</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 xml:space="preserve">（采购文件中明确的所属行业）行业；承接企业为 </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（企业名称），从业人员_____人，营业收入为_____万元，资产总额为_____万元，属于</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（中型企业、小型企业、微型企业）；</w:t>
      </w:r>
    </w:p>
    <w:p w14:paraId="0C23BF3F">
      <w:pPr>
        <w:tabs>
          <w:tab w:val="left" w:pos="420"/>
        </w:tabs>
        <w:spacing w:line="360" w:lineRule="auto"/>
        <w:ind w:firstLine="480" w:firstLineChars="200"/>
        <w:jc w:val="left"/>
        <w:rPr>
          <w:rFonts w:ascii="宋体" w:hAnsi="宋体" w:cs="Arial"/>
          <w:bCs/>
          <w:color w:val="auto"/>
          <w:kern w:val="0"/>
          <w:sz w:val="24"/>
          <w:highlight w:val="none"/>
        </w:rPr>
      </w:pPr>
      <w:r>
        <w:rPr>
          <w:rFonts w:hint="eastAsia" w:ascii="宋体" w:hAnsi="宋体" w:cs="Arial"/>
          <w:bCs/>
          <w:color w:val="auto"/>
          <w:kern w:val="0"/>
          <w:sz w:val="24"/>
          <w:highlight w:val="none"/>
        </w:rPr>
        <w:t>本企业对上述声明内容的真实性负责。如有虚假，将依法承担相应责任。</w:t>
      </w:r>
    </w:p>
    <w:p w14:paraId="10D8269E">
      <w:pPr>
        <w:tabs>
          <w:tab w:val="left" w:pos="420"/>
        </w:tabs>
        <w:spacing w:line="360" w:lineRule="auto"/>
        <w:ind w:firstLine="480" w:firstLineChars="200"/>
        <w:jc w:val="left"/>
        <w:rPr>
          <w:rFonts w:ascii="宋体" w:hAnsi="宋体" w:cs="Arial"/>
          <w:bCs/>
          <w:color w:val="auto"/>
          <w:kern w:val="0"/>
          <w:sz w:val="24"/>
          <w:highlight w:val="none"/>
        </w:rPr>
      </w:pPr>
    </w:p>
    <w:p w14:paraId="24864B42">
      <w:pPr>
        <w:tabs>
          <w:tab w:val="left" w:pos="420"/>
        </w:tabs>
        <w:spacing w:line="360" w:lineRule="auto"/>
        <w:ind w:firstLine="480" w:firstLineChars="200"/>
        <w:jc w:val="right"/>
        <w:rPr>
          <w:rFonts w:ascii="宋体" w:hAnsi="宋体" w:cs="Arial"/>
          <w:bCs/>
          <w:color w:val="auto"/>
          <w:kern w:val="0"/>
          <w:sz w:val="24"/>
          <w:highlight w:val="none"/>
        </w:rPr>
      </w:pPr>
      <w:r>
        <w:rPr>
          <w:rFonts w:hint="eastAsia" w:ascii="宋体" w:hAnsi="宋体" w:cs="Arial"/>
          <w:bCs/>
          <w:color w:val="auto"/>
          <w:kern w:val="0"/>
          <w:sz w:val="24"/>
          <w:highlight w:val="none"/>
        </w:rPr>
        <w:t>企业名称（盖章）：</w:t>
      </w:r>
    </w:p>
    <w:p w14:paraId="192549E7">
      <w:pPr>
        <w:tabs>
          <w:tab w:val="left" w:pos="420"/>
        </w:tabs>
        <w:spacing w:before="100" w:beforeAutospacing="1" w:after="100" w:afterAutospacing="1" w:line="360" w:lineRule="auto"/>
        <w:ind w:firstLine="480" w:firstLineChars="200"/>
        <w:jc w:val="center"/>
        <w:rPr>
          <w:rFonts w:ascii="宋体" w:hAnsi="宋体" w:cs="Arial"/>
          <w:bCs/>
          <w:color w:val="auto"/>
          <w:kern w:val="0"/>
          <w:sz w:val="24"/>
          <w:highlight w:val="none"/>
        </w:rPr>
      </w:pPr>
      <w:r>
        <w:rPr>
          <w:rFonts w:hint="eastAsia" w:ascii="宋体" w:hAnsi="宋体" w:cs="Arial"/>
          <w:bCs/>
          <w:color w:val="auto"/>
          <w:kern w:val="0"/>
          <w:sz w:val="24"/>
          <w:highlight w:val="none"/>
        </w:rPr>
        <w:t xml:space="preserve">                                                   日 期：</w:t>
      </w:r>
    </w:p>
    <w:p w14:paraId="205E96EE">
      <w:pPr>
        <w:tabs>
          <w:tab w:val="left" w:pos="420"/>
        </w:tabs>
        <w:spacing w:before="100" w:beforeAutospacing="1" w:after="100" w:afterAutospacing="1"/>
        <w:rPr>
          <w:rFonts w:ascii="宋体" w:hAnsi="宋体" w:cs="Arial"/>
          <w:b/>
          <w:bCs/>
          <w:color w:val="auto"/>
          <w:kern w:val="0"/>
          <w:sz w:val="24"/>
          <w:highlight w:val="none"/>
        </w:rPr>
      </w:pPr>
      <w:r>
        <w:rPr>
          <w:rFonts w:hint="eastAsia" w:ascii="宋体" w:hAnsi="宋体" w:cs="Arial"/>
          <w:b/>
          <w:bCs/>
          <w:color w:val="auto"/>
          <w:kern w:val="0"/>
          <w:sz w:val="24"/>
          <w:highlight w:val="none"/>
        </w:rPr>
        <w:t>注：</w:t>
      </w:r>
    </w:p>
    <w:p w14:paraId="1B97BA53">
      <w:pPr>
        <w:tabs>
          <w:tab w:val="left" w:pos="420"/>
        </w:tabs>
        <w:spacing w:before="100" w:beforeAutospacing="1" w:after="100" w:afterAutospacing="1"/>
        <w:rPr>
          <w:rFonts w:ascii="宋体" w:hAnsi="宋体"/>
          <w:b/>
          <w:color w:val="auto"/>
          <w:highlight w:val="none"/>
        </w:rPr>
      </w:pPr>
      <w:r>
        <w:rPr>
          <w:rFonts w:hint="eastAsia" w:ascii="宋体" w:hAnsi="宋体" w:cs="Arial"/>
          <w:b/>
          <w:bCs/>
          <w:color w:val="auto"/>
          <w:kern w:val="0"/>
          <w:sz w:val="24"/>
          <w:highlight w:val="none"/>
        </w:rPr>
        <w:t>1、</w:t>
      </w:r>
      <w:r>
        <w:rPr>
          <w:rFonts w:hint="eastAsia" w:ascii="宋体" w:hAnsi="宋体"/>
          <w:b/>
          <w:color w:val="auto"/>
          <w:highlight w:val="none"/>
        </w:rPr>
        <w:t>如承接单位为小微企业，则需提供中小企业声明函。</w:t>
      </w:r>
    </w:p>
    <w:p w14:paraId="51813E36">
      <w:pPr>
        <w:rPr>
          <w:rFonts w:ascii="宋体"/>
          <w:b/>
          <w:color w:val="auto"/>
          <w:sz w:val="24"/>
          <w:highlight w:val="none"/>
        </w:rPr>
      </w:pPr>
      <w:r>
        <w:rPr>
          <w:rFonts w:hint="eastAsia" w:ascii="宋体" w:hAnsi="宋体"/>
          <w:b/>
          <w:color w:val="auto"/>
          <w:highlight w:val="none"/>
        </w:rPr>
        <w:t>2、如中标人声明为小微企业，本声明函将随中标结果同时公告，接受社会监督。</w:t>
      </w:r>
    </w:p>
    <w:p w14:paraId="311CE2F0">
      <w:pPr>
        <w:pStyle w:val="2"/>
        <w:rPr>
          <w:color w:val="auto"/>
          <w:highlight w:val="none"/>
        </w:rPr>
      </w:pPr>
    </w:p>
    <w:p w14:paraId="3C5E2A43">
      <w:pPr>
        <w:pStyle w:val="7"/>
        <w:rPr>
          <w:rFonts w:hint="eastAsia" w:ascii="宋体" w:hAnsi="宋体" w:eastAsia="宋体" w:cs="宋体"/>
          <w:b/>
          <w:bCs/>
          <w:color w:val="auto"/>
          <w:sz w:val="24"/>
          <w:highlight w:val="none"/>
        </w:rPr>
      </w:pPr>
    </w:p>
    <w:p w14:paraId="7B756474">
      <w:pPr>
        <w:spacing w:after="120"/>
        <w:ind w:right="960"/>
        <w:jc w:val="center"/>
        <w:rPr>
          <w:rFonts w:hint="eastAsia" w:ascii="宋体" w:hAnsi="宋体" w:cs="宋体"/>
          <w:b/>
          <w:color w:val="auto"/>
          <w:sz w:val="36"/>
          <w:highlight w:val="none"/>
          <w:lang w:bidi="ar"/>
        </w:rPr>
      </w:pPr>
    </w:p>
    <w:p w14:paraId="3DDCFC8E">
      <w:pPr>
        <w:pStyle w:val="23"/>
        <w:rPr>
          <w:rFonts w:hint="eastAsia" w:ascii="宋体" w:hAnsi="宋体" w:cs="宋体"/>
          <w:b/>
          <w:color w:val="auto"/>
          <w:sz w:val="36"/>
          <w:highlight w:val="none"/>
          <w:lang w:bidi="ar"/>
        </w:rPr>
      </w:pPr>
    </w:p>
    <w:p w14:paraId="11F43DE9">
      <w:pPr>
        <w:rPr>
          <w:rFonts w:hint="eastAsia" w:ascii="宋体" w:hAnsi="宋体" w:cs="宋体"/>
          <w:b/>
          <w:color w:val="auto"/>
          <w:sz w:val="36"/>
          <w:highlight w:val="none"/>
          <w:lang w:bidi="ar"/>
        </w:rPr>
      </w:pPr>
    </w:p>
    <w:p w14:paraId="49724DC4">
      <w:pPr>
        <w:pStyle w:val="23"/>
        <w:rPr>
          <w:rFonts w:hint="eastAsia"/>
          <w:color w:val="auto"/>
          <w:highlight w:val="none"/>
        </w:rPr>
      </w:pPr>
    </w:p>
    <w:p w14:paraId="4DCD735E">
      <w:pPr>
        <w:spacing w:after="120"/>
        <w:ind w:right="960"/>
        <w:rPr>
          <w:rFonts w:hint="eastAsia" w:ascii="宋体" w:hAnsi="宋体" w:cs="宋体"/>
          <w:b/>
          <w:color w:val="auto"/>
          <w:sz w:val="36"/>
          <w:highlight w:val="none"/>
          <w:lang w:bidi="ar"/>
        </w:rPr>
      </w:pPr>
    </w:p>
    <w:p w14:paraId="58C0E646">
      <w:pPr>
        <w:spacing w:after="120"/>
        <w:ind w:right="960"/>
        <w:rPr>
          <w:rFonts w:hint="eastAsia" w:ascii="宋体" w:hAnsi="宋体" w:cs="宋体"/>
          <w:b/>
          <w:color w:val="auto"/>
          <w:sz w:val="36"/>
          <w:highlight w:val="none"/>
          <w:lang w:bidi="ar"/>
        </w:rPr>
      </w:pPr>
      <w:r>
        <w:rPr>
          <w:rFonts w:hint="eastAsia" w:ascii="宋体" w:hAnsi="宋体" w:cs="宋体"/>
          <w:b/>
          <w:color w:val="auto"/>
          <w:sz w:val="36"/>
          <w:highlight w:val="none"/>
          <w:lang w:bidi="ar"/>
        </w:rPr>
        <w:t xml:space="preserve"> </w:t>
      </w:r>
    </w:p>
    <w:p w14:paraId="09285771">
      <w:pPr>
        <w:spacing w:after="120"/>
        <w:ind w:right="960"/>
        <w:jc w:val="center"/>
        <w:rPr>
          <w:rFonts w:hint="eastAsia" w:ascii="宋体" w:hAnsi="宋体" w:cs="宋体"/>
          <w:b/>
          <w:color w:val="auto"/>
          <w:sz w:val="36"/>
          <w:highlight w:val="none"/>
          <w:lang w:bidi="ar"/>
        </w:rPr>
      </w:pPr>
    </w:p>
    <w:p w14:paraId="7FA20164">
      <w:pPr>
        <w:spacing w:after="120"/>
        <w:ind w:right="960"/>
        <w:jc w:val="both"/>
        <w:rPr>
          <w:rFonts w:hint="eastAsia" w:ascii="宋体" w:hAnsi="宋体" w:cs="宋体"/>
          <w:b/>
          <w:color w:val="auto"/>
          <w:sz w:val="36"/>
          <w:highlight w:val="none"/>
          <w:lang w:bidi="ar"/>
        </w:rPr>
      </w:pPr>
    </w:p>
    <w:p w14:paraId="43958496">
      <w:pPr>
        <w:spacing w:after="120"/>
        <w:ind w:right="960"/>
        <w:jc w:val="center"/>
        <w:rPr>
          <w:rFonts w:hint="eastAsia" w:ascii="宋体" w:hAnsi="宋体" w:cs="宋体"/>
          <w:b/>
          <w:color w:val="auto"/>
          <w:sz w:val="36"/>
          <w:highlight w:val="none"/>
          <w:lang w:bidi="ar"/>
        </w:rPr>
      </w:pPr>
      <w:r>
        <w:rPr>
          <w:rFonts w:hint="eastAsia" w:ascii="宋体" w:hAnsi="宋体" w:cs="宋体"/>
          <w:b/>
          <w:color w:val="auto"/>
          <w:sz w:val="36"/>
          <w:highlight w:val="none"/>
          <w:lang w:bidi="ar"/>
        </w:rPr>
        <w:t>残疾人福利性单位声明函</w:t>
      </w:r>
    </w:p>
    <w:p w14:paraId="45580775">
      <w:pPr>
        <w:widowControl/>
        <w:snapToGrid w:val="0"/>
        <w:spacing w:line="300" w:lineRule="auto"/>
        <w:ind w:firstLine="2409" w:firstLineChars="1000"/>
        <w:rPr>
          <w:rFonts w:hint="eastAsia" w:ascii="宋体" w:hAnsi="宋体" w:cs="宋体"/>
          <w:b/>
          <w:color w:val="auto"/>
          <w:sz w:val="36"/>
          <w:highlight w:val="none"/>
          <w:lang w:bidi="ar"/>
        </w:rPr>
      </w:pPr>
      <w:r>
        <w:rPr>
          <w:rFonts w:hint="eastAsia" w:ascii="宋体" w:hAnsi="宋体" w:cs="宋体"/>
          <w:b/>
          <w:color w:val="auto"/>
          <w:sz w:val="24"/>
          <w:highlight w:val="none"/>
        </w:rPr>
        <w:t>【</w:t>
      </w:r>
      <w:r>
        <w:rPr>
          <w:rFonts w:hint="eastAsia" w:ascii="宋体" w:hAnsi="宋体" w:cs="宋体"/>
          <w:b/>
          <w:bCs/>
          <w:color w:val="auto"/>
          <w:sz w:val="24"/>
          <w:highlight w:val="none"/>
        </w:rPr>
        <w:t>非残疾人福利性单位不用提供</w:t>
      </w:r>
      <w:r>
        <w:rPr>
          <w:rFonts w:hint="eastAsia" w:ascii="宋体" w:hAnsi="宋体" w:cs="宋体"/>
          <w:b/>
          <w:color w:val="auto"/>
          <w:sz w:val="24"/>
          <w:highlight w:val="none"/>
        </w:rPr>
        <w:t>】</w:t>
      </w:r>
    </w:p>
    <w:p w14:paraId="76ED8E31">
      <w:pPr>
        <w:spacing w:line="480" w:lineRule="auto"/>
        <w:ind w:right="6"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8CF3F2">
      <w:pPr>
        <w:spacing w:line="480" w:lineRule="auto"/>
        <w:ind w:right="6"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本单位对上述声明的真实性负责。如有虚假，将依法承担相应责任。</w:t>
      </w:r>
    </w:p>
    <w:p w14:paraId="2F6788D8">
      <w:pPr>
        <w:spacing w:after="120"/>
        <w:ind w:right="960"/>
        <w:jc w:val="left"/>
        <w:rPr>
          <w:rFonts w:hint="eastAsia" w:ascii="宋体" w:hAnsi="宋体" w:cs="宋体"/>
          <w:color w:val="auto"/>
          <w:sz w:val="28"/>
          <w:szCs w:val="28"/>
          <w:highlight w:val="none"/>
        </w:rPr>
      </w:pPr>
    </w:p>
    <w:p w14:paraId="612CD64A">
      <w:pPr>
        <w:spacing w:after="120"/>
        <w:ind w:right="960" w:firstLine="3600" w:firstLineChars="1500"/>
        <w:jc w:val="left"/>
        <w:rPr>
          <w:rFonts w:hint="eastAsia" w:ascii="宋体" w:hAnsi="宋体" w:cs="宋体"/>
          <w:color w:val="auto"/>
          <w:sz w:val="24"/>
          <w:highlight w:val="none"/>
        </w:rPr>
      </w:pPr>
      <w:r>
        <w:rPr>
          <w:rFonts w:hint="eastAsia" w:ascii="宋体" w:hAnsi="宋体" w:cs="宋体"/>
          <w:color w:val="auto"/>
          <w:sz w:val="24"/>
          <w:highlight w:val="none"/>
          <w:lang w:bidi="ar"/>
        </w:rPr>
        <w:t>单位名称（盖章）:</w:t>
      </w:r>
    </w:p>
    <w:p w14:paraId="7B801739">
      <w:pPr>
        <w:widowControl/>
        <w:ind w:firstLine="3840" w:firstLineChars="1600"/>
        <w:jc w:val="left"/>
        <w:rPr>
          <w:rFonts w:hint="eastAsia" w:ascii="宋体" w:hAnsi="宋体" w:cs="宋体"/>
          <w:color w:val="auto"/>
          <w:sz w:val="24"/>
          <w:highlight w:val="none"/>
        </w:rPr>
      </w:pPr>
      <w:r>
        <w:rPr>
          <w:rFonts w:hint="eastAsia" w:ascii="宋体" w:hAnsi="宋体" w:cs="宋体"/>
          <w:color w:val="auto"/>
          <w:sz w:val="24"/>
          <w:highlight w:val="none"/>
          <w:lang w:bidi="ar"/>
        </w:rPr>
        <w:t>日  期：</w:t>
      </w:r>
    </w:p>
    <w:p w14:paraId="7029BDBB">
      <w:pPr>
        <w:ind w:hanging="28"/>
        <w:rPr>
          <w:rFonts w:hint="eastAsia" w:ascii="宋体" w:hAnsi="宋体" w:cs="宋体"/>
          <w:b/>
          <w:color w:val="auto"/>
          <w:sz w:val="24"/>
          <w:highlight w:val="none"/>
        </w:rPr>
      </w:pPr>
    </w:p>
    <w:p w14:paraId="7DBEBEF7">
      <w:pPr>
        <w:numPr>
          <w:ilvl w:val="0"/>
          <w:numId w:val="3"/>
        </w:numPr>
        <w:tabs>
          <w:tab w:val="left" w:pos="420"/>
        </w:tabs>
        <w:spacing w:before="100" w:beforeAutospacing="1" w:after="100" w:afterAutospacing="1" w:line="432" w:lineRule="auto"/>
        <w:ind w:hanging="1244"/>
        <w:rPr>
          <w:rFonts w:hint="eastAsia" w:ascii="宋体" w:hAnsi="宋体" w:cs="宋体"/>
          <w:b/>
          <w:color w:val="auto"/>
          <w:szCs w:val="21"/>
          <w:highlight w:val="none"/>
        </w:rPr>
      </w:pPr>
      <w:r>
        <w:rPr>
          <w:rFonts w:hint="eastAsia" w:ascii="宋体" w:hAnsi="宋体" w:cs="宋体"/>
          <w:b/>
          <w:color w:val="auto"/>
          <w:szCs w:val="21"/>
          <w:highlight w:val="none"/>
          <w:lang w:bidi="ar"/>
        </w:rPr>
        <w:t>残疾人福利性单位视同小型、微型企业，享受价格扣除。</w:t>
      </w:r>
    </w:p>
    <w:p w14:paraId="547CDEAE">
      <w:pPr>
        <w:numPr>
          <w:ilvl w:val="0"/>
          <w:numId w:val="3"/>
        </w:numPr>
        <w:tabs>
          <w:tab w:val="left" w:pos="420"/>
        </w:tabs>
        <w:spacing w:before="100" w:beforeAutospacing="1" w:after="100" w:afterAutospacing="1" w:line="432" w:lineRule="auto"/>
        <w:ind w:hanging="1244"/>
        <w:rPr>
          <w:rFonts w:hint="eastAsia" w:ascii="宋体" w:hAnsi="宋体" w:cs="宋体"/>
          <w:b/>
          <w:color w:val="auto"/>
          <w:szCs w:val="21"/>
          <w:highlight w:val="none"/>
        </w:rPr>
      </w:pPr>
      <w:r>
        <w:rPr>
          <w:rFonts w:hint="eastAsia" w:ascii="宋体" w:hAnsi="宋体" w:cs="宋体"/>
          <w:b/>
          <w:color w:val="auto"/>
          <w:szCs w:val="21"/>
          <w:highlight w:val="none"/>
          <w:lang w:bidi="ar"/>
        </w:rPr>
        <w:t>残疾人福利性单位属于小型、微型企业的，不重复享受政策。</w:t>
      </w:r>
    </w:p>
    <w:p w14:paraId="471885B9">
      <w:pPr>
        <w:numPr>
          <w:ilvl w:val="0"/>
          <w:numId w:val="3"/>
        </w:numPr>
        <w:tabs>
          <w:tab w:val="left" w:pos="420"/>
        </w:tabs>
        <w:spacing w:before="100" w:beforeAutospacing="1" w:after="100" w:afterAutospacing="1" w:line="432" w:lineRule="auto"/>
        <w:ind w:hanging="1244"/>
        <w:rPr>
          <w:rFonts w:hint="eastAsia" w:ascii="宋体" w:hAnsi="宋体" w:cs="宋体"/>
          <w:b/>
          <w:color w:val="auto"/>
          <w:szCs w:val="21"/>
          <w:highlight w:val="none"/>
          <w:lang w:bidi="ar"/>
        </w:rPr>
      </w:pPr>
      <w:r>
        <w:rPr>
          <w:rFonts w:hint="eastAsia" w:ascii="宋体" w:hAnsi="宋体" w:cs="宋体"/>
          <w:b/>
          <w:color w:val="auto"/>
          <w:szCs w:val="21"/>
          <w:highlight w:val="none"/>
          <w:lang w:bidi="ar"/>
        </w:rPr>
        <w:t>如中标人声明为残疾人福利性单位，本声明函将随中标结果同时公告，接受社会监督。</w:t>
      </w:r>
    </w:p>
    <w:p w14:paraId="72AEF404">
      <w:pPr>
        <w:numPr>
          <w:ilvl w:val="0"/>
          <w:numId w:val="3"/>
        </w:numPr>
        <w:tabs>
          <w:tab w:val="left" w:pos="420"/>
        </w:tabs>
        <w:spacing w:before="100" w:beforeAutospacing="1" w:after="100" w:afterAutospacing="1" w:line="432" w:lineRule="auto"/>
        <w:ind w:hanging="1244"/>
        <w:rPr>
          <w:rFonts w:hint="eastAsia" w:ascii="宋体" w:hAnsi="宋体" w:cs="宋体"/>
          <w:b/>
          <w:color w:val="auto"/>
          <w:szCs w:val="21"/>
          <w:highlight w:val="none"/>
          <w:lang w:bidi="ar"/>
        </w:rPr>
      </w:pPr>
      <w:r>
        <w:rPr>
          <w:rFonts w:hint="eastAsia" w:ascii="宋体" w:hAnsi="宋体" w:cs="宋体"/>
          <w:b/>
          <w:color w:val="auto"/>
          <w:szCs w:val="21"/>
          <w:highlight w:val="none"/>
          <w:lang w:bidi="ar"/>
        </w:rPr>
        <w:t>后附残疾人福利性单位残疾人聘用情况表</w:t>
      </w:r>
    </w:p>
    <w:p w14:paraId="3786B949">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残疾人福利性单位残疾人聘用情况表（格式可扩展）</w:t>
      </w:r>
    </w:p>
    <w:tbl>
      <w:tblPr>
        <w:tblStyle w:val="25"/>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752"/>
        <w:gridCol w:w="2589"/>
        <w:gridCol w:w="2247"/>
      </w:tblGrid>
      <w:tr w14:paraId="3DE9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8" w:type="dxa"/>
            <w:tcBorders>
              <w:top w:val="single" w:color="auto" w:sz="4" w:space="0"/>
              <w:left w:val="single" w:color="auto" w:sz="4" w:space="0"/>
              <w:bottom w:val="single" w:color="auto" w:sz="4" w:space="0"/>
              <w:right w:val="single" w:color="auto" w:sz="4" w:space="0"/>
            </w:tcBorders>
            <w:noWrap w:val="0"/>
            <w:vAlign w:val="top"/>
          </w:tcPr>
          <w:p w14:paraId="74A72CFD">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24"/>
                <w:highlight w:val="none"/>
                <w:lang w:bidi="ar"/>
              </w:rPr>
              <w:t>序号</w:t>
            </w:r>
          </w:p>
        </w:tc>
        <w:tc>
          <w:tcPr>
            <w:tcW w:w="2752" w:type="dxa"/>
            <w:tcBorders>
              <w:top w:val="single" w:color="auto" w:sz="4" w:space="0"/>
              <w:left w:val="single" w:color="auto" w:sz="4" w:space="0"/>
              <w:bottom w:val="single" w:color="auto" w:sz="4" w:space="0"/>
              <w:right w:val="single" w:color="auto" w:sz="4" w:space="0"/>
            </w:tcBorders>
            <w:noWrap w:val="0"/>
            <w:vAlign w:val="top"/>
          </w:tcPr>
          <w:p w14:paraId="6E7BB6D0">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24"/>
                <w:highlight w:val="none"/>
                <w:lang w:bidi="ar"/>
              </w:rPr>
              <w:t>姓名</w:t>
            </w:r>
          </w:p>
        </w:tc>
        <w:tc>
          <w:tcPr>
            <w:tcW w:w="2589" w:type="dxa"/>
            <w:tcBorders>
              <w:top w:val="single" w:color="auto" w:sz="4" w:space="0"/>
              <w:left w:val="single" w:color="auto" w:sz="4" w:space="0"/>
              <w:bottom w:val="single" w:color="auto" w:sz="4" w:space="0"/>
              <w:right w:val="single" w:color="auto" w:sz="4" w:space="0"/>
            </w:tcBorders>
            <w:noWrap w:val="0"/>
            <w:vAlign w:val="top"/>
          </w:tcPr>
          <w:p w14:paraId="3DC3CD96">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24"/>
                <w:highlight w:val="none"/>
                <w:lang w:bidi="ar"/>
              </w:rPr>
              <w:t>残疾人证号</w:t>
            </w:r>
          </w:p>
        </w:tc>
        <w:tc>
          <w:tcPr>
            <w:tcW w:w="2247" w:type="dxa"/>
            <w:tcBorders>
              <w:top w:val="single" w:color="auto" w:sz="4" w:space="0"/>
              <w:left w:val="single" w:color="auto" w:sz="4" w:space="0"/>
              <w:bottom w:val="single" w:color="auto" w:sz="4" w:space="0"/>
              <w:right w:val="single" w:color="auto" w:sz="4" w:space="0"/>
            </w:tcBorders>
            <w:noWrap w:val="0"/>
            <w:vAlign w:val="top"/>
          </w:tcPr>
          <w:p w14:paraId="73F68E83">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24"/>
                <w:highlight w:val="none"/>
                <w:lang w:bidi="ar"/>
              </w:rPr>
              <w:t>聘用时间</w:t>
            </w:r>
          </w:p>
        </w:tc>
      </w:tr>
      <w:tr w14:paraId="525B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8" w:type="dxa"/>
            <w:tcBorders>
              <w:top w:val="single" w:color="auto" w:sz="4" w:space="0"/>
              <w:left w:val="single" w:color="auto" w:sz="4" w:space="0"/>
              <w:bottom w:val="single" w:color="auto" w:sz="4" w:space="0"/>
              <w:right w:val="single" w:color="auto" w:sz="4" w:space="0"/>
            </w:tcBorders>
            <w:noWrap w:val="0"/>
            <w:vAlign w:val="top"/>
          </w:tcPr>
          <w:p w14:paraId="70F11851">
            <w:pPr>
              <w:snapToGrid w:val="0"/>
              <w:spacing w:before="120" w:beforeLines="50" w:after="50"/>
              <w:jc w:val="center"/>
              <w:rPr>
                <w:rFonts w:hint="eastAsia" w:ascii="宋体" w:hAnsi="宋体" w:cs="宋体"/>
                <w:b/>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noWrap w:val="0"/>
            <w:vAlign w:val="top"/>
          </w:tcPr>
          <w:p w14:paraId="41239014">
            <w:pPr>
              <w:snapToGrid w:val="0"/>
              <w:spacing w:before="120" w:beforeLines="50" w:after="50"/>
              <w:jc w:val="center"/>
              <w:rPr>
                <w:rFonts w:hint="eastAsia" w:ascii="宋体" w:hAnsi="宋体" w:cs="宋体"/>
                <w:b/>
                <w:color w:val="auto"/>
                <w:sz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050C3B1F">
            <w:pPr>
              <w:snapToGrid w:val="0"/>
              <w:spacing w:before="120" w:beforeLines="50" w:after="50"/>
              <w:jc w:val="center"/>
              <w:rPr>
                <w:rFonts w:hint="eastAsia" w:ascii="宋体" w:hAnsi="宋体" w:cs="宋体"/>
                <w:b/>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noWrap w:val="0"/>
            <w:vAlign w:val="top"/>
          </w:tcPr>
          <w:p w14:paraId="7DECFF08">
            <w:pPr>
              <w:snapToGrid w:val="0"/>
              <w:spacing w:before="120" w:beforeLines="50" w:after="50"/>
              <w:jc w:val="center"/>
              <w:rPr>
                <w:rFonts w:hint="eastAsia" w:ascii="宋体" w:hAnsi="宋体" w:cs="宋体"/>
                <w:b/>
                <w:color w:val="auto"/>
                <w:sz w:val="24"/>
                <w:highlight w:val="none"/>
              </w:rPr>
            </w:pPr>
          </w:p>
        </w:tc>
      </w:tr>
      <w:tr w14:paraId="5088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8" w:type="dxa"/>
            <w:tcBorders>
              <w:top w:val="single" w:color="auto" w:sz="4" w:space="0"/>
              <w:left w:val="single" w:color="auto" w:sz="4" w:space="0"/>
              <w:bottom w:val="single" w:color="auto" w:sz="4" w:space="0"/>
              <w:right w:val="single" w:color="auto" w:sz="4" w:space="0"/>
            </w:tcBorders>
            <w:noWrap w:val="0"/>
            <w:vAlign w:val="top"/>
          </w:tcPr>
          <w:p w14:paraId="3F2AE43F">
            <w:pPr>
              <w:snapToGrid w:val="0"/>
              <w:spacing w:before="120" w:beforeLines="50" w:after="50"/>
              <w:jc w:val="center"/>
              <w:rPr>
                <w:rFonts w:hint="eastAsia" w:ascii="宋体" w:hAnsi="宋体" w:cs="宋体"/>
                <w:b/>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noWrap w:val="0"/>
            <w:vAlign w:val="top"/>
          </w:tcPr>
          <w:p w14:paraId="659AE1E2">
            <w:pPr>
              <w:snapToGrid w:val="0"/>
              <w:spacing w:before="120" w:beforeLines="50" w:after="50"/>
              <w:jc w:val="center"/>
              <w:rPr>
                <w:rFonts w:hint="eastAsia" w:ascii="宋体" w:hAnsi="宋体" w:cs="宋体"/>
                <w:b/>
                <w:color w:val="auto"/>
                <w:sz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3F4C021B">
            <w:pPr>
              <w:snapToGrid w:val="0"/>
              <w:spacing w:before="120" w:beforeLines="50" w:after="50"/>
              <w:jc w:val="center"/>
              <w:rPr>
                <w:rFonts w:hint="eastAsia" w:ascii="宋体" w:hAnsi="宋体" w:cs="宋体"/>
                <w:b/>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noWrap w:val="0"/>
            <w:vAlign w:val="top"/>
          </w:tcPr>
          <w:p w14:paraId="46319F9E">
            <w:pPr>
              <w:snapToGrid w:val="0"/>
              <w:spacing w:before="120" w:beforeLines="50" w:after="50"/>
              <w:jc w:val="center"/>
              <w:rPr>
                <w:rFonts w:hint="eastAsia" w:ascii="宋体" w:hAnsi="宋体" w:cs="宋体"/>
                <w:b/>
                <w:color w:val="auto"/>
                <w:sz w:val="24"/>
                <w:highlight w:val="none"/>
              </w:rPr>
            </w:pPr>
          </w:p>
        </w:tc>
      </w:tr>
    </w:tbl>
    <w:p w14:paraId="745C8B82">
      <w:pPr>
        <w:widowControl/>
        <w:jc w:val="left"/>
        <w:rPr>
          <w:rFonts w:hint="eastAsia" w:ascii="宋体" w:hAnsi="宋体" w:cs="宋体"/>
          <w:color w:val="auto"/>
          <w:highlight w:val="none"/>
        </w:rPr>
      </w:pPr>
      <w:r>
        <w:rPr>
          <w:rFonts w:hint="eastAsia" w:ascii="宋体" w:hAnsi="宋体" w:cs="宋体"/>
          <w:b/>
          <w:color w:val="auto"/>
          <w:sz w:val="24"/>
          <w:highlight w:val="none"/>
          <w:lang w:bidi="ar"/>
        </w:rPr>
        <w:t>备注：本表后须附上所聘用残疾人员的残疾证、劳动合同、残疾人银行工资发放清单及足额缴纳的社会保险清单复印件，安置的残疾人比例不低于 25%（含 25%），且安置的残疾人人数不少于 10 人（含 10 人）；否则，视为非残疾人福利性单位不享受政策优惠。</w:t>
      </w:r>
    </w:p>
    <w:p w14:paraId="7495177D">
      <w:pPr>
        <w:ind w:hanging="28"/>
        <w:rPr>
          <w:rFonts w:hint="eastAsia" w:ascii="宋体" w:hAnsi="宋体" w:cs="宋体"/>
          <w:b/>
          <w:color w:val="auto"/>
          <w:sz w:val="24"/>
          <w:highlight w:val="none"/>
        </w:rPr>
      </w:pPr>
    </w:p>
    <w:p w14:paraId="77ECF94D">
      <w:pPr>
        <w:pStyle w:val="2"/>
        <w:rPr>
          <w:rFonts w:hint="eastAsia" w:ascii="宋体" w:hAnsi="宋体" w:eastAsia="宋体" w:cs="宋体"/>
          <w:color w:val="auto"/>
          <w:highlight w:val="none"/>
        </w:rPr>
      </w:pPr>
    </w:p>
    <w:p w14:paraId="154E0DE6">
      <w:pPr>
        <w:rPr>
          <w:rFonts w:hint="eastAsia" w:ascii="宋体" w:hAnsi="宋体" w:cs="宋体"/>
          <w:color w:val="auto"/>
          <w:highlight w:val="none"/>
        </w:rPr>
      </w:pPr>
    </w:p>
    <w:p w14:paraId="714F2DF6">
      <w:pPr>
        <w:pStyle w:val="23"/>
        <w:ind w:firstLine="344"/>
        <w:rPr>
          <w:rFonts w:hint="eastAsia" w:hAnsi="宋体" w:cs="宋体"/>
          <w:color w:val="auto"/>
          <w:highlight w:val="none"/>
        </w:rPr>
      </w:pPr>
    </w:p>
    <w:p w14:paraId="25CAEDC0">
      <w:pPr>
        <w:rPr>
          <w:rFonts w:hint="eastAsia" w:ascii="宋体" w:hAnsi="宋体" w:cs="宋体"/>
          <w:color w:val="auto"/>
          <w:highlight w:val="none"/>
        </w:rPr>
      </w:pPr>
    </w:p>
    <w:p w14:paraId="7FCABFD3">
      <w:pPr>
        <w:spacing w:line="30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监狱企业声明函</w:t>
      </w:r>
    </w:p>
    <w:p w14:paraId="724B75D2">
      <w:pPr>
        <w:adjustRightInd w:val="0"/>
        <w:snapToGrid w:val="0"/>
        <w:spacing w:line="300" w:lineRule="auto"/>
        <w:jc w:val="center"/>
        <w:rPr>
          <w:rFonts w:hint="eastAsia"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bCs/>
          <w:color w:val="auto"/>
          <w:sz w:val="24"/>
          <w:highlight w:val="none"/>
        </w:rPr>
        <w:t>非监狱企业不用提供</w:t>
      </w:r>
      <w:r>
        <w:rPr>
          <w:rFonts w:hint="eastAsia" w:ascii="宋体" w:hAnsi="宋体" w:cs="宋体"/>
          <w:b/>
          <w:color w:val="auto"/>
          <w:sz w:val="24"/>
          <w:highlight w:val="none"/>
        </w:rPr>
        <w:t>】</w:t>
      </w:r>
    </w:p>
    <w:p w14:paraId="77A618A9">
      <w:pPr>
        <w:widowControl/>
        <w:adjustRightInd w:val="0"/>
        <w:snapToGrid w:val="0"/>
        <w:spacing w:line="300" w:lineRule="auto"/>
        <w:ind w:firstLine="480" w:firstLineChars="200"/>
        <w:rPr>
          <w:rFonts w:hint="eastAsia" w:ascii="宋体" w:hAnsi="宋体" w:cs="宋体"/>
          <w:color w:val="auto"/>
          <w:sz w:val="24"/>
          <w:highlight w:val="none"/>
        </w:rPr>
      </w:pPr>
    </w:p>
    <w:p w14:paraId="5D6E6AED">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本企业郑重声明，根据《关于政府采购支持监狱企业发展有关问题的通知》（财库[2014]68号）的规定，本企业为</w:t>
      </w:r>
      <w:r>
        <w:rPr>
          <w:rFonts w:hint="eastAsia" w:ascii="宋体" w:hAnsi="宋体" w:cs="宋体"/>
          <w:color w:val="auto"/>
          <w:sz w:val="24"/>
          <w:highlight w:val="none"/>
          <w:u w:val="single"/>
        </w:rPr>
        <w:t>监狱企业</w:t>
      </w:r>
      <w:r>
        <w:rPr>
          <w:rFonts w:hint="eastAsia" w:ascii="宋体" w:hAnsi="宋体" w:cs="宋体"/>
          <w:color w:val="auto"/>
          <w:sz w:val="24"/>
          <w:highlight w:val="none"/>
        </w:rPr>
        <w:t>。</w:t>
      </w:r>
    </w:p>
    <w:p w14:paraId="026A11FD">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根据上述标准，我企业属于</w:t>
      </w:r>
      <w:r>
        <w:rPr>
          <w:rFonts w:hint="eastAsia" w:ascii="宋体" w:hAnsi="宋体" w:cs="宋体"/>
          <w:color w:val="auto"/>
          <w:sz w:val="24"/>
          <w:highlight w:val="none"/>
          <w:u w:val="single"/>
        </w:rPr>
        <w:t>监狱企业</w:t>
      </w:r>
      <w:r>
        <w:rPr>
          <w:rFonts w:hint="eastAsia" w:ascii="宋体" w:hAnsi="宋体" w:cs="宋体"/>
          <w:color w:val="auto"/>
          <w:sz w:val="24"/>
          <w:highlight w:val="none"/>
        </w:rPr>
        <w:t>的理由为：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D22918A">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本企业为参加（项目名称：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）采购活动提供本企业</w:t>
      </w:r>
      <w:r>
        <w:rPr>
          <w:rFonts w:hint="eastAsia" w:ascii="宋体" w:hAnsi="宋体" w:cs="宋体"/>
          <w:color w:val="auto"/>
          <w:sz w:val="24"/>
          <w:highlight w:val="none"/>
          <w:u w:val="single"/>
        </w:rPr>
        <w:t>的服务</w:t>
      </w:r>
      <w:r>
        <w:rPr>
          <w:rFonts w:hint="eastAsia" w:ascii="宋体" w:hAnsi="宋体" w:cs="宋体"/>
          <w:color w:val="auto"/>
          <w:sz w:val="24"/>
          <w:highlight w:val="none"/>
        </w:rPr>
        <w:t>。</w:t>
      </w:r>
    </w:p>
    <w:p w14:paraId="0BF88BA0">
      <w:pPr>
        <w:widowControl/>
        <w:adjustRightInd w:val="0"/>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u w:val="single"/>
        </w:rPr>
        <w:t>本企业对上述声明的真实性负责。如有虚假，将依法承担相应责任</w:t>
      </w:r>
      <w:r>
        <w:rPr>
          <w:rFonts w:hint="eastAsia" w:ascii="宋体" w:hAnsi="宋体" w:cs="宋体"/>
          <w:color w:val="auto"/>
          <w:sz w:val="24"/>
          <w:highlight w:val="none"/>
        </w:rPr>
        <w:t>。</w:t>
      </w:r>
    </w:p>
    <w:p w14:paraId="6FC05143">
      <w:pPr>
        <w:adjustRightInd w:val="0"/>
        <w:snapToGrid w:val="0"/>
        <w:spacing w:line="360" w:lineRule="auto"/>
        <w:ind w:firstLine="480" w:firstLineChars="200"/>
        <w:jc w:val="center"/>
        <w:rPr>
          <w:rFonts w:hint="eastAsia" w:ascii="宋体" w:hAnsi="宋体" w:cs="宋体"/>
          <w:color w:val="auto"/>
          <w:sz w:val="24"/>
          <w:highlight w:val="none"/>
        </w:rPr>
      </w:pPr>
    </w:p>
    <w:p w14:paraId="2C9D1404">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供应商名称（盖章）：</w:t>
      </w:r>
      <w:r>
        <w:rPr>
          <w:rFonts w:hint="eastAsia" w:ascii="宋体" w:hAnsi="宋体" w:cs="宋体"/>
          <w:color w:val="auto"/>
          <w:sz w:val="24"/>
          <w:highlight w:val="none"/>
          <w:u w:val="single"/>
        </w:rPr>
        <w:t xml:space="preserve">            </w:t>
      </w:r>
    </w:p>
    <w:p w14:paraId="7E75A24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A25634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77E133F">
      <w:pPr>
        <w:widowControl/>
        <w:snapToGrid w:val="0"/>
        <w:spacing w:line="360" w:lineRule="auto"/>
        <w:ind w:firstLine="480" w:firstLineChars="200"/>
        <w:rPr>
          <w:rFonts w:hint="eastAsia" w:ascii="宋体" w:hAnsi="宋体" w:cs="宋体"/>
          <w:color w:val="auto"/>
          <w:sz w:val="24"/>
          <w:highlight w:val="none"/>
        </w:rPr>
      </w:pPr>
    </w:p>
    <w:p w14:paraId="45ACEF9A">
      <w:pPr>
        <w:widowControl/>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p>
    <w:p w14:paraId="4C117778">
      <w:pPr>
        <w:widowControl/>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3AFD23">
      <w:pPr>
        <w:pStyle w:val="10"/>
        <w:adjustRightInd w:val="0"/>
        <w:snapToGrid w:val="0"/>
        <w:spacing w:before="120" w:beforeLines="0" w:after="120" w:afterLines="0" w:line="300" w:lineRule="auto"/>
        <w:ind w:firstLine="480" w:firstLineChars="200"/>
        <w:rPr>
          <w:rFonts w:hint="eastAsia" w:hAnsi="宋体" w:cs="宋体"/>
          <w:color w:val="auto"/>
          <w:highlight w:val="none"/>
        </w:rPr>
      </w:pPr>
    </w:p>
    <w:p w14:paraId="1F9F2704">
      <w:pPr>
        <w:ind w:hanging="28"/>
        <w:rPr>
          <w:rFonts w:hint="eastAsia" w:ascii="宋体" w:hAnsi="宋体" w:cs="宋体"/>
          <w:b/>
          <w:color w:val="auto"/>
          <w:sz w:val="24"/>
          <w:highlight w:val="none"/>
        </w:rPr>
      </w:pPr>
    </w:p>
    <w:p w14:paraId="1FBA54BD">
      <w:pPr>
        <w:rPr>
          <w:rFonts w:hint="eastAsia" w:ascii="宋体" w:hAnsi="宋体" w:cs="宋体"/>
          <w:color w:val="auto"/>
          <w:sz w:val="44"/>
          <w:szCs w:val="44"/>
          <w:highlight w:val="none"/>
        </w:rPr>
      </w:pPr>
    </w:p>
    <w:p w14:paraId="0ECBCBF6">
      <w:pPr>
        <w:rPr>
          <w:rFonts w:hint="eastAsia" w:ascii="宋体" w:hAnsi="宋体" w:cs="宋体"/>
          <w:color w:val="auto"/>
          <w:sz w:val="44"/>
          <w:szCs w:val="44"/>
          <w:highlight w:val="none"/>
        </w:rPr>
      </w:pPr>
    </w:p>
    <w:p w14:paraId="2447CC28">
      <w:pPr>
        <w:rPr>
          <w:rFonts w:hint="eastAsia" w:ascii="宋体" w:hAnsi="宋体" w:cs="宋体"/>
          <w:color w:val="auto"/>
          <w:sz w:val="44"/>
          <w:szCs w:val="44"/>
          <w:highlight w:val="none"/>
        </w:rPr>
      </w:pPr>
    </w:p>
    <w:p w14:paraId="2587AB6E">
      <w:pPr>
        <w:rPr>
          <w:rFonts w:hint="eastAsia" w:ascii="宋体" w:hAnsi="宋体" w:cs="宋体"/>
          <w:color w:val="auto"/>
          <w:sz w:val="44"/>
          <w:szCs w:val="44"/>
          <w:highlight w:val="none"/>
        </w:rPr>
      </w:pPr>
    </w:p>
    <w:p w14:paraId="257F991B">
      <w:pPr>
        <w:rPr>
          <w:rFonts w:hint="eastAsia" w:ascii="宋体" w:hAnsi="宋体" w:cs="宋体"/>
          <w:color w:val="auto"/>
          <w:sz w:val="44"/>
          <w:szCs w:val="44"/>
          <w:highlight w:val="none"/>
        </w:rPr>
      </w:pPr>
    </w:p>
    <w:p w14:paraId="203D42DA">
      <w:pPr>
        <w:spacing w:after="120"/>
        <w:rPr>
          <w:rFonts w:hint="eastAsia" w:ascii="宋体" w:hAnsi="宋体" w:cs="宋体"/>
          <w:b/>
          <w:color w:val="auto"/>
          <w:sz w:val="36"/>
          <w:szCs w:val="36"/>
          <w:highlight w:val="none"/>
        </w:rPr>
      </w:pPr>
    </w:p>
    <w:p w14:paraId="357D6AAC">
      <w:pPr>
        <w:pStyle w:val="23"/>
        <w:ind w:firstLine="707"/>
        <w:rPr>
          <w:rFonts w:hint="eastAsia" w:hAnsi="宋体" w:cs="宋体"/>
          <w:b/>
          <w:color w:val="auto"/>
          <w:sz w:val="36"/>
          <w:szCs w:val="36"/>
          <w:highlight w:val="none"/>
        </w:rPr>
      </w:pPr>
    </w:p>
    <w:p w14:paraId="5308C56A">
      <w:pPr>
        <w:spacing w:after="120"/>
        <w:rPr>
          <w:rFonts w:hint="eastAsia" w:ascii="宋体" w:hAnsi="宋体" w:cs="宋体"/>
          <w:b/>
          <w:color w:val="auto"/>
          <w:sz w:val="36"/>
          <w:szCs w:val="36"/>
          <w:highlight w:val="none"/>
        </w:rPr>
      </w:pPr>
    </w:p>
    <w:p w14:paraId="46D93042">
      <w:pPr>
        <w:spacing w:after="120"/>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东阳市采购项目验收方案</w:t>
      </w:r>
      <w:r>
        <w:rPr>
          <w:rFonts w:hint="eastAsia" w:ascii="宋体" w:hAnsi="宋体" w:cs="宋体"/>
          <w:b/>
          <w:color w:val="auto"/>
          <w:sz w:val="36"/>
          <w:szCs w:val="36"/>
          <w:highlight w:val="none"/>
          <w:lang w:eastAsia="zh-CN"/>
        </w:rPr>
        <w:t>【本表格无需提供】</w:t>
      </w:r>
    </w:p>
    <w:p w14:paraId="263EDABA">
      <w:pPr>
        <w:spacing w:before="120" w:beforeLines="50" w:after="120" w:afterLines="5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根据《政府采购法》及东阳市政府采购办东财预〔2009〕98号《关于加强政府采购管理工作的补充规定》等有关文件规定，为做好采购项目的验收管理工作，特制定本项目验收方案，具体如下。</w:t>
      </w:r>
    </w:p>
    <w:p w14:paraId="7E555B03">
      <w:pPr>
        <w:spacing w:after="120"/>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一、验收项目说明</w:t>
      </w:r>
    </w:p>
    <w:p w14:paraId="23FA5EAD">
      <w:pPr>
        <w:spacing w:after="120"/>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1、招标编号：</w:t>
      </w:r>
    </w:p>
    <w:p w14:paraId="33FBE815">
      <w:pPr>
        <w:spacing w:after="120"/>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2、采购内容：</w:t>
      </w:r>
    </w:p>
    <w:p w14:paraId="4C4AF0AF">
      <w:pPr>
        <w:spacing w:after="120"/>
        <w:rPr>
          <w:rFonts w:hint="eastAsia" w:ascii="宋体" w:hAnsi="宋体" w:cs="宋体"/>
          <w:b/>
          <w:color w:val="auto"/>
          <w:sz w:val="24"/>
          <w:highlight w:val="none"/>
        </w:rPr>
      </w:pPr>
    </w:p>
    <w:p w14:paraId="485EA6DA">
      <w:pPr>
        <w:spacing w:after="120"/>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二、验收小组人员</w:t>
      </w:r>
    </w:p>
    <w:p w14:paraId="534A6825">
      <w:pPr>
        <w:spacing w:after="120"/>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1、本次验收由组织。</w:t>
      </w:r>
    </w:p>
    <w:p w14:paraId="490C4462">
      <w:pPr>
        <w:spacing w:after="120"/>
        <w:ind w:firstLine="472" w:firstLineChars="196"/>
        <w:rPr>
          <w:rFonts w:hint="eastAsia" w:ascii="宋体" w:hAnsi="宋体" w:cs="宋体"/>
          <w:b/>
          <w:color w:val="auto"/>
          <w:sz w:val="24"/>
          <w:highlight w:val="none"/>
          <w:u w:val="single"/>
        </w:rPr>
      </w:pPr>
      <w:r>
        <w:rPr>
          <w:rFonts w:hint="eastAsia" w:ascii="宋体" w:hAnsi="宋体" w:cs="宋体"/>
          <w:b/>
          <w:color w:val="auto"/>
          <w:sz w:val="24"/>
          <w:highlight w:val="none"/>
        </w:rPr>
        <w:t>2、验收小组成员名单：</w:t>
      </w:r>
    </w:p>
    <w:p w14:paraId="0CD8D98A">
      <w:pPr>
        <w:spacing w:after="120"/>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3、验收小组成员签名：</w:t>
      </w:r>
    </w:p>
    <w:p w14:paraId="076CC644">
      <w:pPr>
        <w:spacing w:after="120"/>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三、验收方法与内容</w:t>
      </w:r>
    </w:p>
    <w:p w14:paraId="6188438A">
      <w:pPr>
        <w:spacing w:after="120"/>
        <w:rPr>
          <w:rFonts w:hint="eastAsia" w:ascii="宋体" w:hAnsi="宋体" w:cs="宋体"/>
          <w:b/>
          <w:color w:val="auto"/>
          <w:sz w:val="24"/>
          <w:highlight w:val="none"/>
        </w:rPr>
      </w:pPr>
    </w:p>
    <w:p w14:paraId="35AD2743">
      <w:pPr>
        <w:spacing w:after="120"/>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四、验收时间</w:t>
      </w:r>
    </w:p>
    <w:p w14:paraId="1F718E70">
      <w:pPr>
        <w:spacing w:after="120"/>
        <w:rPr>
          <w:rFonts w:hint="eastAsia" w:ascii="宋体" w:hAnsi="宋体" w:cs="宋体"/>
          <w:b/>
          <w:color w:val="auto"/>
          <w:sz w:val="24"/>
          <w:highlight w:val="none"/>
        </w:rPr>
      </w:pPr>
    </w:p>
    <w:p w14:paraId="5E5A9B0E">
      <w:pPr>
        <w:spacing w:after="120"/>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五、验收地点</w:t>
      </w:r>
    </w:p>
    <w:p w14:paraId="4C2DDBAE">
      <w:pPr>
        <w:spacing w:after="120"/>
        <w:rPr>
          <w:rFonts w:hint="eastAsia" w:ascii="宋体" w:hAnsi="宋体" w:cs="宋体"/>
          <w:b/>
          <w:color w:val="auto"/>
          <w:sz w:val="24"/>
          <w:highlight w:val="none"/>
        </w:rPr>
      </w:pPr>
    </w:p>
    <w:p w14:paraId="69D2C768">
      <w:pPr>
        <w:spacing w:after="120"/>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六、验收程序</w:t>
      </w:r>
    </w:p>
    <w:p w14:paraId="0D2D3D36">
      <w:pPr>
        <w:spacing w:after="120"/>
        <w:ind w:left="479" w:leftChars="228" w:firstLine="470" w:firstLineChars="195"/>
        <w:rPr>
          <w:rFonts w:hint="eastAsia" w:ascii="宋体" w:hAnsi="宋体" w:cs="宋体"/>
          <w:b/>
          <w:color w:val="auto"/>
          <w:sz w:val="24"/>
          <w:highlight w:val="none"/>
        </w:rPr>
      </w:pPr>
    </w:p>
    <w:p w14:paraId="11C27FC9">
      <w:pPr>
        <w:spacing w:after="120"/>
        <w:ind w:right="-6"/>
        <w:rPr>
          <w:rFonts w:hint="eastAsia" w:ascii="宋体" w:hAnsi="宋体" w:cs="宋体"/>
          <w:b/>
          <w:color w:val="auto"/>
          <w:sz w:val="24"/>
          <w:highlight w:val="none"/>
        </w:rPr>
      </w:pPr>
      <w:r>
        <w:rPr>
          <w:rFonts w:hint="eastAsia" w:ascii="宋体" w:hAnsi="宋体" w:cs="宋体"/>
          <w:b/>
          <w:color w:val="auto"/>
          <w:sz w:val="24"/>
          <w:highlight w:val="none"/>
        </w:rPr>
        <w:t xml:space="preserve">                                            采购单位（盖章）：</w:t>
      </w:r>
    </w:p>
    <w:p w14:paraId="1432952D">
      <w:pPr>
        <w:wordWrap w:val="0"/>
        <w:spacing w:after="120"/>
        <w:ind w:right="960" w:firstLine="548" w:firstLineChars="196"/>
        <w:jc w:val="right"/>
        <w:rPr>
          <w:rFonts w:hint="eastAsia" w:ascii="宋体" w:hAnsi="宋体" w:cs="宋体"/>
          <w:color w:val="auto"/>
          <w:sz w:val="28"/>
          <w:highlight w:val="none"/>
        </w:rPr>
      </w:pPr>
      <w:r>
        <w:rPr>
          <w:rFonts w:hint="eastAsia" w:ascii="宋体" w:hAnsi="宋体" w:cs="宋体"/>
          <w:color w:val="auto"/>
          <w:sz w:val="28"/>
          <w:highlight w:val="none"/>
        </w:rPr>
        <w:t>年  月  日</w:t>
      </w:r>
    </w:p>
    <w:p w14:paraId="258EE14E">
      <w:pPr>
        <w:rPr>
          <w:rFonts w:hint="eastAsia" w:ascii="宋体" w:hAnsi="宋体" w:cs="宋体"/>
          <w:b/>
          <w:color w:val="auto"/>
          <w:sz w:val="44"/>
          <w:highlight w:val="none"/>
        </w:rPr>
      </w:pPr>
    </w:p>
    <w:p w14:paraId="15DEB2B3">
      <w:pPr>
        <w:rPr>
          <w:rFonts w:hint="eastAsia" w:ascii="宋体" w:hAnsi="宋体" w:cs="宋体"/>
          <w:b/>
          <w:color w:val="auto"/>
          <w:sz w:val="44"/>
          <w:highlight w:val="none"/>
        </w:rPr>
      </w:pPr>
    </w:p>
    <w:p w14:paraId="71A10DF0">
      <w:pPr>
        <w:rPr>
          <w:rFonts w:hint="eastAsia" w:ascii="宋体" w:hAnsi="宋体" w:cs="宋体"/>
          <w:b/>
          <w:color w:val="auto"/>
          <w:sz w:val="44"/>
          <w:highlight w:val="none"/>
        </w:rPr>
      </w:pPr>
    </w:p>
    <w:p w14:paraId="17F123E8">
      <w:pPr>
        <w:rPr>
          <w:rFonts w:hint="eastAsia" w:ascii="宋体" w:hAnsi="宋体" w:cs="宋体"/>
          <w:b/>
          <w:color w:val="auto"/>
          <w:sz w:val="44"/>
          <w:highlight w:val="none"/>
        </w:rPr>
      </w:pPr>
    </w:p>
    <w:p w14:paraId="2740BEF6">
      <w:pPr>
        <w:rPr>
          <w:rFonts w:hint="eastAsia" w:ascii="宋体" w:hAnsi="宋体" w:cs="宋体"/>
          <w:color w:val="auto"/>
          <w:sz w:val="44"/>
          <w:szCs w:val="44"/>
          <w:highlight w:val="none"/>
        </w:rPr>
      </w:pPr>
    </w:p>
    <w:p w14:paraId="39BE7FBB">
      <w:pPr>
        <w:pStyle w:val="23"/>
        <w:ind w:firstLine="864"/>
        <w:rPr>
          <w:rFonts w:hint="eastAsia" w:hAnsi="宋体" w:cs="宋体"/>
          <w:color w:val="auto"/>
          <w:sz w:val="44"/>
          <w:szCs w:val="44"/>
          <w:highlight w:val="none"/>
        </w:rPr>
      </w:pPr>
    </w:p>
    <w:p w14:paraId="545E25D3">
      <w:pPr>
        <w:pStyle w:val="23"/>
        <w:ind w:firstLine="864"/>
        <w:rPr>
          <w:rFonts w:hint="eastAsia" w:hAnsi="宋体" w:cs="宋体"/>
          <w:color w:val="auto"/>
          <w:sz w:val="44"/>
          <w:szCs w:val="44"/>
          <w:highlight w:val="none"/>
        </w:rPr>
      </w:pPr>
    </w:p>
    <w:p w14:paraId="4C58E7BB">
      <w:pPr>
        <w:pStyle w:val="23"/>
        <w:ind w:firstLine="864"/>
        <w:rPr>
          <w:rFonts w:hint="eastAsia" w:hAnsi="宋体" w:cs="宋体"/>
          <w:color w:val="auto"/>
          <w:sz w:val="44"/>
          <w:szCs w:val="44"/>
          <w:highlight w:val="none"/>
        </w:rPr>
      </w:pPr>
    </w:p>
    <w:p w14:paraId="7994182C">
      <w:pPr>
        <w:pStyle w:val="23"/>
        <w:ind w:firstLine="864"/>
        <w:rPr>
          <w:rFonts w:hint="eastAsia" w:hAnsi="宋体" w:cs="宋体"/>
          <w:color w:val="auto"/>
          <w:sz w:val="44"/>
          <w:szCs w:val="44"/>
          <w:highlight w:val="none"/>
        </w:rPr>
      </w:pPr>
    </w:p>
    <w:p w14:paraId="4C205265">
      <w:pPr>
        <w:pStyle w:val="23"/>
        <w:ind w:firstLine="864"/>
        <w:rPr>
          <w:rFonts w:hint="eastAsia" w:hAnsi="宋体" w:cs="宋体"/>
          <w:color w:val="auto"/>
          <w:sz w:val="44"/>
          <w:szCs w:val="44"/>
          <w:highlight w:val="none"/>
        </w:rPr>
      </w:pPr>
    </w:p>
    <w:p w14:paraId="5CB6F720">
      <w:pPr>
        <w:pStyle w:val="23"/>
        <w:ind w:firstLine="0" w:firstLineChars="0"/>
        <w:rPr>
          <w:rFonts w:hint="eastAsia" w:hAnsi="宋体" w:cs="宋体"/>
          <w:color w:val="auto"/>
          <w:sz w:val="44"/>
          <w:szCs w:val="44"/>
          <w:highlight w:val="none"/>
        </w:rPr>
      </w:pPr>
    </w:p>
    <w:p w14:paraId="6C5A10CA">
      <w:pPr>
        <w:pStyle w:val="2"/>
        <w:keepNext w:val="0"/>
        <w:keepLines w:val="0"/>
        <w:pageBreakBefore/>
        <w:spacing w:line="360" w:lineRule="auto"/>
        <w:rPr>
          <w:rFonts w:hint="eastAsia" w:ascii="宋体" w:hAnsi="宋体" w:eastAsia="宋体" w:cs="宋体"/>
          <w:bCs w:val="0"/>
          <w:color w:val="auto"/>
          <w:highlight w:val="none"/>
        </w:rPr>
      </w:pPr>
      <w:r>
        <w:rPr>
          <w:rFonts w:hint="eastAsia" w:ascii="宋体" w:hAnsi="宋体" w:eastAsia="宋体" w:cs="宋体"/>
          <w:bCs w:val="0"/>
          <w:color w:val="auto"/>
          <w:sz w:val="24"/>
          <w:szCs w:val="24"/>
          <w:highlight w:val="none"/>
        </w:rPr>
        <w:t>政府采购活动现场确认声明书</w:t>
      </w:r>
    </w:p>
    <w:p w14:paraId="6EDE39A4">
      <w:pPr>
        <w:pStyle w:val="40"/>
        <w:widowControl w:val="0"/>
        <w:snapToGrid w:val="0"/>
        <w:spacing w:line="500" w:lineRule="exact"/>
        <w:ind w:firstLine="2811" w:firstLineChars="1000"/>
        <w:jc w:val="both"/>
        <w:rPr>
          <w:rFonts w:hint="eastAsia" w:hAnsi="宋体" w:eastAsia="宋体"/>
          <w:b/>
          <w:color w:val="auto"/>
          <w:sz w:val="28"/>
          <w:szCs w:val="28"/>
          <w:highlight w:val="none"/>
        </w:rPr>
      </w:pPr>
      <w:r>
        <w:rPr>
          <w:rFonts w:hint="eastAsia" w:hAnsi="宋体" w:eastAsia="宋体"/>
          <w:b/>
          <w:color w:val="auto"/>
          <w:sz w:val="28"/>
          <w:szCs w:val="28"/>
          <w:highlight w:val="none"/>
        </w:rPr>
        <w:t>政府采购活动现场确认声明书</w:t>
      </w:r>
    </w:p>
    <w:p w14:paraId="363C30A4">
      <w:pPr>
        <w:pStyle w:val="40"/>
        <w:widowControl w:val="0"/>
        <w:snapToGrid w:val="0"/>
        <w:spacing w:line="440" w:lineRule="exact"/>
        <w:jc w:val="both"/>
        <w:rPr>
          <w:rFonts w:hint="eastAsia" w:hAnsi="宋体" w:eastAsia="宋体"/>
          <w:bCs/>
          <w:color w:val="auto"/>
          <w:szCs w:val="24"/>
          <w:highlight w:val="none"/>
        </w:rPr>
      </w:pPr>
      <w:r>
        <w:rPr>
          <w:rFonts w:hint="eastAsia" w:hAnsi="宋体" w:eastAsia="宋体"/>
          <w:color w:val="auto"/>
          <w:szCs w:val="24"/>
          <w:highlight w:val="none"/>
        </w:rPr>
        <w:t>东阳耀辉工程咨询有限公司：</w:t>
      </w:r>
    </w:p>
    <w:p w14:paraId="6B871718">
      <w:pPr>
        <w:pStyle w:val="40"/>
        <w:widowControl w:val="0"/>
        <w:snapToGrid w:val="0"/>
        <w:spacing w:line="440" w:lineRule="exact"/>
        <w:ind w:firstLine="504"/>
        <w:jc w:val="both"/>
        <w:rPr>
          <w:rFonts w:hint="eastAsia" w:hAnsi="宋体" w:eastAsia="宋体"/>
          <w:color w:val="auto"/>
          <w:spacing w:val="6"/>
          <w:szCs w:val="24"/>
          <w:highlight w:val="none"/>
        </w:rPr>
      </w:pPr>
      <w:r>
        <w:rPr>
          <w:rFonts w:hint="eastAsia" w:hAnsi="宋体" w:eastAsia="宋体"/>
          <w:color w:val="auto"/>
          <w:spacing w:val="6"/>
          <w:szCs w:val="24"/>
          <w:highlight w:val="none"/>
        </w:rPr>
        <w:t>本人</w:t>
      </w:r>
      <w:r>
        <w:rPr>
          <w:rFonts w:hint="eastAsia" w:hAnsi="宋体" w:eastAsia="宋体"/>
          <w:color w:val="auto"/>
          <w:spacing w:val="6"/>
          <w:szCs w:val="24"/>
          <w:highlight w:val="none"/>
          <w:u w:val="single"/>
        </w:rPr>
        <w:t xml:space="preserve">        </w:t>
      </w:r>
      <w:r>
        <w:rPr>
          <w:rFonts w:hint="eastAsia" w:hAnsi="宋体" w:eastAsia="宋体"/>
          <w:color w:val="auto"/>
          <w:spacing w:val="6"/>
          <w:szCs w:val="24"/>
          <w:highlight w:val="none"/>
        </w:rPr>
        <w:t>（授权代表姓名），经由</w:t>
      </w:r>
      <w:r>
        <w:rPr>
          <w:rFonts w:hint="eastAsia" w:hAnsi="宋体" w:eastAsia="宋体"/>
          <w:color w:val="auto"/>
          <w:spacing w:val="6"/>
          <w:szCs w:val="24"/>
          <w:highlight w:val="none"/>
          <w:u w:val="single"/>
        </w:rPr>
        <w:t xml:space="preserve">                       </w:t>
      </w:r>
      <w:r>
        <w:rPr>
          <w:rFonts w:hint="eastAsia" w:hAnsi="宋体" w:eastAsia="宋体"/>
          <w:color w:val="auto"/>
          <w:spacing w:val="6"/>
          <w:szCs w:val="24"/>
          <w:highlight w:val="none"/>
        </w:rPr>
        <w:t>（单位）</w:t>
      </w:r>
    </w:p>
    <w:p w14:paraId="33260220">
      <w:pPr>
        <w:pStyle w:val="40"/>
        <w:widowControl w:val="0"/>
        <w:snapToGrid w:val="0"/>
        <w:spacing w:line="440" w:lineRule="exact"/>
        <w:ind w:firstLine="504"/>
        <w:jc w:val="both"/>
        <w:rPr>
          <w:rFonts w:hint="eastAsia" w:hAnsi="宋体" w:eastAsia="宋体"/>
          <w:color w:val="auto"/>
          <w:spacing w:val="6"/>
          <w:szCs w:val="24"/>
          <w:highlight w:val="none"/>
        </w:rPr>
      </w:pPr>
      <w:r>
        <w:rPr>
          <w:rFonts w:hint="eastAsia" w:hAnsi="宋体" w:eastAsia="宋体"/>
          <w:color w:val="auto"/>
          <w:spacing w:val="6"/>
          <w:szCs w:val="24"/>
          <w:highlight w:val="none"/>
          <w:u w:val="single"/>
        </w:rPr>
        <w:t xml:space="preserve">             </w:t>
      </w:r>
      <w:r>
        <w:rPr>
          <w:rFonts w:hint="eastAsia" w:hAnsi="宋体" w:eastAsia="宋体"/>
          <w:color w:val="auto"/>
          <w:spacing w:val="6"/>
          <w:szCs w:val="24"/>
          <w:highlight w:val="none"/>
        </w:rPr>
        <w:t>（法定代表人姓名）合法授权参加</w:t>
      </w:r>
      <w:r>
        <w:rPr>
          <w:rFonts w:hint="eastAsia" w:hAnsi="宋体" w:eastAsia="宋体"/>
          <w:color w:val="auto"/>
          <w:spacing w:val="6"/>
          <w:szCs w:val="24"/>
          <w:highlight w:val="none"/>
          <w:u w:val="single"/>
        </w:rPr>
        <w:t xml:space="preserve">       </w:t>
      </w:r>
      <w:r>
        <w:rPr>
          <w:rFonts w:hint="eastAsia" w:hAnsi="宋体" w:eastAsia="宋体"/>
          <w:color w:val="auto"/>
          <w:spacing w:val="6"/>
          <w:szCs w:val="24"/>
          <w:highlight w:val="none"/>
        </w:rPr>
        <w:t>（编号：</w:t>
      </w:r>
      <w:r>
        <w:rPr>
          <w:rFonts w:hint="eastAsia" w:hAnsi="宋体" w:eastAsia="宋体"/>
          <w:color w:val="auto"/>
          <w:szCs w:val="24"/>
          <w:highlight w:val="none"/>
          <w:u w:val="single"/>
        </w:rPr>
        <w:t xml:space="preserve">     </w:t>
      </w:r>
      <w:r>
        <w:rPr>
          <w:rFonts w:hint="eastAsia" w:hAnsi="宋体" w:eastAsia="宋体"/>
          <w:color w:val="auto"/>
          <w:spacing w:val="6"/>
          <w:szCs w:val="24"/>
          <w:highlight w:val="none"/>
          <w:u w:val="single"/>
        </w:rPr>
        <w:t>）</w:t>
      </w:r>
      <w:r>
        <w:rPr>
          <w:rFonts w:hint="eastAsia" w:hAnsi="宋体" w:eastAsia="宋体"/>
          <w:color w:val="auto"/>
          <w:spacing w:val="6"/>
          <w:szCs w:val="24"/>
          <w:highlight w:val="none"/>
        </w:rPr>
        <w:t xml:space="preserve">政府采购活动，经与本单位法人代表（负责人）联系确认，现就有关公平竞争事项郑重声明如下： </w:t>
      </w:r>
    </w:p>
    <w:p w14:paraId="39360BF9">
      <w:pPr>
        <w:pStyle w:val="41"/>
        <w:numPr>
          <w:ilvl w:val="0"/>
          <w:numId w:val="4"/>
        </w:numPr>
        <w:snapToGrid w:val="0"/>
        <w:spacing w:line="440" w:lineRule="exact"/>
        <w:ind w:firstLine="453" w:firstLineChars="189"/>
        <w:rPr>
          <w:rFonts w:hint="eastAsia" w:ascii="宋体" w:hAnsi="宋体" w:eastAsia="宋体"/>
          <w:color w:val="auto"/>
          <w:szCs w:val="24"/>
          <w:highlight w:val="none"/>
        </w:rPr>
      </w:pPr>
      <w:r>
        <w:rPr>
          <w:rFonts w:hint="eastAsia" w:ascii="宋体" w:hAnsi="宋体" w:eastAsia="宋体"/>
          <w:color w:val="auto"/>
          <w:szCs w:val="24"/>
          <w:highlight w:val="none"/>
        </w:rPr>
        <w:t>本单位与采购人之间 □不存在利害关系 □存在下列利害关系</w:t>
      </w:r>
      <w:r>
        <w:rPr>
          <w:rFonts w:hint="eastAsia" w:ascii="宋体" w:hAnsi="宋体" w:eastAsia="宋体"/>
          <w:color w:val="auto"/>
          <w:szCs w:val="24"/>
          <w:highlight w:val="none"/>
          <w:u w:val="single"/>
        </w:rPr>
        <w:t xml:space="preserve">           </w:t>
      </w:r>
      <w:r>
        <w:rPr>
          <w:rFonts w:hint="eastAsia" w:ascii="宋体" w:hAnsi="宋体" w:eastAsia="宋体"/>
          <w:color w:val="auto"/>
          <w:szCs w:val="24"/>
          <w:highlight w:val="none"/>
        </w:rPr>
        <w:t>：</w:t>
      </w:r>
    </w:p>
    <w:p w14:paraId="2B2FE4B0">
      <w:pPr>
        <w:pStyle w:val="41"/>
        <w:snapToGrid w:val="0"/>
        <w:spacing w:line="440" w:lineRule="exact"/>
        <w:rPr>
          <w:rFonts w:hint="eastAsia" w:ascii="宋体" w:hAnsi="宋体" w:eastAsia="宋体"/>
          <w:color w:val="auto"/>
          <w:szCs w:val="24"/>
          <w:highlight w:val="none"/>
        </w:rPr>
      </w:pPr>
      <w:r>
        <w:rPr>
          <w:rFonts w:hint="eastAsia" w:ascii="宋体" w:hAnsi="宋体" w:eastAsia="宋体"/>
          <w:color w:val="auto"/>
          <w:szCs w:val="24"/>
          <w:highlight w:val="none"/>
        </w:rPr>
        <w:t xml:space="preserve">  A.投资关系    B.行政隶属关系    C.业务指导关系</w:t>
      </w:r>
    </w:p>
    <w:p w14:paraId="51ACF479">
      <w:pPr>
        <w:pStyle w:val="41"/>
        <w:snapToGrid w:val="0"/>
        <w:spacing w:line="440" w:lineRule="exact"/>
        <w:rPr>
          <w:rFonts w:hint="eastAsia" w:ascii="宋体" w:hAnsi="宋体" w:eastAsia="宋体"/>
          <w:color w:val="auto"/>
          <w:szCs w:val="24"/>
          <w:highlight w:val="none"/>
        </w:rPr>
      </w:pPr>
      <w:r>
        <w:rPr>
          <w:rFonts w:hint="eastAsia" w:ascii="宋体" w:hAnsi="宋体" w:eastAsia="宋体"/>
          <w:color w:val="auto"/>
          <w:szCs w:val="24"/>
          <w:highlight w:val="none"/>
        </w:rPr>
        <w:t xml:space="preserve">  D.其他可能影响采购公正的利害关系（如有，请如实说明） </w:t>
      </w:r>
      <w:r>
        <w:rPr>
          <w:rFonts w:hint="eastAsia" w:ascii="宋体" w:hAnsi="宋体" w:eastAsia="宋体"/>
          <w:color w:val="auto"/>
          <w:szCs w:val="24"/>
          <w:highlight w:val="none"/>
          <w:u w:val="single"/>
        </w:rPr>
        <w:t xml:space="preserve">                </w:t>
      </w:r>
      <w:r>
        <w:rPr>
          <w:rFonts w:hint="eastAsia" w:ascii="宋体" w:hAnsi="宋体" w:eastAsia="宋体"/>
          <w:color w:val="auto"/>
          <w:szCs w:val="24"/>
          <w:highlight w:val="none"/>
        </w:rPr>
        <w:t>。</w:t>
      </w:r>
    </w:p>
    <w:p w14:paraId="76C09AE0">
      <w:pPr>
        <w:pStyle w:val="41"/>
        <w:numPr>
          <w:ilvl w:val="0"/>
          <w:numId w:val="4"/>
        </w:numPr>
        <w:snapToGrid w:val="0"/>
        <w:spacing w:line="440" w:lineRule="exact"/>
        <w:ind w:firstLine="453" w:firstLineChars="189"/>
        <w:rPr>
          <w:rFonts w:hint="eastAsia" w:ascii="宋体" w:hAnsi="宋体" w:eastAsia="宋体"/>
          <w:color w:val="auto"/>
          <w:szCs w:val="24"/>
          <w:highlight w:val="none"/>
        </w:rPr>
      </w:pPr>
      <w:r>
        <w:rPr>
          <w:rFonts w:hint="eastAsia" w:ascii="宋体" w:hAnsi="宋体" w:eastAsia="宋体"/>
          <w:color w:val="auto"/>
          <w:szCs w:val="24"/>
          <w:highlight w:val="none"/>
        </w:rPr>
        <w:t xml:space="preserve">现已清楚知道参加本项目采购活动的其他所有供应商名称，本单位 □与其他所有供应商之间均不存在利害关系 □与 </w:t>
      </w:r>
      <w:r>
        <w:rPr>
          <w:rFonts w:hint="eastAsia" w:ascii="宋体" w:hAnsi="宋体" w:eastAsia="宋体"/>
          <w:color w:val="auto"/>
          <w:szCs w:val="24"/>
          <w:highlight w:val="none"/>
          <w:u w:val="single"/>
        </w:rPr>
        <w:t xml:space="preserve">               </w:t>
      </w:r>
      <w:r>
        <w:rPr>
          <w:rFonts w:hint="eastAsia" w:ascii="宋体" w:hAnsi="宋体" w:eastAsia="宋体"/>
          <w:color w:val="auto"/>
          <w:szCs w:val="24"/>
          <w:highlight w:val="none"/>
        </w:rPr>
        <w:t>（供应商名称）之间存在下列利害关系</w:t>
      </w:r>
      <w:r>
        <w:rPr>
          <w:rFonts w:hint="eastAsia" w:ascii="宋体" w:hAnsi="宋体" w:eastAsia="宋体"/>
          <w:color w:val="auto"/>
          <w:szCs w:val="24"/>
          <w:highlight w:val="none"/>
          <w:u w:val="single"/>
        </w:rPr>
        <w:t xml:space="preserve">               </w:t>
      </w:r>
      <w:r>
        <w:rPr>
          <w:rFonts w:hint="eastAsia" w:ascii="宋体" w:hAnsi="宋体" w:eastAsia="宋体"/>
          <w:color w:val="auto"/>
          <w:szCs w:val="24"/>
          <w:highlight w:val="none"/>
        </w:rPr>
        <w:t>：</w:t>
      </w:r>
    </w:p>
    <w:p w14:paraId="2F9ADB1D">
      <w:pPr>
        <w:pStyle w:val="40"/>
        <w:widowControl w:val="0"/>
        <w:snapToGrid w:val="0"/>
        <w:spacing w:line="440" w:lineRule="exact"/>
        <w:jc w:val="both"/>
        <w:rPr>
          <w:rFonts w:hint="eastAsia" w:hAnsi="宋体" w:eastAsia="宋体"/>
          <w:color w:val="auto"/>
          <w:szCs w:val="24"/>
          <w:highlight w:val="none"/>
        </w:rPr>
      </w:pPr>
      <w:r>
        <w:rPr>
          <w:rFonts w:hint="eastAsia" w:hAnsi="宋体" w:eastAsia="宋体"/>
          <w:color w:val="auto"/>
          <w:szCs w:val="24"/>
          <w:highlight w:val="none"/>
        </w:rPr>
        <w:t xml:space="preserve">  A.法定代表人或负责人或实际控制人是同一人</w:t>
      </w:r>
    </w:p>
    <w:p w14:paraId="7D80D5A1">
      <w:pPr>
        <w:pStyle w:val="40"/>
        <w:widowControl w:val="0"/>
        <w:snapToGrid w:val="0"/>
        <w:spacing w:line="440" w:lineRule="exact"/>
        <w:jc w:val="both"/>
        <w:rPr>
          <w:rFonts w:hint="eastAsia" w:hAnsi="宋体" w:eastAsia="宋体"/>
          <w:color w:val="auto"/>
          <w:spacing w:val="6"/>
          <w:szCs w:val="24"/>
          <w:highlight w:val="none"/>
        </w:rPr>
      </w:pPr>
      <w:r>
        <w:rPr>
          <w:rFonts w:hint="eastAsia" w:hAnsi="宋体" w:eastAsia="宋体"/>
          <w:color w:val="auto"/>
          <w:szCs w:val="24"/>
          <w:highlight w:val="none"/>
        </w:rPr>
        <w:t xml:space="preserve">  B.法定代表人或负责人或实际控制人是夫妻关系</w:t>
      </w:r>
    </w:p>
    <w:p w14:paraId="1A53BF85">
      <w:pPr>
        <w:pStyle w:val="40"/>
        <w:widowControl w:val="0"/>
        <w:snapToGrid w:val="0"/>
        <w:spacing w:line="440" w:lineRule="exact"/>
        <w:jc w:val="both"/>
        <w:rPr>
          <w:rFonts w:hint="eastAsia" w:hAnsi="宋体" w:eastAsia="宋体"/>
          <w:color w:val="auto"/>
          <w:spacing w:val="6"/>
          <w:szCs w:val="24"/>
          <w:highlight w:val="none"/>
        </w:rPr>
      </w:pPr>
      <w:r>
        <w:rPr>
          <w:rFonts w:hint="eastAsia" w:hAnsi="宋体" w:eastAsia="宋体"/>
          <w:color w:val="auto"/>
          <w:szCs w:val="24"/>
          <w:highlight w:val="none"/>
        </w:rPr>
        <w:t xml:space="preserve">  C.法定代表人或负责人或实际控制人是直系血亲关系</w:t>
      </w:r>
    </w:p>
    <w:p w14:paraId="7CD4EB47">
      <w:pPr>
        <w:pStyle w:val="40"/>
        <w:widowControl w:val="0"/>
        <w:snapToGrid w:val="0"/>
        <w:spacing w:line="440" w:lineRule="exact"/>
        <w:jc w:val="both"/>
        <w:rPr>
          <w:rFonts w:hint="eastAsia" w:hAnsi="宋体" w:eastAsia="宋体"/>
          <w:color w:val="auto"/>
          <w:spacing w:val="6"/>
          <w:szCs w:val="24"/>
          <w:highlight w:val="none"/>
        </w:rPr>
      </w:pPr>
      <w:r>
        <w:rPr>
          <w:rFonts w:hint="eastAsia" w:hAnsi="宋体" w:eastAsia="宋体"/>
          <w:color w:val="auto"/>
          <w:szCs w:val="24"/>
          <w:highlight w:val="none"/>
        </w:rPr>
        <w:t xml:space="preserve">  D.法定代表人或负责人或实际控制人存在三代以内旁系血亲关系</w:t>
      </w:r>
    </w:p>
    <w:p w14:paraId="126FC67E">
      <w:pPr>
        <w:pStyle w:val="40"/>
        <w:widowControl w:val="0"/>
        <w:snapToGrid w:val="0"/>
        <w:spacing w:line="440" w:lineRule="exact"/>
        <w:jc w:val="both"/>
        <w:rPr>
          <w:rFonts w:hint="eastAsia" w:hAnsi="宋体" w:eastAsia="宋体"/>
          <w:color w:val="auto"/>
          <w:szCs w:val="24"/>
          <w:highlight w:val="none"/>
        </w:rPr>
      </w:pPr>
      <w:r>
        <w:rPr>
          <w:rFonts w:hint="eastAsia" w:hAnsi="宋体" w:eastAsia="宋体"/>
          <w:color w:val="auto"/>
          <w:szCs w:val="24"/>
          <w:highlight w:val="none"/>
        </w:rPr>
        <w:t xml:space="preserve">  E.法定代表人或负责人或实际控制人存在近姻亲关系</w:t>
      </w:r>
    </w:p>
    <w:p w14:paraId="0240614E">
      <w:pPr>
        <w:pStyle w:val="40"/>
        <w:widowControl w:val="0"/>
        <w:snapToGrid w:val="0"/>
        <w:spacing w:line="440" w:lineRule="exact"/>
        <w:jc w:val="both"/>
        <w:rPr>
          <w:rFonts w:hint="eastAsia" w:hAnsi="宋体" w:eastAsia="宋体"/>
          <w:color w:val="auto"/>
          <w:szCs w:val="24"/>
          <w:highlight w:val="none"/>
        </w:rPr>
      </w:pPr>
      <w:r>
        <w:rPr>
          <w:rFonts w:hint="eastAsia" w:hAnsi="宋体" w:eastAsia="宋体"/>
          <w:color w:val="auto"/>
          <w:szCs w:val="24"/>
          <w:highlight w:val="none"/>
        </w:rPr>
        <w:t xml:space="preserve">  F.法定代表人或负责人或实际控制人存在股份控制或实际控制关系</w:t>
      </w:r>
    </w:p>
    <w:p w14:paraId="14BD6E53">
      <w:pPr>
        <w:pStyle w:val="40"/>
        <w:widowControl w:val="0"/>
        <w:snapToGrid w:val="0"/>
        <w:spacing w:line="440" w:lineRule="exact"/>
        <w:jc w:val="both"/>
        <w:rPr>
          <w:rFonts w:hint="eastAsia" w:hAnsi="宋体" w:eastAsia="宋体"/>
          <w:color w:val="auto"/>
          <w:szCs w:val="24"/>
          <w:highlight w:val="none"/>
        </w:rPr>
      </w:pPr>
      <w:r>
        <w:rPr>
          <w:rFonts w:hint="eastAsia" w:hAnsi="宋体" w:eastAsia="宋体"/>
          <w:color w:val="auto"/>
          <w:szCs w:val="24"/>
          <w:highlight w:val="none"/>
        </w:rPr>
        <w:t xml:space="preserve">  G.存在共同直接或间接投资设立子公司、联营企业和合营企业情况</w:t>
      </w:r>
    </w:p>
    <w:p w14:paraId="4B06CD68">
      <w:pPr>
        <w:pStyle w:val="40"/>
        <w:widowControl w:val="0"/>
        <w:snapToGrid w:val="0"/>
        <w:spacing w:line="440" w:lineRule="exact"/>
        <w:jc w:val="both"/>
        <w:rPr>
          <w:rFonts w:hint="eastAsia" w:hAnsi="宋体" w:eastAsia="宋体"/>
          <w:color w:val="auto"/>
          <w:szCs w:val="24"/>
          <w:highlight w:val="none"/>
        </w:rPr>
      </w:pPr>
      <w:r>
        <w:rPr>
          <w:rFonts w:hint="eastAsia" w:hAnsi="宋体" w:eastAsia="宋体"/>
          <w:color w:val="auto"/>
          <w:szCs w:val="24"/>
          <w:highlight w:val="none"/>
        </w:rPr>
        <w:t xml:space="preserve">  H.存在分级代理或代销关系、同一生产制造商关系、管理关系、重要业务（占主营业务收入50%以上）或重要财务往来关系（如融资）等其他实质性控制关系</w:t>
      </w:r>
    </w:p>
    <w:p w14:paraId="3D327EF6">
      <w:pPr>
        <w:pStyle w:val="40"/>
        <w:widowControl w:val="0"/>
        <w:snapToGrid w:val="0"/>
        <w:spacing w:line="440" w:lineRule="exact"/>
        <w:jc w:val="both"/>
        <w:rPr>
          <w:rFonts w:hint="eastAsia" w:hAnsi="宋体" w:eastAsia="宋体"/>
          <w:color w:val="auto"/>
          <w:spacing w:val="6"/>
          <w:szCs w:val="24"/>
          <w:highlight w:val="none"/>
        </w:rPr>
      </w:pPr>
      <w:r>
        <w:rPr>
          <w:rFonts w:hint="eastAsia" w:hAnsi="宋体" w:eastAsia="宋体"/>
          <w:color w:val="auto"/>
          <w:szCs w:val="24"/>
          <w:highlight w:val="none"/>
        </w:rPr>
        <w:t xml:space="preserve">  I.其他利害关系情况</w:t>
      </w:r>
      <w:r>
        <w:rPr>
          <w:rFonts w:hint="eastAsia" w:hAnsi="宋体" w:eastAsia="宋体"/>
          <w:color w:val="auto"/>
          <w:szCs w:val="24"/>
          <w:highlight w:val="none"/>
          <w:u w:val="single"/>
        </w:rPr>
        <w:t xml:space="preserve">                              </w:t>
      </w:r>
      <w:r>
        <w:rPr>
          <w:rFonts w:hint="eastAsia" w:hAnsi="宋体" w:eastAsia="宋体"/>
          <w:color w:val="auto"/>
          <w:szCs w:val="24"/>
          <w:highlight w:val="none"/>
        </w:rPr>
        <w:t>。</w:t>
      </w:r>
    </w:p>
    <w:p w14:paraId="292CD6A6">
      <w:pPr>
        <w:pStyle w:val="41"/>
        <w:numPr>
          <w:ilvl w:val="0"/>
          <w:numId w:val="5"/>
        </w:numPr>
        <w:snapToGrid w:val="0"/>
        <w:spacing w:line="440" w:lineRule="exact"/>
        <w:ind w:firstLine="453" w:firstLineChars="189"/>
        <w:rPr>
          <w:rFonts w:hint="eastAsia" w:ascii="宋体" w:hAnsi="宋体" w:eastAsia="宋体"/>
          <w:color w:val="auto"/>
          <w:szCs w:val="24"/>
          <w:highlight w:val="none"/>
        </w:rPr>
      </w:pPr>
      <w:r>
        <w:rPr>
          <w:rFonts w:hint="eastAsia" w:ascii="宋体" w:hAnsi="宋体" w:eastAsia="宋体"/>
          <w:color w:val="auto"/>
          <w:szCs w:val="24"/>
          <w:highlight w:val="none"/>
        </w:rPr>
        <w:t>现已清楚知道并严格遵守政府采购法律法规和现场纪律。</w:t>
      </w:r>
    </w:p>
    <w:p w14:paraId="4ECDFBF1">
      <w:pPr>
        <w:pStyle w:val="41"/>
        <w:numPr>
          <w:ilvl w:val="0"/>
          <w:numId w:val="5"/>
        </w:numPr>
        <w:snapToGrid w:val="0"/>
        <w:spacing w:line="440" w:lineRule="exact"/>
        <w:ind w:firstLine="453" w:firstLineChars="189"/>
        <w:rPr>
          <w:rFonts w:hint="eastAsia" w:ascii="宋体" w:hAnsi="宋体" w:eastAsia="宋体"/>
          <w:color w:val="auto"/>
          <w:szCs w:val="24"/>
          <w:highlight w:val="none"/>
        </w:rPr>
      </w:pPr>
      <w:r>
        <w:rPr>
          <w:rFonts w:hint="eastAsia" w:ascii="宋体" w:hAnsi="宋体" w:eastAsia="宋体"/>
          <w:color w:val="auto"/>
          <w:szCs w:val="24"/>
          <w:highlight w:val="none"/>
        </w:rPr>
        <w:t>我发现</w:t>
      </w:r>
      <w:r>
        <w:rPr>
          <w:rFonts w:hint="eastAsia" w:ascii="宋体" w:hAnsi="宋体" w:eastAsia="宋体"/>
          <w:color w:val="auto"/>
          <w:szCs w:val="24"/>
          <w:highlight w:val="none"/>
          <w:u w:val="single"/>
        </w:rPr>
        <w:t xml:space="preserve">         </w:t>
      </w:r>
      <w:r>
        <w:rPr>
          <w:rFonts w:hint="eastAsia" w:ascii="宋体" w:hAnsi="宋体" w:eastAsia="宋体"/>
          <w:color w:val="auto"/>
          <w:szCs w:val="24"/>
          <w:highlight w:val="none"/>
        </w:rPr>
        <w:t>供应商之间存在或可能存在上述第二条第</w:t>
      </w:r>
      <w:r>
        <w:rPr>
          <w:rFonts w:hint="eastAsia" w:ascii="宋体" w:hAnsi="宋体" w:eastAsia="宋体"/>
          <w:color w:val="auto"/>
          <w:szCs w:val="24"/>
          <w:highlight w:val="none"/>
          <w:u w:val="single"/>
        </w:rPr>
        <w:t xml:space="preserve">        </w:t>
      </w:r>
      <w:r>
        <w:rPr>
          <w:rFonts w:hint="eastAsia" w:ascii="宋体" w:hAnsi="宋体" w:eastAsia="宋体"/>
          <w:color w:val="auto"/>
          <w:szCs w:val="24"/>
          <w:highlight w:val="none"/>
        </w:rPr>
        <w:t>项利害关系。</w:t>
      </w:r>
    </w:p>
    <w:p w14:paraId="4793F8D4">
      <w:pPr>
        <w:pStyle w:val="40"/>
        <w:widowControl w:val="0"/>
        <w:snapToGrid w:val="0"/>
        <w:spacing w:line="440" w:lineRule="exact"/>
        <w:jc w:val="both"/>
        <w:rPr>
          <w:rFonts w:hint="eastAsia" w:hAnsi="宋体" w:eastAsia="宋体"/>
          <w:color w:val="auto"/>
          <w:szCs w:val="24"/>
          <w:highlight w:val="none"/>
        </w:rPr>
      </w:pPr>
    </w:p>
    <w:p w14:paraId="4EACB152">
      <w:pPr>
        <w:pStyle w:val="40"/>
        <w:widowControl w:val="0"/>
        <w:snapToGrid w:val="0"/>
        <w:spacing w:line="440" w:lineRule="exact"/>
        <w:jc w:val="both"/>
        <w:rPr>
          <w:rFonts w:hint="eastAsia" w:hAnsi="宋体" w:eastAsia="宋体"/>
          <w:color w:val="auto"/>
          <w:szCs w:val="24"/>
          <w:highlight w:val="none"/>
        </w:rPr>
      </w:pPr>
    </w:p>
    <w:p w14:paraId="5D9E2110">
      <w:pPr>
        <w:pStyle w:val="40"/>
        <w:widowControl w:val="0"/>
        <w:snapToGrid w:val="0"/>
        <w:spacing w:line="440" w:lineRule="exact"/>
        <w:jc w:val="both"/>
        <w:rPr>
          <w:rFonts w:hint="eastAsia" w:hAnsi="宋体" w:eastAsia="宋体"/>
          <w:color w:val="auto"/>
          <w:szCs w:val="24"/>
          <w:highlight w:val="none"/>
        </w:rPr>
      </w:pPr>
      <w:r>
        <w:rPr>
          <w:rFonts w:hint="eastAsia" w:hAnsi="宋体" w:eastAsia="宋体"/>
          <w:color w:val="auto"/>
          <w:szCs w:val="24"/>
          <w:highlight w:val="none"/>
        </w:rPr>
        <w:t xml:space="preserve">（供应商代表签名）：                </w:t>
      </w:r>
      <w:r>
        <w:rPr>
          <w:rFonts w:hint="eastAsia" w:hAnsi="宋体" w:eastAsia="宋体"/>
          <w:color w:val="auto"/>
          <w:szCs w:val="24"/>
          <w:highlight w:val="none"/>
          <w:lang w:eastAsia="zh-CN"/>
        </w:rPr>
        <w:t>202</w:t>
      </w:r>
      <w:r>
        <w:rPr>
          <w:rFonts w:hint="eastAsia" w:hAnsi="宋体" w:eastAsia="宋体"/>
          <w:color w:val="auto"/>
          <w:szCs w:val="24"/>
          <w:highlight w:val="none"/>
          <w:lang w:val="en-US" w:eastAsia="zh-CN"/>
        </w:rPr>
        <w:t>6</w:t>
      </w:r>
      <w:r>
        <w:rPr>
          <w:rFonts w:hint="eastAsia" w:hAnsi="宋体" w:eastAsia="宋体"/>
          <w:color w:val="auto"/>
          <w:szCs w:val="24"/>
          <w:highlight w:val="none"/>
        </w:rPr>
        <w:t>年  月   日</w:t>
      </w:r>
    </w:p>
    <w:p w14:paraId="4120FE85">
      <w:pPr>
        <w:pStyle w:val="40"/>
        <w:widowControl w:val="0"/>
        <w:snapToGrid w:val="0"/>
        <w:spacing w:line="440" w:lineRule="exact"/>
        <w:jc w:val="both"/>
        <w:rPr>
          <w:rFonts w:hint="eastAsia" w:hAnsi="宋体" w:eastAsia="宋体"/>
          <w:color w:val="auto"/>
          <w:szCs w:val="24"/>
          <w:highlight w:val="none"/>
        </w:rPr>
      </w:pPr>
    </w:p>
    <w:p w14:paraId="1FCB3610">
      <w:pPr>
        <w:ind w:firstLine="880" w:firstLineChars="200"/>
        <w:rPr>
          <w:rFonts w:hint="eastAsia" w:ascii="宋体" w:hAnsi="宋体" w:cs="宋体"/>
          <w:color w:val="auto"/>
          <w:sz w:val="44"/>
          <w:szCs w:val="44"/>
          <w:highlight w:val="none"/>
        </w:rPr>
      </w:pPr>
    </w:p>
    <w:p w14:paraId="620C44FD">
      <w:pPr>
        <w:jc w:val="center"/>
        <w:rPr>
          <w:rFonts w:hint="eastAsia" w:ascii="宋体" w:hAnsi="宋体" w:cs="宋体"/>
          <w:color w:val="auto"/>
          <w:sz w:val="44"/>
          <w:szCs w:val="44"/>
          <w:highlight w:val="none"/>
        </w:rPr>
      </w:pPr>
    </w:p>
    <w:p w14:paraId="4DCC5114">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东阳市政府采购代理机构社会评价表</w:t>
      </w:r>
    </w:p>
    <w:p w14:paraId="72F173F3">
      <w:pP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代理机构名称：东阳耀辉工程咨询有限公司 </w:t>
      </w:r>
    </w:p>
    <w:tbl>
      <w:tblPr>
        <w:tblStyle w:val="2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70"/>
        <w:gridCol w:w="696"/>
        <w:gridCol w:w="1068"/>
        <w:gridCol w:w="132"/>
        <w:gridCol w:w="900"/>
        <w:gridCol w:w="787"/>
        <w:gridCol w:w="2885"/>
      </w:tblGrid>
      <w:tr w14:paraId="0616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EF637C4">
            <w:pPr>
              <w:jc w:val="center"/>
              <w:rPr>
                <w:rFonts w:hint="eastAsia" w:ascii="宋体" w:hAnsi="宋体" w:cs="宋体"/>
                <w:color w:val="auto"/>
                <w:sz w:val="24"/>
                <w:highlight w:val="none"/>
              </w:rPr>
            </w:pPr>
            <w:r>
              <w:rPr>
                <w:rFonts w:hint="eastAsia" w:ascii="宋体" w:hAnsi="宋体" w:cs="宋体"/>
                <w:color w:val="auto"/>
                <w:sz w:val="24"/>
                <w:highlight w:val="none"/>
              </w:rPr>
              <w:t>填表人类别</w:t>
            </w:r>
          </w:p>
        </w:tc>
        <w:tc>
          <w:tcPr>
            <w:tcW w:w="7938" w:type="dxa"/>
            <w:gridSpan w:val="7"/>
            <w:tcBorders>
              <w:top w:val="single" w:color="auto" w:sz="4" w:space="0"/>
              <w:left w:val="nil"/>
              <w:bottom w:val="single" w:color="auto" w:sz="4" w:space="0"/>
              <w:right w:val="single" w:color="auto" w:sz="4" w:space="0"/>
            </w:tcBorders>
            <w:noWrap w:val="0"/>
            <w:vAlign w:val="center"/>
          </w:tcPr>
          <w:p w14:paraId="1385D6BC">
            <w:pPr>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□采购单位      □供应商      □专家     </w:t>
            </w:r>
          </w:p>
        </w:tc>
      </w:tr>
      <w:tr w14:paraId="36F2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F8A5376">
            <w:pPr>
              <w:jc w:val="center"/>
              <w:rPr>
                <w:rFonts w:hint="eastAsia" w:ascii="宋体" w:hAnsi="宋体" w:cs="宋体"/>
                <w:color w:val="auto"/>
                <w:sz w:val="24"/>
                <w:highlight w:val="none"/>
              </w:rPr>
            </w:pPr>
            <w:r>
              <w:rPr>
                <w:rFonts w:hint="eastAsia" w:ascii="宋体" w:hAnsi="宋体" w:cs="宋体"/>
                <w:color w:val="auto"/>
                <w:sz w:val="24"/>
                <w:highlight w:val="none"/>
              </w:rPr>
              <w:t>填表人名称或姓名</w:t>
            </w:r>
          </w:p>
        </w:tc>
        <w:tc>
          <w:tcPr>
            <w:tcW w:w="3366" w:type="dxa"/>
            <w:gridSpan w:val="4"/>
            <w:tcBorders>
              <w:top w:val="single" w:color="auto" w:sz="4" w:space="0"/>
              <w:left w:val="nil"/>
              <w:bottom w:val="single" w:color="auto" w:sz="4" w:space="0"/>
              <w:right w:val="single" w:color="auto" w:sz="4" w:space="0"/>
            </w:tcBorders>
            <w:noWrap w:val="0"/>
            <w:vAlign w:val="center"/>
          </w:tcPr>
          <w:p w14:paraId="62552C3F">
            <w:pPr>
              <w:jc w:val="center"/>
              <w:rPr>
                <w:rFonts w:hint="eastAsia" w:ascii="宋体" w:hAnsi="宋体" w:cs="宋体"/>
                <w:color w:val="auto"/>
                <w:sz w:val="24"/>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2FDA8649">
            <w:pPr>
              <w:jc w:val="center"/>
              <w:rPr>
                <w:rFonts w:hint="eastAsia" w:ascii="宋体" w:hAnsi="宋体" w:cs="宋体"/>
                <w:color w:val="auto"/>
                <w:sz w:val="24"/>
                <w:highlight w:val="none"/>
              </w:rPr>
            </w:pPr>
            <w:r>
              <w:rPr>
                <w:rFonts w:hint="eastAsia" w:ascii="宋体" w:hAnsi="宋体" w:cs="宋体"/>
                <w:color w:val="auto"/>
                <w:sz w:val="24"/>
                <w:highlight w:val="none"/>
              </w:rPr>
              <w:t>地址</w:t>
            </w:r>
          </w:p>
        </w:tc>
        <w:tc>
          <w:tcPr>
            <w:tcW w:w="3672" w:type="dxa"/>
            <w:gridSpan w:val="2"/>
            <w:tcBorders>
              <w:top w:val="single" w:color="auto" w:sz="4" w:space="0"/>
              <w:left w:val="nil"/>
              <w:bottom w:val="single" w:color="auto" w:sz="4" w:space="0"/>
              <w:right w:val="single" w:color="auto" w:sz="4" w:space="0"/>
            </w:tcBorders>
            <w:noWrap w:val="0"/>
            <w:vAlign w:val="center"/>
          </w:tcPr>
          <w:p w14:paraId="01DA431B">
            <w:pPr>
              <w:jc w:val="center"/>
              <w:rPr>
                <w:rFonts w:hint="eastAsia" w:ascii="宋体" w:hAnsi="宋体" w:cs="宋体"/>
                <w:color w:val="auto"/>
                <w:sz w:val="24"/>
                <w:highlight w:val="none"/>
              </w:rPr>
            </w:pPr>
          </w:p>
        </w:tc>
      </w:tr>
      <w:tr w14:paraId="563A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A580E6B">
            <w:pPr>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1470" w:type="dxa"/>
            <w:tcBorders>
              <w:top w:val="single" w:color="auto" w:sz="4" w:space="0"/>
              <w:left w:val="nil"/>
              <w:bottom w:val="single" w:color="auto" w:sz="4" w:space="0"/>
              <w:right w:val="single" w:color="auto" w:sz="4" w:space="0"/>
            </w:tcBorders>
            <w:noWrap w:val="0"/>
            <w:vAlign w:val="center"/>
          </w:tcPr>
          <w:p w14:paraId="645621EF">
            <w:pPr>
              <w:jc w:val="center"/>
              <w:rPr>
                <w:rFonts w:hint="eastAsia"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noWrap w:val="0"/>
            <w:vAlign w:val="center"/>
          </w:tcPr>
          <w:p w14:paraId="67419682">
            <w:pPr>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2100" w:type="dxa"/>
            <w:gridSpan w:val="3"/>
            <w:tcBorders>
              <w:top w:val="single" w:color="auto" w:sz="4" w:space="0"/>
              <w:left w:val="nil"/>
              <w:bottom w:val="single" w:color="auto" w:sz="4" w:space="0"/>
              <w:right w:val="single" w:color="auto" w:sz="4" w:space="0"/>
            </w:tcBorders>
            <w:noWrap w:val="0"/>
            <w:vAlign w:val="center"/>
          </w:tcPr>
          <w:p w14:paraId="1A52A583">
            <w:pPr>
              <w:jc w:val="center"/>
              <w:rPr>
                <w:rFonts w:hint="eastAsia" w:ascii="宋体" w:hAnsi="宋体" w:cs="宋体"/>
                <w:color w:val="auto"/>
                <w:sz w:val="24"/>
                <w:highlight w:val="none"/>
              </w:rPr>
            </w:pPr>
          </w:p>
        </w:tc>
        <w:tc>
          <w:tcPr>
            <w:tcW w:w="787" w:type="dxa"/>
            <w:tcBorders>
              <w:top w:val="single" w:color="auto" w:sz="4" w:space="0"/>
              <w:left w:val="nil"/>
              <w:bottom w:val="single" w:color="auto" w:sz="4" w:space="0"/>
              <w:right w:val="single" w:color="auto" w:sz="4" w:space="0"/>
            </w:tcBorders>
            <w:noWrap w:val="0"/>
            <w:vAlign w:val="center"/>
          </w:tcPr>
          <w:p w14:paraId="78C90F95">
            <w:pPr>
              <w:jc w:val="center"/>
              <w:rPr>
                <w:rFonts w:hint="eastAsia" w:ascii="宋体" w:hAnsi="宋体" w:cs="宋体"/>
                <w:color w:val="auto"/>
                <w:sz w:val="24"/>
                <w:highlight w:val="none"/>
              </w:rPr>
            </w:pPr>
            <w:r>
              <w:rPr>
                <w:rFonts w:hint="eastAsia" w:ascii="宋体" w:hAnsi="宋体" w:cs="宋体"/>
                <w:color w:val="auto"/>
                <w:sz w:val="24"/>
                <w:highlight w:val="none"/>
              </w:rPr>
              <w:t>传真</w:t>
            </w:r>
          </w:p>
        </w:tc>
        <w:tc>
          <w:tcPr>
            <w:tcW w:w="2885" w:type="dxa"/>
            <w:tcBorders>
              <w:top w:val="single" w:color="auto" w:sz="4" w:space="0"/>
              <w:left w:val="nil"/>
              <w:bottom w:val="single" w:color="auto" w:sz="4" w:space="0"/>
              <w:right w:val="single" w:color="auto" w:sz="4" w:space="0"/>
            </w:tcBorders>
            <w:noWrap w:val="0"/>
            <w:vAlign w:val="center"/>
          </w:tcPr>
          <w:p w14:paraId="1860FA14">
            <w:pPr>
              <w:jc w:val="center"/>
              <w:rPr>
                <w:rFonts w:hint="eastAsia" w:ascii="宋体" w:hAnsi="宋体" w:cs="宋体"/>
                <w:color w:val="auto"/>
                <w:sz w:val="24"/>
                <w:highlight w:val="none"/>
              </w:rPr>
            </w:pPr>
          </w:p>
        </w:tc>
      </w:tr>
      <w:tr w14:paraId="6B49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tcBorders>
              <w:top w:val="nil"/>
              <w:left w:val="single" w:color="auto" w:sz="4" w:space="0"/>
              <w:bottom w:val="single" w:color="auto" w:sz="4" w:space="0"/>
              <w:right w:val="single" w:color="auto" w:sz="4" w:space="0"/>
            </w:tcBorders>
            <w:noWrap w:val="0"/>
            <w:vAlign w:val="center"/>
          </w:tcPr>
          <w:p w14:paraId="1B7F6753">
            <w:pPr>
              <w:jc w:val="center"/>
              <w:rPr>
                <w:rFonts w:hint="eastAsia" w:ascii="宋体" w:hAnsi="宋体" w:cs="宋体"/>
                <w:color w:val="auto"/>
                <w:sz w:val="24"/>
                <w:highlight w:val="none"/>
              </w:rPr>
            </w:pPr>
            <w:r>
              <w:rPr>
                <w:rFonts w:hint="eastAsia" w:ascii="宋体" w:hAnsi="宋体" w:cs="宋体"/>
                <w:color w:val="auto"/>
                <w:sz w:val="24"/>
                <w:highlight w:val="none"/>
              </w:rPr>
              <w:t>对代理机构的评价</w:t>
            </w:r>
          </w:p>
        </w:tc>
        <w:tc>
          <w:tcPr>
            <w:tcW w:w="3234" w:type="dxa"/>
            <w:gridSpan w:val="3"/>
            <w:tcBorders>
              <w:top w:val="single" w:color="auto" w:sz="4" w:space="0"/>
              <w:left w:val="nil"/>
              <w:bottom w:val="single" w:color="auto" w:sz="4" w:space="0"/>
              <w:right w:val="single" w:color="auto" w:sz="4" w:space="0"/>
            </w:tcBorders>
            <w:noWrap w:val="0"/>
            <w:vAlign w:val="center"/>
          </w:tcPr>
          <w:p w14:paraId="0014B75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4704" w:type="dxa"/>
            <w:gridSpan w:val="4"/>
            <w:tcBorders>
              <w:top w:val="single" w:color="auto" w:sz="4" w:space="0"/>
              <w:left w:val="nil"/>
              <w:bottom w:val="single" w:color="auto" w:sz="4" w:space="0"/>
              <w:right w:val="single" w:color="auto" w:sz="4" w:space="0"/>
            </w:tcBorders>
            <w:noWrap w:val="0"/>
            <w:vAlign w:val="center"/>
          </w:tcPr>
          <w:p w14:paraId="278484D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评价（请在分值范围内进行打分）</w:t>
            </w:r>
          </w:p>
        </w:tc>
      </w:tr>
      <w:tr w14:paraId="3FBD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00005F78">
            <w:pPr>
              <w:widowControl/>
              <w:jc w:val="left"/>
              <w:rPr>
                <w:rFonts w:hint="eastAsia" w:ascii="宋体" w:hAnsi="宋体" w:cs="宋体"/>
                <w:color w:val="auto"/>
                <w:sz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412B9623">
            <w:pPr>
              <w:rPr>
                <w:rFonts w:hint="eastAsia" w:ascii="宋体" w:hAnsi="宋体" w:cs="宋体"/>
                <w:color w:val="auto"/>
                <w:kern w:val="0"/>
                <w:sz w:val="24"/>
                <w:highlight w:val="none"/>
              </w:rPr>
            </w:pPr>
            <w:r>
              <w:rPr>
                <w:rFonts w:hint="eastAsia" w:ascii="宋体" w:hAnsi="宋体" w:cs="宋体"/>
                <w:color w:val="auto"/>
                <w:sz w:val="24"/>
                <w:highlight w:val="none"/>
              </w:rPr>
              <w:t>是否严格执行政府采购纪律、法规和规章制度等（2分）。</w:t>
            </w:r>
          </w:p>
        </w:tc>
        <w:tc>
          <w:tcPr>
            <w:tcW w:w="4704" w:type="dxa"/>
            <w:gridSpan w:val="4"/>
            <w:tcBorders>
              <w:top w:val="single" w:color="auto" w:sz="4" w:space="0"/>
              <w:left w:val="nil"/>
              <w:bottom w:val="single" w:color="auto" w:sz="4" w:space="0"/>
              <w:right w:val="single" w:color="auto" w:sz="4" w:space="0"/>
            </w:tcBorders>
            <w:noWrap w:val="0"/>
            <w:vAlign w:val="center"/>
          </w:tcPr>
          <w:p w14:paraId="3F604EBB">
            <w:pPr>
              <w:spacing w:line="500" w:lineRule="exact"/>
              <w:jc w:val="center"/>
              <w:rPr>
                <w:rFonts w:hint="eastAsia" w:ascii="宋体" w:hAnsi="宋体" w:cs="宋体"/>
                <w:color w:val="auto"/>
                <w:sz w:val="24"/>
                <w:highlight w:val="none"/>
              </w:rPr>
            </w:pPr>
          </w:p>
        </w:tc>
      </w:tr>
      <w:tr w14:paraId="4972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6ABF392F">
            <w:pPr>
              <w:widowControl/>
              <w:jc w:val="left"/>
              <w:rPr>
                <w:rFonts w:hint="eastAsia" w:ascii="宋体" w:hAnsi="宋体" w:cs="宋体"/>
                <w:color w:val="auto"/>
                <w:sz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761E5095">
            <w:pPr>
              <w:rPr>
                <w:rFonts w:hint="eastAsia" w:ascii="宋体" w:hAnsi="宋体" w:cs="宋体"/>
                <w:color w:val="auto"/>
                <w:kern w:val="0"/>
                <w:sz w:val="24"/>
                <w:highlight w:val="none"/>
              </w:rPr>
            </w:pPr>
            <w:r>
              <w:rPr>
                <w:rFonts w:hint="eastAsia" w:ascii="宋体" w:hAnsi="宋体" w:cs="宋体"/>
                <w:color w:val="auto"/>
                <w:sz w:val="24"/>
                <w:highlight w:val="none"/>
              </w:rPr>
              <w:t>操作程序是否规范，采购行为、过程、结果是否公开、公平、公正，采购组织管理是否规范严谨（2分）</w:t>
            </w:r>
            <w:r>
              <w:rPr>
                <w:rFonts w:hint="eastAsia" w:ascii="宋体" w:hAnsi="宋体" w:cs="宋体"/>
                <w:color w:val="auto"/>
                <w:kern w:val="0"/>
                <w:sz w:val="24"/>
                <w:highlight w:val="none"/>
              </w:rPr>
              <w:t>。</w:t>
            </w:r>
          </w:p>
        </w:tc>
        <w:tc>
          <w:tcPr>
            <w:tcW w:w="4704" w:type="dxa"/>
            <w:gridSpan w:val="4"/>
            <w:tcBorders>
              <w:top w:val="single" w:color="auto" w:sz="4" w:space="0"/>
              <w:left w:val="nil"/>
              <w:bottom w:val="single" w:color="auto" w:sz="4" w:space="0"/>
              <w:right w:val="single" w:color="auto" w:sz="4" w:space="0"/>
            </w:tcBorders>
            <w:noWrap w:val="0"/>
            <w:vAlign w:val="center"/>
          </w:tcPr>
          <w:p w14:paraId="04349DD2">
            <w:pPr>
              <w:spacing w:line="500" w:lineRule="exact"/>
              <w:jc w:val="center"/>
              <w:rPr>
                <w:rFonts w:hint="eastAsia" w:ascii="宋体" w:hAnsi="宋体" w:cs="宋体"/>
                <w:color w:val="auto"/>
                <w:sz w:val="24"/>
                <w:highlight w:val="none"/>
              </w:rPr>
            </w:pPr>
          </w:p>
        </w:tc>
      </w:tr>
      <w:tr w14:paraId="60DB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205FD92D">
            <w:pPr>
              <w:widowControl/>
              <w:jc w:val="left"/>
              <w:rPr>
                <w:rFonts w:hint="eastAsia" w:ascii="宋体" w:hAnsi="宋体" w:cs="宋体"/>
                <w:color w:val="auto"/>
                <w:sz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2E842272">
            <w:pPr>
              <w:rPr>
                <w:rFonts w:hint="eastAsia" w:ascii="宋体" w:hAnsi="宋体" w:cs="宋体"/>
                <w:color w:val="auto"/>
                <w:kern w:val="0"/>
                <w:sz w:val="24"/>
                <w:highlight w:val="none"/>
              </w:rPr>
            </w:pPr>
            <w:r>
              <w:rPr>
                <w:rFonts w:hint="eastAsia" w:ascii="宋体" w:hAnsi="宋体" w:cs="宋体"/>
                <w:color w:val="auto"/>
                <w:sz w:val="24"/>
                <w:highlight w:val="none"/>
              </w:rPr>
              <w:t>是否及时组织采购，是否有承诺办事时间并能限时办结（2分）</w:t>
            </w:r>
            <w:r>
              <w:rPr>
                <w:rFonts w:hint="eastAsia" w:ascii="宋体" w:hAnsi="宋体" w:cs="宋体"/>
                <w:color w:val="auto"/>
                <w:kern w:val="0"/>
                <w:sz w:val="24"/>
                <w:highlight w:val="none"/>
              </w:rPr>
              <w:t>。</w:t>
            </w:r>
          </w:p>
        </w:tc>
        <w:tc>
          <w:tcPr>
            <w:tcW w:w="4704" w:type="dxa"/>
            <w:gridSpan w:val="4"/>
            <w:tcBorders>
              <w:top w:val="single" w:color="auto" w:sz="4" w:space="0"/>
              <w:left w:val="nil"/>
              <w:bottom w:val="single" w:color="auto" w:sz="4" w:space="0"/>
              <w:right w:val="single" w:color="auto" w:sz="4" w:space="0"/>
            </w:tcBorders>
            <w:noWrap w:val="0"/>
            <w:vAlign w:val="center"/>
          </w:tcPr>
          <w:p w14:paraId="1D1E72DF">
            <w:pPr>
              <w:spacing w:line="500" w:lineRule="exact"/>
              <w:jc w:val="center"/>
              <w:rPr>
                <w:rFonts w:hint="eastAsia" w:ascii="宋体" w:hAnsi="宋体" w:cs="宋体"/>
                <w:color w:val="auto"/>
                <w:sz w:val="24"/>
                <w:highlight w:val="none"/>
              </w:rPr>
            </w:pPr>
          </w:p>
        </w:tc>
      </w:tr>
      <w:tr w14:paraId="6906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4968862F">
            <w:pPr>
              <w:widowControl/>
              <w:jc w:val="left"/>
              <w:rPr>
                <w:rFonts w:hint="eastAsia" w:ascii="宋体" w:hAnsi="宋体" w:cs="宋体"/>
                <w:color w:val="auto"/>
                <w:sz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142E62E0">
            <w:pPr>
              <w:rPr>
                <w:rFonts w:hint="eastAsia" w:ascii="宋体" w:hAnsi="宋体" w:cs="宋体"/>
                <w:color w:val="auto"/>
                <w:sz w:val="24"/>
                <w:highlight w:val="none"/>
              </w:rPr>
            </w:pPr>
            <w:r>
              <w:rPr>
                <w:rFonts w:hint="eastAsia" w:ascii="宋体" w:hAnsi="宋体" w:cs="宋体"/>
                <w:color w:val="auto"/>
                <w:sz w:val="24"/>
                <w:highlight w:val="none"/>
              </w:rPr>
              <w:t>是否能积极</w:t>
            </w:r>
            <w:r>
              <w:rPr>
                <w:rFonts w:hint="eastAsia" w:ascii="宋体" w:hAnsi="宋体" w:cs="宋体"/>
                <w:color w:val="auto"/>
                <w:kern w:val="0"/>
                <w:sz w:val="24"/>
                <w:highlight w:val="none"/>
              </w:rPr>
              <w:t>主动</w:t>
            </w:r>
            <w:r>
              <w:rPr>
                <w:rFonts w:hint="eastAsia" w:ascii="宋体" w:hAnsi="宋体" w:cs="宋体"/>
                <w:color w:val="auto"/>
                <w:sz w:val="24"/>
                <w:highlight w:val="none"/>
              </w:rPr>
              <w:t>与当事人沟通</w:t>
            </w:r>
            <w:r>
              <w:rPr>
                <w:rFonts w:hint="eastAsia" w:ascii="宋体" w:hAnsi="宋体" w:cs="宋体"/>
                <w:color w:val="auto"/>
                <w:kern w:val="0"/>
                <w:sz w:val="24"/>
                <w:highlight w:val="none"/>
              </w:rPr>
              <w:t>对接；对采购政策进行详细解读；</w:t>
            </w:r>
            <w:r>
              <w:rPr>
                <w:rFonts w:hint="eastAsia" w:ascii="宋体" w:hAnsi="宋体" w:cs="宋体"/>
                <w:color w:val="auto"/>
                <w:sz w:val="24"/>
                <w:highlight w:val="none"/>
              </w:rPr>
              <w:t>咨询答复是否热情周到、耐心细致（2分）</w:t>
            </w:r>
            <w:r>
              <w:rPr>
                <w:rFonts w:hint="eastAsia" w:ascii="宋体" w:hAnsi="宋体" w:cs="宋体"/>
                <w:color w:val="auto"/>
                <w:kern w:val="0"/>
                <w:sz w:val="24"/>
                <w:highlight w:val="none"/>
              </w:rPr>
              <w:t>。</w:t>
            </w:r>
          </w:p>
        </w:tc>
        <w:tc>
          <w:tcPr>
            <w:tcW w:w="4704" w:type="dxa"/>
            <w:gridSpan w:val="4"/>
            <w:tcBorders>
              <w:top w:val="single" w:color="auto" w:sz="4" w:space="0"/>
              <w:left w:val="nil"/>
              <w:bottom w:val="single" w:color="auto" w:sz="4" w:space="0"/>
              <w:right w:val="single" w:color="auto" w:sz="4" w:space="0"/>
            </w:tcBorders>
            <w:noWrap w:val="0"/>
            <w:vAlign w:val="center"/>
          </w:tcPr>
          <w:p w14:paraId="528EA635">
            <w:pPr>
              <w:spacing w:line="500" w:lineRule="exact"/>
              <w:jc w:val="center"/>
              <w:rPr>
                <w:rFonts w:hint="eastAsia" w:ascii="宋体" w:hAnsi="宋体" w:cs="宋体"/>
                <w:color w:val="auto"/>
                <w:sz w:val="24"/>
                <w:highlight w:val="none"/>
              </w:rPr>
            </w:pPr>
          </w:p>
        </w:tc>
      </w:tr>
      <w:tr w14:paraId="41C1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54EF7D7B">
            <w:pPr>
              <w:widowControl/>
              <w:jc w:val="left"/>
              <w:rPr>
                <w:rFonts w:hint="eastAsia" w:ascii="宋体" w:hAnsi="宋体" w:cs="宋体"/>
                <w:color w:val="auto"/>
                <w:sz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192813EE">
            <w:pPr>
              <w:rPr>
                <w:rFonts w:hint="eastAsia" w:ascii="宋体" w:hAnsi="宋体" w:cs="宋体"/>
                <w:color w:val="auto"/>
                <w:sz w:val="24"/>
                <w:highlight w:val="none"/>
              </w:rPr>
            </w:pPr>
            <w:r>
              <w:rPr>
                <w:rFonts w:hint="eastAsia" w:ascii="宋体" w:hAnsi="宋体" w:cs="宋体"/>
                <w:color w:val="auto"/>
                <w:sz w:val="24"/>
                <w:highlight w:val="none"/>
              </w:rPr>
              <w:t>采购的质量、服务是否满意（2分）。</w:t>
            </w:r>
          </w:p>
        </w:tc>
        <w:tc>
          <w:tcPr>
            <w:tcW w:w="4704" w:type="dxa"/>
            <w:gridSpan w:val="4"/>
            <w:tcBorders>
              <w:top w:val="single" w:color="auto" w:sz="4" w:space="0"/>
              <w:left w:val="nil"/>
              <w:bottom w:val="single" w:color="auto" w:sz="4" w:space="0"/>
              <w:right w:val="single" w:color="auto" w:sz="4" w:space="0"/>
            </w:tcBorders>
            <w:noWrap w:val="0"/>
            <w:vAlign w:val="center"/>
          </w:tcPr>
          <w:p w14:paraId="1AAF423A">
            <w:pPr>
              <w:spacing w:line="500" w:lineRule="exact"/>
              <w:jc w:val="center"/>
              <w:rPr>
                <w:rFonts w:hint="eastAsia" w:ascii="宋体" w:hAnsi="宋体" w:cs="宋体"/>
                <w:color w:val="auto"/>
                <w:sz w:val="24"/>
                <w:highlight w:val="none"/>
              </w:rPr>
            </w:pPr>
          </w:p>
        </w:tc>
      </w:tr>
      <w:tr w14:paraId="37AE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75EC601C">
            <w:pPr>
              <w:widowControl/>
              <w:jc w:val="left"/>
              <w:rPr>
                <w:rFonts w:hint="eastAsia" w:ascii="宋体" w:hAnsi="宋体" w:cs="宋体"/>
                <w:color w:val="auto"/>
                <w:sz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24D4EDF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合计</w:t>
            </w:r>
          </w:p>
        </w:tc>
        <w:tc>
          <w:tcPr>
            <w:tcW w:w="4704" w:type="dxa"/>
            <w:gridSpan w:val="4"/>
            <w:tcBorders>
              <w:top w:val="single" w:color="auto" w:sz="4" w:space="0"/>
              <w:left w:val="nil"/>
              <w:bottom w:val="single" w:color="auto" w:sz="4" w:space="0"/>
              <w:right w:val="single" w:color="auto" w:sz="4" w:space="0"/>
            </w:tcBorders>
            <w:noWrap w:val="0"/>
            <w:vAlign w:val="center"/>
          </w:tcPr>
          <w:p w14:paraId="6E166491">
            <w:pPr>
              <w:spacing w:line="500" w:lineRule="exact"/>
              <w:jc w:val="center"/>
              <w:rPr>
                <w:rFonts w:hint="eastAsia" w:ascii="宋体" w:hAnsi="宋体" w:cs="宋体"/>
                <w:color w:val="auto"/>
                <w:sz w:val="24"/>
                <w:highlight w:val="none"/>
              </w:rPr>
            </w:pPr>
          </w:p>
        </w:tc>
      </w:tr>
      <w:tr w14:paraId="1769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5DE652D">
            <w:pPr>
              <w:jc w:val="center"/>
              <w:rPr>
                <w:rFonts w:hint="eastAsia" w:ascii="宋体" w:hAnsi="宋体" w:cs="宋体"/>
                <w:color w:val="auto"/>
                <w:sz w:val="24"/>
                <w:highlight w:val="none"/>
              </w:rPr>
            </w:pPr>
            <w:r>
              <w:rPr>
                <w:rFonts w:hint="eastAsia" w:ascii="宋体" w:hAnsi="宋体" w:cs="宋体"/>
                <w:color w:val="auto"/>
                <w:sz w:val="24"/>
                <w:highlight w:val="none"/>
              </w:rPr>
              <w:t>对代理机构的意见和建议</w:t>
            </w:r>
          </w:p>
        </w:tc>
        <w:tc>
          <w:tcPr>
            <w:tcW w:w="7938" w:type="dxa"/>
            <w:gridSpan w:val="7"/>
            <w:tcBorders>
              <w:top w:val="single" w:color="auto" w:sz="4" w:space="0"/>
              <w:left w:val="nil"/>
              <w:bottom w:val="single" w:color="auto" w:sz="4" w:space="0"/>
              <w:right w:val="single" w:color="auto" w:sz="4" w:space="0"/>
            </w:tcBorders>
            <w:noWrap w:val="0"/>
            <w:vAlign w:val="center"/>
          </w:tcPr>
          <w:p w14:paraId="07E721AF">
            <w:pPr>
              <w:jc w:val="center"/>
              <w:rPr>
                <w:rFonts w:hint="eastAsia" w:ascii="宋体" w:hAnsi="宋体" w:cs="宋体"/>
                <w:color w:val="auto"/>
                <w:sz w:val="24"/>
                <w:highlight w:val="none"/>
              </w:rPr>
            </w:pPr>
          </w:p>
        </w:tc>
      </w:tr>
      <w:tr w14:paraId="62D4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61A68A8">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7938" w:type="dxa"/>
            <w:gridSpan w:val="7"/>
            <w:tcBorders>
              <w:top w:val="single" w:color="auto" w:sz="4" w:space="0"/>
              <w:left w:val="nil"/>
              <w:bottom w:val="single" w:color="auto" w:sz="4" w:space="0"/>
              <w:right w:val="single" w:color="auto" w:sz="4" w:space="0"/>
            </w:tcBorders>
            <w:noWrap w:val="0"/>
            <w:vAlign w:val="center"/>
          </w:tcPr>
          <w:p w14:paraId="03EA767E">
            <w:pPr>
              <w:jc w:val="center"/>
              <w:rPr>
                <w:rFonts w:hint="eastAsia" w:ascii="宋体" w:hAnsi="宋体" w:cs="宋体"/>
                <w:color w:val="auto"/>
                <w:sz w:val="24"/>
                <w:highlight w:val="none"/>
              </w:rPr>
            </w:pPr>
          </w:p>
        </w:tc>
      </w:tr>
    </w:tbl>
    <w:p w14:paraId="2578101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填表人签字</w:t>
      </w:r>
      <w:r>
        <w:rPr>
          <w:rFonts w:hint="eastAsia" w:ascii="宋体" w:hAnsi="宋体" w:cs="宋体"/>
          <w:color w:val="auto"/>
          <w:sz w:val="24"/>
          <w:highlight w:val="none"/>
          <w:lang w:eastAsia="zh-CN"/>
        </w:rPr>
        <w:t>或</w:t>
      </w:r>
      <w:r>
        <w:rPr>
          <w:rFonts w:hint="eastAsia" w:ascii="宋体" w:hAnsi="宋体" w:cs="宋体"/>
          <w:color w:val="auto"/>
          <w:sz w:val="24"/>
          <w:highlight w:val="none"/>
        </w:rPr>
        <w:t>盖章：                    日期</w:t>
      </w:r>
    </w:p>
    <w:p w14:paraId="18788C05">
      <w:pPr>
        <w:spacing w:before="100" w:beforeAutospacing="1" w:after="120"/>
        <w:ind w:right="-154" w:firstLine="4760" w:firstLineChars="1700"/>
        <w:rPr>
          <w:rFonts w:hint="eastAsia" w:ascii="宋体" w:hAnsi="宋体" w:cs="宋体"/>
          <w:color w:val="auto"/>
          <w:sz w:val="28"/>
          <w:szCs w:val="28"/>
          <w:highlight w:val="none"/>
        </w:rPr>
      </w:pPr>
      <w:r>
        <w:rPr>
          <w:rFonts w:hint="eastAsia" w:ascii="宋体" w:hAnsi="宋体" w:cs="宋体"/>
          <w:color w:val="auto"/>
          <w:sz w:val="28"/>
          <w:szCs w:val="28"/>
          <w:highlight w:val="none"/>
        </w:rPr>
        <w:t>注：此表须盖投标单位公章</w:t>
      </w:r>
    </w:p>
    <w:p w14:paraId="4C123BBB">
      <w:pPr>
        <w:spacing w:line="360" w:lineRule="auto"/>
        <w:rPr>
          <w:rFonts w:hint="eastAsia" w:ascii="宋体" w:hAnsi="宋体" w:cs="宋体"/>
          <w:b/>
          <w:color w:val="auto"/>
          <w:sz w:val="28"/>
          <w:szCs w:val="28"/>
          <w:highlight w:val="none"/>
        </w:rPr>
      </w:pPr>
    </w:p>
    <w:p w14:paraId="3C6E1EFE">
      <w:pPr>
        <w:spacing w:line="360" w:lineRule="auto"/>
        <w:rPr>
          <w:rFonts w:hint="eastAsia" w:ascii="宋体" w:hAnsi="宋体" w:cs="宋体"/>
          <w:b/>
          <w:color w:val="auto"/>
          <w:sz w:val="28"/>
          <w:szCs w:val="28"/>
          <w:highlight w:val="none"/>
        </w:rPr>
      </w:pPr>
    </w:p>
    <w:p w14:paraId="0B34D5A2">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政府采购支持中小企业信用融资相关事项通知</w:t>
      </w:r>
    </w:p>
    <w:p w14:paraId="60822338">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为支持和促进中小企业发展，进一步发挥政府采购政策功能，现将相关事项通知如下：</w:t>
      </w:r>
    </w:p>
    <w:p w14:paraId="00AC06F2">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一、适用对象</w:t>
      </w:r>
    </w:p>
    <w:p w14:paraId="5D75D1A7">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在浙江政府采购网注册入库，并取得东阳市政府采购合同的中小企业供应商。</w:t>
      </w:r>
    </w:p>
    <w:p w14:paraId="3A73281B">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二、相关信息获取方式</w:t>
      </w:r>
    </w:p>
    <w:p w14:paraId="49703E31">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请登</w:t>
      </w:r>
      <w:r>
        <w:rPr>
          <w:rFonts w:hint="eastAsia" w:ascii="宋体" w:hAnsi="宋体" w:cs="宋体"/>
          <w:color w:val="auto"/>
          <w:sz w:val="24"/>
          <w:highlight w:val="none"/>
          <w:lang w:eastAsia="zh-CN"/>
        </w:rPr>
        <w:t>录</w:t>
      </w:r>
      <w:r>
        <w:rPr>
          <w:rFonts w:hint="eastAsia" w:ascii="宋体" w:hAnsi="宋体" w:cs="宋体"/>
          <w:color w:val="auto"/>
          <w:sz w:val="24"/>
          <w:highlight w:val="none"/>
        </w:rPr>
        <w:t>浙江省政府采购网“融资贷款”模块，查看信用融资政策文件及各相关银行服务方案。</w:t>
      </w:r>
    </w:p>
    <w:p w14:paraId="501D0616">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三、申请方式和步骤</w:t>
      </w:r>
    </w:p>
    <w:p w14:paraId="09C9A5EF">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（一）采购合同贷</w:t>
      </w:r>
    </w:p>
    <w:p w14:paraId="39F2C573">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1、采购单位在政采云完成中标通知书及公告发布后，政采云根据该供应商资信向供应商发送推介合适的融资产品方案(展示多家银行---满足贷款银行条件的银行产品,对供应商进行展示)；</w:t>
      </w:r>
    </w:p>
    <w:p w14:paraId="08EFB2D9">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2、供应商在收到中标通知的同时会收到可申请融资服务邀请，有意向的供应商选择满足条件的银行产品,并补充填写相关资料,向满足条件的融资产品发起申请；</w:t>
      </w:r>
    </w:p>
    <w:p w14:paraId="09ED4742">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3、政采云将供应商的申请传递给银行,并将供应商相关信息给银行:供应商信息、订单(合同)信息、融资申请等数据用于贷款审批；</w:t>
      </w:r>
    </w:p>
    <w:p w14:paraId="2B7334A9">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4、银行进行融资审批并返回审批结果至政采云（审批通过的等待政采云放款通知，订单合同签署生效后通知）,政采云将银行反馈信息同步展示给对应供应商；</w:t>
      </w:r>
    </w:p>
    <w:p w14:paraId="64611705">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5、采购单位与供应商在线下签订完成合同签署后（将贷款银行的</w:t>
      </w:r>
      <w:r>
        <w:rPr>
          <w:rFonts w:hint="eastAsia" w:ascii="宋体" w:hAnsi="宋体" w:cs="宋体"/>
          <w:color w:val="auto"/>
          <w:sz w:val="24"/>
          <w:highlight w:val="none"/>
          <w:lang w:eastAsia="zh-CN"/>
        </w:rPr>
        <w:t>账</w:t>
      </w:r>
      <w:r>
        <w:rPr>
          <w:rFonts w:hint="eastAsia" w:ascii="宋体" w:hAnsi="宋体" w:cs="宋体"/>
          <w:color w:val="auto"/>
          <w:sz w:val="24"/>
          <w:highlight w:val="none"/>
        </w:rPr>
        <w:t>号协调采购合同中去,贷款</w:t>
      </w:r>
      <w:r>
        <w:rPr>
          <w:rFonts w:hint="eastAsia" w:ascii="宋体" w:hAnsi="宋体" w:cs="宋体"/>
          <w:color w:val="auto"/>
          <w:sz w:val="24"/>
          <w:highlight w:val="none"/>
          <w:lang w:eastAsia="zh-CN"/>
        </w:rPr>
        <w:t>账</w:t>
      </w:r>
      <w:r>
        <w:rPr>
          <w:rFonts w:hint="eastAsia" w:ascii="宋体" w:hAnsi="宋体" w:cs="宋体"/>
          <w:color w:val="auto"/>
          <w:sz w:val="24"/>
          <w:highlight w:val="none"/>
        </w:rPr>
        <w:t>号作为采购合同的收款账户），政采云向银行发送确认指令；</w:t>
      </w:r>
    </w:p>
    <w:p w14:paraId="36C07A61">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6、项目履约完成，采购单位完成验收后发起结算，国库完成支付；</w:t>
      </w:r>
    </w:p>
    <w:p w14:paraId="05CF3864">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7、银行对其本行借款账户进行资金监控，有入账即可进行本金提前还款操作，银行返回还款信息“提前还款本金、更新还款计划”。</w:t>
      </w:r>
    </w:p>
    <w:p w14:paraId="1604A73D">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（二）流水贷流程</w:t>
      </w:r>
    </w:p>
    <w:p w14:paraId="22D01181">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1、政采云通过规则向符合该产品的供应商发出邀约；</w:t>
      </w:r>
    </w:p>
    <w:p w14:paraId="00BE6BB9">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2、供应商授权后向银行发送历史流水数据进行授信；</w:t>
      </w:r>
    </w:p>
    <w:p w14:paraId="6DF261D2">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3、银行根据风控模型出具最终授信结果并通知政采云；</w:t>
      </w:r>
    </w:p>
    <w:p w14:paraId="0784AE82">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4、供应商用款时进行在线提款签约；</w:t>
      </w:r>
    </w:p>
    <w:p w14:paraId="301A954C">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5、银行放款并返回放款结果，流程完成。</w:t>
      </w:r>
    </w:p>
    <w:p w14:paraId="2335712A">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四、注意事项</w:t>
      </w:r>
    </w:p>
    <w:p w14:paraId="5E284A16">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1、供应商需确保政府采购合同的收款银行与融资银行一致。</w:t>
      </w:r>
    </w:p>
    <w:p w14:paraId="6E373023">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2、请各采购单位积极支持和配合政府采购信用融资工作，在合同备案环节仔细核对收款银行、账号信息等内容，一旦录入将无法修改。</w:t>
      </w:r>
    </w:p>
    <w:p w14:paraId="17A29EC6">
      <w:pPr>
        <w:spacing w:line="3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为扩大政府采购金融服务面，除政采云网上金融服务合作银行外，东阳市范围内增加浙商银行金华分行东阳支行作为线下合作银行。   浙商银行金华东阳支行联系人：倪姚波  联系电话：13750943108   0579-86222987</w:t>
      </w:r>
    </w:p>
    <w:p w14:paraId="4E000AEF">
      <w:pPr>
        <w:pStyle w:val="3"/>
        <w:ind w:left="0" w:leftChars="0" w:firstLine="0" w:firstLineChars="0"/>
        <w:rPr>
          <w:color w:val="auto"/>
          <w:highlight w:val="none"/>
        </w:rPr>
      </w:pPr>
    </w:p>
    <w:p w14:paraId="28EEBFD8">
      <w:pPr>
        <w:snapToGrid w:val="0"/>
        <w:spacing w:before="50" w:after="50"/>
        <w:ind w:right="-817" w:rightChars="-38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质疑函范本</w:t>
      </w:r>
    </w:p>
    <w:p w14:paraId="7371F0CF">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质疑函范本</w:t>
      </w:r>
    </w:p>
    <w:p w14:paraId="1D413080">
      <w:pPr>
        <w:keepNext w:val="0"/>
        <w:keepLines w:val="0"/>
        <w:pageBreakBefore w:val="0"/>
        <w:kinsoku/>
        <w:wordWrap/>
        <w:overflowPunct/>
        <w:topLinePunct w:val="0"/>
        <w:autoSpaceDE/>
        <w:autoSpaceDN/>
        <w:bidi w:val="0"/>
        <w:adjustRightInd w:val="0"/>
        <w:snapToGrid w:val="0"/>
        <w:spacing w:before="312" w:beforeLines="100" w:line="32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063EFFC3">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r>
        <w:rPr>
          <w:rFonts w:hint="eastAsia" w:ascii="宋体" w:hAnsi="宋体" w:eastAsia="宋体" w:cs="宋体"/>
          <w:color w:val="auto"/>
          <w:sz w:val="28"/>
          <w:szCs w:val="28"/>
          <w:highlight w:val="none"/>
          <w:u w:val="dotted"/>
        </w:rPr>
        <w:t xml:space="preserve">                                        </w:t>
      </w:r>
    </w:p>
    <w:p w14:paraId="47858159">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14:paraId="7D82D59C">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7828974C">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p>
    <w:p w14:paraId="4613D0A9">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2E602147">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地址： </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14:paraId="0D90B860">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1D91B9FF">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r>
        <w:rPr>
          <w:rFonts w:hint="eastAsia" w:ascii="宋体" w:hAnsi="宋体" w:eastAsia="宋体" w:cs="宋体"/>
          <w:color w:val="auto"/>
          <w:sz w:val="28"/>
          <w:szCs w:val="28"/>
          <w:highlight w:val="none"/>
          <w:u w:val="dotted"/>
        </w:rPr>
        <w:t xml:space="preserve">                                      </w:t>
      </w:r>
    </w:p>
    <w:p w14:paraId="18AFE5F3">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14:paraId="4C8EE829">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r>
        <w:rPr>
          <w:rFonts w:hint="eastAsia" w:ascii="宋体" w:hAnsi="宋体" w:eastAsia="宋体" w:cs="宋体"/>
          <w:color w:val="auto"/>
          <w:sz w:val="28"/>
          <w:szCs w:val="28"/>
          <w:highlight w:val="none"/>
          <w:u w:val="dotted"/>
        </w:rPr>
        <w:t xml:space="preserve">                                         </w:t>
      </w:r>
    </w:p>
    <w:p w14:paraId="5A09BB37">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r>
        <w:rPr>
          <w:rFonts w:hint="eastAsia" w:ascii="宋体" w:hAnsi="宋体" w:eastAsia="宋体" w:cs="宋体"/>
          <w:color w:val="auto"/>
          <w:sz w:val="28"/>
          <w:szCs w:val="28"/>
          <w:highlight w:val="none"/>
          <w:u w:val="dotted"/>
        </w:rPr>
        <w:t xml:space="preserve">                                           </w:t>
      </w:r>
    </w:p>
    <w:p w14:paraId="2A95E922">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7A1B0630">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r>
        <w:rPr>
          <w:rFonts w:hint="eastAsia" w:ascii="宋体" w:hAnsi="宋体" w:eastAsia="宋体" w:cs="宋体"/>
          <w:color w:val="auto"/>
          <w:sz w:val="28"/>
          <w:szCs w:val="28"/>
          <w:highlight w:val="none"/>
          <w:u w:val="dotted"/>
        </w:rPr>
        <w:t xml:space="preserve">                                         </w:t>
      </w:r>
    </w:p>
    <w:p w14:paraId="0297F2DF">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p>
    <w:p w14:paraId="5219D058">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dotted"/>
        </w:rPr>
        <w:t xml:space="preserve">                                                       </w:t>
      </w:r>
    </w:p>
    <w:p w14:paraId="0B626EDD">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14:paraId="03EA9981">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027858DF">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5FC538A2">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11F3398C">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1C814174">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p>
    <w:p w14:paraId="1787414C">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704412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9DCB4BC">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8"/>
          <w:szCs w:val="28"/>
          <w:highlight w:val="none"/>
        </w:rPr>
      </w:pPr>
    </w:p>
    <w:p w14:paraId="619412B3">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color w:val="auto"/>
          <w:sz w:val="28"/>
          <w:szCs w:val="28"/>
          <w:highlight w:val="none"/>
        </w:rPr>
      </w:pPr>
    </w:p>
    <w:p w14:paraId="13B529A0">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3CFB93C5">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49C7A90C">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03125012">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10B278F0">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2C05D9EC">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5C8DC897">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78DCA76C">
      <w:pPr>
        <w:snapToGrid w:val="0"/>
        <w:spacing w:before="50" w:after="50"/>
        <w:ind w:right="-817" w:rightChars="-389"/>
        <w:rPr>
          <w:rFonts w:hint="eastAsia" w:ascii="宋体" w:hAnsi="宋体" w:eastAsia="宋体" w:cs="宋体"/>
          <w:b/>
          <w:color w:val="auto"/>
          <w:sz w:val="28"/>
          <w:szCs w:val="28"/>
          <w:highlight w:val="none"/>
        </w:rPr>
      </w:pPr>
    </w:p>
    <w:p w14:paraId="61D8CE36">
      <w:pPr>
        <w:snapToGrid w:val="0"/>
        <w:spacing w:before="50" w:after="50"/>
        <w:ind w:right="-817" w:rightChars="-389"/>
        <w:rPr>
          <w:rFonts w:hint="eastAsia" w:ascii="宋体" w:hAnsi="宋体" w:eastAsia="宋体" w:cs="宋体"/>
          <w:b/>
          <w:color w:val="auto"/>
          <w:sz w:val="28"/>
          <w:szCs w:val="28"/>
          <w:highlight w:val="none"/>
        </w:rPr>
      </w:pPr>
    </w:p>
    <w:p w14:paraId="510969C6">
      <w:pPr>
        <w:snapToGrid w:val="0"/>
        <w:spacing w:before="50" w:after="50"/>
        <w:ind w:right="-817" w:rightChars="-389"/>
        <w:rPr>
          <w:rFonts w:hint="eastAsia" w:ascii="宋体" w:hAnsi="宋体" w:eastAsia="宋体" w:cs="宋体"/>
          <w:b/>
          <w:color w:val="auto"/>
          <w:sz w:val="28"/>
          <w:szCs w:val="28"/>
          <w:highlight w:val="none"/>
        </w:rPr>
      </w:pPr>
    </w:p>
    <w:p w14:paraId="62E5A647">
      <w:pPr>
        <w:snapToGrid w:val="0"/>
        <w:spacing w:before="50" w:after="50"/>
        <w:ind w:right="-817" w:rightChars="-38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投诉书范本</w:t>
      </w:r>
    </w:p>
    <w:p w14:paraId="3410E1ED">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投诉书范本</w:t>
      </w:r>
    </w:p>
    <w:p w14:paraId="3B3C386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一、投诉相关主体基本情况</w:t>
      </w:r>
    </w:p>
    <w:p w14:paraId="689058E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w:t>
      </w:r>
      <w:r>
        <w:rPr>
          <w:rFonts w:hint="eastAsia" w:ascii="宋体" w:hAnsi="宋体" w:eastAsia="宋体" w:cs="宋体"/>
          <w:color w:val="auto"/>
          <w:sz w:val="28"/>
          <w:szCs w:val="28"/>
          <w:highlight w:val="none"/>
          <w:u w:val="dotted"/>
        </w:rPr>
        <w:t xml:space="preserve">                                               </w:t>
      </w:r>
    </w:p>
    <w:p w14:paraId="249BFADE">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0AFA779A">
      <w:pPr>
        <w:keepNext w:val="0"/>
        <w:keepLines w:val="0"/>
        <w:pageBreakBefore w:val="0"/>
        <w:tabs>
          <w:tab w:val="left" w:pos="651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法定代表人/主要负责人：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4324376B">
      <w:pPr>
        <w:keepNext w:val="0"/>
        <w:keepLines w:val="0"/>
        <w:pageBreakBefore w:val="0"/>
        <w:tabs>
          <w:tab w:val="left" w:pos="6510"/>
        </w:tabs>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4DA34CF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7AA3A22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dotted"/>
        </w:rPr>
        <w:t xml:space="preserve">  </w:t>
      </w:r>
    </w:p>
    <w:p w14:paraId="74C10A1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被投诉人1：</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76C94266">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6D34211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01021D8E">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被投诉人2</w:t>
      </w:r>
    </w:p>
    <w:p w14:paraId="6A9F3AD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14:paraId="5AEFEFC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相关供应商：</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0FA60BD2">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13C97C4B">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5C54D50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二、投诉项目基本情况</w:t>
      </w:r>
    </w:p>
    <w:p w14:paraId="3E82CCC7">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采购项目名称：</w:t>
      </w:r>
      <w:r>
        <w:rPr>
          <w:rFonts w:hint="eastAsia" w:ascii="宋体" w:hAnsi="宋体" w:eastAsia="宋体" w:cs="宋体"/>
          <w:color w:val="auto"/>
          <w:sz w:val="28"/>
          <w:szCs w:val="28"/>
          <w:highlight w:val="none"/>
          <w:u w:val="dotted"/>
        </w:rPr>
        <w:t xml:space="preserve">                                        </w:t>
      </w:r>
    </w:p>
    <w:p w14:paraId="4F08D657">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采购项目编号：</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14:paraId="2D57FE5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454E81C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代理机构名称：</w:t>
      </w:r>
      <w:r>
        <w:rPr>
          <w:rFonts w:hint="eastAsia" w:ascii="宋体" w:hAnsi="宋体" w:eastAsia="宋体" w:cs="宋体"/>
          <w:color w:val="auto"/>
          <w:sz w:val="28"/>
          <w:szCs w:val="28"/>
          <w:highlight w:val="none"/>
          <w:u w:val="dotted"/>
        </w:rPr>
        <w:t xml:space="preserve">                                         </w:t>
      </w:r>
    </w:p>
    <w:p w14:paraId="4B64ADD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采购文件公告: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14:paraId="0DC5DB9D">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采购结果公告: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14:paraId="7EC449F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三、质疑基本情况</w:t>
      </w:r>
    </w:p>
    <w:p w14:paraId="6B41E8A0">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日,向</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提出质疑，质疑事项为：</w:t>
      </w:r>
      <w:r>
        <w:rPr>
          <w:rFonts w:hint="eastAsia" w:ascii="宋体" w:hAnsi="宋体" w:eastAsia="宋体" w:cs="宋体"/>
          <w:color w:val="auto"/>
          <w:sz w:val="28"/>
          <w:szCs w:val="28"/>
          <w:highlight w:val="none"/>
          <w:u w:val="dotted"/>
        </w:rPr>
        <w:t xml:space="preserve">                                </w:t>
      </w:r>
    </w:p>
    <w:p w14:paraId="33660C36">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60127258">
      <w:pPr>
        <w:keepNext w:val="0"/>
        <w:keepLines w:val="0"/>
        <w:pageBreakBefore w:val="0"/>
        <w:kinsoku/>
        <w:wordWrap/>
        <w:overflowPunct/>
        <w:topLinePunct w:val="0"/>
        <w:autoSpaceDE/>
        <w:autoSpaceDN/>
        <w:bidi w:val="0"/>
        <w:adjustRightInd/>
        <w:snapToGrid/>
        <w:spacing w:line="38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dotted"/>
        </w:rPr>
        <w:t>采购人/代理机构</w:t>
      </w:r>
      <w:r>
        <w:rPr>
          <w:rFonts w:hint="eastAsia" w:ascii="宋体" w:hAnsi="宋体" w:eastAsia="宋体" w:cs="宋体"/>
          <w:color w:val="auto"/>
          <w:sz w:val="28"/>
          <w:szCs w:val="28"/>
          <w:highlight w:val="none"/>
        </w:rPr>
        <w:t>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日,就质疑事项作出了答复/没有在法定期限内作出答复。</w:t>
      </w:r>
    </w:p>
    <w:p w14:paraId="37F391F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四、投诉事项具体内容</w:t>
      </w:r>
    </w:p>
    <w:p w14:paraId="37B43DC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投诉事项 1：</w:t>
      </w:r>
      <w:r>
        <w:rPr>
          <w:rFonts w:hint="eastAsia" w:ascii="宋体" w:hAnsi="宋体" w:eastAsia="宋体" w:cs="宋体"/>
          <w:color w:val="auto"/>
          <w:sz w:val="28"/>
          <w:szCs w:val="28"/>
          <w:highlight w:val="none"/>
          <w:u w:val="dotted"/>
        </w:rPr>
        <w:t xml:space="preserve">                                       </w:t>
      </w:r>
    </w:p>
    <w:p w14:paraId="6601C74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p>
    <w:p w14:paraId="1154759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38F10AC2">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14:paraId="6E190603">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7A787DEE">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投诉事项2</w:t>
      </w:r>
    </w:p>
    <w:p w14:paraId="1D830437">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14:paraId="074A32AD">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五、与投诉事项相关的投诉请求</w:t>
      </w:r>
    </w:p>
    <w:p w14:paraId="38C0B27C">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1BC813CD">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14:paraId="5B8B9FB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3109EE4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3994661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sz w:val="28"/>
          <w:szCs w:val="28"/>
          <w:highlight w:val="none"/>
        </w:rPr>
      </w:pPr>
    </w:p>
    <w:p w14:paraId="51B8B08B">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投诉书制作说明：</w:t>
      </w:r>
    </w:p>
    <w:p w14:paraId="5E372590">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1.投诉人提起投诉时，应当提交投诉书和必要的证明材料，并按照被投诉人和与投诉事项有关的供应商数量提供投诉书副本。</w:t>
      </w:r>
    </w:p>
    <w:p w14:paraId="4A07C5F4">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2.投诉人若委托代理人进行投诉的，投诉书应按照要求列明“授权代表”的有关内容，并在附件中提交由</w:t>
      </w:r>
      <w:r>
        <w:rPr>
          <w:rFonts w:hint="eastAsia" w:ascii="宋体" w:hAnsi="宋体" w:eastAsia="宋体" w:cs="宋体"/>
          <w:color w:val="auto"/>
          <w:kern w:val="0"/>
          <w:sz w:val="28"/>
          <w:szCs w:val="28"/>
          <w:highlight w:val="none"/>
        </w:rPr>
        <w:t>投诉人签署的授权委托书。授权委托书应当载明代理人的姓名或者名称、代理事项、具体权限、期限和相关事项。</w:t>
      </w:r>
    </w:p>
    <w:p w14:paraId="022BFE37">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3.投诉人若对项目的某一分包进行投诉，投诉书应列明具体分包号。</w:t>
      </w:r>
    </w:p>
    <w:p w14:paraId="10433B55">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4.投诉书应简要列明质疑事项，质疑函、质疑答复等作为附件材料提供。</w:t>
      </w:r>
    </w:p>
    <w:p w14:paraId="248916CF">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5.投诉书的投诉事项应具体、明确，并有必要的事实依据和法律依据。</w:t>
      </w:r>
    </w:p>
    <w:p w14:paraId="1B475CC0">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6.投诉书的投诉请求应与投诉事项相关。</w:t>
      </w:r>
    </w:p>
    <w:p w14:paraId="64632A13">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7.投诉人为自然人的，投诉书应当由本人签字；投诉人为法人或者其他组织的，投诉书应当由法定代表人、主要负责人，或者其授权代表签字或者盖章，并加盖公章。</w:t>
      </w:r>
    </w:p>
    <w:p w14:paraId="3D6EB58E">
      <w:pPr>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 xml:space="preserve"> </w:t>
      </w:r>
    </w:p>
    <w:p w14:paraId="7F74C39F">
      <w:pPr>
        <w:pStyle w:val="23"/>
        <w:rPr>
          <w:rFonts w:hint="eastAsia" w:ascii="宋体" w:hAnsi="宋体" w:eastAsia="宋体" w:cs="宋体"/>
          <w:color w:val="auto"/>
          <w:sz w:val="28"/>
          <w:szCs w:val="28"/>
          <w:highlight w:val="none"/>
        </w:rPr>
      </w:pPr>
    </w:p>
    <w:p w14:paraId="00A4A698">
      <w:pPr>
        <w:pStyle w:val="23"/>
        <w:rPr>
          <w:rFonts w:hint="eastAsia"/>
          <w:color w:val="auto"/>
          <w:highlight w:val="none"/>
        </w:rPr>
      </w:pPr>
    </w:p>
    <w:p w14:paraId="03809667">
      <w:pPr>
        <w:pStyle w:val="3"/>
        <w:rPr>
          <w:color w:val="auto"/>
          <w:highlight w:val="none"/>
        </w:rPr>
      </w:pPr>
    </w:p>
    <w:sectPr>
      <w:headerReference r:id="rId7" w:type="first"/>
      <w:footerReference r:id="rId10" w:type="first"/>
      <w:headerReference r:id="rId6" w:type="default"/>
      <w:footerReference r:id="rId8" w:type="default"/>
      <w:footerReference r:id="rId9" w:type="even"/>
      <w:pgSz w:w="11906" w:h="16838"/>
      <w:pgMar w:top="1440" w:right="1080" w:bottom="1276" w:left="108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C6B5">
    <w:pPr>
      <w:pStyle w:val="1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F4952">
    <w:pPr>
      <w:pStyle w:val="13"/>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864E17A">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864E17A">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CB8FE">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72ADD6">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772ADD6">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2BE94">
    <w:pPr>
      <w:ind w:right="72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9F5C10">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179F5C10">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73248">
    <w:pPr>
      <w:framePr w:wrap="around" w:vAnchor="text" w:hAnchor="margin" w:xAlign="center" w:y="1"/>
    </w:pPr>
    <w:r>
      <w:fldChar w:fldCharType="begin"/>
    </w:r>
    <w:r>
      <w:instrText xml:space="preserve">PAGE  </w:instrText>
    </w:r>
    <w:r>
      <w:fldChar w:fldCharType="separate"/>
    </w:r>
    <w:r>
      <w:t>3</w:t>
    </w:r>
    <w:r>
      <w:fldChar w:fldCharType="end"/>
    </w:r>
  </w:p>
  <w:p w14:paraId="71C39340">
    <w:pPr>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0AB4">
    <w:pPr>
      <w:ind w:right="720"/>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53BFAB">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353BFAB">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99F85">
    <w:pPr>
      <w:pStyle w:val="18"/>
      <w:jc w:val="both"/>
      <w:rPr>
        <w:rFonts w:hint="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88C1">
    <w:pPr>
      <w:pStyle w:val="18"/>
      <w:jc w:val="both"/>
      <w:rPr>
        <w:rFonts w:hint="eastAsia"/>
        <w:u w:val="single"/>
      </w:rPr>
    </w:pPr>
  </w:p>
  <w:p w14:paraId="06BFD6BC">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F05D8"/>
    <w:multiLevelType w:val="multilevel"/>
    <w:tmpl w:val="D3EF05D8"/>
    <w:lvl w:ilvl="0" w:tentative="0">
      <w:start w:val="1"/>
      <w:numFmt w:val="decimal"/>
      <w:lvlText w:val="%1."/>
      <w:lvlJc w:val="left"/>
      <w:pPr>
        <w:tabs>
          <w:tab w:val="left" w:pos="1244"/>
        </w:tabs>
        <w:ind w:left="1244" w:hanging="420"/>
      </w:pPr>
    </w:lvl>
    <w:lvl w:ilvl="1" w:tentative="0">
      <w:start w:val="1"/>
      <w:numFmt w:val="lowerLetter"/>
      <w:lvlText w:val="%2)"/>
      <w:lvlJc w:val="left"/>
      <w:pPr>
        <w:tabs>
          <w:tab w:val="left" w:pos="824"/>
        </w:tabs>
        <w:ind w:left="824" w:hanging="420"/>
      </w:pPr>
    </w:lvl>
    <w:lvl w:ilvl="2" w:tentative="0">
      <w:start w:val="1"/>
      <w:numFmt w:val="lowerRoman"/>
      <w:lvlText w:val="%3."/>
      <w:lvlJc w:val="right"/>
      <w:pPr>
        <w:tabs>
          <w:tab w:val="left" w:pos="1244"/>
        </w:tabs>
        <w:ind w:left="1244" w:hanging="420"/>
      </w:pPr>
    </w:lvl>
    <w:lvl w:ilvl="3" w:tentative="0">
      <w:start w:val="1"/>
      <w:numFmt w:val="decimal"/>
      <w:lvlText w:val="%4."/>
      <w:lvlJc w:val="left"/>
      <w:pPr>
        <w:tabs>
          <w:tab w:val="left" w:pos="1664"/>
        </w:tabs>
        <w:ind w:left="1664" w:hanging="420"/>
      </w:pPr>
    </w:lvl>
    <w:lvl w:ilvl="4" w:tentative="0">
      <w:start w:val="1"/>
      <w:numFmt w:val="lowerLetter"/>
      <w:lvlText w:val="%5)"/>
      <w:lvlJc w:val="left"/>
      <w:pPr>
        <w:tabs>
          <w:tab w:val="left" w:pos="2084"/>
        </w:tabs>
        <w:ind w:left="2084" w:hanging="420"/>
      </w:pPr>
    </w:lvl>
    <w:lvl w:ilvl="5" w:tentative="0">
      <w:start w:val="1"/>
      <w:numFmt w:val="lowerRoman"/>
      <w:lvlText w:val="%6."/>
      <w:lvlJc w:val="right"/>
      <w:pPr>
        <w:tabs>
          <w:tab w:val="left" w:pos="2504"/>
        </w:tabs>
        <w:ind w:left="2504" w:hanging="420"/>
      </w:pPr>
    </w:lvl>
    <w:lvl w:ilvl="6" w:tentative="0">
      <w:start w:val="1"/>
      <w:numFmt w:val="decimal"/>
      <w:lvlText w:val="%7."/>
      <w:lvlJc w:val="left"/>
      <w:pPr>
        <w:tabs>
          <w:tab w:val="left" w:pos="2924"/>
        </w:tabs>
        <w:ind w:left="2924" w:hanging="420"/>
      </w:pPr>
    </w:lvl>
    <w:lvl w:ilvl="7" w:tentative="0">
      <w:start w:val="1"/>
      <w:numFmt w:val="lowerLetter"/>
      <w:lvlText w:val="%8)"/>
      <w:lvlJc w:val="left"/>
      <w:pPr>
        <w:tabs>
          <w:tab w:val="left" w:pos="3344"/>
        </w:tabs>
        <w:ind w:left="3344" w:hanging="420"/>
      </w:pPr>
    </w:lvl>
    <w:lvl w:ilvl="8" w:tentative="0">
      <w:start w:val="1"/>
      <w:numFmt w:val="lowerRoman"/>
      <w:lvlText w:val="%9."/>
      <w:lvlJc w:val="right"/>
      <w:pPr>
        <w:tabs>
          <w:tab w:val="left" w:pos="3764"/>
        </w:tabs>
        <w:ind w:left="3764" w:hanging="420"/>
      </w:pPr>
    </w:lvl>
  </w:abstractNum>
  <w:abstractNum w:abstractNumId="1">
    <w:nsid w:val="2CF939AA"/>
    <w:multiLevelType w:val="singleLevel"/>
    <w:tmpl w:val="2CF939AA"/>
    <w:lvl w:ilvl="0" w:tentative="0">
      <w:start w:val="10"/>
      <w:numFmt w:val="decimal"/>
      <w:suff w:val="nothing"/>
      <w:lvlText w:val="%1、"/>
      <w:lvlJc w:val="left"/>
    </w:lvl>
  </w:abstractNum>
  <w:abstractNum w:abstractNumId="2">
    <w:nsid w:val="36302507"/>
    <w:multiLevelType w:val="singleLevel"/>
    <w:tmpl w:val="36302507"/>
    <w:lvl w:ilvl="0" w:tentative="0">
      <w:start w:val="1"/>
      <w:numFmt w:val="decimal"/>
      <w:suff w:val="nothing"/>
      <w:lvlText w:val="%1、"/>
      <w:lvlJc w:val="left"/>
    </w:lvl>
  </w:abstractNum>
  <w:abstractNum w:abstractNumId="3">
    <w:nsid w:val="54F403B5"/>
    <w:multiLevelType w:val="singleLevel"/>
    <w:tmpl w:val="54F403B5"/>
    <w:lvl w:ilvl="0" w:tentative="0">
      <w:start w:val="1"/>
      <w:numFmt w:val="chineseCounting"/>
      <w:suff w:val="nothing"/>
      <w:lvlText w:val="%1、"/>
      <w:lvlJc w:val="left"/>
    </w:lvl>
  </w:abstractNum>
  <w:abstractNum w:abstractNumId="4">
    <w:nsid w:val="557FD3DA"/>
    <w:multiLevelType w:val="singleLevel"/>
    <w:tmpl w:val="557FD3DA"/>
    <w:lvl w:ilvl="0" w:tentative="0">
      <w:start w:val="3"/>
      <w:numFmt w:val="chineseCounting"/>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1140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ZmFhN2E1Zjg3MzMyZTJiZjNjYTFmNzA2ZmJmZmMifQ=="/>
    <w:docVar w:name="KSO_WPS_MARK_KEY" w:val="c9f9a4fd-0152-4c77-81d0-031cda43b75b"/>
  </w:docVars>
  <w:rsids>
    <w:rsidRoot w:val="00000000"/>
    <w:rsid w:val="00BB3C10"/>
    <w:rsid w:val="013663B1"/>
    <w:rsid w:val="019B6D8B"/>
    <w:rsid w:val="020E0FC6"/>
    <w:rsid w:val="02D51D38"/>
    <w:rsid w:val="02E30C5A"/>
    <w:rsid w:val="02F0502E"/>
    <w:rsid w:val="03032B7A"/>
    <w:rsid w:val="030E1788"/>
    <w:rsid w:val="03916DD0"/>
    <w:rsid w:val="03AC4F33"/>
    <w:rsid w:val="03DB141E"/>
    <w:rsid w:val="03FA3F76"/>
    <w:rsid w:val="041318FB"/>
    <w:rsid w:val="042C0F82"/>
    <w:rsid w:val="043E4837"/>
    <w:rsid w:val="04600F0D"/>
    <w:rsid w:val="0465544F"/>
    <w:rsid w:val="048935D8"/>
    <w:rsid w:val="049D3B67"/>
    <w:rsid w:val="04DB79B6"/>
    <w:rsid w:val="04ED41A7"/>
    <w:rsid w:val="059A1C99"/>
    <w:rsid w:val="05F11B6D"/>
    <w:rsid w:val="060776D3"/>
    <w:rsid w:val="06206932"/>
    <w:rsid w:val="064C7E1C"/>
    <w:rsid w:val="06B241C6"/>
    <w:rsid w:val="06F81392"/>
    <w:rsid w:val="0716125B"/>
    <w:rsid w:val="083E6C17"/>
    <w:rsid w:val="084424C6"/>
    <w:rsid w:val="08493DEA"/>
    <w:rsid w:val="08BB6E1C"/>
    <w:rsid w:val="08DF1EE9"/>
    <w:rsid w:val="09092403"/>
    <w:rsid w:val="09205EC7"/>
    <w:rsid w:val="09516F98"/>
    <w:rsid w:val="097C0E7B"/>
    <w:rsid w:val="09930116"/>
    <w:rsid w:val="09B6176E"/>
    <w:rsid w:val="0A7A12CA"/>
    <w:rsid w:val="0ABC41CC"/>
    <w:rsid w:val="0B477944"/>
    <w:rsid w:val="0BE04F3A"/>
    <w:rsid w:val="0BE66757"/>
    <w:rsid w:val="0BF978D5"/>
    <w:rsid w:val="0C257E8A"/>
    <w:rsid w:val="0C497085"/>
    <w:rsid w:val="0C7A40C1"/>
    <w:rsid w:val="0CB7450C"/>
    <w:rsid w:val="0CD017B7"/>
    <w:rsid w:val="0D51466C"/>
    <w:rsid w:val="0D810FC2"/>
    <w:rsid w:val="0E2C6F15"/>
    <w:rsid w:val="0EAA633E"/>
    <w:rsid w:val="0ED5460A"/>
    <w:rsid w:val="0F0274E4"/>
    <w:rsid w:val="100E22EE"/>
    <w:rsid w:val="101E076F"/>
    <w:rsid w:val="10857989"/>
    <w:rsid w:val="117E77AD"/>
    <w:rsid w:val="11AB2B90"/>
    <w:rsid w:val="11AB4E0A"/>
    <w:rsid w:val="11D54941"/>
    <w:rsid w:val="12146661"/>
    <w:rsid w:val="12335555"/>
    <w:rsid w:val="12435D4E"/>
    <w:rsid w:val="126161D4"/>
    <w:rsid w:val="13404ED0"/>
    <w:rsid w:val="13487972"/>
    <w:rsid w:val="134D74D4"/>
    <w:rsid w:val="135E2352"/>
    <w:rsid w:val="13607206"/>
    <w:rsid w:val="13D0151B"/>
    <w:rsid w:val="140C5755"/>
    <w:rsid w:val="14184F5A"/>
    <w:rsid w:val="14300689"/>
    <w:rsid w:val="14540400"/>
    <w:rsid w:val="14661880"/>
    <w:rsid w:val="14B06F9F"/>
    <w:rsid w:val="15846D77"/>
    <w:rsid w:val="158B1599"/>
    <w:rsid w:val="15A30D28"/>
    <w:rsid w:val="15CA22E2"/>
    <w:rsid w:val="15CD4529"/>
    <w:rsid w:val="16154FCB"/>
    <w:rsid w:val="1687051F"/>
    <w:rsid w:val="17563DC1"/>
    <w:rsid w:val="17B02800"/>
    <w:rsid w:val="17B46C2C"/>
    <w:rsid w:val="17C95EF6"/>
    <w:rsid w:val="18060934"/>
    <w:rsid w:val="181E22D7"/>
    <w:rsid w:val="1872328B"/>
    <w:rsid w:val="18F51424"/>
    <w:rsid w:val="19353F17"/>
    <w:rsid w:val="19734873"/>
    <w:rsid w:val="1A396A4E"/>
    <w:rsid w:val="1A582929"/>
    <w:rsid w:val="1AE14356"/>
    <w:rsid w:val="1B311218"/>
    <w:rsid w:val="1B4B51B0"/>
    <w:rsid w:val="1B7C6DFE"/>
    <w:rsid w:val="1BD6342B"/>
    <w:rsid w:val="1BEA0A12"/>
    <w:rsid w:val="1BF144F4"/>
    <w:rsid w:val="1C080649"/>
    <w:rsid w:val="1C3D5FE4"/>
    <w:rsid w:val="1CA531EB"/>
    <w:rsid w:val="1CE16169"/>
    <w:rsid w:val="1CFD18AA"/>
    <w:rsid w:val="1D3679E0"/>
    <w:rsid w:val="1D6C612A"/>
    <w:rsid w:val="1D835ABE"/>
    <w:rsid w:val="1DA80110"/>
    <w:rsid w:val="1E494108"/>
    <w:rsid w:val="1E7D3692"/>
    <w:rsid w:val="1EDD24CE"/>
    <w:rsid w:val="1F05089E"/>
    <w:rsid w:val="1F5856AD"/>
    <w:rsid w:val="1F6C3210"/>
    <w:rsid w:val="1F7C373E"/>
    <w:rsid w:val="1FFA0AFD"/>
    <w:rsid w:val="20360100"/>
    <w:rsid w:val="20912804"/>
    <w:rsid w:val="20BF581D"/>
    <w:rsid w:val="20F3093F"/>
    <w:rsid w:val="211F7986"/>
    <w:rsid w:val="213B4094"/>
    <w:rsid w:val="217B3CC2"/>
    <w:rsid w:val="21B96836"/>
    <w:rsid w:val="21F94415"/>
    <w:rsid w:val="21FE2527"/>
    <w:rsid w:val="22332E51"/>
    <w:rsid w:val="227C4396"/>
    <w:rsid w:val="22BC5D64"/>
    <w:rsid w:val="23C75E58"/>
    <w:rsid w:val="23F5677C"/>
    <w:rsid w:val="241C214F"/>
    <w:rsid w:val="242F47ED"/>
    <w:rsid w:val="243D18E9"/>
    <w:rsid w:val="248F6252"/>
    <w:rsid w:val="24F74539"/>
    <w:rsid w:val="253908EB"/>
    <w:rsid w:val="254454C5"/>
    <w:rsid w:val="25AF6016"/>
    <w:rsid w:val="25E42F4C"/>
    <w:rsid w:val="263D4DA0"/>
    <w:rsid w:val="269E37F0"/>
    <w:rsid w:val="26FD18BE"/>
    <w:rsid w:val="271A1136"/>
    <w:rsid w:val="273F6230"/>
    <w:rsid w:val="2750198D"/>
    <w:rsid w:val="27661DCE"/>
    <w:rsid w:val="276E3A7D"/>
    <w:rsid w:val="2778477A"/>
    <w:rsid w:val="28722843"/>
    <w:rsid w:val="28812CD5"/>
    <w:rsid w:val="28C3509B"/>
    <w:rsid w:val="2987431B"/>
    <w:rsid w:val="2A070FB7"/>
    <w:rsid w:val="2A1A33C2"/>
    <w:rsid w:val="2A1B0297"/>
    <w:rsid w:val="2A646C7F"/>
    <w:rsid w:val="2A8343FF"/>
    <w:rsid w:val="2A8E7E79"/>
    <w:rsid w:val="2AB07C5A"/>
    <w:rsid w:val="2AB97A5B"/>
    <w:rsid w:val="2ACB4670"/>
    <w:rsid w:val="2B1F0321"/>
    <w:rsid w:val="2B284E68"/>
    <w:rsid w:val="2B642686"/>
    <w:rsid w:val="2BAE0B66"/>
    <w:rsid w:val="2BED5FB9"/>
    <w:rsid w:val="2C114D76"/>
    <w:rsid w:val="2D141AD4"/>
    <w:rsid w:val="2D4E6F74"/>
    <w:rsid w:val="2D4F0538"/>
    <w:rsid w:val="2D5D4843"/>
    <w:rsid w:val="2D665941"/>
    <w:rsid w:val="2DA200BD"/>
    <w:rsid w:val="2DDC019D"/>
    <w:rsid w:val="2DFE269A"/>
    <w:rsid w:val="2E4B21AA"/>
    <w:rsid w:val="2E561F69"/>
    <w:rsid w:val="2E581DFF"/>
    <w:rsid w:val="2EAC496F"/>
    <w:rsid w:val="2EB53C16"/>
    <w:rsid w:val="2EDD1304"/>
    <w:rsid w:val="2FAC12B5"/>
    <w:rsid w:val="2FE30285"/>
    <w:rsid w:val="2FEA5603"/>
    <w:rsid w:val="300566A1"/>
    <w:rsid w:val="30087DB9"/>
    <w:rsid w:val="30241CE1"/>
    <w:rsid w:val="30373356"/>
    <w:rsid w:val="303F2F96"/>
    <w:rsid w:val="304D175C"/>
    <w:rsid w:val="30846C60"/>
    <w:rsid w:val="311A3303"/>
    <w:rsid w:val="317A00B8"/>
    <w:rsid w:val="319C7755"/>
    <w:rsid w:val="31D32994"/>
    <w:rsid w:val="31F04A12"/>
    <w:rsid w:val="32195D2C"/>
    <w:rsid w:val="3220391C"/>
    <w:rsid w:val="332B21BB"/>
    <w:rsid w:val="333948D8"/>
    <w:rsid w:val="33905CC9"/>
    <w:rsid w:val="339B1EE2"/>
    <w:rsid w:val="33B318A1"/>
    <w:rsid w:val="340D366E"/>
    <w:rsid w:val="34332FC6"/>
    <w:rsid w:val="346A5636"/>
    <w:rsid w:val="348214A9"/>
    <w:rsid w:val="34D948C9"/>
    <w:rsid w:val="34F31669"/>
    <w:rsid w:val="3590384B"/>
    <w:rsid w:val="35E80379"/>
    <w:rsid w:val="3687250F"/>
    <w:rsid w:val="36CA1CC0"/>
    <w:rsid w:val="36CD5B2A"/>
    <w:rsid w:val="36FA3F8A"/>
    <w:rsid w:val="370C34F9"/>
    <w:rsid w:val="3712644B"/>
    <w:rsid w:val="374A26FF"/>
    <w:rsid w:val="37516216"/>
    <w:rsid w:val="37611CB8"/>
    <w:rsid w:val="37C12E31"/>
    <w:rsid w:val="37F6496C"/>
    <w:rsid w:val="37FD7805"/>
    <w:rsid w:val="38184F51"/>
    <w:rsid w:val="3838397B"/>
    <w:rsid w:val="390C64F2"/>
    <w:rsid w:val="393B3739"/>
    <w:rsid w:val="394418E0"/>
    <w:rsid w:val="396A2B55"/>
    <w:rsid w:val="398811C5"/>
    <w:rsid w:val="39902D77"/>
    <w:rsid w:val="3A4B11DD"/>
    <w:rsid w:val="3A4E46A8"/>
    <w:rsid w:val="3A872C19"/>
    <w:rsid w:val="3AC56A51"/>
    <w:rsid w:val="3B480BC1"/>
    <w:rsid w:val="3B485EE0"/>
    <w:rsid w:val="3B857F39"/>
    <w:rsid w:val="3C5F777A"/>
    <w:rsid w:val="3C84443D"/>
    <w:rsid w:val="3CE67422"/>
    <w:rsid w:val="3CE974E1"/>
    <w:rsid w:val="3CF120F2"/>
    <w:rsid w:val="3D1D0AEF"/>
    <w:rsid w:val="3E045DA4"/>
    <w:rsid w:val="3E40245E"/>
    <w:rsid w:val="3E7F58D9"/>
    <w:rsid w:val="3E854E75"/>
    <w:rsid w:val="3E8D3D29"/>
    <w:rsid w:val="3E8D647F"/>
    <w:rsid w:val="3E9055C8"/>
    <w:rsid w:val="3EEC6E47"/>
    <w:rsid w:val="3EF15665"/>
    <w:rsid w:val="3FC049A8"/>
    <w:rsid w:val="4027133C"/>
    <w:rsid w:val="405F5252"/>
    <w:rsid w:val="40791582"/>
    <w:rsid w:val="40E60A77"/>
    <w:rsid w:val="413900AD"/>
    <w:rsid w:val="415B1D0C"/>
    <w:rsid w:val="415C577B"/>
    <w:rsid w:val="416401CE"/>
    <w:rsid w:val="418A4550"/>
    <w:rsid w:val="41CC74A6"/>
    <w:rsid w:val="41EA3241"/>
    <w:rsid w:val="422C5FC8"/>
    <w:rsid w:val="4242142F"/>
    <w:rsid w:val="42580FE6"/>
    <w:rsid w:val="42752198"/>
    <w:rsid w:val="42892443"/>
    <w:rsid w:val="42D33CD5"/>
    <w:rsid w:val="432A3E4D"/>
    <w:rsid w:val="432A6C49"/>
    <w:rsid w:val="432D3D0B"/>
    <w:rsid w:val="43921709"/>
    <w:rsid w:val="43CA577F"/>
    <w:rsid w:val="43DE2931"/>
    <w:rsid w:val="44D46068"/>
    <w:rsid w:val="44D4641E"/>
    <w:rsid w:val="450A08F4"/>
    <w:rsid w:val="451A5BF4"/>
    <w:rsid w:val="45A36974"/>
    <w:rsid w:val="45BB4073"/>
    <w:rsid w:val="45EC1C63"/>
    <w:rsid w:val="45FB6FA0"/>
    <w:rsid w:val="461637E8"/>
    <w:rsid w:val="46181267"/>
    <w:rsid w:val="463F05A3"/>
    <w:rsid w:val="468477C0"/>
    <w:rsid w:val="471F71C7"/>
    <w:rsid w:val="476637DE"/>
    <w:rsid w:val="476A597F"/>
    <w:rsid w:val="47783926"/>
    <w:rsid w:val="477D21A6"/>
    <w:rsid w:val="47B01CE2"/>
    <w:rsid w:val="47FE1787"/>
    <w:rsid w:val="48495A85"/>
    <w:rsid w:val="48A71E8C"/>
    <w:rsid w:val="48C50FA4"/>
    <w:rsid w:val="492F7307"/>
    <w:rsid w:val="49356D39"/>
    <w:rsid w:val="493A5478"/>
    <w:rsid w:val="49A613D1"/>
    <w:rsid w:val="4A355F6D"/>
    <w:rsid w:val="4A3E412A"/>
    <w:rsid w:val="4A5D0EB9"/>
    <w:rsid w:val="4A680ECE"/>
    <w:rsid w:val="4A71390E"/>
    <w:rsid w:val="4A716D7A"/>
    <w:rsid w:val="4A847E10"/>
    <w:rsid w:val="4AAD62B6"/>
    <w:rsid w:val="4AFD7A3E"/>
    <w:rsid w:val="4B1B446B"/>
    <w:rsid w:val="4B6B53F2"/>
    <w:rsid w:val="4BCA2698"/>
    <w:rsid w:val="4BEA13D8"/>
    <w:rsid w:val="4BFF6B17"/>
    <w:rsid w:val="4C027856"/>
    <w:rsid w:val="4C0569BE"/>
    <w:rsid w:val="4C921410"/>
    <w:rsid w:val="4CA46E0E"/>
    <w:rsid w:val="4D061554"/>
    <w:rsid w:val="4D283B3A"/>
    <w:rsid w:val="4D7D0540"/>
    <w:rsid w:val="4D827C24"/>
    <w:rsid w:val="4DC61B7E"/>
    <w:rsid w:val="4E224547"/>
    <w:rsid w:val="4E3D6F1E"/>
    <w:rsid w:val="4E3F62DB"/>
    <w:rsid w:val="4EDB0250"/>
    <w:rsid w:val="4F3E275B"/>
    <w:rsid w:val="4F407BB8"/>
    <w:rsid w:val="4F6F65D6"/>
    <w:rsid w:val="4FB67D04"/>
    <w:rsid w:val="4FF73E0F"/>
    <w:rsid w:val="503837B5"/>
    <w:rsid w:val="50413748"/>
    <w:rsid w:val="50483BED"/>
    <w:rsid w:val="504B431B"/>
    <w:rsid w:val="50704C64"/>
    <w:rsid w:val="51050034"/>
    <w:rsid w:val="511B3417"/>
    <w:rsid w:val="512C2F2E"/>
    <w:rsid w:val="515E1DC1"/>
    <w:rsid w:val="516B1EB5"/>
    <w:rsid w:val="516D2736"/>
    <w:rsid w:val="51804470"/>
    <w:rsid w:val="518D70DF"/>
    <w:rsid w:val="51B86882"/>
    <w:rsid w:val="51C329D0"/>
    <w:rsid w:val="51D027F3"/>
    <w:rsid w:val="51EE7DA0"/>
    <w:rsid w:val="51F9664C"/>
    <w:rsid w:val="52A55281"/>
    <w:rsid w:val="52B826AC"/>
    <w:rsid w:val="52C91D86"/>
    <w:rsid w:val="52D77EFC"/>
    <w:rsid w:val="52DD0CCB"/>
    <w:rsid w:val="52EE7713"/>
    <w:rsid w:val="532E1E14"/>
    <w:rsid w:val="5449333E"/>
    <w:rsid w:val="54513D18"/>
    <w:rsid w:val="547C5F7A"/>
    <w:rsid w:val="559C03CB"/>
    <w:rsid w:val="55A56F24"/>
    <w:rsid w:val="55CE63D3"/>
    <w:rsid w:val="56873F3A"/>
    <w:rsid w:val="57476158"/>
    <w:rsid w:val="575C2093"/>
    <w:rsid w:val="57870900"/>
    <w:rsid w:val="57A557E8"/>
    <w:rsid w:val="57D112A0"/>
    <w:rsid w:val="57D440A7"/>
    <w:rsid w:val="57D779E3"/>
    <w:rsid w:val="58490B56"/>
    <w:rsid w:val="58603ED0"/>
    <w:rsid w:val="58716A88"/>
    <w:rsid w:val="58727F8A"/>
    <w:rsid w:val="58BA3515"/>
    <w:rsid w:val="591553AA"/>
    <w:rsid w:val="596F2EFD"/>
    <w:rsid w:val="59922E34"/>
    <w:rsid w:val="59C12C44"/>
    <w:rsid w:val="5A3640E2"/>
    <w:rsid w:val="5AC46702"/>
    <w:rsid w:val="5B052140"/>
    <w:rsid w:val="5B1A64ED"/>
    <w:rsid w:val="5B2267D9"/>
    <w:rsid w:val="5B7D5770"/>
    <w:rsid w:val="5B9333DB"/>
    <w:rsid w:val="5B993199"/>
    <w:rsid w:val="5BD17243"/>
    <w:rsid w:val="5CB5204E"/>
    <w:rsid w:val="5CBD0D86"/>
    <w:rsid w:val="5CCB5D4A"/>
    <w:rsid w:val="5CD534DB"/>
    <w:rsid w:val="5D060FB5"/>
    <w:rsid w:val="5D663C84"/>
    <w:rsid w:val="5E64502A"/>
    <w:rsid w:val="5EA031AD"/>
    <w:rsid w:val="5EBF08B8"/>
    <w:rsid w:val="5EC02125"/>
    <w:rsid w:val="5EC97216"/>
    <w:rsid w:val="5EDA046D"/>
    <w:rsid w:val="5F49002B"/>
    <w:rsid w:val="5F826D54"/>
    <w:rsid w:val="5F8D54E0"/>
    <w:rsid w:val="5F9A5E4E"/>
    <w:rsid w:val="5F9F23CE"/>
    <w:rsid w:val="600B0107"/>
    <w:rsid w:val="61354081"/>
    <w:rsid w:val="619B1B56"/>
    <w:rsid w:val="6237471A"/>
    <w:rsid w:val="6249419E"/>
    <w:rsid w:val="62614A02"/>
    <w:rsid w:val="629F2D68"/>
    <w:rsid w:val="62D13935"/>
    <w:rsid w:val="62DD2053"/>
    <w:rsid w:val="634520A2"/>
    <w:rsid w:val="638F3720"/>
    <w:rsid w:val="63AF0B99"/>
    <w:rsid w:val="646332EF"/>
    <w:rsid w:val="64C645EA"/>
    <w:rsid w:val="658362A1"/>
    <w:rsid w:val="65AA14C9"/>
    <w:rsid w:val="65B02555"/>
    <w:rsid w:val="65BA0065"/>
    <w:rsid w:val="65FA7647"/>
    <w:rsid w:val="66401736"/>
    <w:rsid w:val="66564551"/>
    <w:rsid w:val="66D32372"/>
    <w:rsid w:val="66F51488"/>
    <w:rsid w:val="67550FD9"/>
    <w:rsid w:val="676A25AA"/>
    <w:rsid w:val="679470FF"/>
    <w:rsid w:val="680045C3"/>
    <w:rsid w:val="681E6493"/>
    <w:rsid w:val="68211CB0"/>
    <w:rsid w:val="687A5CD7"/>
    <w:rsid w:val="688F151A"/>
    <w:rsid w:val="68960FC3"/>
    <w:rsid w:val="68E57FB7"/>
    <w:rsid w:val="69640752"/>
    <w:rsid w:val="69690D6B"/>
    <w:rsid w:val="69AF50D8"/>
    <w:rsid w:val="69BE5210"/>
    <w:rsid w:val="6A184540"/>
    <w:rsid w:val="6A3A7FD0"/>
    <w:rsid w:val="6AA75244"/>
    <w:rsid w:val="6ABF1DCE"/>
    <w:rsid w:val="6B1751B4"/>
    <w:rsid w:val="6B1A35C7"/>
    <w:rsid w:val="6B750D95"/>
    <w:rsid w:val="6BAC51E5"/>
    <w:rsid w:val="6BD4393C"/>
    <w:rsid w:val="6BF93477"/>
    <w:rsid w:val="6C283C40"/>
    <w:rsid w:val="6C610CDB"/>
    <w:rsid w:val="6C8A38DA"/>
    <w:rsid w:val="6CC13AC1"/>
    <w:rsid w:val="6CC45116"/>
    <w:rsid w:val="6DBD639D"/>
    <w:rsid w:val="6E2B712E"/>
    <w:rsid w:val="6EAA3DB3"/>
    <w:rsid w:val="6F0A40EE"/>
    <w:rsid w:val="6F186785"/>
    <w:rsid w:val="6F1F2E2D"/>
    <w:rsid w:val="6F2A4AF9"/>
    <w:rsid w:val="6F6D74E6"/>
    <w:rsid w:val="700E3165"/>
    <w:rsid w:val="70125AFF"/>
    <w:rsid w:val="703F45D4"/>
    <w:rsid w:val="70590731"/>
    <w:rsid w:val="70FD2A20"/>
    <w:rsid w:val="716A0D13"/>
    <w:rsid w:val="7195364F"/>
    <w:rsid w:val="71F576F5"/>
    <w:rsid w:val="726B380E"/>
    <w:rsid w:val="72BC2E84"/>
    <w:rsid w:val="72D137AD"/>
    <w:rsid w:val="72E87C2E"/>
    <w:rsid w:val="730D7EC7"/>
    <w:rsid w:val="730F0F45"/>
    <w:rsid w:val="731A30D6"/>
    <w:rsid w:val="73225512"/>
    <w:rsid w:val="734B14E2"/>
    <w:rsid w:val="735B3E4F"/>
    <w:rsid w:val="73A30837"/>
    <w:rsid w:val="749E1661"/>
    <w:rsid w:val="74AB1B77"/>
    <w:rsid w:val="751A43B7"/>
    <w:rsid w:val="759025D7"/>
    <w:rsid w:val="75BD6B7E"/>
    <w:rsid w:val="75DC637B"/>
    <w:rsid w:val="75FE5499"/>
    <w:rsid w:val="761C112D"/>
    <w:rsid w:val="769503F0"/>
    <w:rsid w:val="76F551CC"/>
    <w:rsid w:val="77514BED"/>
    <w:rsid w:val="778F753D"/>
    <w:rsid w:val="77D47489"/>
    <w:rsid w:val="781E6FB1"/>
    <w:rsid w:val="789D17CE"/>
    <w:rsid w:val="78FB73F4"/>
    <w:rsid w:val="79234DFF"/>
    <w:rsid w:val="793547C6"/>
    <w:rsid w:val="794D1984"/>
    <w:rsid w:val="79690914"/>
    <w:rsid w:val="7969171C"/>
    <w:rsid w:val="7975098B"/>
    <w:rsid w:val="798B6C4A"/>
    <w:rsid w:val="79B94BC0"/>
    <w:rsid w:val="7A2875E2"/>
    <w:rsid w:val="7A65531C"/>
    <w:rsid w:val="7AAA2BB8"/>
    <w:rsid w:val="7AC24458"/>
    <w:rsid w:val="7AE9204D"/>
    <w:rsid w:val="7B736775"/>
    <w:rsid w:val="7BA07EF1"/>
    <w:rsid w:val="7BE11DDC"/>
    <w:rsid w:val="7C682BE6"/>
    <w:rsid w:val="7C8E6C2A"/>
    <w:rsid w:val="7C922486"/>
    <w:rsid w:val="7CD05934"/>
    <w:rsid w:val="7CEB7EA0"/>
    <w:rsid w:val="7D2A729E"/>
    <w:rsid w:val="7D50104A"/>
    <w:rsid w:val="7D7D2BE0"/>
    <w:rsid w:val="7DE86396"/>
    <w:rsid w:val="7DFA57CB"/>
    <w:rsid w:val="7E292420"/>
    <w:rsid w:val="7E533C08"/>
    <w:rsid w:val="7EC1784E"/>
    <w:rsid w:val="7EE527EB"/>
    <w:rsid w:val="7F04385E"/>
    <w:rsid w:val="7F0E2CCF"/>
    <w:rsid w:val="7F625BE9"/>
    <w:rsid w:val="7F8D3BD6"/>
    <w:rsid w:val="7FB779A9"/>
    <w:rsid w:val="7FD36E8E"/>
    <w:rsid w:val="7FDD1739"/>
    <w:rsid w:val="CAFBDC34"/>
    <w:rsid w:val="D71F228E"/>
    <w:rsid w:val="F3EB1B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312" w:lineRule="auto"/>
      <w:outlineLvl w:val="2"/>
    </w:pPr>
    <w:rPr>
      <w:rFonts w:ascii="Calibri" w:hAnsi="Calibri"/>
      <w:b/>
      <w:bCs/>
      <w:sz w:val="30"/>
      <w:szCs w:val="32"/>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Body Text"/>
    <w:basedOn w:val="1"/>
    <w:qFormat/>
    <w:uiPriority w:val="0"/>
    <w:pPr>
      <w:spacing w:after="120"/>
    </w:pPr>
    <w:rPr>
      <w:sz w:val="28"/>
    </w:rPr>
  </w:style>
  <w:style w:type="paragraph" w:styleId="8">
    <w:name w:val="Body Text Indent"/>
    <w:basedOn w:val="1"/>
    <w:next w:val="1"/>
    <w:qFormat/>
    <w:uiPriority w:val="0"/>
    <w:pPr>
      <w:spacing w:line="200" w:lineRule="exact"/>
      <w:ind w:firstLine="301"/>
    </w:pPr>
    <w:rPr>
      <w:rFonts w:ascii="宋体" w:hAnsi="Courier New"/>
      <w:spacing w:val="-4"/>
      <w:sz w:val="18"/>
      <w:szCs w:val="20"/>
    </w:rPr>
  </w:style>
  <w:style w:type="paragraph" w:styleId="9">
    <w:name w:val="List 2"/>
    <w:basedOn w:val="1"/>
    <w:qFormat/>
    <w:uiPriority w:val="0"/>
    <w:pPr>
      <w:ind w:left="100" w:leftChars="200" w:hanging="200" w:hangingChars="200"/>
    </w:pPr>
    <w:rPr>
      <w:sz w:val="28"/>
    </w:rPr>
  </w:style>
  <w:style w:type="paragraph" w:styleId="10">
    <w:name w:val="Plain Text"/>
    <w:basedOn w:val="1"/>
    <w:next w:val="1"/>
    <w:qFormat/>
    <w:uiPriority w:val="0"/>
    <w:pPr>
      <w:spacing w:before="156" w:beforeLines="50" w:after="156" w:afterLines="50" w:line="400" w:lineRule="exact"/>
    </w:pPr>
    <w:rPr>
      <w:rFonts w:ascii="宋体" w:hAnsi="Courier New"/>
      <w:sz w:val="24"/>
    </w:rPr>
  </w:style>
  <w:style w:type="paragraph" w:styleId="11">
    <w:name w:val="Date"/>
    <w:basedOn w:val="1"/>
    <w:next w:val="1"/>
    <w:qFormat/>
    <w:uiPriority w:val="0"/>
    <w:pPr>
      <w:ind w:leftChars="2500"/>
    </w:pPr>
    <w:rPr>
      <w:rFonts w:eastAsia="楷体_GB2312"/>
      <w:sz w:val="32"/>
      <w:szCs w:val="20"/>
    </w:rPr>
  </w:style>
  <w:style w:type="paragraph" w:styleId="12">
    <w:name w:val="Body Text Indent 2"/>
    <w:basedOn w:val="1"/>
    <w:qFormat/>
    <w:uiPriority w:val="0"/>
    <w:pPr>
      <w:snapToGrid w:val="0"/>
      <w:ind w:firstLine="542" w:firstLineChars="225"/>
    </w:pPr>
    <w:rPr>
      <w:rFonts w:ascii="仿宋_GB2312" w:hAnsi="宋体" w:cs="Arial"/>
      <w:b/>
      <w:bCs/>
      <w:color w:val="000000"/>
      <w:sz w:val="24"/>
    </w:rPr>
  </w:style>
  <w:style w:type="paragraph" w:styleId="13">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List"/>
    <w:basedOn w:val="1"/>
    <w:qFormat/>
    <w:uiPriority w:val="0"/>
    <w:pPr>
      <w:ind w:left="200" w:hanging="200" w:hangingChars="200"/>
    </w:pPr>
    <w:rPr>
      <w:sz w:val="28"/>
    </w:rPr>
  </w:style>
  <w:style w:type="paragraph" w:styleId="16">
    <w:name w:val="footnote text"/>
    <w:basedOn w:val="1"/>
    <w:unhideWhenUsed/>
    <w:qFormat/>
    <w:uiPriority w:val="99"/>
    <w:pPr>
      <w:snapToGrid w:val="0"/>
      <w:jc w:val="left"/>
    </w:pPr>
    <w:rPr>
      <w:sz w:val="18"/>
      <w:szCs w:val="18"/>
    </w:rPr>
  </w:style>
  <w:style w:type="paragraph" w:styleId="17">
    <w:name w:val="toc 6"/>
    <w:basedOn w:val="1"/>
    <w:next w:val="1"/>
    <w:qFormat/>
    <w:uiPriority w:val="99"/>
    <w:pPr>
      <w:ind w:left="2100" w:leftChars="1000"/>
    </w:pPr>
  </w:style>
  <w:style w:type="paragraph" w:styleId="18">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19">
    <w:name w:val="toc 2"/>
    <w:basedOn w:val="1"/>
    <w:next w:val="1"/>
    <w:qFormat/>
    <w:uiPriority w:val="0"/>
    <w:pPr>
      <w:ind w:left="420" w:leftChars="200"/>
    </w:pPr>
  </w:style>
  <w:style w:type="paragraph" w:styleId="20">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paragraph" w:styleId="21">
    <w:name w:val="Title"/>
    <w:basedOn w:val="1"/>
    <w:next w:val="1"/>
    <w:qFormat/>
    <w:uiPriority w:val="99"/>
    <w:pPr>
      <w:autoSpaceDE w:val="0"/>
      <w:autoSpaceDN w:val="0"/>
      <w:adjustRightInd w:val="0"/>
      <w:spacing w:before="240" w:after="60"/>
      <w:jc w:val="center"/>
      <w:outlineLvl w:val="0"/>
    </w:pPr>
    <w:rPr>
      <w:rFonts w:ascii="Cambria" w:hAnsi="Cambria"/>
      <w:b/>
      <w:color w:val="000000"/>
      <w:kern w:val="0"/>
      <w:sz w:val="32"/>
      <w:szCs w:val="32"/>
    </w:rPr>
  </w:style>
  <w:style w:type="paragraph" w:styleId="22">
    <w:name w:val="Body Text First Indent"/>
    <w:basedOn w:val="7"/>
    <w:next w:val="1"/>
    <w:qFormat/>
    <w:uiPriority w:val="0"/>
    <w:pPr>
      <w:tabs>
        <w:tab w:val="left" w:pos="208"/>
      </w:tabs>
      <w:spacing w:after="120" w:line="240" w:lineRule="auto"/>
      <w:ind w:firstLine="420"/>
    </w:pPr>
    <w:rPr>
      <w:rFonts w:ascii="Calibri" w:hAnsi="Calibri" w:eastAsia="宋体" w:cs="Times New Roman"/>
      <w:sz w:val="24"/>
      <w:szCs w:val="24"/>
      <w:lang w:val="zh-CN"/>
    </w:rPr>
  </w:style>
  <w:style w:type="paragraph" w:styleId="23">
    <w:name w:val="Body Text First Indent 2"/>
    <w:basedOn w:val="8"/>
    <w:next w:val="24"/>
    <w:qFormat/>
    <w:uiPriority w:val="0"/>
    <w:pPr>
      <w:ind w:firstLine="420" w:firstLineChars="200"/>
    </w:pPr>
  </w:style>
  <w:style w:type="paragraph" w:customStyle="1" w:styleId="24">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qFormat/>
    <w:uiPriority w:val="0"/>
    <w:rPr>
      <w:color w:val="0000FF"/>
      <w:szCs w:val="20"/>
      <w:u w:val="single"/>
    </w:rPr>
  </w:style>
  <w:style w:type="paragraph" w:customStyle="1" w:styleId="29">
    <w:name w:val="Normal Indent1"/>
    <w:basedOn w:val="1"/>
    <w:qFormat/>
    <w:uiPriority w:val="0"/>
    <w:pPr>
      <w:widowControl/>
      <w:ind w:firstLine="420"/>
      <w:jc w:val="left"/>
    </w:pPr>
    <w:rPr>
      <w:rFonts w:ascii="Times New Roman" w:hAnsi="Times New Roman"/>
      <w:kern w:val="0"/>
      <w:szCs w:val="20"/>
    </w:rPr>
  </w:style>
  <w:style w:type="paragraph" w:customStyle="1" w:styleId="30">
    <w:name w:val="无间隔1"/>
    <w:qFormat/>
    <w:uiPriority w:val="0"/>
    <w:pPr>
      <w:widowControl w:val="0"/>
    </w:pPr>
    <w:rPr>
      <w:rFonts w:ascii="Arial" w:hAnsi="Arial" w:eastAsia="仿宋_GB2312" w:cs="Arial"/>
      <w:snapToGrid w:val="0"/>
      <w:kern w:val="2"/>
      <w:sz w:val="28"/>
      <w:szCs w:val="24"/>
      <w:lang w:val="en-US" w:eastAsia="zh-CN" w:bidi="ar-SA"/>
    </w:rPr>
  </w:style>
  <w:style w:type="paragraph" w:customStyle="1" w:styleId="31">
    <w:name w:val="标书正文"/>
    <w:basedOn w:val="1"/>
    <w:qFormat/>
    <w:uiPriority w:val="0"/>
    <w:pPr>
      <w:suppressAutoHyphens/>
      <w:autoSpaceDE w:val="0"/>
      <w:autoSpaceDN w:val="0"/>
      <w:adjustRightInd w:val="0"/>
      <w:snapToGrid w:val="0"/>
    </w:pPr>
    <w:rPr>
      <w:rFonts w:ascii="Times New Roman" w:hAnsi="Times New Roman" w:eastAsia="仿宋_GB2312"/>
      <w:sz w:val="32"/>
      <w:szCs w:val="24"/>
    </w:rPr>
  </w:style>
  <w:style w:type="paragraph" w:customStyle="1" w:styleId="32">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33">
    <w:name w:val="BodyText1I2"/>
    <w:basedOn w:val="34"/>
    <w:qFormat/>
    <w:uiPriority w:val="0"/>
    <w:pPr>
      <w:spacing w:line="200" w:lineRule="exact"/>
      <w:ind w:firstLine="420" w:firstLineChars="200"/>
      <w:jc w:val="both"/>
      <w:textAlignment w:val="baseline"/>
    </w:pPr>
  </w:style>
  <w:style w:type="paragraph" w:customStyle="1" w:styleId="34">
    <w:name w:val="BodyTextIndent"/>
    <w:basedOn w:val="1"/>
    <w:next w:val="35"/>
    <w:qFormat/>
    <w:uiPriority w:val="0"/>
    <w:pPr>
      <w:spacing w:line="200" w:lineRule="exact"/>
      <w:ind w:firstLine="301"/>
      <w:jc w:val="both"/>
      <w:textAlignment w:val="baseline"/>
    </w:pPr>
    <w:rPr>
      <w:rFonts w:ascii="宋体" w:hAnsi="Courier New"/>
      <w:spacing w:val="-4"/>
      <w:kern w:val="2"/>
      <w:sz w:val="18"/>
      <w:szCs w:val="20"/>
      <w:lang w:val="en-US" w:eastAsia="zh-CN" w:bidi="ar-SA"/>
    </w:rPr>
  </w:style>
  <w:style w:type="paragraph" w:customStyle="1" w:styleId="35">
    <w:name w:val="NormalIndent"/>
    <w:basedOn w:val="1"/>
    <w:next w:val="34"/>
    <w:qFormat/>
    <w:uiPriority w:val="0"/>
    <w:pPr>
      <w:ind w:firstLine="420"/>
      <w:jc w:val="both"/>
      <w:textAlignment w:val="baseline"/>
    </w:pPr>
    <w:rPr>
      <w:kern w:val="2"/>
      <w:sz w:val="21"/>
      <w:szCs w:val="20"/>
      <w:lang w:val="en-US" w:eastAsia="zh-CN" w:bidi="ar-SA"/>
    </w:rPr>
  </w:style>
  <w:style w:type="paragraph" w:customStyle="1" w:styleId="36">
    <w:name w:val="章正文"/>
    <w:basedOn w:val="1"/>
    <w:qFormat/>
    <w:uiPriority w:val="99"/>
    <w:pPr>
      <w:spacing w:beforeLines="50" w:after="120" w:line="300" w:lineRule="auto"/>
      <w:ind w:firstLine="480"/>
    </w:pPr>
    <w:rPr>
      <w:rFonts w:ascii="Helvetica" w:hAnsi="Helvetica"/>
      <w:kern w:val="0"/>
      <w:sz w:val="24"/>
    </w:rPr>
  </w:style>
  <w:style w:type="paragraph" w:customStyle="1" w:styleId="37">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8">
    <w:name w:val="无"/>
    <w:qFormat/>
    <w:uiPriority w:val="99"/>
  </w:style>
  <w:style w:type="paragraph" w:customStyle="1" w:styleId="39">
    <w:name w:val="默认段落字体 Para Char Char Char Char Char Char Char Char Char1 Char Char Char Char"/>
    <w:basedOn w:val="1"/>
    <w:qFormat/>
    <w:uiPriority w:val="0"/>
    <w:rPr>
      <w:rFonts w:ascii="Tahoma" w:hAnsi="Tahoma"/>
      <w:sz w:val="24"/>
      <w:szCs w:val="20"/>
    </w:rPr>
  </w:style>
  <w:style w:type="paragraph" w:customStyle="1" w:styleId="40">
    <w:name w:val="纯文本1"/>
    <w:basedOn w:val="41"/>
    <w:qFormat/>
    <w:uiPriority w:val="99"/>
    <w:pPr>
      <w:widowControl/>
      <w:jc w:val="left"/>
    </w:pPr>
    <w:rPr>
      <w:rFonts w:ascii="宋体" w:hAnsi="Courier New"/>
    </w:rPr>
  </w:style>
  <w:style w:type="paragraph" w:customStyle="1" w:styleId="41">
    <w:name w:val="正文1"/>
    <w:basedOn w:val="1"/>
    <w:qFormat/>
    <w:uiPriority w:val="0"/>
    <w:pPr>
      <w:spacing w:line="360" w:lineRule="auto"/>
      <w:ind w:firstLine="480" w:firstLineChars="200"/>
    </w:pPr>
    <w:rPr>
      <w:rFonts w:ascii="等线" w:hAnsi="等线" w:eastAsia="等线" w:cs="宋体"/>
      <w:kern w:val="2"/>
      <w:sz w:val="24"/>
      <w:szCs w:val="22"/>
    </w:rPr>
  </w:style>
  <w:style w:type="paragraph" w:styleId="42">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43">
    <w:name w:val="列出段落1"/>
    <w:basedOn w:val="1"/>
    <w:qFormat/>
    <w:uiPriority w:val="34"/>
    <w:pPr>
      <w:ind w:firstLine="420" w:firstLineChars="200"/>
    </w:pPr>
    <w:rPr>
      <w:rFonts w:ascii="Calibri" w:hAnsi="Calibri"/>
      <w:kern w:val="2"/>
      <w:sz w:val="21"/>
      <w:szCs w:val="22"/>
    </w:rPr>
  </w:style>
  <w:style w:type="paragraph" w:customStyle="1" w:styleId="44">
    <w:name w:val="样式 标题 31.1.1标题 333rd levelBOD 0Bold HeadCTH3H31Heading ...1"/>
    <w:basedOn w:val="5"/>
    <w:qFormat/>
    <w:uiPriority w:val="0"/>
    <w:pPr>
      <w:spacing w:before="0" w:after="0"/>
    </w:pPr>
    <w:rPr>
      <w:rFonts w:hAnsi="宋体" w:cs="宋体"/>
      <w:sz w:val="24"/>
    </w:rPr>
  </w:style>
  <w:style w:type="paragraph" w:styleId="45">
    <w:name w:val="List Paragraph"/>
    <w:basedOn w:val="1"/>
    <w:qFormat/>
    <w:uiPriority w:val="0"/>
    <w:pPr>
      <w:ind w:firstLine="420" w:firstLineChars="200"/>
    </w:pPr>
  </w:style>
  <w:style w:type="paragraph" w:customStyle="1" w:styleId="46">
    <w:name w:val="BodyText1I"/>
    <w:basedOn w:val="47"/>
    <w:next w:val="1"/>
    <w:qFormat/>
    <w:uiPriority w:val="0"/>
    <w:pPr>
      <w:ind w:firstLine="420" w:firstLineChars="100"/>
    </w:pPr>
  </w:style>
  <w:style w:type="paragraph" w:customStyle="1" w:styleId="47">
    <w:name w:val="BodyText"/>
    <w:basedOn w:val="1"/>
    <w:next w:val="48"/>
    <w:qFormat/>
    <w:uiPriority w:val="0"/>
    <w:pPr>
      <w:textAlignment w:val="baseline"/>
    </w:pPr>
    <w:rPr>
      <w:rFonts w:ascii="宋体" w:hAnsi="宋体"/>
      <w:szCs w:val="21"/>
      <w:lang w:val="zh-CN" w:bidi="zh-CN"/>
    </w:rPr>
  </w:style>
  <w:style w:type="paragraph" w:customStyle="1" w:styleId="48">
    <w:name w:val="TOC2"/>
    <w:basedOn w:val="1"/>
    <w:next w:val="1"/>
    <w:qFormat/>
    <w:uiPriority w:val="0"/>
    <w:pPr>
      <w:ind w:left="420" w:leftChars="200"/>
      <w:textAlignment w:val="baseline"/>
    </w:pPr>
  </w:style>
  <w:style w:type="paragraph" w:customStyle="1" w:styleId="49">
    <w:name w:val="正文_1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2">
    <w:name w:val="[Normal]"/>
    <w:qFormat/>
    <w:uiPriority w:val="0"/>
    <w:rPr>
      <w:rFonts w:ascii="宋体" w:hAnsi="宋体" w:eastAsia="宋体" w:cs="Times New Roman"/>
      <w:sz w:val="24"/>
      <w:szCs w:val="22"/>
      <w:lang w:val="zh-CN" w:eastAsia="zh-CN" w:bidi="ar-SA"/>
    </w:rPr>
  </w:style>
  <w:style w:type="paragraph" w:customStyle="1" w:styleId="53">
    <w:name w:val="表格文字"/>
    <w:basedOn w:val="1"/>
    <w:next w:val="7"/>
    <w:qFormat/>
    <w:uiPriority w:val="0"/>
    <w:pPr>
      <w:adjustRightInd w:val="0"/>
      <w:spacing w:line="420" w:lineRule="atLeast"/>
      <w:jc w:val="left"/>
      <w:textAlignment w:val="baseline"/>
    </w:pPr>
    <w:rPr>
      <w:kern w:val="0"/>
    </w:rPr>
  </w:style>
  <w:style w:type="character" w:customStyle="1" w:styleId="54">
    <w:name w:val="标题 1 Char"/>
    <w:link w:val="4"/>
    <w:qFormat/>
    <w:uiPriority w:val="0"/>
    <w:rPr>
      <w:b/>
      <w:bCs/>
      <w:kern w:val="44"/>
      <w:sz w:val="44"/>
      <w:szCs w:val="44"/>
    </w:rPr>
  </w:style>
  <w:style w:type="character" w:customStyle="1" w:styleId="55">
    <w:name w:val="标题 2 Char1"/>
    <w:qFormat/>
    <w:uiPriority w:val="0"/>
    <w:rPr>
      <w:rFonts w:ascii="Arial" w:hAnsi="Arial" w:eastAsia="宋体" w:cs="Times New Roman"/>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40451</Words>
  <Characters>43051</Characters>
  <Lines>0</Lines>
  <Paragraphs>0</Paragraphs>
  <TotalTime>6</TotalTime>
  <ScaleCrop>false</ScaleCrop>
  <LinksUpToDate>false</LinksUpToDate>
  <CharactersWithSpaces>48880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2021-08-16T10:07:00Z</dcterms:created>
  <dc:creator>许文辉</dc:creator>
  <cp:lastModifiedBy>asus</cp:lastModifiedBy>
  <cp:lastPrinted>2026-04-01T09:01:00Z</cp:lastPrinted>
  <dcterms:modified xsi:type="dcterms:W3CDTF">2026-04-02T07:45:57Z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266188FB8C744B55B29B0A2A9F607DF0_13</vt:lpwstr>
  </property>
  <property fmtid="{D5CDD505-2E9C-101B-9397-08002B2CF9AE}" pid="4" name="KSOTemplateDocerSaveRecord">
    <vt:lpwstr>eyJoZGlkIjoiZmVhZWU3ZDRiZjJjYTYwYmM5Y2U1NjRjNGQ1ZjRmM2YiLCJ1c2VySWQiOiIyNjczNjg3NjkifQ==</vt:lpwstr>
  </property>
</Properties>
</file>