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0" w:firstLineChars="0"/>
        <w:jc w:val="center"/>
        <w:rPr>
          <w:rFonts w:ascii="宋体" w:hAnsi="宋体" w:cs="宋体"/>
          <w:b/>
          <w:sz w:val="72"/>
        </w:rPr>
      </w:pPr>
    </w:p>
    <w:p>
      <w:pPr>
        <w:tabs>
          <w:tab w:val="left" w:pos="1960"/>
          <w:tab w:val="left" w:pos="3480"/>
          <w:tab w:val="left" w:pos="4980"/>
        </w:tabs>
        <w:spacing w:line="288" w:lineRule="auto"/>
        <w:ind w:firstLine="0" w:firstLineChars="0"/>
        <w:jc w:val="center"/>
        <w:outlineLvl w:val="0"/>
        <w:rPr>
          <w:rFonts w:ascii="宋体" w:hAnsi="宋体" w:cs="宋体"/>
          <w:b/>
          <w:kern w:val="0"/>
          <w:sz w:val="44"/>
          <w:szCs w:val="44"/>
        </w:rPr>
      </w:pPr>
      <w:bookmarkStart w:id="0" w:name="_Toc30721"/>
      <w:r>
        <w:rPr>
          <w:rFonts w:hint="eastAsia" w:ascii="宋体" w:hAnsi="宋体" w:cs="宋体"/>
          <w:b/>
          <w:kern w:val="0"/>
          <w:sz w:val="44"/>
          <w:szCs w:val="44"/>
        </w:rPr>
        <w:t>吐鲁番文物考古标本库房信息</w:t>
      </w:r>
    </w:p>
    <w:p>
      <w:pPr>
        <w:tabs>
          <w:tab w:val="left" w:pos="1960"/>
          <w:tab w:val="left" w:pos="3480"/>
          <w:tab w:val="left" w:pos="4980"/>
        </w:tabs>
        <w:spacing w:line="288" w:lineRule="auto"/>
        <w:ind w:firstLine="0" w:firstLineChars="0"/>
        <w:jc w:val="center"/>
        <w:outlineLvl w:val="0"/>
        <w:rPr>
          <w:rFonts w:ascii="宋体" w:hAnsi="宋体" w:cs="宋体"/>
          <w:b/>
          <w:kern w:val="0"/>
          <w:sz w:val="44"/>
          <w:szCs w:val="44"/>
        </w:rPr>
      </w:pPr>
      <w:r>
        <w:rPr>
          <w:rFonts w:hint="eastAsia" w:ascii="宋体" w:hAnsi="宋体" w:cs="宋体"/>
          <w:b/>
          <w:kern w:val="0"/>
          <w:sz w:val="44"/>
          <w:szCs w:val="44"/>
        </w:rPr>
        <w:t>安全设备采购及安装项目</w:t>
      </w:r>
    </w:p>
    <w:p>
      <w:pPr>
        <w:spacing w:line="360" w:lineRule="auto"/>
        <w:ind w:firstLine="0" w:firstLineChars="0"/>
        <w:jc w:val="center"/>
        <w:rPr>
          <w:rFonts w:ascii="宋体" w:hAnsi="宋体" w:cs="宋体"/>
          <w:sz w:val="28"/>
          <w:szCs w:val="28"/>
        </w:rPr>
      </w:pPr>
    </w:p>
    <w:p>
      <w:pPr>
        <w:spacing w:line="360" w:lineRule="auto"/>
        <w:ind w:firstLine="0" w:firstLineChars="0"/>
        <w:jc w:val="center"/>
        <w:rPr>
          <w:rFonts w:ascii="宋体" w:hAnsi="宋体" w:cs="宋体"/>
          <w:sz w:val="28"/>
          <w:szCs w:val="28"/>
        </w:rPr>
      </w:pPr>
    </w:p>
    <w:p>
      <w:pPr>
        <w:ind w:firstLine="0" w:firstLineChars="0"/>
        <w:jc w:val="center"/>
        <w:rPr>
          <w:rFonts w:hint="default" w:ascii="仿宋" w:hAnsi="仿宋" w:eastAsia="仿宋" w:cs="仿宋"/>
          <w:b/>
          <w:bCs/>
          <w:sz w:val="32"/>
          <w:szCs w:val="36"/>
          <w:lang w:val="en-US" w:eastAsia="zh-CN"/>
        </w:rPr>
      </w:pPr>
      <w:r>
        <w:rPr>
          <w:rFonts w:hint="eastAsia" w:ascii="仿宋" w:hAnsi="仿宋" w:eastAsia="仿宋" w:cs="仿宋"/>
          <w:b/>
          <w:bCs/>
          <w:sz w:val="32"/>
          <w:szCs w:val="36"/>
        </w:rPr>
        <w:t>采</w:t>
      </w:r>
      <w:r>
        <w:rPr>
          <w:rFonts w:hint="eastAsia" w:ascii="仿宋" w:hAnsi="仿宋" w:eastAsia="仿宋" w:cs="仿宋"/>
          <w:b/>
          <w:bCs/>
          <w:sz w:val="32"/>
          <w:szCs w:val="36"/>
          <w:highlight w:val="none"/>
        </w:rPr>
        <w:t>购编号：TSJT202</w:t>
      </w:r>
      <w:r>
        <w:rPr>
          <w:rFonts w:hint="eastAsia" w:ascii="仿宋" w:hAnsi="仿宋" w:eastAsia="仿宋" w:cs="仿宋"/>
          <w:b/>
          <w:bCs/>
          <w:sz w:val="32"/>
          <w:szCs w:val="36"/>
          <w:highlight w:val="none"/>
          <w:lang w:val="en-US" w:eastAsia="zh-CN"/>
        </w:rPr>
        <w:t>6</w:t>
      </w:r>
      <w:r>
        <w:rPr>
          <w:rFonts w:hint="eastAsia" w:ascii="仿宋" w:hAnsi="仿宋" w:eastAsia="仿宋" w:cs="仿宋"/>
          <w:b/>
          <w:bCs/>
          <w:sz w:val="32"/>
          <w:szCs w:val="36"/>
          <w:highlight w:val="none"/>
        </w:rPr>
        <w:t>0</w:t>
      </w:r>
      <w:r>
        <w:rPr>
          <w:rFonts w:hint="eastAsia" w:ascii="仿宋" w:hAnsi="仿宋" w:eastAsia="仿宋" w:cs="仿宋"/>
          <w:b/>
          <w:bCs/>
          <w:sz w:val="32"/>
          <w:szCs w:val="36"/>
          <w:highlight w:val="none"/>
          <w:lang w:val="en-US" w:eastAsia="zh-CN"/>
        </w:rPr>
        <w:t>1</w:t>
      </w:r>
    </w:p>
    <w:p>
      <w:pPr>
        <w:tabs>
          <w:tab w:val="left" w:pos="1960"/>
          <w:tab w:val="left" w:pos="3480"/>
          <w:tab w:val="left" w:pos="4980"/>
        </w:tabs>
        <w:spacing w:line="288" w:lineRule="auto"/>
        <w:ind w:firstLine="0" w:firstLineChars="0"/>
        <w:jc w:val="center"/>
        <w:outlineLvl w:val="0"/>
        <w:rPr>
          <w:rFonts w:ascii="宋体" w:hAnsi="宋体" w:cs="宋体"/>
          <w:b/>
          <w:kern w:val="0"/>
          <w:sz w:val="72"/>
          <w:szCs w:val="21"/>
        </w:rPr>
      </w:pPr>
    </w:p>
    <w:p>
      <w:pPr>
        <w:tabs>
          <w:tab w:val="left" w:pos="1960"/>
          <w:tab w:val="left" w:pos="3480"/>
          <w:tab w:val="left" w:pos="4980"/>
        </w:tabs>
        <w:spacing w:line="288" w:lineRule="auto"/>
        <w:ind w:firstLine="0" w:firstLineChars="0"/>
        <w:jc w:val="center"/>
        <w:outlineLvl w:val="0"/>
        <w:rPr>
          <w:rFonts w:ascii="宋体" w:hAnsi="宋体" w:cs="宋体"/>
          <w:b/>
          <w:kern w:val="0"/>
          <w:sz w:val="44"/>
          <w:szCs w:val="44"/>
        </w:rPr>
      </w:pPr>
      <w:r>
        <w:rPr>
          <w:rFonts w:hint="eastAsia" w:ascii="宋体" w:hAnsi="宋体" w:cs="宋体"/>
          <w:b/>
          <w:kern w:val="0"/>
          <w:sz w:val="44"/>
          <w:szCs w:val="44"/>
        </w:rPr>
        <w:t>竞争性谈判文件</w:t>
      </w:r>
      <w:bookmarkEnd w:id="0"/>
    </w:p>
    <w:p>
      <w:pPr>
        <w:spacing w:line="620" w:lineRule="exact"/>
        <w:ind w:firstLine="0" w:firstLineChars="0"/>
        <w:jc w:val="center"/>
        <w:rPr>
          <w:rFonts w:ascii="宋体" w:hAnsi="宋体" w:cs="宋体"/>
          <w:sz w:val="28"/>
          <w:szCs w:val="28"/>
        </w:rPr>
      </w:pPr>
    </w:p>
    <w:p>
      <w:pPr>
        <w:pStyle w:val="35"/>
        <w:spacing w:before="312"/>
        <w:ind w:firstLine="562"/>
        <w:rPr>
          <w:rFonts w:cs="宋体"/>
        </w:rPr>
      </w:pPr>
    </w:p>
    <w:p>
      <w:pPr>
        <w:pStyle w:val="35"/>
        <w:spacing w:before="312"/>
        <w:ind w:firstLine="0" w:firstLineChars="0"/>
        <w:jc w:val="both"/>
        <w:rPr>
          <w:rFonts w:cs="宋体"/>
        </w:rPr>
      </w:pPr>
    </w:p>
    <w:p>
      <w:pPr>
        <w:pStyle w:val="35"/>
        <w:spacing w:before="312"/>
        <w:ind w:firstLine="0" w:firstLineChars="0"/>
        <w:jc w:val="both"/>
        <w:rPr>
          <w:rFonts w:cs="宋体"/>
        </w:rPr>
      </w:pPr>
    </w:p>
    <w:p>
      <w:pPr>
        <w:pStyle w:val="35"/>
        <w:spacing w:before="312"/>
        <w:ind w:firstLine="0" w:firstLineChars="0"/>
        <w:jc w:val="both"/>
        <w:rPr>
          <w:rFonts w:cs="宋体"/>
        </w:rPr>
      </w:pPr>
    </w:p>
    <w:p>
      <w:pPr>
        <w:ind w:firstLine="972" w:firstLineChars="304"/>
        <w:rPr>
          <w:rFonts w:ascii="仿宋" w:hAnsi="仿宋" w:eastAsia="仿宋" w:cs="仿宋"/>
          <w:sz w:val="32"/>
          <w:szCs w:val="32"/>
          <w:highlight w:val="yellow"/>
        </w:rPr>
      </w:pPr>
      <w:bookmarkStart w:id="1" w:name="_Toc910"/>
      <w:bookmarkStart w:id="2" w:name="_Toc4410"/>
      <w:r>
        <w:rPr>
          <w:rFonts w:hint="eastAsia" w:ascii="仿宋" w:hAnsi="仿宋" w:eastAsia="仿宋" w:cs="仿宋"/>
          <w:sz w:val="32"/>
          <w:szCs w:val="32"/>
        </w:rPr>
        <w:t>采购人：</w:t>
      </w:r>
      <w:bookmarkEnd w:id="1"/>
      <w:bookmarkEnd w:id="2"/>
      <w:r>
        <w:rPr>
          <w:rFonts w:hint="eastAsia" w:ascii="仿宋" w:hAnsi="仿宋" w:eastAsia="仿宋" w:cs="仿宋"/>
          <w:w w:val="95"/>
          <w:sz w:val="32"/>
          <w:szCs w:val="32"/>
        </w:rPr>
        <w:t>吐鲁番市文物局</w:t>
      </w:r>
    </w:p>
    <w:p>
      <w:pPr>
        <w:ind w:firstLine="924" w:firstLineChars="304"/>
        <w:rPr>
          <w:rFonts w:ascii="仿宋" w:hAnsi="仿宋" w:eastAsia="仿宋" w:cs="仿宋"/>
          <w:w w:val="95"/>
          <w:sz w:val="32"/>
          <w:szCs w:val="32"/>
        </w:rPr>
      </w:pPr>
      <w:r>
        <w:rPr>
          <w:rFonts w:hint="eastAsia" w:ascii="仿宋" w:hAnsi="仿宋" w:eastAsia="仿宋" w:cs="仿宋"/>
          <w:w w:val="95"/>
          <w:sz w:val="32"/>
          <w:szCs w:val="32"/>
        </w:rPr>
        <w:t>采购代理机构：吐鲁番市行政服务中心（市公共资源交易中心）</w:t>
      </w:r>
    </w:p>
    <w:p>
      <w:pPr>
        <w:ind w:firstLine="560"/>
        <w:rPr>
          <w:rFonts w:ascii="仿宋" w:hAnsi="仿宋" w:eastAsia="仿宋" w:cs="仿宋"/>
          <w:sz w:val="28"/>
          <w:szCs w:val="28"/>
        </w:rPr>
      </w:pPr>
    </w:p>
    <w:p>
      <w:pPr>
        <w:ind w:firstLine="640"/>
        <w:jc w:val="center"/>
        <w:rPr>
          <w:rFonts w:ascii="仿宋" w:hAnsi="仿宋" w:eastAsia="仿宋" w:cs="仿宋"/>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74" w:right="1417" w:bottom="1247" w:left="1417" w:header="851" w:footer="992" w:gutter="0"/>
          <w:pgNumType w:start="1"/>
          <w:cols w:space="720" w:num="1"/>
          <w:titlePg/>
          <w:docGrid w:type="lines" w:linePitch="312" w:charSpace="0"/>
        </w:sectPr>
      </w:pPr>
      <w:r>
        <w:rPr>
          <w:rFonts w:hint="eastAsia" w:ascii="仿宋" w:hAnsi="仿宋" w:eastAsia="仿宋" w:cs="仿宋"/>
          <w:sz w:val="32"/>
          <w:szCs w:val="32"/>
        </w:rPr>
        <w:t>二〇二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p>
    <w:p>
      <w:pPr>
        <w:spacing w:line="0" w:lineRule="atLeast"/>
        <w:ind w:firstLine="0" w:firstLineChars="0"/>
        <w:rPr>
          <w:rFonts w:ascii="宋体" w:hAnsi="宋体" w:cs="宋体"/>
          <w:b/>
          <w:bCs/>
          <w:sz w:val="40"/>
          <w:szCs w:val="40"/>
        </w:rPr>
      </w:pPr>
    </w:p>
    <w:p>
      <w:pPr>
        <w:spacing w:line="0" w:lineRule="atLeast"/>
        <w:ind w:firstLine="0" w:firstLineChars="0"/>
        <w:jc w:val="center"/>
        <w:rPr>
          <w:rFonts w:ascii="宋体" w:hAnsi="宋体" w:cs="宋体"/>
          <w:b/>
          <w:bCs/>
          <w:sz w:val="40"/>
          <w:szCs w:val="40"/>
        </w:rPr>
      </w:pPr>
      <w:r>
        <w:rPr>
          <w:rFonts w:hint="eastAsia" w:ascii="宋体" w:hAnsi="宋体" w:cs="宋体"/>
          <w:b/>
          <w:bCs/>
          <w:sz w:val="40"/>
          <w:szCs w:val="40"/>
        </w:rPr>
        <w:t>目</w:t>
      </w:r>
      <w:r>
        <w:rPr>
          <w:rFonts w:hint="eastAsia" w:ascii="宋体" w:hAnsi="宋体" w:cs="宋体"/>
          <w:b/>
          <w:bCs/>
          <w:sz w:val="40"/>
          <w:szCs w:val="40"/>
        </w:rPr>
        <w:tab/>
      </w:r>
      <w:r>
        <w:rPr>
          <w:rFonts w:hint="eastAsia" w:ascii="宋体" w:hAnsi="宋体" w:cs="宋体"/>
          <w:b/>
          <w:bCs/>
          <w:sz w:val="40"/>
          <w:szCs w:val="40"/>
        </w:rPr>
        <w:t xml:space="preserve">  录</w:t>
      </w: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r>
        <w:rPr>
          <w:rFonts w:hint="eastAsia" w:ascii="仿宋" w:hAnsi="仿宋" w:eastAsia="仿宋" w:cs="仿宋"/>
          <w:sz w:val="32"/>
          <w:szCs w:val="32"/>
        </w:rPr>
        <w:t>第一部分 竞争性谈判公告</w:t>
      </w:r>
      <w:r>
        <w:rPr>
          <w:rFonts w:hint="eastAsia" w:ascii="仿宋" w:hAnsi="仿宋" w:eastAsia="仿宋" w:cs="仿宋"/>
          <w:sz w:val="32"/>
          <w:szCs w:val="32"/>
        </w:rPr>
        <w:tab/>
      </w:r>
      <w:r>
        <w:rPr>
          <w:rFonts w:hint="eastAsia" w:ascii="仿宋" w:hAnsi="仿宋" w:eastAsia="仿宋" w:cs="仿宋"/>
          <w:sz w:val="32"/>
          <w:szCs w:val="32"/>
        </w:rPr>
        <w:t>1</w:t>
      </w: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r>
        <w:rPr>
          <w:rFonts w:hint="eastAsia" w:ascii="仿宋" w:hAnsi="仿宋" w:eastAsia="仿宋" w:cs="仿宋"/>
          <w:sz w:val="32"/>
          <w:szCs w:val="32"/>
        </w:rPr>
        <w:t>第二部分 谈判供应商须知前附表</w:t>
      </w:r>
      <w:r>
        <w:rPr>
          <w:rFonts w:hint="eastAsia" w:ascii="仿宋" w:hAnsi="仿宋" w:eastAsia="仿宋" w:cs="仿宋"/>
          <w:sz w:val="32"/>
          <w:szCs w:val="32"/>
        </w:rPr>
        <w:tab/>
      </w:r>
      <w:r>
        <w:rPr>
          <w:rFonts w:hint="eastAsia" w:ascii="仿宋" w:hAnsi="仿宋" w:eastAsia="仿宋" w:cs="仿宋"/>
          <w:sz w:val="32"/>
          <w:szCs w:val="32"/>
        </w:rPr>
        <w:t>5</w:t>
      </w: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p>
    <w:p>
      <w:pPr>
        <w:pStyle w:val="31"/>
        <w:tabs>
          <w:tab w:val="right" w:leader="dot" w:pos="7980"/>
          <w:tab w:val="right" w:leader="dot" w:pos="9072"/>
          <w:tab w:val="clear" w:pos="8834"/>
        </w:tabs>
        <w:spacing w:line="240" w:lineRule="auto"/>
        <w:jc w:val="center"/>
        <w:rPr>
          <w:rFonts w:hint="default" w:ascii="仿宋" w:hAnsi="仿宋" w:eastAsia="仿宋" w:cs="仿宋"/>
          <w:sz w:val="32"/>
          <w:szCs w:val="32"/>
          <w:lang w:val="en-US" w:eastAsia="zh-CN"/>
        </w:rPr>
      </w:pPr>
      <w:r>
        <w:rPr>
          <w:rFonts w:hint="eastAsia" w:ascii="仿宋" w:hAnsi="仿宋" w:eastAsia="仿宋" w:cs="仿宋"/>
          <w:sz w:val="32"/>
          <w:szCs w:val="32"/>
        </w:rPr>
        <w:t>第三部分 采购需求及技术规格要求</w:t>
      </w:r>
      <w:r>
        <w:rPr>
          <w:rFonts w:hint="eastAsia" w:ascii="仿宋" w:hAnsi="仿宋" w:eastAsia="仿宋" w:cs="仿宋"/>
          <w:sz w:val="32"/>
          <w:szCs w:val="32"/>
        </w:rPr>
        <w:tab/>
      </w:r>
      <w:r>
        <w:rPr>
          <w:rFonts w:hint="eastAsia" w:ascii="仿宋" w:hAnsi="仿宋" w:eastAsia="仿宋" w:cs="仿宋"/>
          <w:sz w:val="32"/>
          <w:szCs w:val="32"/>
          <w:lang w:val="en-US" w:eastAsia="zh-CN"/>
        </w:rPr>
        <w:t>22</w:t>
      </w: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p>
    <w:p>
      <w:pPr>
        <w:pStyle w:val="31"/>
        <w:tabs>
          <w:tab w:val="right" w:leader="dot" w:pos="7980"/>
          <w:tab w:val="right" w:leader="dot" w:pos="9072"/>
          <w:tab w:val="clear" w:pos="8834"/>
        </w:tabs>
        <w:spacing w:line="240" w:lineRule="auto"/>
        <w:jc w:val="center"/>
        <w:rPr>
          <w:rFonts w:hint="default" w:ascii="仿宋" w:hAnsi="仿宋" w:eastAsia="仿宋" w:cs="仿宋"/>
          <w:sz w:val="32"/>
          <w:szCs w:val="32"/>
          <w:lang w:val="en-US" w:eastAsia="zh-CN"/>
        </w:rPr>
      </w:pPr>
      <w:r>
        <w:rPr>
          <w:rFonts w:hint="eastAsia" w:ascii="仿宋" w:hAnsi="仿宋" w:eastAsia="仿宋" w:cs="仿宋"/>
          <w:sz w:val="32"/>
          <w:szCs w:val="32"/>
        </w:rPr>
        <w:t>第四部分 政府采购合同（样本）</w:t>
      </w:r>
      <w:r>
        <w:rPr>
          <w:rFonts w:hint="eastAsia" w:ascii="仿宋" w:hAnsi="仿宋" w:eastAsia="仿宋" w:cs="仿宋"/>
          <w:sz w:val="32"/>
          <w:szCs w:val="32"/>
        </w:rPr>
        <w:tab/>
      </w:r>
      <w:r>
        <w:rPr>
          <w:rFonts w:hint="eastAsia" w:ascii="仿宋" w:hAnsi="仿宋" w:eastAsia="仿宋" w:cs="仿宋"/>
          <w:sz w:val="32"/>
          <w:szCs w:val="32"/>
          <w:lang w:val="en-US" w:eastAsia="zh-CN"/>
        </w:rPr>
        <w:t>52</w:t>
      </w: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p>
    <w:p>
      <w:pPr>
        <w:pStyle w:val="31"/>
        <w:tabs>
          <w:tab w:val="right" w:leader="dot" w:pos="7980"/>
          <w:tab w:val="right" w:leader="dot" w:pos="9072"/>
          <w:tab w:val="clear" w:pos="8834"/>
        </w:tabs>
        <w:spacing w:line="240" w:lineRule="auto"/>
        <w:jc w:val="center"/>
        <w:rPr>
          <w:rFonts w:hint="default" w:ascii="仿宋" w:hAnsi="仿宋" w:eastAsia="仿宋" w:cs="仿宋"/>
          <w:sz w:val="32"/>
          <w:szCs w:val="32"/>
          <w:lang w:val="en-US" w:eastAsia="zh-CN"/>
        </w:rPr>
      </w:pPr>
      <w:r>
        <w:rPr>
          <w:rFonts w:hint="eastAsia" w:ascii="仿宋" w:hAnsi="仿宋" w:eastAsia="仿宋" w:cs="仿宋"/>
          <w:sz w:val="32"/>
          <w:szCs w:val="32"/>
        </w:rPr>
        <w:t>第五部分 评审标准</w:t>
      </w:r>
      <w:r>
        <w:rPr>
          <w:rFonts w:hint="eastAsia" w:ascii="仿宋" w:hAnsi="仿宋" w:eastAsia="仿宋" w:cs="仿宋"/>
          <w:sz w:val="32"/>
          <w:szCs w:val="32"/>
        </w:rPr>
        <w:tab/>
      </w:r>
      <w:r>
        <w:rPr>
          <w:rFonts w:hint="eastAsia" w:ascii="仿宋" w:hAnsi="仿宋" w:eastAsia="仿宋" w:cs="仿宋"/>
          <w:sz w:val="32"/>
          <w:szCs w:val="32"/>
          <w:lang w:val="en-US" w:eastAsia="zh-CN"/>
        </w:rPr>
        <w:t>70</w:t>
      </w:r>
    </w:p>
    <w:p>
      <w:pPr>
        <w:pStyle w:val="31"/>
        <w:tabs>
          <w:tab w:val="right" w:leader="dot" w:pos="7980"/>
          <w:tab w:val="right" w:leader="dot" w:pos="9072"/>
          <w:tab w:val="clear" w:pos="8834"/>
        </w:tabs>
        <w:spacing w:line="240" w:lineRule="auto"/>
        <w:jc w:val="center"/>
        <w:rPr>
          <w:rFonts w:ascii="仿宋" w:hAnsi="仿宋" w:eastAsia="仿宋" w:cs="仿宋"/>
          <w:sz w:val="32"/>
          <w:szCs w:val="32"/>
        </w:rPr>
      </w:pPr>
    </w:p>
    <w:p>
      <w:pPr>
        <w:pStyle w:val="31"/>
        <w:tabs>
          <w:tab w:val="right" w:leader="dot" w:pos="7980"/>
          <w:tab w:val="right" w:leader="dot" w:pos="9072"/>
          <w:tab w:val="clear" w:pos="8834"/>
        </w:tabs>
        <w:spacing w:line="240" w:lineRule="auto"/>
        <w:jc w:val="center"/>
        <w:rPr>
          <w:rFonts w:hint="default" w:ascii="仿宋" w:hAnsi="仿宋" w:eastAsia="仿宋" w:cs="仿宋"/>
          <w:sz w:val="32"/>
          <w:szCs w:val="32"/>
          <w:lang w:val="en-US" w:eastAsia="zh-CN"/>
        </w:rPr>
      </w:pPr>
      <w:r>
        <w:rPr>
          <w:rFonts w:hint="eastAsia" w:ascii="仿宋" w:hAnsi="仿宋" w:eastAsia="仿宋" w:cs="仿宋"/>
          <w:sz w:val="32"/>
          <w:szCs w:val="32"/>
        </w:rPr>
        <w:t>第六部分 竞争性谈判响应文件格式</w:t>
      </w:r>
      <w:r>
        <w:rPr>
          <w:rFonts w:hint="eastAsia" w:ascii="仿宋" w:hAnsi="仿宋" w:eastAsia="仿宋" w:cs="仿宋"/>
          <w:sz w:val="32"/>
          <w:szCs w:val="32"/>
        </w:rPr>
        <w:tab/>
      </w:r>
      <w:r>
        <w:rPr>
          <w:rFonts w:hint="eastAsia" w:ascii="仿宋" w:hAnsi="仿宋" w:eastAsia="仿宋" w:cs="仿宋"/>
          <w:sz w:val="32"/>
          <w:szCs w:val="32"/>
          <w:lang w:val="en-US" w:eastAsia="zh-CN"/>
        </w:rPr>
        <w:t>75</w:t>
      </w:r>
    </w:p>
    <w:p>
      <w:pPr>
        <w:pStyle w:val="16"/>
        <w:ind w:firstLine="400"/>
        <w:rPr>
          <w:rFonts w:ascii="宋体" w:hAnsi="宋体" w:cs="宋体"/>
        </w:rPr>
      </w:pPr>
    </w:p>
    <w:p>
      <w:pPr>
        <w:tabs>
          <w:tab w:val="left" w:pos="1740"/>
          <w:tab w:val="left" w:leader="dot" w:pos="9060"/>
        </w:tabs>
        <w:ind w:firstLine="0" w:firstLineChars="0"/>
        <w:rPr>
          <w:rFonts w:ascii="宋体" w:hAnsi="宋体" w:cs="宋体"/>
          <w:sz w:val="30"/>
          <w:szCs w:val="30"/>
        </w:rPr>
      </w:pPr>
    </w:p>
    <w:p>
      <w:pPr>
        <w:tabs>
          <w:tab w:val="left" w:pos="1740"/>
          <w:tab w:val="left" w:leader="dot" w:pos="9060"/>
        </w:tabs>
        <w:ind w:firstLine="0" w:firstLineChars="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600"/>
        <w:rPr>
          <w:rFonts w:ascii="宋体" w:hAnsi="宋体" w:cs="宋体"/>
          <w:sz w:val="30"/>
          <w:szCs w:val="30"/>
        </w:rPr>
      </w:pPr>
    </w:p>
    <w:p>
      <w:pPr>
        <w:tabs>
          <w:tab w:val="left" w:pos="1740"/>
          <w:tab w:val="left" w:leader="dot" w:pos="9060"/>
        </w:tabs>
        <w:spacing w:line="405" w:lineRule="exact"/>
        <w:ind w:firstLine="480"/>
        <w:rPr>
          <w:rFonts w:ascii="宋体" w:hAnsi="宋体" w:cs="宋体"/>
        </w:rPr>
      </w:pPr>
    </w:p>
    <w:p>
      <w:pPr>
        <w:ind w:firstLine="480"/>
        <w:rPr>
          <w:rFonts w:ascii="宋体" w:hAnsi="宋体" w:cs="宋体"/>
        </w:rPr>
      </w:pPr>
    </w:p>
    <w:p>
      <w:pPr>
        <w:pStyle w:val="16"/>
        <w:ind w:firstLine="400"/>
      </w:pPr>
    </w:p>
    <w:p>
      <w:pPr>
        <w:ind w:firstLine="480"/>
        <w:rPr>
          <w:rFonts w:ascii="宋体" w:hAnsi="宋体" w:cs="宋体"/>
        </w:rPr>
      </w:pPr>
    </w:p>
    <w:p>
      <w:pPr>
        <w:pStyle w:val="3"/>
        <w:tabs>
          <w:tab w:val="left" w:pos="0"/>
          <w:tab w:val="left" w:pos="3165"/>
          <w:tab w:val="center" w:pos="4153"/>
        </w:tabs>
        <w:autoSpaceDE w:val="0"/>
        <w:autoSpaceDN w:val="0"/>
        <w:adjustRightInd w:val="0"/>
        <w:snapToGrid w:val="0"/>
        <w:spacing w:line="360" w:lineRule="auto"/>
        <w:ind w:firstLine="0" w:firstLineChars="0"/>
        <w:rPr>
          <w:rFonts w:ascii="宋体" w:hAnsi="宋体" w:cs="宋体"/>
          <w:kern w:val="2"/>
          <w:sz w:val="36"/>
          <w:szCs w:val="36"/>
          <w:shd w:val="clear" w:color="auto" w:fill="FFFFFF"/>
        </w:rPr>
        <w:sectPr>
          <w:headerReference r:id="rId11" w:type="default"/>
          <w:footerReference r:id="rId12" w:type="default"/>
          <w:pgSz w:w="11907" w:h="16840"/>
          <w:pgMar w:top="1440" w:right="1080" w:bottom="1440" w:left="1080" w:header="851" w:footer="850" w:gutter="0"/>
          <w:pgNumType w:start="1"/>
          <w:cols w:space="720" w:num="1"/>
          <w:docGrid w:linePitch="462" w:charSpace="0"/>
        </w:sectPr>
      </w:pPr>
    </w:p>
    <w:p>
      <w:pPr>
        <w:pStyle w:val="44"/>
        <w:spacing w:line="288" w:lineRule="auto"/>
        <w:ind w:firstLine="0" w:firstLineChars="0"/>
        <w:rPr>
          <w:rFonts w:ascii="宋体" w:hAnsi="宋体" w:cs="宋体"/>
          <w:kern w:val="0"/>
        </w:rPr>
      </w:pPr>
      <w:bookmarkStart w:id="3" w:name="_Toc494025076"/>
      <w:bookmarkStart w:id="4" w:name="_Toc493575818"/>
      <w:bookmarkStart w:id="5" w:name="_Toc424378683"/>
      <w:bookmarkStart w:id="6" w:name="_Toc511135101"/>
      <w:bookmarkStart w:id="7" w:name="_Toc493575817"/>
      <w:bookmarkStart w:id="8" w:name="_Toc424378682"/>
      <w:bookmarkStart w:id="9" w:name="_Toc352761928"/>
      <w:bookmarkStart w:id="10" w:name="_Toc509237650"/>
      <w:bookmarkStart w:id="11" w:name="_Toc31580"/>
      <w:bookmarkStart w:id="12" w:name="_Toc352761927"/>
      <w:bookmarkStart w:id="13" w:name="_Toc494025077"/>
      <w:bookmarkStart w:id="14" w:name="_Toc28359079"/>
      <w:bookmarkStart w:id="15" w:name="_Toc35393621"/>
      <w:bookmarkStart w:id="16" w:name="_Toc28359002"/>
      <w:bookmarkStart w:id="17" w:name="_Hlk24379207"/>
      <w:bookmarkStart w:id="18" w:name="_Toc35393790"/>
      <w:r>
        <w:rPr>
          <w:rFonts w:hint="eastAsia" w:ascii="宋体" w:hAnsi="宋体" w:cs="宋体"/>
          <w:kern w:val="0"/>
        </w:rPr>
        <w:t xml:space="preserve">第一部分 </w:t>
      </w:r>
      <w:r>
        <w:rPr>
          <w:rFonts w:hint="eastAsia" w:ascii="宋体" w:hAnsi="宋体" w:cs="宋体"/>
        </w:rPr>
        <w:t>竞争性谈判公告</w:t>
      </w:r>
    </w:p>
    <w:p>
      <w:pPr>
        <w:spacing w:line="288" w:lineRule="auto"/>
        <w:ind w:firstLine="0" w:firstLineChars="0"/>
        <w:jc w:val="center"/>
        <w:rPr>
          <w:rFonts w:ascii="宋体" w:hAnsi="宋体" w:cs="宋体"/>
          <w:b/>
          <w:bCs/>
          <w:kern w:val="0"/>
          <w:sz w:val="28"/>
          <w:szCs w:val="28"/>
        </w:rPr>
      </w:pPr>
      <w:r>
        <w:rPr>
          <w:rFonts w:hint="eastAsia" w:ascii="宋体" w:hAnsi="宋体" w:cs="宋体"/>
          <w:b/>
          <w:bCs/>
          <w:kern w:val="0"/>
          <w:sz w:val="28"/>
          <w:szCs w:val="28"/>
        </w:rPr>
        <w:t>吐鲁番文物考古标本库房信息安全设备采购及安装项目竞争性谈判公告</w:t>
      </w:r>
    </w:p>
    <w:p>
      <w:pPr>
        <w:pStyle w:val="16"/>
        <w:ind w:firstLine="400"/>
      </w:pPr>
    </w:p>
    <w:p>
      <w:pPr>
        <w:widowControl/>
        <w:pBdr>
          <w:top w:val="single" w:color="auto" w:sz="4" w:space="0"/>
          <w:left w:val="single" w:color="auto" w:sz="4" w:space="0"/>
          <w:bottom w:val="single" w:color="auto" w:sz="4" w:space="0"/>
          <w:right w:val="single" w:color="auto" w:sz="4" w:space="0"/>
        </w:pBdr>
        <w:spacing w:line="400" w:lineRule="exact"/>
        <w:ind w:firstLine="0" w:firstLineChars="0"/>
        <w:jc w:val="left"/>
        <w:rPr>
          <w:rFonts w:ascii="仿宋" w:hAnsi="仿宋" w:eastAsia="仿宋" w:cs="仿宋"/>
          <w:kern w:val="0"/>
        </w:rPr>
      </w:pPr>
      <w:r>
        <w:rPr>
          <w:rFonts w:hint="eastAsia" w:ascii="仿宋" w:hAnsi="仿宋" w:eastAsia="仿宋" w:cs="仿宋"/>
          <w:kern w:val="0"/>
        </w:rPr>
        <w:t>项目概况</w:t>
      </w:r>
    </w:p>
    <w:p>
      <w:pPr>
        <w:widowControl/>
        <w:pBdr>
          <w:top w:val="single" w:color="auto" w:sz="4" w:space="0"/>
          <w:left w:val="single" w:color="auto" w:sz="4" w:space="0"/>
          <w:bottom w:val="single" w:color="auto" w:sz="4" w:space="0"/>
          <w:right w:val="single" w:color="auto" w:sz="4" w:space="0"/>
        </w:pBdr>
        <w:spacing w:line="400" w:lineRule="exact"/>
        <w:ind w:firstLine="480"/>
        <w:jc w:val="left"/>
        <w:rPr>
          <w:rFonts w:ascii="仿宋" w:hAnsi="仿宋" w:eastAsia="仿宋" w:cs="仿宋"/>
          <w:kern w:val="0"/>
        </w:rPr>
      </w:pPr>
      <w:r>
        <w:rPr>
          <w:rFonts w:hint="eastAsia" w:ascii="仿宋" w:hAnsi="仿宋" w:eastAsia="仿宋" w:cs="仿宋"/>
          <w:kern w:val="0"/>
        </w:rPr>
        <w:t>吐鲁番文物考古标本库房信息安全设备采购及安装项目的潜在供应商应在政采云平台线上获取获取采购文件，并于</w:t>
      </w:r>
      <w:r>
        <w:rPr>
          <w:rFonts w:hint="eastAsia" w:ascii="仿宋" w:hAnsi="仿宋" w:eastAsia="仿宋" w:cs="仿宋"/>
          <w:kern w:val="0"/>
          <w:highlight w:val="none"/>
        </w:rPr>
        <w:t>202</w:t>
      </w:r>
      <w:r>
        <w:rPr>
          <w:rFonts w:hint="eastAsia" w:ascii="仿宋" w:hAnsi="仿宋" w:eastAsia="仿宋" w:cs="仿宋"/>
          <w:kern w:val="0"/>
          <w:highlight w:val="none"/>
          <w:lang w:val="en-US" w:eastAsia="zh-CN"/>
        </w:rPr>
        <w:t>6</w:t>
      </w:r>
      <w:r>
        <w:rPr>
          <w:rFonts w:hint="eastAsia" w:ascii="仿宋" w:hAnsi="仿宋" w:eastAsia="仿宋" w:cs="仿宋"/>
          <w:kern w:val="0"/>
          <w:highlight w:val="none"/>
        </w:rPr>
        <w:t>年</w:t>
      </w:r>
      <w:r>
        <w:rPr>
          <w:rFonts w:hint="eastAsia" w:ascii="仿宋" w:hAnsi="仿宋" w:eastAsia="仿宋" w:cs="仿宋"/>
          <w:kern w:val="0"/>
          <w:highlight w:val="none"/>
          <w:lang w:val="en-US" w:eastAsia="zh-CN"/>
        </w:rPr>
        <w:t>4</w:t>
      </w:r>
      <w:r>
        <w:rPr>
          <w:rFonts w:hint="eastAsia" w:ascii="仿宋" w:hAnsi="仿宋" w:eastAsia="仿宋" w:cs="仿宋"/>
          <w:kern w:val="0"/>
          <w:highlight w:val="none"/>
        </w:rPr>
        <w:t>月</w:t>
      </w:r>
      <w:r>
        <w:rPr>
          <w:rFonts w:hint="eastAsia" w:ascii="仿宋" w:hAnsi="仿宋" w:eastAsia="仿宋" w:cs="仿宋"/>
          <w:kern w:val="0"/>
          <w:highlight w:val="none"/>
          <w:lang w:val="en-US" w:eastAsia="zh-CN"/>
        </w:rPr>
        <w:t>15</w:t>
      </w:r>
      <w:r>
        <w:rPr>
          <w:rFonts w:hint="eastAsia" w:ascii="仿宋" w:hAnsi="仿宋" w:eastAsia="仿宋" w:cs="仿宋"/>
          <w:kern w:val="0"/>
          <w:highlight w:val="none"/>
        </w:rPr>
        <w:t>日</w:t>
      </w:r>
      <w:r>
        <w:rPr>
          <w:rFonts w:hint="eastAsia" w:ascii="仿宋" w:hAnsi="仿宋" w:eastAsia="仿宋" w:cs="仿宋"/>
          <w:kern w:val="0"/>
        </w:rPr>
        <w:t>10：30（北京时间）前递交响应文件。</w:t>
      </w:r>
    </w:p>
    <w:p>
      <w:pPr>
        <w:widowControl/>
        <w:spacing w:line="500" w:lineRule="exact"/>
        <w:ind w:firstLine="480"/>
        <w:jc w:val="left"/>
        <w:rPr>
          <w:rFonts w:ascii="黑体" w:hAnsi="黑体" w:eastAsia="黑体" w:cs="黑体"/>
          <w:bCs/>
        </w:rPr>
      </w:pPr>
      <w:r>
        <w:rPr>
          <w:rFonts w:hint="eastAsia" w:ascii="黑体" w:hAnsi="黑体" w:eastAsia="黑体" w:cs="黑体"/>
          <w:bCs/>
        </w:rPr>
        <w:t>一、项目基本情况</w:t>
      </w:r>
    </w:p>
    <w:p>
      <w:pPr>
        <w:spacing w:line="400" w:lineRule="exact"/>
        <w:ind w:firstLine="480"/>
        <w:jc w:val="left"/>
        <w:rPr>
          <w:rFonts w:ascii="仿宋" w:hAnsi="仿宋" w:eastAsia="仿宋" w:cs="仿宋"/>
          <w:kern w:val="0"/>
        </w:rPr>
      </w:pPr>
      <w:r>
        <w:rPr>
          <w:rFonts w:hint="eastAsia" w:ascii="仿宋" w:hAnsi="仿宋" w:eastAsia="仿宋" w:cs="仿宋"/>
          <w:kern w:val="0"/>
        </w:rPr>
        <w:t>项目编号：TSJT202601</w:t>
      </w:r>
    </w:p>
    <w:p>
      <w:pPr>
        <w:spacing w:line="400" w:lineRule="exact"/>
        <w:ind w:firstLine="480"/>
        <w:jc w:val="left"/>
        <w:rPr>
          <w:rFonts w:ascii="仿宋" w:hAnsi="仿宋" w:eastAsia="仿宋" w:cs="仿宋"/>
          <w:kern w:val="0"/>
        </w:rPr>
      </w:pPr>
      <w:r>
        <w:rPr>
          <w:rFonts w:hint="eastAsia" w:ascii="仿宋" w:hAnsi="仿宋" w:eastAsia="仿宋" w:cs="仿宋"/>
          <w:kern w:val="0"/>
        </w:rPr>
        <w:t>项目名称：吐鲁番文物考古标本库房信息安全设备采购及安装项目</w:t>
      </w:r>
    </w:p>
    <w:p>
      <w:pPr>
        <w:spacing w:line="400" w:lineRule="exact"/>
        <w:ind w:firstLine="480"/>
        <w:jc w:val="left"/>
        <w:rPr>
          <w:rFonts w:ascii="仿宋" w:hAnsi="仿宋" w:eastAsia="仿宋" w:cs="仿宋"/>
          <w:kern w:val="0"/>
        </w:rPr>
      </w:pPr>
      <w:r>
        <w:rPr>
          <w:rFonts w:hint="eastAsia" w:ascii="仿宋" w:hAnsi="仿宋" w:eastAsia="仿宋" w:cs="仿宋"/>
          <w:kern w:val="0"/>
        </w:rPr>
        <w:t>采购方式：竞争性谈判</w:t>
      </w:r>
    </w:p>
    <w:p>
      <w:pPr>
        <w:widowControl/>
        <w:spacing w:line="400" w:lineRule="exact"/>
        <w:ind w:firstLine="480"/>
        <w:jc w:val="left"/>
        <w:rPr>
          <w:rFonts w:ascii="仿宋" w:hAnsi="仿宋" w:eastAsia="仿宋" w:cs="仿宋"/>
          <w:color w:val="auto"/>
          <w:kern w:val="0"/>
        </w:rPr>
      </w:pPr>
      <w:r>
        <w:rPr>
          <w:rFonts w:hint="eastAsia" w:ascii="仿宋" w:hAnsi="仿宋" w:eastAsia="仿宋" w:cs="仿宋"/>
          <w:color w:val="auto"/>
          <w:kern w:val="0"/>
        </w:rPr>
        <w:t>预算金额（元）：</w:t>
      </w:r>
      <w:r>
        <w:rPr>
          <w:rFonts w:ascii="仿宋" w:hAnsi="仿宋" w:eastAsia="仿宋" w:cs="仿宋"/>
          <w:color w:val="auto"/>
          <w:kern w:val="0"/>
        </w:rPr>
        <w:t>2178428.76元</w:t>
      </w:r>
    </w:p>
    <w:p>
      <w:pPr>
        <w:widowControl/>
        <w:spacing w:line="400" w:lineRule="exact"/>
        <w:ind w:firstLine="480"/>
        <w:jc w:val="left"/>
        <w:rPr>
          <w:rFonts w:ascii="仿宋" w:hAnsi="仿宋" w:eastAsia="仿宋" w:cs="仿宋"/>
          <w:kern w:val="0"/>
        </w:rPr>
      </w:pPr>
      <w:r>
        <w:rPr>
          <w:rFonts w:hint="eastAsia" w:ascii="仿宋" w:hAnsi="仿宋" w:eastAsia="仿宋" w:cs="仿宋"/>
          <w:kern w:val="0"/>
        </w:rPr>
        <w:t>最高限价（元）：</w:t>
      </w:r>
      <w:r>
        <w:rPr>
          <w:rFonts w:ascii="仿宋" w:hAnsi="仿宋" w:eastAsia="仿宋" w:cs="仿宋"/>
          <w:color w:val="000000"/>
          <w:kern w:val="0"/>
        </w:rPr>
        <w:t>2178428.76元</w:t>
      </w:r>
    </w:p>
    <w:p>
      <w:pPr>
        <w:spacing w:line="400" w:lineRule="exact"/>
        <w:ind w:firstLine="480"/>
        <w:jc w:val="left"/>
        <w:rPr>
          <w:rFonts w:ascii="仿宋" w:hAnsi="仿宋" w:eastAsia="仿宋" w:cs="仿宋"/>
        </w:rPr>
      </w:pPr>
      <w:r>
        <w:rPr>
          <w:rFonts w:hint="eastAsia" w:ascii="仿宋" w:hAnsi="仿宋" w:eastAsia="仿宋" w:cs="仿宋"/>
          <w:kern w:val="0"/>
        </w:rPr>
        <w:t>采购需求：</w:t>
      </w:r>
      <w:r>
        <w:rPr>
          <w:rFonts w:hint="eastAsia" w:ascii="仿宋" w:hAnsi="仿宋" w:eastAsia="仿宋" w:cs="仿宋"/>
          <w:color w:val="auto"/>
          <w:kern w:val="0"/>
          <w:sz w:val="24"/>
          <w:szCs w:val="24"/>
          <w:lang w:bidi="ar"/>
        </w:rPr>
        <w:t>满足吐鲁番文物考古标本库房用信息安全设备（含入侵报警、视频安防监控与声音复核、出入口控制、应急广播、专用通讯、电子巡查、安全管理、安全监管平台等各子系统）</w:t>
      </w:r>
      <w:r>
        <w:rPr>
          <w:rFonts w:hint="eastAsia" w:ascii="仿宋" w:hAnsi="仿宋" w:eastAsia="仿宋" w:cs="仿宋"/>
          <w:kern w:val="0"/>
        </w:rPr>
        <w:t>。</w:t>
      </w:r>
    </w:p>
    <w:p>
      <w:pPr>
        <w:spacing w:line="400" w:lineRule="exact"/>
        <w:ind w:firstLine="480"/>
        <w:jc w:val="left"/>
        <w:rPr>
          <w:rFonts w:ascii="仿宋" w:hAnsi="仿宋" w:eastAsia="仿宋" w:cs="仿宋"/>
          <w:kern w:val="0"/>
          <w:highlight w:val="yellow"/>
        </w:rPr>
      </w:pPr>
      <w:r>
        <w:rPr>
          <w:rFonts w:hint="eastAsia" w:ascii="仿宋" w:hAnsi="仿宋" w:eastAsia="仿宋" w:cs="仿宋"/>
          <w:kern w:val="0"/>
        </w:rPr>
        <w:t>标项名称：吐鲁番文物考古标本库房信息安全设备采购及安装项目</w:t>
      </w:r>
    </w:p>
    <w:p>
      <w:pPr>
        <w:spacing w:line="400" w:lineRule="exact"/>
        <w:ind w:firstLine="480"/>
        <w:jc w:val="left"/>
        <w:rPr>
          <w:rFonts w:ascii="仿宋" w:hAnsi="仿宋" w:eastAsia="仿宋" w:cs="仿宋"/>
          <w:kern w:val="0"/>
        </w:rPr>
      </w:pPr>
      <w:r>
        <w:rPr>
          <w:rFonts w:hint="eastAsia" w:ascii="仿宋" w:hAnsi="仿宋" w:eastAsia="仿宋" w:cs="仿宋"/>
          <w:kern w:val="0"/>
        </w:rPr>
        <w:t>预算金额（元）：</w:t>
      </w:r>
      <w:r>
        <w:rPr>
          <w:rFonts w:ascii="仿宋" w:hAnsi="仿宋" w:eastAsia="仿宋" w:cs="仿宋"/>
          <w:color w:val="000000"/>
          <w:kern w:val="0"/>
        </w:rPr>
        <w:t>2178428.76元</w:t>
      </w:r>
    </w:p>
    <w:p>
      <w:pPr>
        <w:spacing w:line="400" w:lineRule="exact"/>
        <w:ind w:firstLine="480"/>
        <w:jc w:val="left"/>
        <w:rPr>
          <w:rFonts w:ascii="仿宋" w:hAnsi="仿宋" w:eastAsia="仿宋" w:cs="仿宋"/>
          <w:kern w:val="0"/>
        </w:rPr>
      </w:pPr>
      <w:r>
        <w:rPr>
          <w:rFonts w:hint="eastAsia" w:ascii="仿宋" w:hAnsi="仿宋" w:eastAsia="仿宋" w:cs="仿宋"/>
          <w:kern w:val="0"/>
        </w:rPr>
        <w:t>数量：一批</w:t>
      </w:r>
    </w:p>
    <w:p>
      <w:pPr>
        <w:widowControl/>
        <w:spacing w:line="400" w:lineRule="exact"/>
        <w:ind w:firstLine="480"/>
        <w:jc w:val="left"/>
      </w:pPr>
      <w:r>
        <w:rPr>
          <w:rFonts w:ascii="仿宋" w:hAnsi="仿宋" w:eastAsia="仿宋" w:cs="仿宋"/>
          <w:color w:val="000000"/>
          <w:kern w:val="0"/>
        </w:rPr>
        <w:t>简要规格描述或项目基本概况介绍、用途：吐鲁番文物考古标本库房是新建项目，</w:t>
      </w:r>
      <w:r>
        <w:rPr>
          <w:rFonts w:hint="eastAsia" w:ascii="仿宋" w:hAnsi="仿宋" w:eastAsia="仿宋" w:cs="仿宋"/>
          <w:color w:val="000000"/>
          <w:kern w:val="0"/>
        </w:rPr>
        <w:t>位于吐鲁番市高昌区木纳尔路1268号，总建筑面积：10603.26㎡，其中地上建筑面积：8187.22㎡，下建筑面积：2416.04㎡。地上4层,地下1层。结构形式：框架剪力墙结构。建筑高度：23.9m。</w:t>
      </w:r>
    </w:p>
    <w:p>
      <w:pPr>
        <w:widowControl/>
        <w:spacing w:line="400" w:lineRule="exact"/>
        <w:ind w:firstLine="480"/>
        <w:jc w:val="left"/>
      </w:pPr>
      <w:r>
        <w:rPr>
          <w:rFonts w:hint="eastAsia" w:ascii="仿宋" w:hAnsi="仿宋" w:eastAsia="仿宋" w:cs="仿宋"/>
          <w:color w:val="000000"/>
          <w:kern w:val="0"/>
        </w:rPr>
        <w:t>吐鲁番文物考古标本库房功能划分如下：</w:t>
      </w:r>
    </w:p>
    <w:p>
      <w:pPr>
        <w:widowControl/>
        <w:spacing w:line="400" w:lineRule="exact"/>
        <w:ind w:firstLine="480"/>
        <w:jc w:val="left"/>
      </w:pPr>
      <w:r>
        <w:rPr>
          <w:rFonts w:hint="eastAsia" w:ascii="仿宋" w:hAnsi="仿宋" w:eastAsia="仿宋" w:cs="仿宋"/>
          <w:color w:val="000000"/>
          <w:kern w:val="0"/>
        </w:rPr>
        <w:t>地下一层为文物库房、配电室、消防泵房、空调机房。</w:t>
      </w:r>
    </w:p>
    <w:p>
      <w:pPr>
        <w:widowControl/>
        <w:spacing w:line="400" w:lineRule="exact"/>
        <w:ind w:firstLine="480"/>
        <w:jc w:val="left"/>
      </w:pPr>
      <w:r>
        <w:rPr>
          <w:rFonts w:hint="eastAsia" w:ascii="仿宋" w:hAnsi="仿宋" w:eastAsia="仿宋" w:cs="仿宋"/>
          <w:color w:val="000000"/>
          <w:kern w:val="0"/>
        </w:rPr>
        <w:t>一层为文物临时库房、文物修复室、展示性文物修复室及业务办公用房；</w:t>
      </w:r>
    </w:p>
    <w:p>
      <w:pPr>
        <w:widowControl/>
        <w:spacing w:line="400" w:lineRule="exact"/>
        <w:ind w:firstLine="480"/>
        <w:jc w:val="left"/>
      </w:pPr>
      <w:r>
        <w:rPr>
          <w:rFonts w:hint="eastAsia" w:ascii="仿宋" w:hAnsi="仿宋" w:eastAsia="仿宋" w:cs="仿宋"/>
          <w:color w:val="000000"/>
          <w:kern w:val="0"/>
        </w:rPr>
        <w:t>二层为文物库房、标本文物展厅及业务办公用房；</w:t>
      </w:r>
    </w:p>
    <w:p>
      <w:pPr>
        <w:widowControl/>
        <w:spacing w:line="400" w:lineRule="exact"/>
        <w:ind w:firstLine="480"/>
        <w:jc w:val="left"/>
      </w:pPr>
      <w:r>
        <w:rPr>
          <w:rFonts w:hint="eastAsia" w:ascii="仿宋" w:hAnsi="仿宋" w:eastAsia="仿宋" w:cs="仿宋"/>
          <w:color w:val="000000"/>
          <w:kern w:val="0"/>
        </w:rPr>
        <w:t>三层为文物库房、标本文物展厅；</w:t>
      </w:r>
    </w:p>
    <w:p>
      <w:pPr>
        <w:widowControl/>
        <w:spacing w:line="400" w:lineRule="exact"/>
        <w:ind w:firstLine="480"/>
        <w:jc w:val="left"/>
      </w:pPr>
      <w:r>
        <w:rPr>
          <w:rFonts w:hint="eastAsia" w:ascii="仿宋" w:hAnsi="仿宋" w:eastAsia="仿宋" w:cs="仿宋"/>
          <w:color w:val="000000"/>
          <w:kern w:val="0"/>
        </w:rPr>
        <w:t>四层为文物库房及业务办公用房；</w:t>
      </w:r>
    </w:p>
    <w:p>
      <w:pPr>
        <w:widowControl/>
        <w:spacing w:line="400" w:lineRule="exact"/>
        <w:ind w:firstLine="480"/>
        <w:jc w:val="left"/>
      </w:pPr>
      <w:r>
        <w:rPr>
          <w:rFonts w:hint="eastAsia" w:ascii="仿宋" w:hAnsi="仿宋" w:eastAsia="仿宋" w:cs="仿宋"/>
          <w:color w:val="000000"/>
          <w:kern w:val="0"/>
        </w:rPr>
        <w:t>监控中心位于一层西北侧。吐鲁番博物馆是国家一级博物馆，是壹级风险单位，现有藏品数量20637件/套，其中珍贵文物892件/套。</w:t>
      </w:r>
    </w:p>
    <w:p>
      <w:pPr>
        <w:widowControl/>
        <w:spacing w:line="400" w:lineRule="exact"/>
        <w:ind w:firstLine="480"/>
        <w:jc w:val="left"/>
      </w:pPr>
      <w:r>
        <w:rPr>
          <w:rFonts w:hint="eastAsia" w:ascii="仿宋" w:hAnsi="仿宋" w:eastAsia="仿宋" w:cs="仿宋"/>
          <w:color w:val="000000"/>
          <w:kern w:val="0"/>
        </w:rPr>
        <w:t>文物考古标本库房信息安全系统建设完成后，应具备事前预警、事中科学调度、事后留痕的闭环管理流程。</w:t>
      </w:r>
    </w:p>
    <w:p>
      <w:pPr>
        <w:spacing w:line="400" w:lineRule="exact"/>
        <w:ind w:firstLine="480"/>
        <w:jc w:val="left"/>
        <w:rPr>
          <w:rFonts w:ascii="仿宋" w:hAnsi="仿宋" w:eastAsia="仿宋" w:cs="仿宋"/>
          <w:color w:val="auto"/>
          <w:kern w:val="0"/>
        </w:rPr>
      </w:pPr>
      <w:r>
        <w:rPr>
          <w:rFonts w:hint="eastAsia" w:ascii="仿宋" w:hAnsi="仿宋" w:eastAsia="仿宋" w:cs="仿宋"/>
          <w:color w:val="auto"/>
          <w:kern w:val="0"/>
        </w:rPr>
        <w:t>合同履行期限：合同签订后60个日历日。</w:t>
      </w:r>
    </w:p>
    <w:p>
      <w:pPr>
        <w:spacing w:line="400" w:lineRule="exact"/>
        <w:ind w:firstLine="480"/>
        <w:jc w:val="left"/>
        <w:rPr>
          <w:rFonts w:ascii="仿宋" w:hAnsi="仿宋" w:cs="仿宋"/>
          <w:color w:val="auto"/>
          <w:kern w:val="0"/>
        </w:rPr>
      </w:pPr>
      <w:r>
        <w:rPr>
          <w:rFonts w:hint="eastAsia" w:ascii="仿宋" w:hAnsi="仿宋" w:eastAsia="仿宋" w:cs="仿宋"/>
          <w:color w:val="auto"/>
          <w:kern w:val="0"/>
        </w:rPr>
        <w:t>本项目是否接受联合体投标:否。</w:t>
      </w:r>
    </w:p>
    <w:p>
      <w:pPr>
        <w:widowControl/>
        <w:spacing w:line="500" w:lineRule="exact"/>
        <w:ind w:firstLine="480"/>
        <w:jc w:val="left"/>
        <w:rPr>
          <w:rFonts w:ascii="黑体" w:hAnsi="黑体" w:eastAsia="黑体" w:cs="黑体"/>
          <w:bCs/>
        </w:rPr>
      </w:pPr>
      <w:r>
        <w:rPr>
          <w:rFonts w:hint="eastAsia" w:ascii="黑体" w:hAnsi="黑体" w:eastAsia="黑体" w:cs="黑体"/>
          <w:bCs/>
        </w:rPr>
        <w:t>二、申请人的资格要求</w:t>
      </w:r>
    </w:p>
    <w:p>
      <w:pPr>
        <w:widowControl/>
        <w:spacing w:line="360" w:lineRule="auto"/>
        <w:ind w:firstLine="480"/>
        <w:jc w:val="left"/>
        <w:rPr>
          <w:rFonts w:ascii="仿宋" w:hAnsi="仿宋" w:eastAsia="仿宋" w:cs="仿宋"/>
          <w:kern w:val="0"/>
        </w:rPr>
      </w:pPr>
      <w:bookmarkStart w:id="19" w:name="_Toc28359081"/>
      <w:bookmarkStart w:id="20" w:name="_Toc35393792"/>
      <w:bookmarkStart w:id="21" w:name="_Toc35393623"/>
      <w:bookmarkStart w:id="22" w:name="_Toc28359004"/>
      <w:r>
        <w:rPr>
          <w:rFonts w:hint="eastAsia" w:ascii="仿宋" w:hAnsi="仿宋" w:eastAsia="仿宋" w:cs="仿宋"/>
          <w:kern w:val="0"/>
        </w:rPr>
        <w:t>1.满足《中华人民共和国政府采购法》第二十二条规定；</w:t>
      </w:r>
    </w:p>
    <w:p>
      <w:pPr>
        <w:widowControl/>
        <w:spacing w:line="360" w:lineRule="auto"/>
        <w:ind w:firstLine="480"/>
        <w:textAlignment w:val="center"/>
        <w:rPr>
          <w:rFonts w:ascii="仿宋_GB2312" w:hAnsi="仿宋_GB2312" w:eastAsia="仿宋_GB2312" w:cs="仿宋_GB2312"/>
          <w:color w:val="0000FF"/>
          <w:spacing w:val="-1"/>
          <w:highlight w:val="yellow"/>
        </w:rPr>
      </w:pPr>
      <w:r>
        <w:rPr>
          <w:rFonts w:hint="eastAsia" w:ascii="仿宋" w:hAnsi="仿宋" w:eastAsia="仿宋" w:cs="仿宋"/>
          <w:color w:val="auto"/>
          <w:kern w:val="0"/>
        </w:rPr>
        <w:t>2.落实政府采购政策需满足的资格要求</w:t>
      </w:r>
      <w:bookmarkEnd w:id="19"/>
      <w:bookmarkEnd w:id="20"/>
      <w:bookmarkEnd w:id="21"/>
      <w:bookmarkEnd w:id="22"/>
      <w:r>
        <w:rPr>
          <w:rFonts w:hint="eastAsia" w:ascii="仿宋" w:hAnsi="仿宋" w:eastAsia="仿宋" w:cs="仿宋"/>
          <w:color w:val="auto"/>
          <w:kern w:val="0"/>
        </w:rPr>
        <w:t>：</w:t>
      </w:r>
      <w:r>
        <w:rPr>
          <w:rFonts w:hint="eastAsia" w:ascii="仿宋" w:hAnsi="仿宋" w:eastAsia="仿宋" w:cs="仿宋"/>
          <w:b/>
          <w:bCs/>
          <w:color w:val="auto"/>
          <w:kern w:val="0"/>
        </w:rPr>
        <w:t>非专门面向中小企业，供应商须以合同分包形式参与投标，</w:t>
      </w:r>
      <w:r>
        <w:rPr>
          <w:rFonts w:hint="eastAsia" w:ascii="仿宋" w:hAnsi="仿宋" w:eastAsia="仿宋" w:cs="仿宋"/>
          <w:b/>
          <w:bCs/>
          <w:color w:val="auto"/>
          <w:kern w:val="0"/>
          <w:lang w:eastAsia="zh-CN"/>
        </w:rPr>
        <w:t>分包意向协议</w:t>
      </w:r>
      <w:r>
        <w:rPr>
          <w:rFonts w:hint="eastAsia" w:ascii="仿宋" w:hAnsi="仿宋" w:eastAsia="仿宋" w:cs="仿宋"/>
          <w:b/>
          <w:bCs/>
          <w:color w:val="auto"/>
          <w:kern w:val="0"/>
        </w:rPr>
        <w:t>中中小企业合同金额应当达到的比例为30%，其中小微企业所占比例不低于60%。</w:t>
      </w:r>
    </w:p>
    <w:p>
      <w:pPr>
        <w:widowControl/>
        <w:spacing w:line="360" w:lineRule="auto"/>
        <w:ind w:firstLine="480"/>
        <w:textAlignment w:val="center"/>
        <w:rPr>
          <w:rFonts w:hint="eastAsia" w:ascii="仿宋" w:hAnsi="仿宋" w:eastAsia="仿宋" w:cs="仿宋"/>
          <w:b/>
          <w:bCs/>
          <w:color w:val="auto"/>
          <w:kern w:val="0"/>
        </w:rPr>
      </w:pPr>
      <w:r>
        <w:rPr>
          <w:rFonts w:hint="eastAsia" w:ascii="仿宋" w:hAnsi="仿宋" w:eastAsia="仿宋" w:cs="仿宋"/>
          <w:color w:val="auto"/>
          <w:kern w:val="0"/>
        </w:rPr>
        <w:t>3.本项目的特定资格要求：</w:t>
      </w:r>
      <w:r>
        <w:rPr>
          <w:rFonts w:hint="eastAsia" w:ascii="仿宋" w:hAnsi="仿宋" w:eastAsia="仿宋" w:cs="仿宋"/>
          <w:b/>
          <w:bCs/>
          <w:color w:val="auto"/>
          <w:kern w:val="0"/>
          <w:lang w:val="en-US" w:eastAsia="zh-CN"/>
        </w:rPr>
        <w:t>具备有效期内的电子与智能化工程专业承包（二级及以上）资质及安全生产许可证、拟派项目负责人具有二级及以上建造师注册证书（机电工程专业）及安考证。</w:t>
      </w:r>
    </w:p>
    <w:p>
      <w:pPr>
        <w:widowControl/>
        <w:spacing w:line="500" w:lineRule="exact"/>
        <w:ind w:firstLine="480"/>
        <w:jc w:val="left"/>
        <w:rPr>
          <w:rFonts w:ascii="黑体" w:hAnsi="黑体" w:eastAsia="黑体" w:cs="黑体"/>
          <w:bCs/>
          <w:kern w:val="0"/>
        </w:rPr>
      </w:pPr>
      <w:r>
        <w:rPr>
          <w:rFonts w:hint="eastAsia" w:ascii="黑体" w:hAnsi="黑体" w:eastAsia="黑体" w:cs="黑体"/>
          <w:bCs/>
          <w:kern w:val="0"/>
        </w:rPr>
        <w:t>三、获取采购文件</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时间：</w:t>
      </w:r>
      <w:r>
        <w:rPr>
          <w:rFonts w:hint="eastAsia" w:ascii="仿宋" w:hAnsi="仿宋" w:eastAsia="仿宋" w:cs="仿宋"/>
          <w:kern w:val="0"/>
          <w:highlight w:val="none"/>
        </w:rPr>
        <w:t>202</w:t>
      </w:r>
      <w:r>
        <w:rPr>
          <w:rFonts w:hint="eastAsia" w:ascii="仿宋" w:hAnsi="仿宋" w:eastAsia="仿宋" w:cs="仿宋"/>
          <w:kern w:val="0"/>
          <w:highlight w:val="none"/>
          <w:lang w:val="en-US" w:eastAsia="zh-CN"/>
        </w:rPr>
        <w:t>6</w:t>
      </w:r>
      <w:r>
        <w:rPr>
          <w:rFonts w:hint="eastAsia" w:ascii="仿宋" w:hAnsi="仿宋" w:eastAsia="仿宋" w:cs="仿宋"/>
          <w:kern w:val="0"/>
          <w:highlight w:val="none"/>
        </w:rPr>
        <w:t>年</w:t>
      </w:r>
      <w:r>
        <w:rPr>
          <w:rFonts w:hint="eastAsia" w:ascii="仿宋" w:hAnsi="仿宋" w:eastAsia="仿宋" w:cs="仿宋"/>
          <w:kern w:val="0"/>
          <w:highlight w:val="none"/>
          <w:lang w:val="en-US" w:eastAsia="zh-CN"/>
        </w:rPr>
        <w:t>4</w:t>
      </w:r>
      <w:r>
        <w:rPr>
          <w:rFonts w:hint="eastAsia" w:ascii="仿宋" w:hAnsi="仿宋" w:eastAsia="仿宋" w:cs="仿宋"/>
          <w:kern w:val="0"/>
          <w:highlight w:val="none"/>
        </w:rPr>
        <w:t>月</w:t>
      </w:r>
      <w:r>
        <w:rPr>
          <w:rFonts w:hint="eastAsia" w:ascii="仿宋" w:hAnsi="仿宋" w:eastAsia="仿宋" w:cs="仿宋"/>
          <w:kern w:val="0"/>
          <w:highlight w:val="none"/>
          <w:lang w:val="en-US" w:eastAsia="zh-CN"/>
        </w:rPr>
        <w:t>9</w:t>
      </w:r>
      <w:r>
        <w:rPr>
          <w:rFonts w:hint="eastAsia" w:ascii="仿宋" w:hAnsi="仿宋" w:eastAsia="仿宋" w:cs="仿宋"/>
          <w:kern w:val="0"/>
          <w:highlight w:val="none"/>
        </w:rPr>
        <w:t>日至202</w:t>
      </w:r>
      <w:r>
        <w:rPr>
          <w:rFonts w:hint="eastAsia" w:ascii="仿宋" w:hAnsi="仿宋" w:eastAsia="仿宋" w:cs="仿宋"/>
          <w:kern w:val="0"/>
          <w:highlight w:val="none"/>
          <w:lang w:val="en-US" w:eastAsia="zh-CN"/>
        </w:rPr>
        <w:t>6</w:t>
      </w:r>
      <w:r>
        <w:rPr>
          <w:rFonts w:hint="eastAsia" w:ascii="仿宋" w:hAnsi="仿宋" w:eastAsia="仿宋" w:cs="仿宋"/>
          <w:kern w:val="0"/>
          <w:highlight w:val="none"/>
        </w:rPr>
        <w:t>年</w:t>
      </w:r>
      <w:r>
        <w:rPr>
          <w:rFonts w:hint="eastAsia" w:ascii="仿宋" w:hAnsi="仿宋" w:eastAsia="仿宋" w:cs="仿宋"/>
          <w:kern w:val="0"/>
          <w:highlight w:val="none"/>
          <w:lang w:val="en-US" w:eastAsia="zh-CN"/>
        </w:rPr>
        <w:t>4</w:t>
      </w:r>
      <w:r>
        <w:rPr>
          <w:rFonts w:hint="eastAsia" w:ascii="仿宋" w:hAnsi="仿宋" w:eastAsia="仿宋" w:cs="仿宋"/>
          <w:kern w:val="0"/>
          <w:highlight w:val="none"/>
        </w:rPr>
        <w:t>月</w:t>
      </w:r>
      <w:r>
        <w:rPr>
          <w:rFonts w:hint="eastAsia" w:ascii="仿宋" w:hAnsi="仿宋" w:eastAsia="仿宋" w:cs="仿宋"/>
          <w:kern w:val="0"/>
          <w:highlight w:val="none"/>
          <w:lang w:val="en-US" w:eastAsia="zh-CN"/>
        </w:rPr>
        <w:t>14</w:t>
      </w:r>
      <w:r>
        <w:rPr>
          <w:rFonts w:hint="eastAsia" w:ascii="仿宋" w:hAnsi="仿宋" w:eastAsia="仿宋" w:cs="仿宋"/>
          <w:kern w:val="0"/>
          <w:highlight w:val="none"/>
        </w:rPr>
        <w:t>日</w:t>
      </w:r>
      <w:r>
        <w:rPr>
          <w:rFonts w:hint="eastAsia" w:ascii="仿宋" w:hAnsi="仿宋" w:eastAsia="仿宋" w:cs="仿宋"/>
          <w:kern w:val="0"/>
        </w:rPr>
        <w:t>，每天上午00:00至14:00，下午14:00至23:59（北京时间，法定节假日除外）</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地点：</w:t>
      </w:r>
      <w:r>
        <w:rPr>
          <w:rFonts w:hint="eastAsia" w:ascii="仿宋" w:hAnsi="仿宋" w:eastAsia="仿宋" w:cs="仿宋"/>
          <w:kern w:val="0"/>
        </w:rPr>
        <w:t>政采云平台线上获取</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方式：</w:t>
      </w:r>
      <w:r>
        <w:rPr>
          <w:rFonts w:hint="eastAsia" w:ascii="仿宋" w:hAnsi="仿宋" w:eastAsia="仿宋" w:cs="仿宋"/>
          <w:kern w:val="0"/>
        </w:rPr>
        <w:t>供应商登录政采云平台https://www.zcygov.cn/在线申请获取采购文件（进入“项目采购”应用，在获取采购文件菜单中选择项目，申请获取采购文件）</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售价（元）：0元</w:t>
      </w:r>
    </w:p>
    <w:p>
      <w:pPr>
        <w:widowControl/>
        <w:spacing w:line="500" w:lineRule="exact"/>
        <w:ind w:firstLine="480"/>
        <w:jc w:val="left"/>
        <w:rPr>
          <w:rFonts w:ascii="黑体" w:hAnsi="黑体" w:eastAsia="黑体" w:cs="黑体"/>
          <w:bCs/>
          <w:kern w:val="0"/>
        </w:rPr>
      </w:pPr>
      <w:r>
        <w:rPr>
          <w:rFonts w:hint="eastAsia" w:ascii="黑体" w:hAnsi="黑体" w:eastAsia="黑体" w:cs="黑体"/>
          <w:bCs/>
          <w:kern w:val="0"/>
        </w:rPr>
        <w:t>四、提交响应文件截止时间、开标时间和地点</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提交响应文件截止时间：</w:t>
      </w:r>
      <w:r>
        <w:rPr>
          <w:rFonts w:hint="eastAsia" w:ascii="仿宋" w:hAnsi="仿宋" w:eastAsia="仿宋" w:cs="仿宋"/>
          <w:kern w:val="0"/>
          <w:highlight w:val="none"/>
        </w:rPr>
        <w:t>202</w:t>
      </w:r>
      <w:r>
        <w:rPr>
          <w:rFonts w:hint="eastAsia" w:ascii="仿宋" w:hAnsi="仿宋" w:eastAsia="仿宋" w:cs="仿宋"/>
          <w:kern w:val="0"/>
          <w:highlight w:val="none"/>
          <w:lang w:val="en-US" w:eastAsia="zh-CN"/>
        </w:rPr>
        <w:t>6</w:t>
      </w:r>
      <w:r>
        <w:rPr>
          <w:rFonts w:hint="eastAsia" w:ascii="仿宋" w:hAnsi="仿宋" w:eastAsia="仿宋" w:cs="仿宋"/>
          <w:kern w:val="0"/>
          <w:highlight w:val="none"/>
        </w:rPr>
        <w:t>年</w:t>
      </w:r>
      <w:r>
        <w:rPr>
          <w:rFonts w:hint="eastAsia" w:ascii="仿宋" w:hAnsi="仿宋" w:eastAsia="仿宋" w:cs="仿宋"/>
          <w:kern w:val="0"/>
          <w:highlight w:val="none"/>
          <w:lang w:val="en-US" w:eastAsia="zh-CN"/>
        </w:rPr>
        <w:t>4</w:t>
      </w:r>
      <w:r>
        <w:rPr>
          <w:rFonts w:hint="eastAsia" w:ascii="仿宋" w:hAnsi="仿宋" w:eastAsia="仿宋" w:cs="仿宋"/>
          <w:kern w:val="0"/>
          <w:highlight w:val="none"/>
        </w:rPr>
        <w:t>月</w:t>
      </w:r>
      <w:r>
        <w:rPr>
          <w:rFonts w:hint="eastAsia" w:ascii="仿宋" w:hAnsi="仿宋" w:eastAsia="仿宋" w:cs="仿宋"/>
          <w:kern w:val="0"/>
          <w:highlight w:val="none"/>
          <w:lang w:val="en-US" w:eastAsia="zh-CN"/>
        </w:rPr>
        <w:t>15</w:t>
      </w:r>
      <w:r>
        <w:rPr>
          <w:rFonts w:hint="eastAsia" w:ascii="仿宋" w:hAnsi="仿宋" w:eastAsia="仿宋" w:cs="仿宋"/>
          <w:kern w:val="0"/>
          <w:highlight w:val="none"/>
        </w:rPr>
        <w:t>日</w:t>
      </w:r>
      <w:r>
        <w:rPr>
          <w:rFonts w:hint="eastAsia" w:ascii="仿宋" w:hAnsi="仿宋" w:eastAsia="仿宋" w:cs="仿宋"/>
          <w:kern w:val="0"/>
        </w:rPr>
        <w:t>10：30（北京时间）</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谈判地点：政采云平台（https://www.zcygov.cn/）</w:t>
      </w:r>
    </w:p>
    <w:p>
      <w:pPr>
        <w:widowControl/>
        <w:spacing w:line="500" w:lineRule="exact"/>
        <w:ind w:firstLine="480"/>
        <w:jc w:val="left"/>
        <w:rPr>
          <w:rFonts w:ascii="仿宋" w:hAnsi="仿宋" w:eastAsia="仿宋" w:cs="仿宋"/>
          <w:kern w:val="0"/>
        </w:rPr>
      </w:pPr>
      <w:r>
        <w:rPr>
          <w:rFonts w:hint="eastAsia" w:ascii="黑体" w:hAnsi="黑体" w:eastAsia="黑体" w:cs="黑体"/>
          <w:bCs/>
          <w:kern w:val="0"/>
        </w:rPr>
        <w:t>五、开标时间：</w:t>
      </w:r>
      <w:r>
        <w:rPr>
          <w:rFonts w:hint="eastAsia" w:ascii="仿宋" w:hAnsi="仿宋" w:eastAsia="仿宋" w:cs="仿宋"/>
          <w:kern w:val="0"/>
          <w:highlight w:val="none"/>
        </w:rPr>
        <w:t>202</w:t>
      </w:r>
      <w:r>
        <w:rPr>
          <w:rFonts w:hint="eastAsia" w:ascii="仿宋" w:hAnsi="仿宋" w:eastAsia="仿宋" w:cs="仿宋"/>
          <w:kern w:val="0"/>
          <w:highlight w:val="none"/>
          <w:lang w:val="en-US" w:eastAsia="zh-CN"/>
        </w:rPr>
        <w:t>6</w:t>
      </w:r>
      <w:r>
        <w:rPr>
          <w:rFonts w:hint="eastAsia" w:ascii="仿宋" w:hAnsi="仿宋" w:eastAsia="仿宋" w:cs="仿宋"/>
          <w:kern w:val="0"/>
          <w:highlight w:val="none"/>
        </w:rPr>
        <w:t>年</w:t>
      </w:r>
      <w:r>
        <w:rPr>
          <w:rFonts w:hint="eastAsia" w:ascii="仿宋" w:hAnsi="仿宋" w:eastAsia="仿宋" w:cs="仿宋"/>
          <w:kern w:val="0"/>
          <w:highlight w:val="none"/>
          <w:lang w:val="en-US" w:eastAsia="zh-CN"/>
        </w:rPr>
        <w:t>4</w:t>
      </w:r>
      <w:r>
        <w:rPr>
          <w:rFonts w:hint="eastAsia" w:ascii="仿宋" w:hAnsi="仿宋" w:eastAsia="仿宋" w:cs="仿宋"/>
          <w:kern w:val="0"/>
          <w:highlight w:val="none"/>
        </w:rPr>
        <w:t>月</w:t>
      </w:r>
      <w:r>
        <w:rPr>
          <w:rFonts w:hint="eastAsia" w:ascii="仿宋" w:hAnsi="仿宋" w:eastAsia="仿宋" w:cs="仿宋"/>
          <w:kern w:val="0"/>
          <w:highlight w:val="none"/>
          <w:lang w:val="en-US" w:eastAsia="zh-CN"/>
        </w:rPr>
        <w:t>15</w:t>
      </w:r>
      <w:r>
        <w:rPr>
          <w:rFonts w:hint="eastAsia" w:ascii="仿宋" w:hAnsi="仿宋" w:eastAsia="仿宋" w:cs="仿宋"/>
          <w:kern w:val="0"/>
          <w:highlight w:val="none"/>
        </w:rPr>
        <w:t>日</w:t>
      </w:r>
      <w:r>
        <w:rPr>
          <w:rFonts w:hint="eastAsia" w:ascii="仿宋" w:hAnsi="仿宋" w:eastAsia="仿宋" w:cs="仿宋"/>
          <w:kern w:val="0"/>
        </w:rPr>
        <w:t>10：30（北京时间）</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开标地点：</w:t>
      </w:r>
      <w:r>
        <w:rPr>
          <w:rFonts w:hint="eastAsia" w:ascii="仿宋" w:hAnsi="仿宋" w:eastAsia="仿宋" w:cs="仿宋"/>
          <w:kern w:val="0"/>
        </w:rPr>
        <w:t>政采云平台（https://www.zcygov.cn/）</w:t>
      </w:r>
    </w:p>
    <w:p>
      <w:pPr>
        <w:widowControl/>
        <w:spacing w:line="500" w:lineRule="exact"/>
        <w:ind w:firstLine="480"/>
        <w:jc w:val="left"/>
        <w:rPr>
          <w:rFonts w:ascii="仿宋" w:hAnsi="仿宋" w:eastAsia="仿宋" w:cs="仿宋"/>
          <w:kern w:val="0"/>
        </w:rPr>
      </w:pPr>
      <w:r>
        <w:rPr>
          <w:rFonts w:hint="eastAsia" w:ascii="黑体" w:hAnsi="黑体" w:eastAsia="黑体" w:cs="黑体"/>
          <w:bCs/>
          <w:kern w:val="0"/>
        </w:rPr>
        <w:t>六、公告期限</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自本公告发布之日起3个工作日。</w:t>
      </w:r>
    </w:p>
    <w:p>
      <w:pPr>
        <w:widowControl/>
        <w:spacing w:line="500" w:lineRule="exact"/>
        <w:ind w:firstLine="480"/>
        <w:jc w:val="left"/>
        <w:rPr>
          <w:rFonts w:ascii="黑体" w:hAnsi="黑体" w:eastAsia="黑体" w:cs="黑体"/>
          <w:bCs/>
          <w:kern w:val="0"/>
        </w:rPr>
      </w:pPr>
      <w:r>
        <w:rPr>
          <w:rFonts w:hint="eastAsia" w:ascii="黑体" w:hAnsi="黑体" w:eastAsia="黑体" w:cs="黑体"/>
          <w:bCs/>
          <w:kern w:val="0"/>
        </w:rPr>
        <w:t>七、其他补充事宜</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1.本项目实行网上投标，采用电子投标文件;</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通过新疆政府采购网-办理指南—供应商—CA证书办理操作指南-进入CA办理界面，按需选择办理任意一家CA厂商的数字证书；</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3.供应商在完成政采云电子交易客户端下载、安装后，可通过账号密码或CA登录客户端进行投标文件的制作。在使用政采云投标客户端时，建议使用WIN7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4.供应商应当在投标截止时间前,将生成的“电子加密投标文件”上传递交至“政府采购云平台”,投标截止时间以后上传递交的投标文件将被“政府采购云平台”拒收;</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6.供应商登录政采云平台，在开标时间后30分钟内用“项目采购-开标评标”功能进行解密投标文件。若供应商在规定时间内未按时解密的，视为无效投标。解密与加密投标文件须使用同一个CA。</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特别提示：</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1、采购限额标准以上，200万元以下的货物和服务采购项目、400万元以下的工程采购项目，适宜由中小企业提供的，采购人应当专门面向中小企业采购；</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2、超过200万元的货物和服务采购项目、超过400万元的工程采购项目中适宜由中小企业提供的，预留该部分采购项目预算总额的30%以上专门面向中小企业采购，其中预留给小微企业的比例不低于60%；</w:t>
      </w:r>
    </w:p>
    <w:p>
      <w:pPr>
        <w:widowControl/>
        <w:spacing w:line="500" w:lineRule="exact"/>
        <w:ind w:firstLine="480"/>
        <w:jc w:val="left"/>
        <w:rPr>
          <w:rFonts w:ascii="仿宋" w:hAnsi="仿宋" w:eastAsia="仿宋" w:cs="仿宋"/>
          <w:kern w:val="0"/>
        </w:rPr>
      </w:pPr>
      <w:r>
        <w:rPr>
          <w:rFonts w:hint="eastAsia" w:ascii="仿宋" w:hAnsi="仿宋" w:eastAsia="仿宋" w:cs="仿宋"/>
          <w:kern w:val="0"/>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pacing w:line="500" w:lineRule="exact"/>
        <w:ind w:firstLine="480"/>
        <w:jc w:val="left"/>
        <w:rPr>
          <w:rFonts w:ascii="仿宋" w:hAnsi="仿宋" w:eastAsia="仿宋" w:cs="仿宋"/>
          <w:color w:val="FF0000"/>
          <w:kern w:val="0"/>
        </w:rPr>
      </w:pPr>
      <w:r>
        <w:rPr>
          <w:rFonts w:hint="eastAsia" w:ascii="仿宋" w:hAnsi="仿宋" w:eastAsia="仿宋" w:cs="仿宋"/>
          <w:color w:val="auto"/>
          <w:kern w:val="0"/>
        </w:rPr>
        <w:t>4、接受大中型企业与小微企业组成联合体或者允许大中型企业向一家或者多家小微企业分包的采购项目，对于联合体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widowControl/>
        <w:spacing w:line="500" w:lineRule="exact"/>
        <w:ind w:firstLine="482"/>
        <w:jc w:val="left"/>
        <w:rPr>
          <w:rFonts w:ascii="仿宋" w:hAnsi="仿宋" w:eastAsia="仿宋" w:cs="仿宋"/>
          <w:kern w:val="0"/>
        </w:rPr>
      </w:pPr>
      <w:r>
        <w:rPr>
          <w:rFonts w:hint="eastAsia" w:ascii="仿宋" w:hAnsi="仿宋" w:eastAsia="仿宋" w:cs="仿宋"/>
          <w:b/>
          <w:kern w:val="0"/>
        </w:rPr>
        <w:t>八、对本次采购提出询问，请按以下方式联系</w:t>
      </w:r>
    </w:p>
    <w:p>
      <w:pPr>
        <w:widowControl/>
        <w:spacing w:line="500" w:lineRule="exact"/>
        <w:ind w:firstLine="482"/>
        <w:jc w:val="left"/>
        <w:rPr>
          <w:rFonts w:ascii="仿宋" w:hAnsi="仿宋" w:eastAsia="仿宋" w:cs="仿宋"/>
          <w:b/>
          <w:bCs/>
          <w:kern w:val="0"/>
        </w:rPr>
      </w:pPr>
      <w:r>
        <w:rPr>
          <w:rFonts w:hint="eastAsia" w:ascii="仿宋" w:hAnsi="仿宋" w:eastAsia="仿宋" w:cs="仿宋"/>
          <w:b/>
          <w:bCs/>
          <w:kern w:val="0"/>
        </w:rPr>
        <w:t>1.采购人信息</w:t>
      </w:r>
    </w:p>
    <w:p>
      <w:pPr>
        <w:widowControl/>
        <w:spacing w:line="500" w:lineRule="exact"/>
        <w:ind w:firstLine="482"/>
        <w:jc w:val="left"/>
        <w:rPr>
          <w:rFonts w:ascii="仿宋" w:hAnsi="仿宋" w:eastAsia="仿宋" w:cs="仿宋"/>
          <w:w w:val="102"/>
          <w:kern w:val="0"/>
          <w:u w:val="single"/>
        </w:rPr>
      </w:pPr>
      <w:r>
        <w:rPr>
          <w:rFonts w:hint="eastAsia" w:ascii="仿宋" w:hAnsi="仿宋" w:eastAsia="仿宋" w:cs="仿宋"/>
          <w:b/>
          <w:bCs/>
          <w:kern w:val="0"/>
        </w:rPr>
        <w:t>名 称：</w:t>
      </w:r>
      <w:r>
        <w:rPr>
          <w:rFonts w:ascii="仿宋" w:hAnsi="仿宋" w:eastAsia="仿宋" w:cs="仿宋"/>
          <w:color w:val="000000"/>
          <w:kern w:val="0"/>
        </w:rPr>
        <w:t>吐鲁番市文物局</w:t>
      </w:r>
    </w:p>
    <w:p>
      <w:pPr>
        <w:widowControl/>
        <w:spacing w:line="500" w:lineRule="exact"/>
        <w:ind w:firstLine="482"/>
        <w:jc w:val="left"/>
        <w:rPr>
          <w:rFonts w:ascii="仿宋" w:hAnsi="仿宋" w:eastAsia="仿宋" w:cs="仿宋"/>
          <w:bCs/>
        </w:rPr>
      </w:pPr>
      <w:r>
        <w:rPr>
          <w:rFonts w:hint="eastAsia" w:ascii="仿宋" w:hAnsi="仿宋" w:eastAsia="仿宋" w:cs="仿宋"/>
          <w:b/>
          <w:bCs/>
          <w:kern w:val="0"/>
        </w:rPr>
        <w:t>地 址：</w:t>
      </w:r>
      <w:r>
        <w:rPr>
          <w:rFonts w:ascii="仿宋" w:hAnsi="仿宋" w:eastAsia="仿宋" w:cs="仿宋"/>
          <w:color w:val="000000"/>
          <w:kern w:val="0"/>
        </w:rPr>
        <w:t>吐鲁番市高昌区木纳尔路 1268 号</w:t>
      </w:r>
    </w:p>
    <w:p>
      <w:pPr>
        <w:widowControl/>
        <w:spacing w:line="500" w:lineRule="exact"/>
        <w:ind w:firstLine="482"/>
        <w:jc w:val="left"/>
      </w:pPr>
      <w:r>
        <w:rPr>
          <w:rFonts w:hint="eastAsia" w:ascii="仿宋" w:hAnsi="仿宋" w:eastAsia="仿宋" w:cs="仿宋"/>
          <w:b/>
          <w:bCs/>
          <w:kern w:val="0"/>
        </w:rPr>
        <w:t>联系方式：</w:t>
      </w:r>
      <w:r>
        <w:rPr>
          <w:rFonts w:ascii="仿宋" w:hAnsi="仿宋" w:eastAsia="仿宋" w:cs="仿宋"/>
          <w:color w:val="000000"/>
          <w:kern w:val="0"/>
        </w:rPr>
        <w:t>19999504555</w:t>
      </w:r>
    </w:p>
    <w:p>
      <w:pPr>
        <w:widowControl/>
        <w:spacing w:line="500" w:lineRule="exact"/>
        <w:ind w:firstLine="482"/>
        <w:jc w:val="left"/>
        <w:rPr>
          <w:rFonts w:ascii="仿宋" w:hAnsi="仿宋" w:eastAsia="仿宋" w:cs="仿宋"/>
          <w:b/>
          <w:bCs/>
          <w:kern w:val="0"/>
        </w:rPr>
      </w:pPr>
      <w:r>
        <w:rPr>
          <w:rFonts w:hint="eastAsia" w:ascii="仿宋" w:hAnsi="仿宋" w:eastAsia="仿宋" w:cs="仿宋"/>
          <w:b/>
          <w:bCs/>
          <w:kern w:val="0"/>
        </w:rPr>
        <w:t>2.采购代理机构信息</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名 称：</w:t>
      </w:r>
      <w:r>
        <w:rPr>
          <w:rFonts w:hint="eastAsia" w:ascii="仿宋" w:hAnsi="仿宋" w:eastAsia="仿宋" w:cs="仿宋"/>
          <w:kern w:val="0"/>
        </w:rPr>
        <w:t>吐鲁番市行政服务中心（市公共资源交易中心）</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地 址：</w:t>
      </w:r>
      <w:r>
        <w:rPr>
          <w:rFonts w:hint="eastAsia" w:ascii="仿宋" w:hAnsi="仿宋" w:eastAsia="仿宋" w:cs="仿宋"/>
          <w:kern w:val="0"/>
        </w:rPr>
        <w:t>吐鲁番市丝绸大道4100号</w:t>
      </w:r>
    </w:p>
    <w:p>
      <w:pPr>
        <w:widowControl/>
        <w:spacing w:line="500" w:lineRule="exact"/>
        <w:ind w:firstLine="482"/>
        <w:jc w:val="left"/>
        <w:rPr>
          <w:rFonts w:ascii="仿宋" w:hAnsi="仿宋" w:eastAsia="仿宋" w:cs="仿宋"/>
          <w:kern w:val="0"/>
        </w:rPr>
      </w:pPr>
      <w:r>
        <w:rPr>
          <w:rFonts w:hint="eastAsia" w:ascii="仿宋" w:hAnsi="仿宋" w:eastAsia="仿宋" w:cs="仿宋"/>
          <w:b/>
          <w:bCs/>
          <w:kern w:val="0"/>
        </w:rPr>
        <w:t>联系方式：</w:t>
      </w:r>
      <w:r>
        <w:rPr>
          <w:rFonts w:hint="eastAsia" w:ascii="仿宋" w:hAnsi="仿宋" w:eastAsia="仿宋" w:cs="仿宋"/>
          <w:kern w:val="0"/>
        </w:rPr>
        <w:t>0995-</w:t>
      </w:r>
      <w:r>
        <w:rPr>
          <w:rFonts w:hint="eastAsia" w:ascii="仿宋" w:hAnsi="仿宋" w:eastAsia="仿宋" w:cs="仿宋"/>
          <w:kern w:val="0"/>
          <w:lang w:val="en-US" w:eastAsia="zh-CN"/>
        </w:rPr>
        <w:t>8520797、0995-</w:t>
      </w:r>
      <w:r>
        <w:rPr>
          <w:rFonts w:hint="eastAsia" w:ascii="仿宋" w:hAnsi="仿宋" w:eastAsia="仿宋" w:cs="仿宋"/>
          <w:kern w:val="0"/>
        </w:rPr>
        <w:t>8</w:t>
      </w:r>
      <w:r>
        <w:rPr>
          <w:rFonts w:hint="eastAsia" w:ascii="仿宋" w:hAnsi="仿宋" w:eastAsia="仿宋" w:cs="仿宋"/>
          <w:kern w:val="0"/>
          <w:lang w:val="en-US" w:eastAsia="zh-CN"/>
        </w:rPr>
        <w:t>186823</w:t>
      </w:r>
    </w:p>
    <w:p>
      <w:pPr>
        <w:widowControl/>
        <w:spacing w:line="500" w:lineRule="exact"/>
        <w:ind w:firstLine="480"/>
        <w:jc w:val="left"/>
        <w:rPr>
          <w:rFonts w:ascii="仿宋" w:hAnsi="仿宋" w:eastAsia="仿宋" w:cs="仿宋"/>
          <w:b/>
          <w:bCs/>
          <w:kern w:val="0"/>
        </w:rPr>
      </w:pPr>
      <w:r>
        <w:rPr>
          <w:rFonts w:hint="eastAsia" w:ascii="仿宋" w:hAnsi="仿宋" w:eastAsia="仿宋" w:cs="仿宋"/>
          <w:b/>
          <w:bCs/>
          <w:kern w:val="0"/>
        </w:rPr>
        <w:t>3.项目联系方式</w:t>
      </w:r>
    </w:p>
    <w:p>
      <w:pPr>
        <w:widowControl/>
        <w:spacing w:line="500" w:lineRule="exact"/>
        <w:ind w:firstLine="482"/>
        <w:jc w:val="left"/>
        <w:rPr>
          <w:rFonts w:hint="eastAsia" w:ascii="仿宋" w:hAnsi="仿宋" w:eastAsia="仿宋" w:cs="仿宋"/>
          <w:kern w:val="0"/>
          <w:lang w:eastAsia="zh-CN"/>
        </w:rPr>
      </w:pPr>
      <w:r>
        <w:rPr>
          <w:rFonts w:hint="eastAsia" w:ascii="仿宋" w:hAnsi="仿宋" w:eastAsia="仿宋" w:cs="仿宋"/>
          <w:b/>
          <w:bCs/>
          <w:kern w:val="0"/>
        </w:rPr>
        <w:t>项目联系人：</w:t>
      </w:r>
      <w:r>
        <w:rPr>
          <w:rFonts w:hint="eastAsia" w:ascii="仿宋" w:hAnsi="仿宋" w:eastAsia="仿宋" w:cs="仿宋"/>
          <w:kern w:val="0"/>
          <w:lang w:val="en-US" w:eastAsia="zh-CN"/>
        </w:rPr>
        <w:t>施丁语</w:t>
      </w:r>
    </w:p>
    <w:p>
      <w:pPr>
        <w:autoSpaceDE w:val="0"/>
        <w:autoSpaceDN w:val="0"/>
        <w:spacing w:line="500" w:lineRule="exact"/>
        <w:ind w:firstLine="482"/>
        <w:jc w:val="left"/>
        <w:rPr>
          <w:rFonts w:hint="eastAsia" w:ascii="仿宋" w:hAnsi="仿宋" w:eastAsia="仿宋" w:cs="仿宋"/>
          <w:kern w:val="0"/>
          <w:lang w:val="en-US" w:eastAsia="zh-CN"/>
        </w:rPr>
      </w:pPr>
      <w:r>
        <w:rPr>
          <w:rFonts w:hint="eastAsia" w:ascii="仿宋" w:hAnsi="仿宋" w:eastAsia="仿宋" w:cs="仿宋"/>
          <w:b/>
          <w:bCs/>
          <w:kern w:val="0"/>
        </w:rPr>
        <w:t>电 话：</w:t>
      </w:r>
      <w:r>
        <w:rPr>
          <w:rFonts w:hint="eastAsia" w:ascii="仿宋" w:hAnsi="仿宋" w:eastAsia="仿宋" w:cs="仿宋"/>
          <w:kern w:val="0"/>
        </w:rPr>
        <w:t>0995-8</w:t>
      </w:r>
      <w:bookmarkEnd w:id="3"/>
      <w:bookmarkEnd w:id="4"/>
      <w:bookmarkEnd w:id="5"/>
      <w:bookmarkEnd w:id="6"/>
      <w:bookmarkEnd w:id="7"/>
      <w:bookmarkEnd w:id="8"/>
      <w:bookmarkEnd w:id="9"/>
      <w:bookmarkEnd w:id="10"/>
      <w:bookmarkEnd w:id="11"/>
      <w:bookmarkEnd w:id="12"/>
      <w:bookmarkEnd w:id="13"/>
      <w:r>
        <w:rPr>
          <w:rFonts w:hint="eastAsia" w:ascii="仿宋" w:hAnsi="仿宋" w:eastAsia="仿宋" w:cs="仿宋"/>
          <w:kern w:val="0"/>
          <w:lang w:val="en-US" w:eastAsia="zh-CN"/>
        </w:rPr>
        <w:t>186823</w:t>
      </w:r>
    </w:p>
    <w:p>
      <w:pPr>
        <w:widowControl/>
        <w:spacing w:line="500" w:lineRule="exact"/>
        <w:ind w:firstLine="480"/>
        <w:jc w:val="left"/>
        <w:rPr>
          <w:rFonts w:hint="eastAsia" w:ascii="仿宋" w:hAnsi="仿宋" w:eastAsia="仿宋" w:cs="仿宋"/>
          <w:b/>
          <w:bCs/>
          <w:kern w:val="0"/>
          <w:lang w:val="en-US" w:eastAsia="zh-CN"/>
        </w:rPr>
      </w:pPr>
      <w:r>
        <w:rPr>
          <w:rFonts w:hint="eastAsia" w:ascii="仿宋" w:hAnsi="仿宋" w:eastAsia="仿宋" w:cs="仿宋"/>
          <w:b/>
          <w:bCs/>
          <w:kern w:val="0"/>
          <w:lang w:val="en-US" w:eastAsia="zh-CN"/>
        </w:rPr>
        <w:t>4.技术支持</w:t>
      </w:r>
    </w:p>
    <w:p>
      <w:pPr>
        <w:numPr>
          <w:ilvl w:val="0"/>
          <w:numId w:val="0"/>
        </w:numPr>
        <w:autoSpaceDE w:val="0"/>
        <w:autoSpaceDN w:val="0"/>
        <w:spacing w:line="500" w:lineRule="exact"/>
        <w:ind w:firstLine="481" w:firstLineChars="200"/>
        <w:jc w:val="left"/>
        <w:rPr>
          <w:rFonts w:hint="default" w:ascii="仿宋" w:hAnsi="仿宋" w:eastAsia="仿宋" w:cs="仿宋"/>
          <w:kern w:val="0"/>
          <w:lang w:val="en-US" w:eastAsia="zh-CN"/>
        </w:rPr>
      </w:pPr>
      <w:r>
        <w:rPr>
          <w:rFonts w:hint="eastAsia" w:ascii="仿宋" w:hAnsi="仿宋" w:eastAsia="仿宋" w:cs="仿宋"/>
          <w:b/>
          <w:bCs/>
          <w:kern w:val="0"/>
          <w:lang w:val="en-US" w:eastAsia="zh-CN"/>
        </w:rPr>
        <w:t>政采云客户服务热线：</w:t>
      </w:r>
      <w:r>
        <w:rPr>
          <w:rFonts w:hint="eastAsia" w:ascii="仿宋" w:hAnsi="仿宋" w:eastAsia="仿宋" w:cs="仿宋"/>
          <w:kern w:val="0"/>
          <w:lang w:val="en-US" w:eastAsia="zh-CN"/>
        </w:rPr>
        <w:t>95763</w:t>
      </w:r>
    </w:p>
    <w:p>
      <w:pPr>
        <w:widowControl/>
        <w:ind w:firstLine="0" w:firstLineChars="0"/>
        <w:jc w:val="left"/>
        <w:rPr>
          <w:rFonts w:ascii="仿宋" w:hAnsi="仿宋" w:eastAsia="仿宋" w:cs="仿宋"/>
          <w:kern w:val="0"/>
        </w:rPr>
      </w:pPr>
    </w:p>
    <w:p>
      <w:pPr>
        <w:widowControl/>
        <w:ind w:firstLine="0" w:firstLineChars="0"/>
        <w:jc w:val="left"/>
        <w:rPr>
          <w:rFonts w:ascii="仿宋" w:hAnsi="仿宋" w:eastAsia="仿宋" w:cs="仿宋"/>
          <w:kern w:val="0"/>
        </w:rPr>
      </w:pPr>
    </w:p>
    <w:p>
      <w:pPr>
        <w:widowControl/>
        <w:ind w:firstLine="0" w:firstLineChars="0"/>
        <w:jc w:val="left"/>
        <w:rPr>
          <w:rFonts w:ascii="仿宋" w:hAnsi="仿宋" w:eastAsia="仿宋" w:cs="仿宋"/>
          <w:kern w:val="0"/>
        </w:rPr>
      </w:pPr>
    </w:p>
    <w:p>
      <w:pPr>
        <w:widowControl/>
        <w:ind w:firstLine="0" w:firstLineChars="0"/>
        <w:jc w:val="left"/>
        <w:rPr>
          <w:rFonts w:ascii="仿宋" w:hAnsi="仿宋" w:eastAsia="仿宋" w:cs="仿宋"/>
          <w:kern w:val="0"/>
        </w:rPr>
      </w:pPr>
    </w:p>
    <w:p>
      <w:pPr>
        <w:widowControl/>
        <w:spacing w:line="400" w:lineRule="exact"/>
        <w:ind w:firstLine="480"/>
        <w:jc w:val="center"/>
        <w:rPr>
          <w:rFonts w:ascii="仿宋" w:hAnsi="仿宋" w:eastAsia="仿宋" w:cs="仿宋"/>
          <w:kern w:val="0"/>
        </w:rPr>
      </w:pPr>
    </w:p>
    <w:p>
      <w:pPr>
        <w:ind w:left="0" w:leftChars="0" w:firstLine="0" w:firstLineChars="0"/>
        <w:rPr>
          <w:rFonts w:ascii="仿宋" w:hAnsi="仿宋" w:eastAsia="仿宋" w:cs="仿宋"/>
          <w:kern w:val="0"/>
        </w:rPr>
      </w:pPr>
    </w:p>
    <w:p>
      <w:pPr>
        <w:ind w:left="0" w:leftChars="0" w:firstLine="0" w:firstLineChars="0"/>
        <w:rPr>
          <w:rFonts w:ascii="仿宋" w:hAnsi="仿宋" w:eastAsia="仿宋" w:cs="仿宋"/>
          <w:kern w:val="0"/>
        </w:rPr>
      </w:pPr>
    </w:p>
    <w:bookmarkEnd w:id="14"/>
    <w:bookmarkEnd w:id="15"/>
    <w:bookmarkEnd w:id="16"/>
    <w:bookmarkEnd w:id="17"/>
    <w:bookmarkEnd w:id="18"/>
    <w:p>
      <w:pPr>
        <w:spacing w:line="288" w:lineRule="auto"/>
        <w:ind w:firstLine="0" w:firstLineChars="0"/>
        <w:rPr>
          <w:rFonts w:hint="eastAsia" w:ascii="宋体" w:hAnsi="宋体" w:cs="宋体"/>
        </w:rPr>
      </w:pPr>
      <w:bookmarkStart w:id="23" w:name="_Toc5188"/>
      <w:bookmarkStart w:id="24" w:name="_Toc13215"/>
      <w:bookmarkStart w:id="25" w:name="_Toc18344"/>
      <w:r>
        <w:rPr>
          <w:rFonts w:hint="eastAsia" w:ascii="宋体" w:hAnsi="宋体" w:cs="宋体"/>
        </w:rPr>
        <w:br w:type="page"/>
      </w:r>
    </w:p>
    <w:p>
      <w:pPr>
        <w:pStyle w:val="44"/>
        <w:spacing w:line="288" w:lineRule="auto"/>
        <w:ind w:firstLine="0" w:firstLineChars="0"/>
        <w:rPr>
          <w:rFonts w:ascii="宋体" w:hAnsi="宋体" w:cs="宋体"/>
        </w:rPr>
      </w:pPr>
      <w:r>
        <w:rPr>
          <w:rFonts w:hint="eastAsia" w:ascii="宋体" w:hAnsi="宋体" w:cs="宋体"/>
        </w:rPr>
        <w:t>第二部分  谈判供应商须知前附表</w:t>
      </w:r>
      <w:bookmarkEnd w:id="23"/>
    </w:p>
    <w:tbl>
      <w:tblPr>
        <w:tblStyle w:val="4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766"/>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宋体" w:hAnsi="宋体" w:eastAsia="宋体" w:cs="宋体"/>
                <w:b/>
                <w:sz w:val="22"/>
              </w:rPr>
            </w:pPr>
            <w:r>
              <w:rPr>
                <w:rFonts w:hint="eastAsia" w:ascii="宋体" w:hAnsi="宋体" w:eastAsia="宋体" w:cs="宋体"/>
                <w:b/>
                <w:sz w:val="22"/>
              </w:rPr>
              <w:t>条款号</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宋体" w:hAnsi="宋体" w:eastAsia="宋体" w:cs="宋体"/>
                <w:b/>
                <w:sz w:val="22"/>
              </w:rPr>
            </w:pPr>
            <w:r>
              <w:rPr>
                <w:rFonts w:hint="eastAsia" w:ascii="宋体" w:hAnsi="宋体" w:eastAsia="宋体" w:cs="宋体"/>
                <w:b/>
                <w:sz w:val="22"/>
              </w:rPr>
              <w:t>条款名称</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宋体" w:hAnsi="宋体" w:eastAsia="宋体" w:cs="宋体"/>
                <w:b/>
                <w:sz w:val="22"/>
              </w:rPr>
            </w:pPr>
            <w:r>
              <w:rPr>
                <w:rFonts w:hint="eastAsia" w:ascii="宋体" w:hAnsi="宋体" w:eastAsia="宋体" w:cs="宋体"/>
                <w:b/>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1</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 w:eastAsia="仿宋_GB2312" w:cs="仿宋"/>
                <w:b/>
                <w:bCs/>
                <w:kern w:val="0"/>
                <w:sz w:val="24"/>
                <w:szCs w:val="24"/>
              </w:rPr>
            </w:pPr>
            <w:r>
              <w:rPr>
                <w:rFonts w:hint="eastAsia" w:ascii="仿宋_GB2312" w:hAnsi="仿宋" w:eastAsia="仿宋_GB2312" w:cs="仿宋"/>
                <w:b/>
                <w:bCs/>
                <w:kern w:val="0"/>
                <w:sz w:val="24"/>
                <w:szCs w:val="24"/>
              </w:rPr>
              <w:t>项目名称及</w:t>
            </w:r>
          </w:p>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 w:eastAsia="仿宋_GB2312" w:cs="仿宋"/>
                <w:b/>
                <w:bCs/>
                <w:kern w:val="0"/>
                <w:sz w:val="24"/>
                <w:szCs w:val="24"/>
              </w:rPr>
              <w:t>类别</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napToGrid w:val="0"/>
              <w:ind w:left="0" w:leftChars="0" w:right="0" w:rightChars="0" w:firstLine="0" w:firstLineChars="0"/>
              <w:jc w:val="left"/>
              <w:rPr>
                <w:rFonts w:ascii="仿宋_GB2312" w:hAnsi="仿宋_GB2312" w:eastAsia="仿宋_GB2312" w:cs="仿宋_GB2312"/>
                <w:sz w:val="24"/>
                <w:u w:val="single"/>
              </w:rPr>
            </w:pPr>
            <w:r>
              <w:rPr>
                <w:rFonts w:hint="eastAsia" w:ascii="仿宋_GB2312" w:hAnsi="仿宋_GB2312" w:eastAsia="仿宋_GB2312" w:cs="仿宋_GB2312"/>
                <w:sz w:val="24"/>
              </w:rPr>
              <w:t>项目名称：</w:t>
            </w:r>
            <w:r>
              <w:rPr>
                <w:rFonts w:ascii="仿宋_GB2312" w:hAnsi="仿宋" w:eastAsia="仿宋_GB2312" w:cs="仿宋"/>
                <w:color w:val="000000"/>
                <w:kern w:val="0"/>
                <w:sz w:val="24"/>
              </w:rPr>
              <w:t>吐鲁番文物考古标本库房信息安全设备采购及安装项目</w:t>
            </w:r>
          </w:p>
          <w:p>
            <w:pPr>
              <w:pStyle w:val="148"/>
              <w:snapToGrid w:val="0"/>
              <w:ind w:left="0" w:leftChars="0" w:right="0" w:rightChars="0" w:firstLine="0" w:firstLineChars="0"/>
              <w:jc w:val="left"/>
              <w:rPr>
                <w:rFonts w:ascii="仿宋_GB2312" w:hAnsi="仿宋_GB2312" w:eastAsia="仿宋_GB2312" w:cs="仿宋_GB2312"/>
                <w:sz w:val="24"/>
                <w:szCs w:val="24"/>
                <w:u w:val="single"/>
              </w:rPr>
            </w:pPr>
            <w:r>
              <w:rPr>
                <w:rFonts w:hint="eastAsia" w:ascii="仿宋_GB2312" w:hAnsi="仿宋" w:eastAsia="仿宋_GB2312" w:cs="仿宋"/>
                <w:color w:val="000000"/>
                <w:kern w:val="0"/>
                <w:sz w:val="24"/>
                <w:szCs w:val="24"/>
              </w:rPr>
              <w:t>项目类别：</w:t>
            </w:r>
            <w:r>
              <w:rPr>
                <w:rFonts w:hint="eastAsia" w:ascii="仿宋_GB2312" w:hAnsi="仿宋" w:eastAsia="仿宋_GB2312" w:cs="仿宋"/>
                <w:color w:val="000000"/>
                <w:kern w:val="0"/>
                <w:sz w:val="24"/>
                <w:szCs w:val="24"/>
                <w:lang w:eastAsia="zh-CN"/>
              </w:rPr>
              <w:t>☑</w:t>
            </w:r>
            <w:r>
              <w:rPr>
                <w:rFonts w:hint="eastAsia" w:ascii="仿宋_GB2312" w:hAnsi="仿宋" w:eastAsia="仿宋_GB2312" w:cs="仿宋"/>
                <w:color w:val="000000"/>
                <w:kern w:val="0"/>
                <w:sz w:val="24"/>
                <w:szCs w:val="24"/>
              </w:rPr>
              <w:t>货物</w:t>
            </w:r>
            <w:r>
              <w:rPr>
                <w:rFonts w:hint="eastAsia" w:ascii="仿宋_GB2312" w:hAnsi="仿宋" w:eastAsia="仿宋_GB2312" w:cs="仿宋"/>
                <w:color w:val="000000"/>
                <w:kern w:val="0"/>
                <w:sz w:val="24"/>
                <w:szCs w:val="24"/>
                <w:lang w:val="en-US" w:eastAsia="zh-CN"/>
              </w:rPr>
              <w:t xml:space="preserve">  </w:t>
            </w:r>
            <w:r>
              <w:rPr>
                <w:rFonts w:hint="eastAsia" w:ascii="仿宋_GB2312" w:hAnsi="仿宋" w:eastAsia="仿宋_GB2312" w:cs="仿宋"/>
                <w:color w:val="000000"/>
                <w:kern w:val="0"/>
                <w:sz w:val="24"/>
                <w:szCs w:val="24"/>
                <w:lang w:eastAsia="zh-CN"/>
              </w:rPr>
              <w:t>□</w:t>
            </w:r>
            <w:r>
              <w:rPr>
                <w:rFonts w:hint="eastAsia" w:ascii="仿宋_GB2312" w:hAnsi="仿宋" w:eastAsia="仿宋_GB2312" w:cs="仿宋"/>
                <w:color w:val="000000"/>
                <w:kern w:val="0"/>
                <w:sz w:val="24"/>
                <w:szCs w:val="24"/>
              </w:rPr>
              <w:t>服务</w:t>
            </w:r>
            <w:r>
              <w:rPr>
                <w:rFonts w:hint="eastAsia" w:ascii="仿宋_GB2312" w:hAnsi="仿宋" w:eastAsia="仿宋_GB2312" w:cs="仿宋"/>
                <w:color w:val="000000"/>
                <w:kern w:val="0"/>
                <w:sz w:val="24"/>
                <w:szCs w:val="24"/>
                <w:lang w:val="en-US" w:eastAsia="zh-CN"/>
              </w:rPr>
              <w:t xml:space="preserve">  </w:t>
            </w:r>
            <w:r>
              <w:rPr>
                <w:rFonts w:hint="eastAsia" w:ascii="仿宋_GB2312" w:hAnsi="仿宋" w:eastAsia="仿宋_GB2312" w:cs="仿宋"/>
                <w:color w:val="000000"/>
                <w:kern w:val="0"/>
                <w:sz w:val="24"/>
                <w:szCs w:val="24"/>
                <w:lang w:eastAsia="zh-CN"/>
              </w:rPr>
              <w:t>□</w:t>
            </w:r>
            <w:r>
              <w:rPr>
                <w:rFonts w:hint="eastAsia" w:ascii="仿宋_GB2312" w:hAnsi="仿宋" w:eastAsia="仿宋_GB2312" w:cs="仿宋"/>
                <w:color w:val="000000"/>
                <w:kern w:val="0"/>
                <w:sz w:val="24"/>
                <w:szCs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2</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项目编号</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snapToGrid w:val="0"/>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TSJT202</w:t>
            </w:r>
            <w:r>
              <w:rPr>
                <w:rFonts w:hint="eastAsia" w:ascii="仿宋_GB2312" w:hAnsi="仿宋_GB2312" w:eastAsia="仿宋_GB2312" w:cs="仿宋_GB2312"/>
                <w:sz w:val="24"/>
                <w:szCs w:val="24"/>
                <w:lang w:val="en-US" w:eastAsia="zh-CN"/>
              </w:rPr>
              <w:t>601</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3</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采购人</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napToGrid w:val="0"/>
              <w:ind w:left="0" w:leftChars="0" w:right="0" w:rightChars="0" w:firstLine="0" w:firstLineChars="0"/>
              <w:jc w:val="left"/>
              <w:rPr>
                <w:rFonts w:ascii="仿宋_GB2312" w:eastAsia="仿宋_GB2312"/>
                <w:sz w:val="24"/>
              </w:rPr>
            </w:pPr>
            <w:r>
              <w:rPr>
                <w:rFonts w:hint="eastAsia" w:ascii="仿宋_GB2312" w:hAnsi="仿宋_GB2312" w:eastAsia="仿宋_GB2312" w:cs="仿宋_GB2312"/>
                <w:sz w:val="24"/>
              </w:rPr>
              <w:t>名  称：</w:t>
            </w:r>
            <w:r>
              <w:rPr>
                <w:rFonts w:ascii="仿宋_GB2312" w:hAnsi="仿宋" w:eastAsia="仿宋_GB2312" w:cs="仿宋"/>
                <w:color w:val="000000"/>
                <w:kern w:val="0"/>
                <w:sz w:val="24"/>
              </w:rPr>
              <w:t>吐鲁番市文物局</w:t>
            </w:r>
          </w:p>
          <w:p>
            <w:pPr>
              <w:widowControl/>
              <w:snapToGrid w:val="0"/>
              <w:ind w:left="0" w:leftChars="0" w:right="0" w:rightChars="0" w:firstLine="0" w:firstLineChars="0"/>
              <w:jc w:val="left"/>
              <w:rPr>
                <w:rFonts w:ascii="仿宋_GB2312" w:eastAsia="仿宋_GB2312"/>
                <w:sz w:val="24"/>
              </w:rPr>
            </w:pPr>
            <w:r>
              <w:rPr>
                <w:rFonts w:hint="eastAsia" w:ascii="仿宋_GB2312" w:hAnsi="仿宋_GB2312" w:eastAsia="仿宋_GB2312" w:cs="仿宋_GB2312"/>
                <w:sz w:val="24"/>
              </w:rPr>
              <w:t>联系人：</w:t>
            </w:r>
            <w:r>
              <w:rPr>
                <w:rFonts w:ascii="仿宋_GB2312" w:hAnsi="仿宋" w:eastAsia="仿宋_GB2312" w:cs="仿宋"/>
                <w:color w:val="000000"/>
                <w:kern w:val="0"/>
                <w:sz w:val="24"/>
              </w:rPr>
              <w:t>韩佐伟</w:t>
            </w:r>
          </w:p>
          <w:p>
            <w:pPr>
              <w:widowControl/>
              <w:snapToGrid w:val="0"/>
              <w:ind w:left="0" w:leftChars="0" w:right="0" w:rightChars="0" w:firstLine="0" w:firstLineChars="0"/>
              <w:jc w:val="left"/>
              <w:rPr>
                <w:rFonts w:ascii="仿宋_GB2312" w:eastAsia="仿宋_GB2312"/>
                <w:sz w:val="24"/>
              </w:rPr>
            </w:pPr>
            <w:r>
              <w:rPr>
                <w:rFonts w:hint="eastAsia" w:ascii="仿宋_GB2312" w:hAnsi="仿宋_GB2312" w:eastAsia="仿宋_GB2312" w:cs="仿宋_GB2312"/>
                <w:sz w:val="24"/>
              </w:rPr>
              <w:t>地</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址：</w:t>
            </w:r>
            <w:r>
              <w:rPr>
                <w:rFonts w:ascii="仿宋_GB2312" w:hAnsi="仿宋" w:eastAsia="仿宋_GB2312" w:cs="仿宋"/>
                <w:color w:val="000000"/>
                <w:kern w:val="0"/>
                <w:sz w:val="24"/>
              </w:rPr>
              <w:t>吐鲁番市高昌区木纳尔路 1268 号</w:t>
            </w:r>
          </w:p>
          <w:p>
            <w:pPr>
              <w:widowControl/>
              <w:snapToGrid w:val="0"/>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电  话：</w:t>
            </w:r>
            <w:r>
              <w:rPr>
                <w:rFonts w:ascii="仿宋_GB2312" w:hAnsi="仿宋" w:eastAsia="仿宋_GB2312" w:cs="仿宋"/>
                <w:color w:val="000000"/>
                <w:kern w:val="0"/>
                <w:sz w:val="24"/>
              </w:rPr>
              <w:t>19999504555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4</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代理机构</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snapToGrid w:val="0"/>
              <w:ind w:left="0" w:leftChars="0" w:right="0" w:rightChars="0" w:firstLine="0" w:firstLineChars="0"/>
              <w:jc w:val="left"/>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名称：</w:t>
            </w:r>
            <w:r>
              <w:rPr>
                <w:rFonts w:hint="eastAsia" w:ascii="仿宋_GB2312" w:hAnsi="仿宋_GB2312" w:eastAsia="仿宋_GB2312" w:cs="仿宋_GB2312"/>
                <w:sz w:val="24"/>
                <w:szCs w:val="24"/>
              </w:rPr>
              <w:t>吐鲁番市行政服务中心（市公共资源交易中心）</w:t>
            </w:r>
          </w:p>
          <w:p>
            <w:pPr>
              <w:pStyle w:val="148"/>
              <w:snapToGrid w:val="0"/>
              <w:ind w:left="0" w:leftChars="0" w:right="0" w:rightChars="0" w:firstLine="0" w:firstLineChars="0"/>
              <w:jc w:val="left"/>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地址：</w:t>
            </w:r>
            <w:r>
              <w:rPr>
                <w:rFonts w:hint="eastAsia" w:ascii="仿宋_GB2312" w:hAnsi="仿宋_GB2312" w:eastAsia="仿宋_GB2312" w:cs="仿宋_GB2312"/>
                <w:sz w:val="24"/>
                <w:szCs w:val="24"/>
              </w:rPr>
              <w:t>吐鲁番市高昌区丝绸大道4100号</w:t>
            </w:r>
          </w:p>
          <w:p>
            <w:pPr>
              <w:pStyle w:val="148"/>
              <w:snapToGrid w:val="0"/>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施丁语</w:t>
            </w:r>
          </w:p>
          <w:p>
            <w:pPr>
              <w:pStyle w:val="148"/>
              <w:snapToGrid w:val="0"/>
              <w:ind w:left="0" w:leftChars="0" w:right="0" w:righ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联系电话：0995-8</w:t>
            </w:r>
            <w:r>
              <w:rPr>
                <w:rFonts w:hint="eastAsia" w:ascii="仿宋_GB2312" w:hAnsi="仿宋_GB2312" w:eastAsia="仿宋_GB2312" w:cs="仿宋_GB2312"/>
                <w:sz w:val="24"/>
                <w:szCs w:val="24"/>
                <w:lang w:val="en-US" w:eastAsia="zh-CN"/>
              </w:rPr>
              <w:t>186823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5</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采购需求</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详见第三部分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采购需求</w:t>
            </w:r>
            <w:r>
              <w:rPr>
                <w:rFonts w:hint="eastAsia" w:ascii="仿宋_GB2312" w:hAnsi="仿宋_GB2312" w:eastAsia="仿宋_GB2312" w:cs="仿宋_GB2312"/>
                <w:sz w:val="24"/>
                <w:szCs w:val="24"/>
                <w:lang w:eastAsia="zh-CN"/>
              </w:rPr>
              <w:t>及技术规格要求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6</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采购方式</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宋体" w:eastAsia="仿宋_GB2312" w:cs="宋体"/>
                <w:b/>
                <w:bCs/>
                <w:sz w:val="24"/>
              </w:rPr>
            </w:pPr>
            <w:r>
              <w:rPr>
                <w:rFonts w:hint="eastAsia" w:ascii="仿宋_GB2312" w:hAnsi="宋体" w:eastAsia="仿宋_GB2312" w:cs="宋体"/>
                <w:b/>
                <w:bCs/>
                <w:sz w:val="24"/>
              </w:rPr>
              <w:t>7</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评审方法</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napToGrid w:val="0"/>
              <w:spacing w:line="240" w:lineRule="auto"/>
              <w:ind w:left="0" w:leftChars="0" w:right="0" w:rightChars="0" w:firstLine="0" w:firstLineChars="0"/>
              <w:jc w:val="left"/>
              <w:rPr>
                <w:rFonts w:ascii="仿宋_GB2312" w:hAnsi="仿宋_GB2312" w:eastAsia="仿宋_GB2312" w:cs="仿宋_GB2312"/>
                <w:sz w:val="24"/>
                <w:lang w:bidi="zh-CN"/>
              </w:rPr>
            </w:pPr>
            <w:r>
              <w:rPr>
                <w:rFonts w:hint="eastAsia" w:ascii="仿宋_GB2312" w:hAnsi="仿宋_GB2312" w:eastAsia="仿宋_GB2312" w:cs="仿宋_GB2312"/>
                <w:sz w:val="24"/>
                <w:lang w:bidi="zh-CN"/>
              </w:rPr>
              <w:t>最低评标价</w:t>
            </w:r>
            <w:r>
              <w:rPr>
                <w:rFonts w:hint="eastAsia" w:ascii="仿宋_GB2312" w:hAnsi="仿宋_GB2312" w:eastAsia="仿宋_GB2312" w:cs="仿宋_GB2312"/>
                <w:sz w:val="24"/>
                <w:lang w:val="zh-CN" w:bidi="zh-CN"/>
              </w:rPr>
              <w:t>法</w:t>
            </w:r>
            <w:r>
              <w:rPr>
                <w:rFonts w:hint="eastAsia" w:ascii="仿宋_GB2312" w:hAnsi="仿宋_GB2312" w:eastAsia="仿宋_GB2312" w:cs="仿宋_GB2312"/>
                <w:sz w:val="24"/>
                <w:lang w:bidi="zh-CN"/>
              </w:rPr>
              <w:t>。</w:t>
            </w:r>
            <w:r>
              <w:rPr>
                <w:rFonts w:hint="eastAsia" w:ascii="仿宋_GB2312" w:hAnsi="仿宋_GB2312" w:eastAsia="仿宋_GB2312" w:cs="仿宋_GB2312"/>
                <w:sz w:val="24"/>
                <w:lang w:val="zh-CN" w:bidi="zh-CN"/>
              </w:rPr>
              <w:t>经谈判确定</w:t>
            </w:r>
            <w:r>
              <w:rPr>
                <w:rFonts w:hint="eastAsia" w:ascii="仿宋_GB2312" w:hAnsi="仿宋_GB2312" w:eastAsia="仿宋_GB2312" w:cs="仿宋_GB2312"/>
                <w:sz w:val="24"/>
                <w:lang w:bidi="zh-CN"/>
              </w:rPr>
              <w:t>响应</w:t>
            </w:r>
            <w:r>
              <w:rPr>
                <w:rFonts w:hint="eastAsia" w:ascii="仿宋_GB2312" w:hAnsi="仿宋_GB2312" w:eastAsia="仿宋_GB2312" w:cs="仿宋_GB2312"/>
                <w:sz w:val="24"/>
                <w:lang w:val="zh-CN" w:bidi="zh-CN"/>
              </w:rPr>
              <w:t>文件满足</w:t>
            </w:r>
            <w:r>
              <w:rPr>
                <w:rFonts w:hint="eastAsia" w:ascii="仿宋_GB2312" w:hAnsi="仿宋_GB2312" w:eastAsia="仿宋_GB2312" w:cs="仿宋_GB2312"/>
                <w:sz w:val="24"/>
                <w:lang w:bidi="zh-CN"/>
              </w:rPr>
              <w:t>谈判</w:t>
            </w:r>
            <w:r>
              <w:rPr>
                <w:rFonts w:hint="eastAsia" w:ascii="仿宋_GB2312" w:hAnsi="仿宋_GB2312" w:eastAsia="仿宋_GB2312" w:cs="仿宋_GB2312"/>
                <w:sz w:val="24"/>
                <w:lang w:val="zh-CN" w:bidi="zh-CN"/>
              </w:rPr>
              <w:t>文件全部实质性要求且</w:t>
            </w:r>
            <w:r>
              <w:rPr>
                <w:rFonts w:hint="eastAsia" w:ascii="仿宋_GB2312" w:hAnsi="仿宋_GB2312" w:eastAsia="仿宋_GB2312" w:cs="仿宋_GB2312"/>
                <w:sz w:val="24"/>
                <w:lang w:bidi="zh-CN"/>
              </w:rPr>
              <w:t>响应</w:t>
            </w:r>
            <w:r>
              <w:rPr>
                <w:rFonts w:hint="eastAsia" w:ascii="仿宋_GB2312" w:hAnsi="仿宋_GB2312" w:eastAsia="仿宋_GB2312" w:cs="仿宋_GB2312"/>
                <w:sz w:val="24"/>
                <w:lang w:val="zh-CN" w:bidi="zh-CN"/>
              </w:rPr>
              <w:t>报价最低的供应商为</w:t>
            </w:r>
            <w:r>
              <w:rPr>
                <w:rFonts w:hint="eastAsia" w:ascii="仿宋_GB2312" w:hAnsi="仿宋_GB2312" w:eastAsia="仿宋_GB2312" w:cs="仿宋_GB2312"/>
                <w:sz w:val="24"/>
                <w:lang w:bidi="zh-CN"/>
              </w:rPr>
              <w:t>成交</w:t>
            </w:r>
            <w:r>
              <w:rPr>
                <w:rFonts w:hint="eastAsia" w:ascii="仿宋_GB2312" w:hAnsi="仿宋_GB2312" w:eastAsia="仿宋_GB2312" w:cs="仿宋_GB2312"/>
                <w:sz w:val="24"/>
                <w:lang w:val="zh-CN" w:bidi="zh-CN"/>
              </w:rPr>
              <w:t>候选人的评标方法。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宋体" w:eastAsia="仿宋_GB2312" w:cs="宋体"/>
                <w:b/>
                <w:bCs/>
                <w:sz w:val="24"/>
                <w:lang w:val="en-US" w:eastAsia="zh-CN"/>
              </w:rPr>
            </w:pPr>
            <w:r>
              <w:rPr>
                <w:rFonts w:hint="eastAsia" w:ascii="仿宋_GB2312" w:hAnsi="宋体" w:eastAsia="仿宋_GB2312" w:cs="宋体"/>
                <w:b/>
                <w:bCs/>
                <w:sz w:val="24"/>
                <w:lang w:val="en-US" w:eastAsia="zh-CN"/>
              </w:rPr>
              <w:t>8</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异常低价投标（响应）</w:t>
            </w:r>
          </w:p>
          <w:p>
            <w:pPr>
              <w:pStyle w:val="148"/>
              <w:widowControl/>
              <w:snapToGrid w:val="0"/>
              <w:spacing w:line="240" w:lineRule="auto"/>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审查</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1、审查依据</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依据《关于加强政府采购异常低价投标(响应)认定与审查工作的通知》(财库〔2026〕2 号)规定,本项目</w:t>
            </w:r>
            <w:r>
              <w:rPr>
                <w:rFonts w:hint="eastAsia" w:ascii="仿宋_GB2312" w:hAnsi="仿宋_GB2312" w:eastAsia="仿宋_GB2312" w:cs="仿宋_GB2312"/>
                <w:sz w:val="24"/>
                <w:lang w:val="en-US" w:bidi="zh-CN"/>
              </w:rPr>
              <w:t>谈判</w:t>
            </w:r>
            <w:r>
              <w:rPr>
                <w:rFonts w:hint="eastAsia" w:ascii="仿宋_GB2312" w:hAnsi="仿宋_GB2312" w:eastAsia="仿宋_GB2312" w:cs="仿宋_GB2312"/>
                <w:sz w:val="24"/>
                <w:lang w:bidi="zh-CN"/>
              </w:rPr>
              <w:t>小组对投标(响应)报价开展异常低价审查工作。</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2、异常低价情形认定</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政府采购评审中出现下列情形之一的,评审委员会应当启动异常低价投标(响应)审查程序:</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(1)投标(响应)报价低于全部通过符合性审查供应商报价平均值的 50%;</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(2)投标(响应)报价低于通过符合性审查次低报价的50%;</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(3)投标(响应)报价低于本项目最高限价的 45%;</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(4)评审委员会基于专业判断,认为报价过低可能影响项目履约质量、不能满足采购需求或无法诚信履约的其他情形。</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3、审查要求及处理</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lang w:bidi="zh-CN"/>
              </w:rPr>
            </w:pPr>
            <w:r>
              <w:rPr>
                <w:rFonts w:hint="eastAsia" w:ascii="仿宋_GB2312" w:hAnsi="仿宋_GB2312" w:eastAsia="仿宋_GB2312" w:cs="仿宋_GB2312"/>
                <w:sz w:val="24"/>
                <w:lang w:bidi="zh-CN"/>
              </w:rPr>
              <w:t>评审委员会启动异常低价投标(响应)审查后,属于前述7第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 30 分钟。其中,属于第 3 项情形,供应商已随投标 (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 供应商提供的相关书面说明及证明材料,以及评审委员会有关互联网浏览、查询历史一并归档。</w:t>
            </w:r>
          </w:p>
          <w:p>
            <w:pPr>
              <w:autoSpaceDE w:val="0"/>
              <w:autoSpaceDN w:val="0"/>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lang w:bidi="zh-CN"/>
              </w:rPr>
              <w:t>提交相关证明材料:供应商书面说明应当签字确认或者加盖公章,否则无效。书面说明的签字确认,供应商为法人的,由其法定代表人或者</w:t>
            </w:r>
            <w:r>
              <w:rPr>
                <w:rFonts w:hint="eastAsia" w:ascii="仿宋_GB2312" w:hAnsi="仿宋_GB2312" w:eastAsia="仿宋_GB2312" w:cs="仿宋_GB2312"/>
                <w:sz w:val="24"/>
                <w:lang w:val="en-US" w:bidi="zh-CN"/>
              </w:rPr>
              <w:t>授权代表</w:t>
            </w:r>
            <w:r>
              <w:rPr>
                <w:rFonts w:hint="eastAsia" w:ascii="仿宋_GB2312" w:hAnsi="仿宋_GB2312" w:eastAsia="仿宋_GB2312" w:cs="仿宋_GB2312"/>
                <w:sz w:val="24"/>
                <w:lang w:bidi="zh-CN"/>
              </w:rPr>
              <w:t>签字确认;供应商为其他组织的,由其主要负责人或者</w:t>
            </w:r>
            <w:r>
              <w:rPr>
                <w:rFonts w:hint="eastAsia" w:ascii="仿宋_GB2312" w:hAnsi="仿宋_GB2312" w:eastAsia="仿宋_GB2312" w:cs="仿宋_GB2312"/>
                <w:sz w:val="24"/>
                <w:lang w:val="en-US" w:bidi="zh-CN"/>
              </w:rPr>
              <w:t>授权代表</w:t>
            </w:r>
            <w:r>
              <w:rPr>
                <w:rFonts w:hint="eastAsia" w:ascii="仿宋_GB2312" w:hAnsi="仿宋_GB2312" w:eastAsia="仿宋_GB2312" w:cs="仿宋_GB2312"/>
                <w:sz w:val="24"/>
                <w:lang w:bidi="zh-CN"/>
              </w:rPr>
              <w:t>签字确认;供应商为自然人的,由其本人或者授权代表签字确认。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宋体" w:eastAsia="仿宋_GB2312" w:cs="宋体"/>
                <w:b/>
                <w:bCs/>
                <w:sz w:val="24"/>
                <w:lang w:eastAsia="zh-CN"/>
              </w:rPr>
            </w:pPr>
            <w:r>
              <w:rPr>
                <w:rFonts w:hint="eastAsia" w:ascii="仿宋_GB2312" w:hAnsi="宋体" w:eastAsia="仿宋_GB2312" w:cs="宋体"/>
                <w:b/>
                <w:bCs/>
                <w:sz w:val="24"/>
                <w:lang w:val="en-US" w:eastAsia="zh-CN"/>
              </w:rPr>
              <w:t>9</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采购预算</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napToGrid w:val="0"/>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预算金额（元）：</w:t>
            </w:r>
            <w:r>
              <w:rPr>
                <w:rFonts w:ascii="仿宋_GB2312" w:hAnsi="仿宋" w:eastAsia="仿宋_GB2312" w:cs="仿宋"/>
                <w:color w:val="000000"/>
                <w:kern w:val="0"/>
                <w:sz w:val="24"/>
              </w:rPr>
              <w:t>2178428.76元</w:t>
            </w:r>
          </w:p>
          <w:p>
            <w:pPr>
              <w:widowControl/>
              <w:snapToGrid w:val="0"/>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最高限价（元）：</w:t>
            </w:r>
            <w:r>
              <w:rPr>
                <w:rFonts w:ascii="仿宋_GB2312" w:hAnsi="仿宋" w:eastAsia="仿宋_GB2312" w:cs="仿宋"/>
                <w:color w:val="000000"/>
                <w:kern w:val="0"/>
                <w:sz w:val="24"/>
              </w:rPr>
              <w:t>2178428.76元</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谈判报价各标项高于最高限价或不合理低价均按无效报价处理，中标供应商须按照采购人财务要求</w:t>
            </w:r>
            <w:r>
              <w:rPr>
                <w:rFonts w:hint="eastAsia" w:ascii="仿宋_GB2312" w:hAnsi="仿宋_GB2312" w:eastAsia="仿宋_GB2312" w:cs="仿宋_GB2312"/>
                <w:sz w:val="24"/>
                <w:szCs w:val="24"/>
                <w:lang w:eastAsia="zh-CN"/>
              </w:rPr>
              <w:t>，根据采购标的实际属性，开具合法合规的</w:t>
            </w:r>
            <w:r>
              <w:rPr>
                <w:rFonts w:hint="eastAsia" w:ascii="仿宋_GB2312" w:hAnsi="仿宋_GB2312" w:eastAsia="仿宋_GB2312" w:cs="仿宋_GB2312"/>
                <w:sz w:val="24"/>
                <w:szCs w:val="24"/>
              </w:rPr>
              <w:t>全额发票。敬请供应商注意！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10</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核心产品</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napToGrid w:val="0"/>
              <w:ind w:left="0" w:leftChars="0" w:right="0" w:rightChars="0" w:firstLine="0" w:firstLineChars="0"/>
              <w:jc w:val="left"/>
              <w:rPr>
                <w:rFonts w:ascii="仿宋_GB2312" w:hAnsi="仿宋_GB2312" w:eastAsia="仿宋_GB2312" w:cs="仿宋_GB2312"/>
                <w:sz w:val="24"/>
                <w:highlight w:val="none"/>
              </w:rPr>
            </w:pPr>
            <w:r>
              <w:rPr>
                <w:rFonts w:hint="eastAsia" w:ascii="仿宋_GB2312" w:hAnsi="仿宋_GB2312" w:eastAsia="仿宋_GB2312" w:cs="仿宋_GB2312"/>
                <w:b/>
                <w:bCs/>
                <w:color w:val="auto"/>
                <w:sz w:val="24"/>
                <w:highlight w:val="none"/>
              </w:rPr>
              <w:t>文物安全监管平台</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客户端、手机端</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11</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9"/>
              <w:spacing w:line="360" w:lineRule="auto"/>
              <w:jc w:val="center"/>
              <w:rPr>
                <w:rFonts w:hint="eastAsia" w:ascii="仿宋_GB2312" w:hAnsi="仿宋_GB2312" w:eastAsia="仿宋_GB2312" w:cs="仿宋_GB2312"/>
                <w:b/>
                <w:bCs/>
                <w:sz w:val="24"/>
                <w:szCs w:val="24"/>
              </w:rPr>
            </w:pPr>
            <w:r>
              <w:rPr>
                <w:rFonts w:hint="eastAsia" w:ascii="仿宋" w:hAnsi="仿宋" w:eastAsia="仿宋" w:cs="仿宋"/>
                <w:b/>
                <w:color w:val="auto"/>
                <w:sz w:val="24"/>
              </w:rPr>
              <w:t>是否允许供应商将项目非主体、非关键性工作交由他人完成</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9"/>
              <w:keepNext w:val="0"/>
              <w:keepLines w:val="0"/>
              <w:pageBreakBefore w:val="0"/>
              <w:widowControl w:val="0"/>
              <w:kinsoku/>
              <w:wordWrap/>
              <w:overflowPunct/>
              <w:topLinePunct w:val="0"/>
              <w:bidi w:val="0"/>
              <w:snapToGrid/>
              <w:spacing w:line="32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□否。</w:t>
            </w:r>
          </w:p>
          <w:p>
            <w:pPr>
              <w:pStyle w:val="149"/>
              <w:keepNext w:val="0"/>
              <w:keepLines w:val="0"/>
              <w:pageBreakBefore w:val="0"/>
              <w:widowControl w:val="0"/>
              <w:kinsoku/>
              <w:wordWrap/>
              <w:overflowPunct/>
              <w:topLinePunct w:val="0"/>
              <w:bidi w:val="0"/>
              <w:snapToGrid/>
              <w:spacing w:line="32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☑是。成交供应商按照合同约定或者经采购人同意，可以将项目非主体、非关键性工作分包交由他人完成。</w:t>
            </w:r>
          </w:p>
          <w:p>
            <w:pPr>
              <w:pStyle w:val="149"/>
              <w:keepNext w:val="0"/>
              <w:keepLines w:val="0"/>
              <w:pageBreakBefore w:val="0"/>
              <w:widowControl w:val="0"/>
              <w:kinsoku/>
              <w:wordWrap/>
              <w:overflowPunct/>
              <w:topLinePunct w:val="0"/>
              <w:bidi w:val="0"/>
              <w:snapToGrid/>
              <w:spacing w:line="320" w:lineRule="exact"/>
              <w:textAlignment w:val="auto"/>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rPr>
              <w:t>分包内容要求：</w:t>
            </w:r>
            <w:r>
              <w:rPr>
                <w:rFonts w:hint="eastAsia" w:ascii="仿宋" w:hAnsi="仿宋" w:eastAsia="仿宋" w:cs="仿宋"/>
                <w:color w:val="auto"/>
                <w:kern w:val="0"/>
                <w:sz w:val="24"/>
                <w:highlight w:val="none"/>
              </w:rPr>
              <w:t>采购清单</w:t>
            </w:r>
            <w:r>
              <w:rPr>
                <w:rFonts w:hint="eastAsia" w:ascii="仿宋" w:hAnsi="仿宋" w:eastAsia="仿宋" w:cs="仿宋"/>
                <w:color w:val="auto"/>
                <w:kern w:val="0"/>
                <w:sz w:val="24"/>
                <w:highlight w:val="none"/>
                <w:lang w:val="en-US" w:eastAsia="zh-CN"/>
              </w:rPr>
              <w:t>中</w:t>
            </w:r>
            <w:r>
              <w:rPr>
                <w:rFonts w:hint="eastAsia" w:ascii="仿宋" w:hAnsi="仿宋" w:eastAsia="仿宋" w:cs="仿宋"/>
                <w:b/>
                <w:bCs/>
                <w:color w:val="auto"/>
                <w:kern w:val="0"/>
                <w:sz w:val="24"/>
                <w:highlight w:val="none"/>
                <w:lang w:val="en-US" w:eastAsia="zh-CN"/>
              </w:rPr>
              <w:t>（一、</w:t>
            </w:r>
            <w:r>
              <w:rPr>
                <w:rFonts w:hint="eastAsia" w:ascii="仿宋" w:hAnsi="仿宋" w:eastAsia="仿宋" w:cs="仿宋"/>
                <w:b/>
                <w:bCs/>
                <w:color w:val="auto"/>
                <w:kern w:val="0"/>
                <w:sz w:val="24"/>
                <w:highlight w:val="none"/>
              </w:rPr>
              <w:t>文物安全监管平台</w:t>
            </w: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文物安全监管平台</w:t>
            </w:r>
            <w:r>
              <w:rPr>
                <w:rFonts w:hint="eastAsia" w:ascii="仿宋" w:hAnsi="仿宋" w:eastAsia="仿宋" w:cs="仿宋"/>
                <w:b/>
                <w:bCs/>
                <w:color w:val="auto"/>
                <w:w w:val="95"/>
                <w:kern w:val="0"/>
                <w:sz w:val="24"/>
                <w:highlight w:val="none"/>
              </w:rPr>
              <w:t>（客户端、手机端）</w:t>
            </w: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云服务器</w:t>
            </w: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rPr>
              <w:t>视频远程传输软件</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智能网关服务器</w:t>
            </w: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rPr>
              <w:t>防火墙</w:t>
            </w: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rPr>
              <w:t>PC客户端</w:t>
            </w:r>
            <w:r>
              <w:rPr>
                <w:rFonts w:hint="eastAsia" w:ascii="仿宋" w:hAnsi="仿宋" w:eastAsia="仿宋" w:cs="仿宋"/>
                <w:b/>
                <w:bCs/>
                <w:color w:val="auto"/>
                <w:kern w:val="0"/>
                <w:sz w:val="24"/>
                <w:highlight w:val="none"/>
                <w:lang w:val="en-US" w:eastAsia="zh-CN"/>
              </w:rPr>
              <w:t>,二、</w:t>
            </w:r>
            <w:r>
              <w:rPr>
                <w:rFonts w:hint="eastAsia" w:ascii="仿宋" w:hAnsi="仿宋" w:eastAsia="仿宋" w:cs="仿宋"/>
                <w:b/>
                <w:bCs/>
                <w:color w:val="auto"/>
                <w:kern w:val="0"/>
                <w:sz w:val="24"/>
                <w:highlight w:val="none"/>
              </w:rPr>
              <w:t>安防综合管理平台</w:t>
            </w: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综合安防管理平台软件</w:t>
            </w: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综合安防管理平台服务器</w:t>
            </w: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rPr>
              <w:t>监控通道授权</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门禁授权</w:t>
            </w: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rPr>
              <w:t>视频对讲授权</w:t>
            </w:r>
            <w:r>
              <w:rPr>
                <w:rFonts w:hint="eastAsia" w:ascii="仿宋" w:hAnsi="仿宋" w:eastAsia="仿宋" w:cs="仿宋"/>
                <w:b/>
                <w:bCs/>
                <w:color w:val="auto"/>
                <w:kern w:val="0"/>
                <w:sz w:val="24"/>
                <w:highlight w:val="none"/>
                <w:lang w:val="en-US" w:eastAsia="zh-CN"/>
              </w:rPr>
              <w:t>,6.</w:t>
            </w:r>
            <w:r>
              <w:rPr>
                <w:rFonts w:hint="eastAsia" w:ascii="仿宋" w:hAnsi="仿宋" w:eastAsia="仿宋" w:cs="仿宋"/>
                <w:b/>
                <w:bCs/>
                <w:color w:val="auto"/>
                <w:kern w:val="0"/>
                <w:sz w:val="24"/>
                <w:highlight w:val="none"/>
              </w:rPr>
              <w:t>视频对讲软件模块</w:t>
            </w:r>
            <w:r>
              <w:rPr>
                <w:rFonts w:hint="eastAsia" w:ascii="仿宋" w:hAnsi="仿宋" w:eastAsia="仿宋" w:cs="仿宋"/>
                <w:b/>
                <w:bCs/>
                <w:color w:val="auto"/>
                <w:kern w:val="0"/>
                <w:sz w:val="24"/>
                <w:highlight w:val="none"/>
                <w:lang w:eastAsia="zh-CN"/>
              </w:rPr>
              <w:t>）</w:t>
            </w:r>
            <w:r>
              <w:rPr>
                <w:rFonts w:hint="eastAsia" w:ascii="仿宋" w:hAnsi="仿宋" w:eastAsia="仿宋" w:cs="仿宋"/>
                <w:color w:val="auto"/>
                <w:kern w:val="0"/>
                <w:sz w:val="24"/>
                <w:highlight w:val="none"/>
                <w:lang w:val="en-US" w:eastAsia="zh-CN"/>
              </w:rPr>
              <w:t>为该项目主体、关键性工作，不允许分包。除上述要求外</w:t>
            </w:r>
            <w:r>
              <w:rPr>
                <w:rFonts w:hint="eastAsia" w:ascii="仿宋" w:hAnsi="仿宋" w:eastAsia="仿宋" w:cs="仿宋"/>
                <w:color w:val="auto"/>
                <w:kern w:val="0"/>
                <w:sz w:val="24"/>
                <w:highlight w:val="none"/>
              </w:rPr>
              <w:t>采购清单</w:t>
            </w:r>
            <w:r>
              <w:rPr>
                <w:rFonts w:hint="eastAsia" w:ascii="仿宋" w:hAnsi="仿宋" w:eastAsia="仿宋" w:cs="仿宋"/>
                <w:color w:val="auto"/>
                <w:kern w:val="0"/>
                <w:sz w:val="24"/>
                <w:highlight w:val="none"/>
                <w:lang w:val="en-US" w:eastAsia="zh-CN"/>
              </w:rPr>
              <w:t>其他产品为项目非主体、非关键性工作允许分包。</w:t>
            </w:r>
          </w:p>
          <w:p>
            <w:pPr>
              <w:pStyle w:val="149"/>
              <w:keepNext w:val="0"/>
              <w:keepLines w:val="0"/>
              <w:pageBreakBefore w:val="0"/>
              <w:widowControl w:val="0"/>
              <w:kinsoku/>
              <w:wordWrap/>
              <w:overflowPunct/>
              <w:topLinePunct w:val="0"/>
              <w:autoSpaceDE w:val="0"/>
              <w:autoSpaceDN w:val="0"/>
              <w:bidi w:val="0"/>
              <w:adjustRightInd w:val="0"/>
              <w:snapToGrid/>
              <w:spacing w:line="320" w:lineRule="exact"/>
              <w:ind w:firstLine="14" w:firstLineChars="6"/>
              <w:textAlignment w:val="auto"/>
              <w:rPr>
                <w:rFonts w:hint="eastAsia" w:ascii="仿宋" w:hAnsi="仿宋" w:eastAsia="仿宋" w:cs="仿宋"/>
                <w:color w:val="auto"/>
                <w:kern w:val="0"/>
                <w:sz w:val="24"/>
                <w:u w:val="single"/>
              </w:rPr>
            </w:pPr>
            <w:r>
              <w:rPr>
                <w:rFonts w:hint="eastAsia" w:ascii="仿宋" w:hAnsi="仿宋" w:eastAsia="仿宋" w:cs="仿宋"/>
                <w:b/>
                <w:bCs/>
                <w:color w:val="auto"/>
                <w:kern w:val="0"/>
                <w:sz w:val="24"/>
              </w:rPr>
              <w:t>分包金额要求：</w:t>
            </w:r>
            <w:r>
              <w:rPr>
                <w:rFonts w:hint="eastAsia" w:ascii="仿宋" w:hAnsi="仿宋" w:eastAsia="仿宋" w:cs="仿宋"/>
                <w:color w:val="auto"/>
                <w:kern w:val="0"/>
                <w:sz w:val="24"/>
                <w:u w:val="single"/>
              </w:rPr>
              <w:t xml:space="preserve"> 本项目预留采购项目预算总金额的30%专门面向中小企业采购，其中预留给小微企业的比例</w:t>
            </w:r>
            <w:r>
              <w:rPr>
                <w:rFonts w:hint="eastAsia" w:ascii="仿宋" w:hAnsi="仿宋" w:eastAsia="仿宋" w:cs="仿宋"/>
                <w:color w:val="auto"/>
                <w:kern w:val="0"/>
                <w:sz w:val="24"/>
                <w:u w:val="single"/>
                <w:lang w:val="en-US" w:eastAsia="zh-CN"/>
              </w:rPr>
              <w:t>为</w:t>
            </w:r>
            <w:r>
              <w:rPr>
                <w:rFonts w:hint="eastAsia" w:ascii="仿宋" w:hAnsi="仿宋" w:eastAsia="仿宋" w:cs="仿宋"/>
                <w:color w:val="auto"/>
                <w:kern w:val="0"/>
                <w:sz w:val="24"/>
                <w:u w:val="single"/>
              </w:rPr>
              <w:t>60%。</w:t>
            </w:r>
            <w:r>
              <w:rPr>
                <w:rFonts w:hint="eastAsia" w:ascii="仿宋" w:hAnsi="仿宋" w:eastAsia="仿宋" w:cs="仿宋"/>
                <w:color w:val="auto"/>
                <w:kern w:val="0"/>
                <w:sz w:val="24"/>
              </w:rPr>
              <w:t>本项目以分包形式提供中小企业份额，必须提供签订的分包意向协议，否则</w:t>
            </w:r>
            <w:r>
              <w:rPr>
                <w:rFonts w:hint="eastAsia" w:ascii="仿宋" w:hAnsi="仿宋" w:eastAsia="仿宋" w:cs="仿宋"/>
                <w:color w:val="auto"/>
                <w:kern w:val="0"/>
                <w:sz w:val="24"/>
                <w:lang w:val="en-US" w:eastAsia="zh-CN"/>
              </w:rPr>
              <w:t>响应</w:t>
            </w:r>
            <w:r>
              <w:rPr>
                <w:rFonts w:hint="eastAsia" w:ascii="仿宋" w:hAnsi="仿宋" w:eastAsia="仿宋" w:cs="仿宋"/>
                <w:color w:val="auto"/>
                <w:kern w:val="0"/>
                <w:sz w:val="24"/>
              </w:rPr>
              <w:t>无效。</w:t>
            </w:r>
          </w:p>
          <w:p>
            <w:pPr>
              <w:pStyle w:val="149"/>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_GB2312" w:hAnsi="仿宋_GB2312" w:eastAsia="仿宋_GB2312" w:cs="仿宋_GB2312"/>
                <w:b/>
                <w:bCs/>
                <w:sz w:val="24"/>
                <w:szCs w:val="24"/>
              </w:rPr>
            </w:pPr>
            <w:r>
              <w:rPr>
                <w:rFonts w:hint="eastAsia" w:ascii="仿宋" w:hAnsi="仿宋" w:eastAsia="仿宋" w:cs="仿宋"/>
                <w:b/>
                <w:bCs/>
                <w:color w:val="auto"/>
                <w:kern w:val="0"/>
                <w:sz w:val="24"/>
              </w:rPr>
              <w:t>接受分包的第三人资质要求：</w:t>
            </w:r>
            <w:r>
              <w:rPr>
                <w:rFonts w:hint="eastAsia" w:ascii="仿宋" w:hAnsi="仿宋" w:eastAsia="仿宋" w:cs="仿宋"/>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12</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供货地点及时间</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bookmarkStart w:id="26" w:name="EBab956008dbe54ba7a71901d90aab5e33"/>
            <w:bookmarkEnd w:id="26"/>
            <w:r>
              <w:rPr>
                <w:rFonts w:hint="eastAsia" w:ascii="仿宋_GB2312" w:hAnsi="仿宋_GB2312" w:eastAsia="仿宋_GB2312" w:cs="仿宋_GB2312"/>
                <w:b/>
                <w:bCs/>
                <w:sz w:val="24"/>
                <w:szCs w:val="24"/>
              </w:rPr>
              <w:t>时间：</w:t>
            </w:r>
            <w:r>
              <w:rPr>
                <w:rFonts w:hint="eastAsia" w:ascii="仿宋_GB2312" w:hAnsi="仿宋_GB2312" w:eastAsia="仿宋_GB2312" w:cs="仿宋_GB2312"/>
                <w:sz w:val="24"/>
                <w:szCs w:val="24"/>
              </w:rPr>
              <w:t>合同签订后60个日历日内完成项目供货安装调试等</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地点：</w:t>
            </w:r>
            <w:r>
              <w:rPr>
                <w:rFonts w:hint="eastAsia" w:ascii="仿宋_GB2312" w:hAnsi="仿宋_GB2312" w:eastAsia="仿宋_GB2312" w:cs="仿宋_GB2312"/>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13</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货物质量目标</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rPr>
                <w:rFonts w:ascii="仿宋_GB2312" w:hAnsi="仿宋_GB2312" w:eastAsia="仿宋_GB2312" w:cs="仿宋_GB2312"/>
                <w:sz w:val="24"/>
              </w:rPr>
            </w:pPr>
            <w:r>
              <w:rPr>
                <w:rFonts w:hint="eastAsia" w:ascii="仿宋_GB2312" w:hAnsi="仿宋_GB2312" w:eastAsia="仿宋_GB2312" w:cs="仿宋_GB2312"/>
                <w:b/>
                <w:bCs/>
                <w:sz w:val="24"/>
                <w:szCs w:val="24"/>
              </w:rPr>
              <w:t>质量标准：</w:t>
            </w:r>
            <w:bookmarkStart w:id="27" w:name="EB842ea8786d484386adc9fd3f4803a0e9"/>
            <w:bookmarkEnd w:id="27"/>
            <w:r>
              <w:rPr>
                <w:rFonts w:hint="eastAsia" w:ascii="仿宋_GB2312" w:hAnsi="仿宋_GB2312" w:eastAsia="仿宋_GB2312" w:cs="仿宋_GB2312"/>
                <w:sz w:val="24"/>
                <w:szCs w:val="24"/>
              </w:rPr>
              <w:t>必须完全符合采购需求（包括技术参数及商务要求）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14</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质保期</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采购清单内</w:t>
            </w:r>
            <w:r>
              <w:rPr>
                <w:rFonts w:ascii="仿宋_GB2312" w:hAnsi="仿宋" w:eastAsia="仿宋_GB2312" w:cs="仿宋"/>
                <w:color w:val="auto"/>
                <w:kern w:val="0"/>
                <w:sz w:val="24"/>
                <w:szCs w:val="24"/>
                <w:highlight w:val="none"/>
              </w:rPr>
              <w:t>一般设备质保期限为2年，技术要求中加</w:t>
            </w:r>
            <w:r>
              <w:rPr>
                <w:rFonts w:ascii="仿宋_GB2312" w:hAnsi="仿宋" w:eastAsia="仿宋_GB2312" w:cs="仿宋"/>
                <w:b w:val="0"/>
                <w:bCs w:val="0"/>
                <w:color w:val="auto"/>
                <w:kern w:val="0"/>
                <w:sz w:val="24"/>
                <w:szCs w:val="24"/>
                <w:highlight w:val="none"/>
              </w:rPr>
              <w:t>“</w:t>
            </w:r>
            <w:r>
              <w:rPr>
                <w:rFonts w:hint="eastAsia" w:ascii="东文宋体" w:hAnsi="东文宋体" w:eastAsia="东文宋体" w:cs="东文宋体"/>
                <w:b w:val="0"/>
                <w:bCs w:val="0"/>
                <w:color w:val="auto"/>
                <w:kern w:val="0"/>
                <w:sz w:val="24"/>
                <w:szCs w:val="23"/>
                <w:highlight w:val="none"/>
              </w:rPr>
              <w:t>▲</w:t>
            </w:r>
            <w:r>
              <w:rPr>
                <w:rFonts w:hint="eastAsia" w:ascii="仿宋_GB2312" w:hAnsi="仿宋" w:eastAsia="仿宋_GB2312" w:cs="仿宋"/>
                <w:b w:val="0"/>
                <w:bCs w:val="0"/>
                <w:color w:val="auto"/>
                <w:kern w:val="0"/>
                <w:sz w:val="24"/>
                <w:szCs w:val="23"/>
                <w:highlight w:val="none"/>
              </w:rPr>
              <w:t>”</w:t>
            </w:r>
            <w:r>
              <w:rPr>
                <w:rFonts w:hint="eastAsia" w:ascii="仿宋_GB2312" w:hAnsi="仿宋_GB2312" w:eastAsia="仿宋_GB2312" w:cs="仿宋_GB2312"/>
                <w:color w:val="auto"/>
                <w:sz w:val="24"/>
                <w:szCs w:val="24"/>
                <w:highlight w:val="none"/>
                <w:lang w:val="en-US" w:eastAsia="zh-CN"/>
              </w:rPr>
              <w:t>设备（系统）</w:t>
            </w:r>
            <w:r>
              <w:rPr>
                <w:rFonts w:hint="eastAsia" w:ascii="仿宋_GB2312" w:hAnsi="仿宋_GB2312" w:eastAsia="仿宋_GB2312" w:cs="仿宋_GB2312"/>
                <w:color w:val="auto"/>
                <w:sz w:val="24"/>
                <w:szCs w:val="24"/>
                <w:highlight w:val="none"/>
              </w:rPr>
              <w:t>质保期限为3年。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宋体" w:eastAsia="仿宋_GB2312" w:cs="宋体"/>
                <w:b/>
                <w:bCs/>
                <w:sz w:val="24"/>
                <w:lang w:eastAsia="zh-CN"/>
              </w:rPr>
            </w:pPr>
            <w:r>
              <w:rPr>
                <w:rFonts w:hint="eastAsia" w:ascii="仿宋_GB2312" w:hAnsi="宋体" w:eastAsia="仿宋_GB2312" w:cs="宋体"/>
                <w:b/>
                <w:bCs/>
                <w:sz w:val="24"/>
              </w:rPr>
              <w:t>1</w:t>
            </w:r>
            <w:r>
              <w:rPr>
                <w:rFonts w:hint="eastAsia" w:ascii="仿宋_GB2312" w:hAnsi="宋体" w:eastAsia="仿宋_GB2312" w:cs="宋体"/>
                <w:b/>
                <w:bCs/>
                <w:sz w:val="24"/>
                <w:lang w:val="en-US" w:eastAsia="zh-CN"/>
              </w:rPr>
              <w:t>5</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信誉要求（不良行为记录）</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bookmarkStart w:id="28" w:name="EB797d1b4079594a778b9f2da7a47c4236"/>
            <w:bookmarkEnd w:id="28"/>
            <w:r>
              <w:rPr>
                <w:rFonts w:hint="eastAsia" w:ascii="仿宋_GB2312" w:hAnsi="仿宋_GB2312" w:eastAsia="仿宋_GB2312" w:cs="仿宋_GB2312"/>
                <w:sz w:val="24"/>
                <w:szCs w:val="24"/>
              </w:rPr>
              <w:t>满足《中华人民共和国政府采购法》第二十二条以及《中华人民共和国政府采购法实施条例》第十七条规定。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宋体" w:eastAsia="仿宋_GB2312" w:cs="宋体"/>
                <w:b/>
                <w:bCs/>
                <w:sz w:val="24"/>
                <w:lang w:eastAsia="zh-CN"/>
              </w:rPr>
            </w:pPr>
            <w:r>
              <w:rPr>
                <w:rFonts w:hint="eastAsia" w:ascii="仿宋_GB2312" w:hAnsi="宋体" w:eastAsia="仿宋_GB2312" w:cs="宋体"/>
                <w:b/>
                <w:bCs/>
                <w:sz w:val="24"/>
              </w:rPr>
              <w:t>1</w:t>
            </w:r>
            <w:r>
              <w:rPr>
                <w:rFonts w:hint="eastAsia" w:ascii="仿宋_GB2312" w:hAnsi="宋体" w:eastAsia="仿宋_GB2312" w:cs="宋体"/>
                <w:b/>
                <w:bCs/>
                <w:sz w:val="24"/>
                <w:lang w:val="en-US" w:eastAsia="zh-CN"/>
              </w:rPr>
              <w:t>6</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供应商资格要求</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资格要求：</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1.满足《中华人民共和国政府采购法》第二十二条规定；</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szCs w:val="24"/>
              </w:rPr>
              <w:t>2.落实政府采购政策需满足的资格要求：非专门面向中小企业，供应商须以合同分包形式参与</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分包意向协议</w:t>
            </w:r>
            <w:r>
              <w:rPr>
                <w:rFonts w:hint="eastAsia" w:ascii="仿宋_GB2312" w:hAnsi="仿宋_GB2312" w:eastAsia="仿宋_GB2312" w:cs="仿宋_GB2312"/>
                <w:sz w:val="24"/>
                <w:szCs w:val="24"/>
              </w:rPr>
              <w:t>中中小企业合同金额应当达到的比例为30%，其中小微企业所占比例不低于60%。</w:t>
            </w:r>
            <w:r>
              <w:rPr>
                <w:rFonts w:hint="eastAsia" w:ascii="仿宋_GB2312" w:hAnsi="仿宋_GB2312" w:eastAsia="仿宋_GB2312" w:cs="仿宋_GB2312"/>
                <w:sz w:val="24"/>
                <w:szCs w:val="24"/>
                <w:lang w:eastAsia="zh-CN"/>
              </w:rPr>
              <w:t>分包意向协议</w:t>
            </w:r>
            <w:r>
              <w:rPr>
                <w:rFonts w:hint="eastAsia" w:ascii="仿宋_GB2312" w:hAnsi="仿宋_GB2312" w:eastAsia="仿宋_GB2312" w:cs="仿宋_GB2312"/>
                <w:sz w:val="24"/>
                <w:szCs w:val="24"/>
              </w:rPr>
              <w:t>（格式自拟）及报价明细表中均应注明具体分包内容及金额，报价明细表中注明制造商为微型、小型、中型的，必须在中小企业声明函中列明标的及对应的制造商信息，对于未达到规定比例的，将认定为不响应谈判文件，作无效标处理。</w:t>
            </w:r>
          </w:p>
          <w:p>
            <w:pPr>
              <w:widowControl/>
              <w:snapToGrid w:val="0"/>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color w:val="auto"/>
                <w:sz w:val="24"/>
              </w:rPr>
              <w:t>3.本项目的特定资格要求：</w:t>
            </w:r>
            <w:r>
              <w:rPr>
                <w:rFonts w:hint="eastAsia" w:ascii="仿宋" w:hAnsi="仿宋" w:eastAsia="仿宋" w:cs="仿宋"/>
                <w:b/>
                <w:bCs/>
                <w:color w:val="auto"/>
                <w:kern w:val="0"/>
                <w:lang w:val="en-US" w:eastAsia="zh-CN"/>
              </w:rPr>
              <w:t>具备有效期内的电子与智能化工程专业承包（二级及以上）资质及安全生产许可证、拟派项目负责人具有二级及以上建造师注册证书（机电工程专业）及安考证。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宋体" w:eastAsia="仿宋_GB2312" w:cs="宋体"/>
                <w:b/>
                <w:bCs/>
                <w:sz w:val="24"/>
                <w:lang w:eastAsia="zh-CN"/>
              </w:rPr>
            </w:pPr>
            <w:r>
              <w:rPr>
                <w:rFonts w:hint="eastAsia" w:ascii="仿宋_GB2312" w:hAnsi="宋体" w:eastAsia="仿宋_GB2312" w:cs="宋体"/>
                <w:b/>
                <w:bCs/>
                <w:sz w:val="24"/>
              </w:rPr>
              <w:t>1</w:t>
            </w:r>
            <w:r>
              <w:rPr>
                <w:rFonts w:hint="eastAsia" w:ascii="仿宋_GB2312" w:hAnsi="宋体" w:eastAsia="仿宋_GB2312" w:cs="宋体"/>
                <w:b/>
                <w:bCs/>
                <w:sz w:val="24"/>
                <w:lang w:val="en-US" w:eastAsia="zh-CN"/>
              </w:rPr>
              <w:t>7</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中小企业要求</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b/>
                <w:bCs/>
                <w:sz w:val="24"/>
                <w:szCs w:val="24"/>
              </w:rPr>
            </w:pPr>
            <w:r>
              <w:rPr>
                <w:rFonts w:hint="eastAsia" w:ascii="仿宋_GB2312" w:hAnsi="仿宋_GB2312" w:eastAsia="仿宋_GB2312" w:cs="仿宋_GB2312"/>
                <w:sz w:val="24"/>
                <w:szCs w:val="24"/>
              </w:rPr>
              <w:t>非专门面向中小企业，供应商需以合同分包形式参与</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分包意向协议</w:t>
            </w:r>
            <w:r>
              <w:rPr>
                <w:rFonts w:hint="eastAsia" w:ascii="仿宋_GB2312" w:hAnsi="仿宋_GB2312" w:eastAsia="仿宋_GB2312" w:cs="仿宋_GB2312"/>
                <w:sz w:val="24"/>
                <w:szCs w:val="24"/>
              </w:rPr>
              <w:t>中中小企业合同金额应当达到的比例为30%，其中小微企业所占比例不低于60%。</w:t>
            </w:r>
            <w:r>
              <w:rPr>
                <w:rFonts w:hint="eastAsia" w:ascii="仿宋_GB2312" w:hAnsi="仿宋_GB2312" w:eastAsia="仿宋_GB2312" w:cs="仿宋_GB2312"/>
                <w:sz w:val="24"/>
                <w:szCs w:val="24"/>
                <w:lang w:eastAsia="zh-CN"/>
              </w:rPr>
              <w:t>分包意向协议</w:t>
            </w:r>
            <w:r>
              <w:rPr>
                <w:rFonts w:hint="eastAsia" w:ascii="仿宋_GB2312" w:hAnsi="仿宋_GB2312" w:eastAsia="仿宋_GB2312" w:cs="仿宋_GB2312"/>
                <w:sz w:val="24"/>
                <w:szCs w:val="24"/>
              </w:rPr>
              <w:t>（格式自拟）及报价明细表中均应注明具体分包内容及金额，报价明细表中注明制造商为微型、小型、中型的，必须在中小企业声明函中列明标的及对应的制造商信息，对于未达到规定比例的，将认定为不响应招标文件，作无效标处理。</w:t>
            </w:r>
            <w:r>
              <w:rPr>
                <w:rFonts w:hint="eastAsia" w:ascii="仿宋_GB2312" w:hAnsi="仿宋_GB2312" w:eastAsia="仿宋_GB2312" w:cs="仿宋_GB2312"/>
                <w:b/>
                <w:bCs/>
                <w:sz w:val="24"/>
                <w:szCs w:val="24"/>
              </w:rPr>
              <w:t>中小企业声明函与</w:t>
            </w:r>
            <w:r>
              <w:rPr>
                <w:rFonts w:hint="eastAsia" w:ascii="仿宋_GB2312" w:hAnsi="仿宋_GB2312" w:eastAsia="仿宋_GB2312" w:cs="仿宋_GB2312"/>
                <w:b/>
                <w:bCs/>
                <w:sz w:val="24"/>
                <w:szCs w:val="24"/>
                <w:lang w:eastAsia="zh-CN"/>
              </w:rPr>
              <w:t>分包意向协议</w:t>
            </w:r>
            <w:r>
              <w:rPr>
                <w:rFonts w:hint="eastAsia" w:ascii="仿宋_GB2312" w:hAnsi="仿宋_GB2312" w:eastAsia="仿宋_GB2312" w:cs="仿宋_GB2312"/>
                <w:b/>
                <w:bCs/>
                <w:sz w:val="24"/>
                <w:szCs w:val="24"/>
              </w:rPr>
              <w:t>必须提供。残疾人福利性单位及监狱企业视同中小企业，提供《残疾人福利性单位声明函》或《监狱企业证明》，（具体格式详见第六部分</w:t>
            </w:r>
            <w:r>
              <w:rPr>
                <w:rFonts w:hint="eastAsia" w:ascii="仿宋_GB2312" w:hAnsi="仿宋_GB2312" w:eastAsia="仿宋_GB2312" w:cs="仿宋_GB2312"/>
                <w:b/>
                <w:bCs/>
                <w:sz w:val="24"/>
                <w:szCs w:val="24"/>
                <w:lang w:eastAsia="zh-CN"/>
              </w:rPr>
              <w:t>响应文件</w:t>
            </w:r>
            <w:r>
              <w:rPr>
                <w:rFonts w:hint="eastAsia" w:ascii="仿宋_GB2312" w:hAnsi="仿宋_GB2312" w:eastAsia="仿宋_GB2312" w:cs="仿宋_GB2312"/>
                <w:b/>
                <w:bCs/>
                <w:sz w:val="24"/>
                <w:szCs w:val="24"/>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18</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仿宋_GB2312" w:eastAsia="仿宋_GB2312" w:cs="仿宋_GB2312"/>
                <w:b/>
                <w:bCs/>
                <w:sz w:val="24"/>
                <w:szCs w:val="24"/>
                <w:highlight w:val="green"/>
                <w:lang w:val="en-US" w:eastAsia="zh-CN"/>
              </w:rPr>
            </w:pPr>
            <w:r>
              <w:rPr>
                <w:rFonts w:hint="eastAsia" w:ascii="仿宋_GB2312" w:hAnsi="仿宋_GB2312" w:eastAsia="仿宋_GB2312" w:cs="仿宋_GB2312"/>
                <w:b/>
                <w:bCs/>
                <w:sz w:val="24"/>
                <w:szCs w:val="24"/>
                <w:lang w:val="en-US" w:eastAsia="zh-CN"/>
              </w:rPr>
              <w:t>中小企业扶持政策</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beforeLines="0" w:line="28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按照《新疆维吾尔自治区政府采购促进中小企业发展管理实施办法》（新财规〔2021〕6号）</w:t>
            </w:r>
            <w:r>
              <w:rPr>
                <w:rFonts w:hint="eastAsia" w:ascii="仿宋_GB2312" w:hAnsi="仿宋_GB2312" w:eastAsia="仿宋_GB2312" w:cs="仿宋_GB2312"/>
                <w:sz w:val="24"/>
                <w:szCs w:val="24"/>
                <w:lang w:val="en-US" w:eastAsia="zh-CN"/>
              </w:rPr>
              <w:t>规定</w:t>
            </w:r>
            <w:r>
              <w:rPr>
                <w:rFonts w:hint="eastAsia" w:ascii="仿宋_GB2312" w:hAnsi="仿宋_GB2312" w:eastAsia="仿宋_GB2312" w:cs="仿宋_GB2312"/>
                <w:sz w:val="24"/>
                <w:szCs w:val="24"/>
              </w:rPr>
              <w:t>落实中小企业、残疾人福利性单位、监狱企业扶持政策</w:t>
            </w:r>
            <w:r>
              <w:rPr>
                <w:rFonts w:hint="eastAsia" w:ascii="仿宋_GB2312" w:hAnsi="仿宋_GB2312" w:eastAsia="仿宋_GB2312" w:cs="仿宋_GB2312"/>
                <w:sz w:val="24"/>
                <w:szCs w:val="24"/>
                <w:lang w:eastAsia="zh-CN"/>
              </w:rPr>
              <w:t>。</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1.中小企业报价的价格扣除</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（1）本项目</w:t>
            </w:r>
            <w:r>
              <w:rPr>
                <w:rFonts w:hint="eastAsia" w:ascii="仿宋_GB2312" w:hAnsi="仿宋_GB2312" w:eastAsia="仿宋_GB2312" w:cs="仿宋_GB2312"/>
                <w:sz w:val="24"/>
                <w:szCs w:val="24"/>
                <w:lang w:val="en-US" w:eastAsia="zh-CN"/>
              </w:rPr>
              <w:t>预留中小企业份额，不再进行价格扣除。</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谈判</w:t>
            </w:r>
            <w:r>
              <w:rPr>
                <w:rFonts w:hint="eastAsia" w:ascii="仿宋_GB2312" w:hAnsi="仿宋_GB2312" w:eastAsia="仿宋_GB2312" w:cs="仿宋_GB2312"/>
                <w:sz w:val="24"/>
                <w:szCs w:val="24"/>
              </w:rPr>
              <w:t>供应商需按照采购文件的要求提供《中小企业声明函》，否则</w:t>
            </w:r>
            <w:r>
              <w:rPr>
                <w:rFonts w:hint="eastAsia" w:ascii="仿宋_GB2312" w:hAnsi="仿宋_GB2312" w:eastAsia="仿宋_GB2312" w:cs="仿宋_GB2312"/>
                <w:sz w:val="24"/>
                <w:szCs w:val="24"/>
                <w:lang w:val="en-US" w:eastAsia="zh-CN"/>
              </w:rPr>
              <w:t>响应无效</w:t>
            </w:r>
            <w:r>
              <w:rPr>
                <w:rFonts w:hint="eastAsia" w:ascii="仿宋_GB2312" w:hAnsi="仿宋_GB2312" w:eastAsia="仿宋_GB2312" w:cs="仿宋_GB2312"/>
                <w:sz w:val="24"/>
                <w:szCs w:val="24"/>
              </w:rPr>
              <w:t>。</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《中小企业声明函》模版详见第六章“</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格式”。</w:t>
            </w:r>
          </w:p>
          <w:p>
            <w:pPr>
              <w:spacing w:before="0" w:beforeLines="0" w:line="280" w:lineRule="exact"/>
              <w:ind w:firstLine="14" w:firstLineChars="6"/>
              <w:jc w:val="left"/>
              <w:rPr>
                <w:rFonts w:hint="eastAsia" w:ascii="仿宋_GB2312" w:hAnsi="仿宋_GB2312" w:eastAsia="仿宋_GB2312" w:cs="仿宋_GB2312"/>
              </w:rPr>
            </w:pPr>
            <w:r>
              <w:rPr>
                <w:rFonts w:hint="eastAsia" w:ascii="仿宋_GB2312" w:hAnsi="仿宋_GB2312" w:eastAsia="仿宋_GB2312" w:cs="仿宋_GB2312"/>
                <w:sz w:val="24"/>
                <w:szCs w:val="24"/>
              </w:rPr>
              <w:t>（3）企业标准请参照《关于印发中小企业划型标准规定的通知》（工信部联企业[2011]300号）文件规定自行填写。</w:t>
            </w:r>
            <w:r>
              <w:rPr>
                <w:rFonts w:hint="eastAsia" w:ascii="仿宋_GB2312" w:hAnsi="仿宋_GB2312" w:eastAsia="仿宋_GB2312" w:cs="仿宋_GB2312"/>
                <w:b w:val="0"/>
                <w:bCs w:val="0"/>
                <w:sz w:val="24"/>
                <w:szCs w:val="24"/>
                <w:u w:val="single"/>
                <w:lang w:val="en-US" w:eastAsia="zh-CN"/>
              </w:rPr>
              <w:t>行业</w:t>
            </w:r>
            <w:r>
              <w:rPr>
                <w:rFonts w:hint="eastAsia" w:ascii="仿宋_GB2312" w:hAnsi="仿宋_GB2312" w:eastAsia="仿宋_GB2312" w:cs="仿宋_GB2312"/>
                <w:b w:val="0"/>
                <w:bCs w:val="0"/>
                <w:sz w:val="24"/>
                <w:szCs w:val="24"/>
                <w:u w:val="single"/>
              </w:rPr>
              <w:t>属于工业（制造业）</w:t>
            </w:r>
            <w:r>
              <w:rPr>
                <w:rFonts w:hint="eastAsia" w:ascii="仿宋_GB2312" w:hAnsi="仿宋_GB2312" w:eastAsia="仿宋_GB2312" w:cs="仿宋_GB2312"/>
                <w:sz w:val="24"/>
                <w:szCs w:val="24"/>
              </w:rPr>
              <w:t>。</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2.残疾人福利性单位报价的价格扣除</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（1）残疾人福利性单位视同小型、微型企业，享受预留份额。</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（2）残疾人福利性单位需按照采购文件的要求提供《残疾人福利性单位声明函》。</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（3）残疾人福利性单位标准请参照《关于促进残疾人就业政府采购政策的通知》（财库〔2017〕141号）。</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3.监狱和戒毒企业报价的价格扣除</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（1）本项目对监狱和戒毒企业（简称监狱企业）视同小型、微型企业</w:t>
            </w:r>
            <w:r>
              <w:rPr>
                <w:rFonts w:hint="eastAsia" w:ascii="仿宋_GB2312" w:hAnsi="仿宋_GB2312" w:eastAsia="仿宋_GB2312" w:cs="仿宋_GB2312"/>
                <w:sz w:val="24"/>
                <w:szCs w:val="24"/>
                <w:lang w:eastAsia="zh-CN"/>
              </w:rPr>
              <w:t>，享受预留份额</w:t>
            </w:r>
            <w:r>
              <w:rPr>
                <w:rFonts w:hint="eastAsia" w:ascii="仿宋_GB2312" w:hAnsi="仿宋_GB2312" w:eastAsia="仿宋_GB2312" w:cs="仿宋_GB2312"/>
                <w:sz w:val="24"/>
                <w:szCs w:val="24"/>
              </w:rPr>
              <w:t>。</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pacing w:before="0" w:beforeLines="0" w:line="280" w:lineRule="exact"/>
              <w:ind w:firstLine="14" w:firstLineChars="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（3）监狱企业标准请参照《关于政府采购支持监狱企业发展有关问题的通知》（财库[2014]68号）。</w:t>
            </w:r>
          </w:p>
          <w:p>
            <w:pPr>
              <w:pStyle w:val="148"/>
              <w:widowControl/>
              <w:snapToGrid w:val="0"/>
              <w:spacing w:beforeLines="0" w:line="280" w:lineRule="exact"/>
              <w:ind w:left="0" w:leftChars="0" w:right="0" w:rightChars="0" w:firstLine="0" w:firstLineChars="0"/>
              <w:jc w:val="left"/>
              <w:rPr>
                <w:rFonts w:hint="eastAsia" w:ascii="仿宋_GB2312" w:hAnsi="仿宋_GB2312" w:eastAsia="仿宋_GB2312" w:cs="仿宋_GB2312"/>
                <w:color w:val="auto"/>
                <w:sz w:val="24"/>
                <w:szCs w:val="24"/>
                <w:highlight w:val="green"/>
              </w:rPr>
            </w:pPr>
            <w:r>
              <w:rPr>
                <w:rFonts w:hint="eastAsia" w:ascii="仿宋_GB2312" w:hAnsi="仿宋_GB2312" w:eastAsia="仿宋_GB2312" w:cs="仿宋_GB2312"/>
                <w:sz w:val="24"/>
                <w:szCs w:val="24"/>
              </w:rPr>
              <w:t>4.残疾人福利单位、监狱企业属于小型、微型企业的，不重复享受政策。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19</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highlight w:val="none"/>
                <w:lang w:val="en-US" w:eastAsia="zh-CN"/>
              </w:rPr>
              <w:t>支持本国产品</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none"/>
              </w:rPr>
              <w:t>适用 ——本项目严格执行《关于在政府采购中实施本国产品标准及相关政策的通知》（国办发〔2025〕34号）相关规定。</w:t>
            </w:r>
          </w:p>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供应商须对其</w:t>
            </w:r>
            <w:r>
              <w:rPr>
                <w:rFonts w:hint="eastAsia" w:ascii="仿宋_GB2312" w:hAnsi="仿宋_GB2312" w:eastAsia="仿宋_GB2312" w:cs="仿宋_GB2312"/>
                <w:color w:val="auto"/>
                <w:sz w:val="24"/>
                <w:szCs w:val="24"/>
                <w:highlight w:val="none"/>
                <w:u w:val="none"/>
                <w:lang w:val="en-US" w:eastAsia="zh-CN"/>
              </w:rPr>
              <w:t>响应</w:t>
            </w:r>
            <w:r>
              <w:rPr>
                <w:rFonts w:hint="eastAsia" w:ascii="仿宋_GB2312" w:hAnsi="仿宋_GB2312" w:eastAsia="仿宋_GB2312" w:cs="仿宋_GB2312"/>
                <w:color w:val="auto"/>
                <w:sz w:val="24"/>
                <w:szCs w:val="24"/>
                <w:highlight w:val="none"/>
                <w:u w:val="none"/>
              </w:rPr>
              <w:t>产品是否属于本国产品作出声明，并提供《关于符合本国产品标准的声明函》（格式见第六部分）。未提供声明函的，相关产品不享受价格评审优惠。</w:t>
            </w:r>
          </w:p>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本国产品标准适用于货物，包括政府采购货物项目和服务项目中涉及的货物。 适用本国产品标准的货物具体是指《政府采购品目分类目录》中的货物类产品，但不包括其中的房屋和构筑物，文物和陈列品，图书和档案，特种动植物，农林牧渔 业产品，矿与矿物，电力、城市燃气、蒸汽和热水、水，食品、饮料和烟草原料， 无形资产。</w:t>
            </w:r>
          </w:p>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既有本国产品又有非本国产品参与竞争的，依法对本国产品给 予价格评审优惠，对本国产品的报价给予20%的价格扣除，用扣除后的价格参与评 审。 当采购项目或者采购包中含有多种产品，供应商为该采购项目或者采购包提供 的符合本国产品标准的产品成本之和占该供应商提供的全部产品成本之和的比例达到80%以上时，依法对该供应商提供的全部产品给予价格评审优惠，即对该供应商提 供的全部产品的总报价给予20%的价格扣除，用扣除后的价格参与评审。</w:t>
            </w:r>
          </w:p>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评审委员会将对声明函内容进行审查，必要时要求澄清。提供虚假声明的，按无效</w:t>
            </w:r>
            <w:r>
              <w:rPr>
                <w:rFonts w:hint="eastAsia" w:ascii="仿宋_GB2312" w:hAnsi="仿宋_GB2312" w:eastAsia="仿宋_GB2312" w:cs="仿宋_GB2312"/>
                <w:color w:val="auto"/>
                <w:sz w:val="24"/>
                <w:szCs w:val="24"/>
                <w:highlight w:val="none"/>
                <w:u w:val="none"/>
                <w:lang w:val="en-US" w:eastAsia="zh-CN"/>
              </w:rPr>
              <w:t>响应</w:t>
            </w:r>
            <w:r>
              <w:rPr>
                <w:rFonts w:hint="eastAsia" w:ascii="仿宋_GB2312" w:hAnsi="仿宋_GB2312" w:eastAsia="仿宋_GB2312" w:cs="仿宋_GB2312"/>
                <w:color w:val="auto"/>
                <w:sz w:val="24"/>
                <w:szCs w:val="24"/>
                <w:highlight w:val="none"/>
                <w:u w:val="none"/>
              </w:rPr>
              <w:t>处理并依法追责。</w:t>
            </w:r>
          </w:p>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lang w:val="en-US" w:eastAsia="zh-CN"/>
              </w:rPr>
              <w:t>详见《国务院办公厅关于在政府采购中实施本国产品标准及相关政策的通知》（国办发〔2025〕34号）</w:t>
            </w:r>
          </w:p>
          <w:p>
            <w:pPr>
              <w:pStyle w:val="148"/>
              <w:widowControl/>
              <w:snapToGrid w:val="0"/>
              <w:spacing w:line="240" w:lineRule="auto"/>
              <w:ind w:left="0" w:leftChars="0" w:right="0" w:rightChars="0" w:firstLine="0" w:firstLineChars="0"/>
              <w:jc w:val="left"/>
              <w:rPr>
                <w:rFonts w:hint="eastAsia" w:ascii="仿宋_GB2312" w:hAnsi="仿宋_GB2312" w:eastAsia="仿宋_GB2312" w:cs="仿宋_GB2312"/>
                <w:color w:val="auto"/>
                <w:sz w:val="24"/>
                <w:szCs w:val="24"/>
                <w:highlight w:val="red"/>
              </w:rPr>
            </w:pP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20</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节能、环保产品要求</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napToGrid w:val="0"/>
              <w:ind w:left="0" w:leftChars="0" w:right="0" w:rightChars="0" w:firstLine="0"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采购项目中，“PC客户端、监控计算机”属于需要强制性采购的节能产品，供应商应在响应时提供上述产品的有效的节能产品认证证书（达到一级或二级能效），未提供有效证书或证书中产品型号与响应型号无法对应的，符合性审查不予通过。</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本采购项目中“综合安防管理平台服务器、128路网络视频存储服务器、网络服务器、55寸LCD显示单元、32路硬盘录像机、解码器、报警主机、高清红外半球摄像机、高清红外枪式摄像机、高清红外枪式摄像机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含</w:t>
            </w:r>
            <w:r>
              <w:rPr>
                <w:rFonts w:hint="eastAsia" w:ascii="仿宋_GB2312" w:hAnsi="仿宋_GB2312" w:eastAsia="仿宋_GB2312" w:cs="仿宋_GB2312"/>
                <w:color w:val="auto"/>
                <w:sz w:val="24"/>
                <w:szCs w:val="24"/>
                <w:highlight w:val="none"/>
              </w:rPr>
              <w:t>音频接口</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清网络球型摄像机、电梯专用摄像机”为优先采购具有环境标志产品，每提供1项环境标志产品认证证书的，且证书产品型号与所投产品一致的，享受最终报价的0.1%的价格扣除，本项最高享受1.2%的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21</w:t>
            </w:r>
          </w:p>
        </w:tc>
        <w:tc>
          <w:tcPr>
            <w:tcW w:w="276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spacing w:line="240" w:lineRule="auto"/>
              <w:ind w:left="0" w:leftChars="0" w:right="0" w:rightChars="0" w:firstLine="0" w:firstLineChars="0"/>
              <w:jc w:val="center"/>
              <w:rPr>
                <w:rFonts w:ascii="仿宋_GB2312" w:hAnsi="仿宋" w:eastAsia="仿宋_GB2312" w:cs="仿宋"/>
                <w:b/>
                <w:sz w:val="24"/>
              </w:rPr>
            </w:pPr>
            <w:r>
              <w:rPr>
                <w:rFonts w:hint="eastAsia" w:ascii="仿宋_GB2312" w:hAnsi="仿宋" w:eastAsia="仿宋_GB2312" w:cs="仿宋"/>
                <w:b/>
                <w:sz w:val="24"/>
              </w:rPr>
              <w:t>接受质疑部门</w:t>
            </w:r>
          </w:p>
        </w:tc>
        <w:tc>
          <w:tcPr>
            <w:tcW w:w="558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widowControl/>
              <w:snapToGrid w:val="0"/>
              <w:spacing w:line="240" w:lineRule="auto"/>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质疑接收部门：吐鲁番市文物局</w:t>
            </w:r>
          </w:p>
          <w:p>
            <w:pPr>
              <w:widowControl/>
              <w:snapToGrid w:val="0"/>
              <w:spacing w:line="240" w:lineRule="auto"/>
              <w:ind w:left="0" w:leftChars="0" w:right="0" w:righ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lang w:val="zh-CN"/>
              </w:rPr>
              <w:t>地址：</w:t>
            </w:r>
            <w:r>
              <w:rPr>
                <w:rFonts w:hint="eastAsia" w:ascii="仿宋_GB2312" w:hAnsi="仿宋_GB2312" w:eastAsia="仿宋_GB2312" w:cs="仿宋_GB2312"/>
                <w:sz w:val="24"/>
              </w:rPr>
              <w:t>吐鲁番市高昌区木纳尔路 1268 号</w:t>
            </w:r>
          </w:p>
          <w:p>
            <w:pPr>
              <w:pStyle w:val="149"/>
              <w:snapToGrid w:val="0"/>
              <w:spacing w:line="240" w:lineRule="auto"/>
              <w:ind w:left="0" w:leftChars="0" w:right="0" w:rightChars="0" w:firstLine="0" w:firstLineChars="0"/>
              <w:jc w:val="left"/>
              <w:rPr>
                <w:rFonts w:ascii="仿宋_GB2312" w:hAnsi="仿宋" w:eastAsia="仿宋_GB2312" w:cs="仿宋"/>
                <w:kern w:val="0"/>
                <w:sz w:val="24"/>
              </w:rPr>
            </w:pPr>
            <w:r>
              <w:rPr>
                <w:rFonts w:hint="eastAsia" w:ascii="仿宋_GB2312" w:hAnsi="仿宋_GB2312" w:eastAsia="仿宋_GB2312" w:cs="仿宋_GB2312"/>
                <w:sz w:val="24"/>
                <w:lang w:val="zh-CN"/>
              </w:rPr>
              <w:t>联系电话：</w:t>
            </w:r>
            <w:r>
              <w:rPr>
                <w:rFonts w:hint="eastAsia" w:ascii="仿宋_GB2312" w:hAnsi="仿宋_GB2312" w:eastAsia="仿宋_GB2312" w:cs="仿宋_GB2312"/>
                <w:sz w:val="24"/>
              </w:rPr>
              <w:t>18099955211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22</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踏勘现场</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bookmarkStart w:id="29" w:name="EB711ab04762684375a014a19528cf06dd"/>
            <w:bookmarkEnd w:id="29"/>
            <w:r>
              <w:rPr>
                <w:rFonts w:hint="eastAsia" w:ascii="仿宋_GB2312" w:hAnsi="仿宋_GB2312" w:eastAsia="仿宋_GB2312" w:cs="仿宋_GB2312"/>
                <w:sz w:val="24"/>
                <w:szCs w:val="24"/>
              </w:rPr>
              <w:t>☑不组织</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bookmarkStart w:id="30" w:name="EBafd1a84b6f804a9890ee96b9f6d8258d"/>
            <w:bookmarkEnd w:id="30"/>
            <w:r>
              <w:rPr>
                <w:rFonts w:hint="eastAsia" w:ascii="仿宋_GB2312" w:hAnsi="仿宋_GB2312" w:eastAsia="仿宋_GB2312" w:cs="仿宋_GB2312"/>
                <w:sz w:val="24"/>
                <w:szCs w:val="24"/>
              </w:rPr>
              <w:t>□组织</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踏勘时间：</w:t>
            </w:r>
            <w:bookmarkStart w:id="31" w:name="EB29d5e1ef164c4dffb6d1d51a9bb4054e"/>
            <w:bookmarkEnd w:id="31"/>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（具体时间）</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踏勘集中地点：</w:t>
            </w:r>
            <w:bookmarkStart w:id="32" w:name="EB7d3ba06a341f4914bebd605d4573d668"/>
            <w:bookmarkEnd w:id="32"/>
            <w:r>
              <w:rPr>
                <w:rFonts w:hint="eastAsia" w:ascii="仿宋_GB2312" w:hAnsi="仿宋_GB2312" w:eastAsia="仿宋_GB2312" w:cs="仿宋_GB2312"/>
                <w:sz w:val="24"/>
                <w:szCs w:val="24"/>
              </w:rPr>
              <w:t>/</w:t>
            </w:r>
          </w:p>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踏勘联系人及方式：/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23</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谈判响应有效期</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left"/>
              <w:rPr>
                <w:rFonts w:ascii="仿宋_GB2312" w:hAnsi="仿宋_GB2312" w:eastAsia="仿宋_GB2312" w:cs="仿宋_GB2312"/>
                <w:sz w:val="24"/>
                <w:szCs w:val="24"/>
              </w:rPr>
            </w:pPr>
            <w:bookmarkStart w:id="33" w:name="EBdaf02b35eef04948bb826c544b7758c6"/>
            <w:bookmarkEnd w:id="33"/>
            <w:r>
              <w:rPr>
                <w:rFonts w:hint="eastAsia" w:ascii="仿宋_GB2312" w:hAnsi="仿宋_GB2312" w:eastAsia="仿宋_GB2312" w:cs="仿宋_GB2312"/>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24</w:t>
            </w:r>
          </w:p>
        </w:tc>
        <w:tc>
          <w:tcPr>
            <w:tcW w:w="276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autoSpaceDE w:val="0"/>
              <w:autoSpaceDN w:val="0"/>
              <w:adjustRightInd w:val="0"/>
              <w:snapToGrid w:val="0"/>
              <w:spacing w:line="240" w:lineRule="auto"/>
              <w:ind w:left="0" w:leftChars="0" w:right="0" w:rightChars="0" w:firstLine="0" w:firstLineChars="0"/>
              <w:jc w:val="center"/>
              <w:rPr>
                <w:rFonts w:ascii="仿宋_GB2312" w:hAnsi="仿宋" w:eastAsia="仿宋_GB2312" w:cs="仿宋"/>
                <w:b/>
                <w:kern w:val="0"/>
                <w:sz w:val="24"/>
              </w:rPr>
            </w:pPr>
            <w:r>
              <w:rPr>
                <w:rFonts w:hint="eastAsia" w:ascii="仿宋_GB2312" w:hAnsi="仿宋" w:eastAsia="仿宋_GB2312" w:cs="仿宋"/>
                <w:b/>
                <w:kern w:val="0"/>
                <w:sz w:val="24"/>
              </w:rPr>
              <w:t>推荐家数</w:t>
            </w:r>
          </w:p>
        </w:tc>
        <w:tc>
          <w:tcPr>
            <w:tcW w:w="558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autoSpaceDE w:val="0"/>
              <w:autoSpaceDN w:val="0"/>
              <w:adjustRightInd w:val="0"/>
              <w:snapToGrid w:val="0"/>
              <w:spacing w:line="240" w:lineRule="auto"/>
              <w:ind w:left="0" w:leftChars="0" w:right="0" w:rightChars="0" w:firstLine="0" w:firstLineChars="0"/>
              <w:jc w:val="left"/>
              <w:rPr>
                <w:rFonts w:ascii="仿宋_GB2312" w:hAnsi="仿宋" w:eastAsia="仿宋_GB2312" w:cs="仿宋"/>
                <w:sz w:val="24"/>
              </w:rPr>
            </w:pPr>
            <w:r>
              <w:rPr>
                <w:rFonts w:hint="eastAsia" w:ascii="仿宋_GB2312" w:hAnsi="仿宋" w:eastAsia="仿宋_GB2312" w:cs="仿宋"/>
                <w:sz w:val="24"/>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Cs/>
                <w:kern w:val="0"/>
                <w:sz w:val="24"/>
                <w:szCs w:val="24"/>
                <w:lang w:val="en-US" w:eastAsia="zh-CN"/>
              </w:rPr>
            </w:pPr>
            <w:r>
              <w:rPr>
                <w:rFonts w:hint="eastAsia" w:ascii="仿宋_GB2312" w:hAnsi="宋体" w:eastAsia="仿宋_GB2312" w:cs="宋体"/>
                <w:b/>
                <w:bCs/>
                <w:sz w:val="24"/>
                <w:lang w:val="en-US" w:eastAsia="zh-CN"/>
              </w:rPr>
              <w:t>25</w:t>
            </w:r>
          </w:p>
        </w:tc>
        <w:tc>
          <w:tcPr>
            <w:tcW w:w="276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spacing w:line="240" w:lineRule="auto"/>
              <w:ind w:left="0" w:leftChars="0" w:right="0" w:rightChars="0" w:firstLine="0" w:firstLineChars="0"/>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履约保证金</w:t>
            </w:r>
          </w:p>
        </w:tc>
        <w:tc>
          <w:tcPr>
            <w:tcW w:w="558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ind w:left="0" w:leftChars="0" w:right="0" w:rightChars="0"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不需要</w:t>
            </w:r>
          </w:p>
          <w:p>
            <w:pPr>
              <w:pStyle w:val="149"/>
              <w:snapToGrid w:val="0"/>
              <w:ind w:left="0" w:leftChars="0" w:right="0" w:rightChars="0" w:firstLine="0" w:firstLineChars="0"/>
              <w:jc w:val="left"/>
              <w:rPr>
                <w:rFonts w:ascii="仿宋_GB2312" w:hAnsi="仿宋" w:eastAsia="仿宋_GB2312" w:cs="仿宋"/>
                <w:color w:val="auto"/>
                <w:sz w:val="24"/>
              </w:rPr>
            </w:pPr>
            <w:r>
              <w:rPr>
                <w:rFonts w:hint="eastAsia" w:ascii="仿宋_GB2312" w:hAnsi="仿宋_GB2312" w:eastAsia="仿宋_GB2312" w:cs="仿宋_GB2312"/>
                <w:color w:val="auto"/>
                <w:kern w:val="0"/>
                <w:sz w:val="24"/>
              </w:rPr>
              <w:t>□ 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spacing w:line="240" w:lineRule="auto"/>
              <w:ind w:left="0" w:leftChars="0" w:right="0" w:rightChars="0" w:firstLine="0" w:firstLineChars="0"/>
              <w:jc w:val="center"/>
              <w:rPr>
                <w:rFonts w:hint="default" w:ascii="仿宋_GB2312" w:hAnsi="宋体" w:eastAsia="仿宋_GB2312" w:cs="宋体"/>
                <w:bCs/>
                <w:kern w:val="0"/>
                <w:sz w:val="24"/>
                <w:lang w:val="en-US" w:eastAsia="zh-CN"/>
              </w:rPr>
            </w:pPr>
            <w:r>
              <w:rPr>
                <w:rFonts w:hint="eastAsia" w:ascii="仿宋_GB2312" w:hAnsi="宋体" w:cs="宋体"/>
                <w:bCs/>
                <w:kern w:val="0"/>
                <w:sz w:val="24"/>
                <w:lang w:val="en-US" w:eastAsia="zh-CN"/>
              </w:rPr>
              <w:t>26</w:t>
            </w:r>
          </w:p>
        </w:tc>
        <w:tc>
          <w:tcPr>
            <w:tcW w:w="276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响应文件签署和盖章</w:t>
            </w:r>
          </w:p>
        </w:tc>
        <w:tc>
          <w:tcPr>
            <w:tcW w:w="558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ind w:left="0" w:leftChars="0" w:right="0" w:rightChars="0" w:firstLine="0" w:firstLineChars="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1.</w:t>
            </w:r>
            <w:r>
              <w:rPr>
                <w:rFonts w:hint="eastAsia" w:ascii="仿宋_GB2312" w:hAnsi="仿宋_GB2312" w:eastAsia="仿宋_GB2312" w:cs="仿宋_GB2312"/>
                <w:kern w:val="0"/>
                <w:sz w:val="24"/>
              </w:rPr>
              <w:t>谈判文件</w:t>
            </w:r>
            <w:r>
              <w:rPr>
                <w:rFonts w:hint="eastAsia" w:ascii="仿宋_GB2312" w:hAnsi="仿宋_GB2312" w:eastAsia="仿宋_GB2312" w:cs="仿宋_GB2312"/>
                <w:kern w:val="0"/>
                <w:sz w:val="24"/>
                <w:lang w:val="zh-CN"/>
              </w:rPr>
              <w:t>要求供应商法定代表人或者被授权</w:t>
            </w:r>
            <w:r>
              <w:rPr>
                <w:rFonts w:hint="eastAsia" w:ascii="仿宋_GB2312" w:hAnsi="仿宋_GB2312" w:cs="仿宋_GB2312"/>
                <w:kern w:val="0"/>
                <w:sz w:val="24"/>
                <w:lang w:val="en-US" w:eastAsia="zh-CN"/>
              </w:rPr>
              <w:t>的</w:t>
            </w:r>
            <w:r>
              <w:rPr>
                <w:rFonts w:hint="eastAsia" w:ascii="仿宋_GB2312" w:hAnsi="仿宋_GB2312" w:eastAsia="仿宋_GB2312" w:cs="仿宋_GB2312"/>
                <w:kern w:val="0"/>
                <w:sz w:val="24"/>
                <w:lang w:val="zh-CN"/>
              </w:rPr>
              <w:t>代表签字处，均须本人签署（包括姓和名），不得由他人代签</w:t>
            </w:r>
            <w:r>
              <w:rPr>
                <w:rFonts w:hint="eastAsia" w:ascii="仿宋_GB2312" w:hAnsi="仿宋_GB2312" w:cs="仿宋_GB2312"/>
                <w:kern w:val="0"/>
                <w:sz w:val="24"/>
                <w:lang w:val="zh-CN"/>
              </w:rPr>
              <w:t>。</w:t>
            </w:r>
          </w:p>
          <w:p>
            <w:pPr>
              <w:pStyle w:val="149"/>
              <w:snapToGrid w:val="0"/>
              <w:ind w:left="0" w:leftChars="0" w:right="0" w:rightChars="0" w:firstLine="0" w:firstLineChars="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2.授权代表签字的，谈判响应文件应附法</w:t>
            </w:r>
            <w:r>
              <w:rPr>
                <w:rFonts w:hint="eastAsia" w:ascii="仿宋_GB2312" w:hAnsi="仿宋_GB2312" w:cs="仿宋_GB2312"/>
                <w:kern w:val="0"/>
                <w:sz w:val="24"/>
                <w:lang w:val="en-US" w:eastAsia="zh-CN"/>
              </w:rPr>
              <w:t>定代表</w:t>
            </w:r>
            <w:r>
              <w:rPr>
                <w:rFonts w:hint="eastAsia" w:ascii="仿宋_GB2312" w:hAnsi="仿宋_GB2312" w:eastAsia="仿宋_GB2312" w:cs="仿宋_GB2312"/>
                <w:kern w:val="0"/>
                <w:sz w:val="24"/>
                <w:lang w:val="zh-CN"/>
              </w:rPr>
              <w:t>人授权委托书。</w:t>
            </w:r>
          </w:p>
          <w:p>
            <w:pPr>
              <w:pStyle w:val="149"/>
              <w:snapToGrid w:val="0"/>
              <w:ind w:left="0" w:leftChars="0" w:right="0" w:rightChars="0" w:firstLine="0" w:firstLineChars="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zh-CN"/>
              </w:rPr>
              <w:t>.供应商在谈判响应文件以及相关书面文件中的单位盖章（包括印章、公章等）均指与供应商名称全称相一致的标准公章，不得使用其他形式（如带有“专用章”、“合同章”、“财务章”、“业务章”等）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spacing w:line="240" w:lineRule="auto"/>
              <w:ind w:left="0" w:leftChars="0" w:right="0" w:rightChars="0" w:firstLine="0" w:firstLineChars="0"/>
              <w:jc w:val="center"/>
              <w:rPr>
                <w:rFonts w:hint="default" w:ascii="仿宋_GB2312" w:hAnsi="宋体" w:eastAsia="仿宋_GB2312" w:cs="宋体"/>
                <w:bCs/>
                <w:kern w:val="0"/>
                <w:sz w:val="24"/>
                <w:lang w:val="en-US" w:eastAsia="zh-CN"/>
              </w:rPr>
            </w:pPr>
            <w:r>
              <w:rPr>
                <w:rFonts w:hint="eastAsia" w:ascii="仿宋_GB2312" w:hAnsi="宋体" w:cs="宋体"/>
                <w:bCs/>
                <w:kern w:val="0"/>
                <w:sz w:val="24"/>
                <w:lang w:val="en-US" w:eastAsia="zh-CN"/>
              </w:rPr>
              <w:t>27</w:t>
            </w:r>
          </w:p>
        </w:tc>
        <w:tc>
          <w:tcPr>
            <w:tcW w:w="276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8"/>
              <w:widowControl/>
              <w:snapToGrid w:val="0"/>
              <w:spacing w:line="240" w:lineRule="auto"/>
              <w:ind w:left="0" w:leftChars="0" w:right="0" w:rightChars="0" w:firstLine="0" w:firstLineChars="0"/>
              <w:jc w:val="center"/>
              <w:rPr>
                <w:rFonts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响应文件密封和标记</w:t>
            </w:r>
          </w:p>
        </w:tc>
        <w:tc>
          <w:tcPr>
            <w:tcW w:w="558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pStyle w:val="149"/>
              <w:snapToGrid w:val="0"/>
              <w:ind w:left="0" w:leftChars="0" w:right="0" w:rightChars="0" w:firstLine="0" w:firstLineChars="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谈判供应商不用现场谈判，按规定时间上传</w:t>
            </w:r>
            <w:r>
              <w:rPr>
                <w:rFonts w:hint="eastAsia" w:ascii="仿宋_GB2312" w:hAnsi="仿宋_GB2312" w:cs="仿宋_GB2312"/>
                <w:kern w:val="0"/>
                <w:sz w:val="24"/>
                <w:lang w:val="en-US" w:eastAsia="zh-CN"/>
              </w:rPr>
              <w:t>电子响应文件</w:t>
            </w:r>
            <w:r>
              <w:rPr>
                <w:rFonts w:hint="eastAsia" w:ascii="仿宋_GB2312" w:hAnsi="仿宋_GB2312" w:eastAsia="仿宋_GB2312" w:cs="仿宋_GB2312"/>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b/>
                <w:bCs/>
                <w:sz w:val="24"/>
                <w:lang w:val="en-US" w:eastAsia="zh-CN"/>
              </w:rPr>
            </w:pPr>
            <w:r>
              <w:rPr>
                <w:rFonts w:hint="eastAsia" w:ascii="仿宋_GB2312" w:hAnsi="宋体" w:eastAsia="仿宋_GB2312" w:cs="宋体"/>
                <w:b/>
                <w:bCs/>
                <w:sz w:val="24"/>
                <w:lang w:val="en-US" w:eastAsia="zh-CN"/>
              </w:rPr>
              <w:t>28</w:t>
            </w:r>
          </w:p>
        </w:tc>
        <w:tc>
          <w:tcPr>
            <w:tcW w:w="2766"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napToGrid w:val="0"/>
              <w:spacing w:line="240" w:lineRule="auto"/>
              <w:ind w:left="0" w:leftChars="0" w:right="0" w:rightChars="0" w:firstLine="0" w:firstLineChars="0"/>
              <w:jc w:val="center"/>
              <w:rPr>
                <w:rFonts w:ascii="仿宋_GB2312" w:hAnsi="宋体" w:eastAsia="仿宋_GB2312" w:cs="宋体"/>
                <w:b/>
                <w:bCs/>
                <w:sz w:val="24"/>
                <w:szCs w:val="22"/>
                <w:highlight w:val="none"/>
                <w:lang w:val="zh-CN" w:bidi="zh-CN"/>
              </w:rPr>
            </w:pPr>
            <w:r>
              <w:rPr>
                <w:rFonts w:hint="eastAsia" w:ascii="仿宋_GB2312" w:hAnsi="宋体" w:eastAsia="仿宋_GB2312" w:cs="宋体"/>
                <w:b/>
                <w:bCs/>
                <w:sz w:val="24"/>
                <w:szCs w:val="22"/>
                <w:highlight w:val="none"/>
                <w:lang w:bidi="zh-CN"/>
              </w:rPr>
              <w:t>谈判保证金</w:t>
            </w:r>
          </w:p>
        </w:tc>
        <w:tc>
          <w:tcPr>
            <w:tcW w:w="558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62" w:beforeLines="20" w:line="360" w:lineRule="auto"/>
              <w:ind w:left="0" w:leftChars="0" w:right="0" w:rightChars="0" w:firstLine="14" w:firstLineChars="6"/>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rPr>
              <w:t>一、</w:t>
            </w:r>
            <w:r>
              <w:rPr>
                <w:rFonts w:ascii="仿宋_GB2312" w:hAnsi="仿宋_GB2312" w:eastAsia="仿宋_GB2312" w:cs="仿宋_GB2312"/>
                <w:kern w:val="0"/>
                <w:sz w:val="24"/>
                <w:highlight w:val="none"/>
              </w:rPr>
              <w:t>谈判保证金金额</w:t>
            </w:r>
            <w:r>
              <w:rPr>
                <w:rFonts w:hint="eastAsia" w:ascii="仿宋_GB2312" w:hAnsi="仿宋_GB2312" w:eastAsia="仿宋_GB2312" w:cs="仿宋_GB2312"/>
                <w:kern w:val="0"/>
                <w:sz w:val="24"/>
                <w:highlight w:val="none"/>
              </w:rPr>
              <w:t>：</w:t>
            </w:r>
            <w:r>
              <w:rPr>
                <w:rFonts w:hint="eastAsia" w:ascii="仿宋_GB2312" w:hAnsi="仿宋_GB2312" w:cs="仿宋_GB2312"/>
                <w:kern w:val="0"/>
                <w:sz w:val="24"/>
                <w:highlight w:val="none"/>
                <w:lang w:val="en-US" w:eastAsia="zh-CN"/>
              </w:rPr>
              <w:t>40</w:t>
            </w:r>
            <w:r>
              <w:rPr>
                <w:rFonts w:hint="eastAsia" w:ascii="仿宋_GB2312" w:hAnsi="仿宋_GB2312" w:eastAsia="仿宋_GB2312" w:cs="仿宋_GB2312"/>
                <w:kern w:val="0"/>
                <w:sz w:val="24"/>
                <w:highlight w:val="none"/>
              </w:rPr>
              <w:t>000</w:t>
            </w:r>
            <w:r>
              <w:rPr>
                <w:rFonts w:ascii="仿宋_GB2312" w:hAnsi="仿宋_GB2312" w:eastAsia="仿宋_GB2312" w:cs="仿宋_GB2312"/>
                <w:kern w:val="0"/>
                <w:sz w:val="24"/>
                <w:highlight w:val="none"/>
              </w:rPr>
              <w:t>元整（大写：</w:t>
            </w:r>
            <w:r>
              <w:rPr>
                <w:rFonts w:hint="eastAsia" w:ascii="仿宋_GB2312" w:hAnsi="仿宋_GB2312" w:cs="仿宋_GB2312"/>
                <w:kern w:val="0"/>
                <w:sz w:val="24"/>
                <w:highlight w:val="none"/>
                <w:lang w:val="en-US" w:eastAsia="zh-CN"/>
              </w:rPr>
              <w:t>肆</w:t>
            </w:r>
            <w:r>
              <w:rPr>
                <w:rFonts w:hint="eastAsia" w:ascii="仿宋_GB2312" w:hAnsi="仿宋_GB2312" w:eastAsia="仿宋_GB2312" w:cs="仿宋_GB2312"/>
                <w:kern w:val="0"/>
                <w:sz w:val="24"/>
                <w:highlight w:val="none"/>
              </w:rPr>
              <w:t>万</w:t>
            </w:r>
            <w:r>
              <w:rPr>
                <w:rFonts w:ascii="仿宋_GB2312" w:hAnsi="仿宋_GB2312" w:eastAsia="仿宋_GB2312" w:cs="仿宋_GB2312"/>
                <w:kern w:val="0"/>
                <w:sz w:val="24"/>
                <w:highlight w:val="none"/>
              </w:rPr>
              <w:t>元整)</w:t>
            </w:r>
          </w:p>
          <w:p>
            <w:pPr>
              <w:snapToGrid w:val="0"/>
              <w:spacing w:before="62" w:beforeLines="20" w:line="360" w:lineRule="auto"/>
              <w:ind w:left="0" w:leftChars="0" w:right="0" w:rightChars="0" w:firstLine="14" w:firstLineChars="6"/>
              <w:jc w:val="left"/>
              <w:rPr>
                <w:rFonts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保证金递交截止时间：202</w:t>
            </w:r>
            <w:r>
              <w:rPr>
                <w:rFonts w:hint="eastAsia" w:ascii="仿宋_GB2312" w:hAnsi="仿宋_GB2312" w:eastAsia="仿宋_GB2312" w:cs="仿宋_GB2312"/>
                <w:kern w:val="0"/>
                <w:sz w:val="24"/>
                <w:highlight w:val="none"/>
                <w:lang w:val="zh-CN" w:eastAsia="zh-CN"/>
              </w:rPr>
              <w:t>6</w:t>
            </w:r>
            <w:r>
              <w:rPr>
                <w:rFonts w:hint="eastAsia" w:ascii="仿宋_GB2312" w:hAnsi="仿宋_GB2312" w:eastAsia="仿宋_GB2312" w:cs="仿宋_GB2312"/>
                <w:kern w:val="0"/>
                <w:sz w:val="24"/>
                <w:highlight w:val="none"/>
                <w:lang w:val="zh-CN"/>
              </w:rPr>
              <w:t>年</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kern w:val="0"/>
                <w:sz w:val="24"/>
                <w:highlight w:val="none"/>
                <w:lang w:val="zh-CN"/>
              </w:rPr>
              <w:t>月</w:t>
            </w:r>
            <w:r>
              <w:rPr>
                <w:rFonts w:hint="eastAsia" w:ascii="仿宋_GB2312" w:hAnsi="仿宋_GB2312" w:eastAsia="仿宋_GB2312" w:cs="仿宋_GB2312"/>
                <w:kern w:val="0"/>
                <w:sz w:val="24"/>
                <w:highlight w:val="none"/>
                <w:lang w:val="en-US" w:eastAsia="zh-CN"/>
              </w:rPr>
              <w:t>15</w:t>
            </w:r>
            <w:r>
              <w:rPr>
                <w:rFonts w:hint="eastAsia" w:ascii="仿宋_GB2312" w:hAnsi="仿宋_GB2312" w:eastAsia="仿宋_GB2312" w:cs="仿宋_GB2312"/>
                <w:kern w:val="0"/>
                <w:sz w:val="24"/>
                <w:highlight w:val="none"/>
                <w:lang w:val="zh-CN"/>
              </w:rPr>
              <w:t>日</w:t>
            </w:r>
            <w:r>
              <w:rPr>
                <w:rFonts w:hint="eastAsia" w:ascii="仿宋_GB2312" w:hAnsi="仿宋" w:eastAsia="仿宋_GB2312" w:cs="仿宋"/>
                <w:kern w:val="0"/>
                <w:sz w:val="24"/>
                <w:highlight w:val="none"/>
              </w:rPr>
              <w:t>10：30</w:t>
            </w:r>
            <w:r>
              <w:rPr>
                <w:rFonts w:hint="eastAsia" w:ascii="仿宋_GB2312" w:hAnsi="仿宋_GB2312" w:eastAsia="仿宋_GB2312" w:cs="仿宋_GB2312"/>
                <w:kern w:val="0"/>
                <w:sz w:val="24"/>
                <w:highlight w:val="none"/>
                <w:lang w:val="zh-CN"/>
              </w:rPr>
              <w:t>(北京时间)</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二、</w:t>
            </w:r>
            <w:r>
              <w:rPr>
                <w:rFonts w:hint="eastAsia" w:ascii="仿宋_GB2312" w:hAnsi="仿宋_GB2312" w:eastAsia="仿宋_GB2312" w:cs="仿宋_GB2312"/>
                <w:kern w:val="0"/>
                <w:sz w:val="24"/>
                <w:highlight w:val="none"/>
                <w:lang w:val="en-US" w:eastAsia="zh-CN"/>
              </w:rPr>
              <w:t>谈判</w:t>
            </w:r>
            <w:r>
              <w:rPr>
                <w:rFonts w:hint="eastAsia" w:ascii="仿宋_GB2312" w:hAnsi="仿宋_GB2312" w:eastAsia="仿宋_GB2312" w:cs="仿宋_GB2312"/>
                <w:kern w:val="0"/>
                <w:sz w:val="24"/>
                <w:highlight w:val="none"/>
                <w:lang w:val="zh-CN"/>
              </w:rPr>
              <w:t>保证金形式：电汇、转账，保函（银行、保险、担保公司）</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三、转账方式缴纳：</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若以转账方式缴纳，按时交至以下采购代理机构指定账户。</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 xml:space="preserve">账户：吐鲁番市行政服务中心（市公共资源交易中心） </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账号：请登录系统获取（获取步骤：</w:t>
            </w:r>
            <w:r>
              <w:rPr>
                <w:rFonts w:hint="eastAsia" w:ascii="仿宋_GB2312" w:hAnsi="仿宋_GB2312" w:eastAsia="仿宋_GB2312" w:cs="仿宋_GB2312"/>
                <w:kern w:val="0"/>
                <w:sz w:val="24"/>
                <w:highlight w:val="none"/>
                <w:lang w:val="en-US" w:eastAsia="zh-CN"/>
              </w:rPr>
              <w:t>响应</w:t>
            </w:r>
            <w:r>
              <w:rPr>
                <w:rFonts w:hint="eastAsia" w:ascii="仿宋_GB2312" w:hAnsi="仿宋_GB2312" w:eastAsia="仿宋_GB2312" w:cs="仿宋_GB2312"/>
                <w:kern w:val="0"/>
                <w:sz w:val="24"/>
                <w:highlight w:val="none"/>
                <w:lang w:val="zh-CN"/>
              </w:rPr>
              <w:t>文件上传 → 点击“上传” → 页面上方“投标保证金”模块 → 点击“前往登记或缴纳” → 点选“电子保证金” → 点击“新疆保证金平台” 即可显示账号）</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 w:hAnsi="仿宋" w:eastAsia="仿宋" w:cs="仿宋"/>
                <w:b/>
                <w:bCs/>
                <w:color w:val="auto"/>
                <w:sz w:val="24"/>
                <w:szCs w:val="24"/>
                <w:highlight w:val="none"/>
                <w:lang w:val="en-US" w:eastAsia="zh-CN"/>
              </w:rPr>
              <w:t>提示：保证金管理实行“一项目一供应商一账号”，请务必按照以上操作程序显示的账号缴纳保证金。</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en-US" w:eastAsia="zh-CN"/>
              </w:rPr>
              <w:t>参与响应的供应商</w:t>
            </w:r>
            <w:r>
              <w:rPr>
                <w:rFonts w:hint="eastAsia" w:ascii="仿宋_GB2312" w:hAnsi="仿宋_GB2312" w:eastAsia="仿宋_GB2312" w:cs="仿宋_GB2312"/>
                <w:kern w:val="0"/>
                <w:sz w:val="24"/>
                <w:highlight w:val="none"/>
                <w:lang w:val="zh-CN"/>
              </w:rPr>
              <w:t>必须在缴款凭证备注栏写明“××项目××标项的</w:t>
            </w:r>
            <w:r>
              <w:rPr>
                <w:rFonts w:hint="eastAsia" w:ascii="仿宋_GB2312" w:hAnsi="仿宋_GB2312" w:eastAsia="仿宋_GB2312" w:cs="仿宋_GB2312"/>
                <w:kern w:val="0"/>
                <w:sz w:val="24"/>
                <w:highlight w:val="none"/>
                <w:lang w:val="en-US" w:eastAsia="zh-CN"/>
              </w:rPr>
              <w:t>谈判</w:t>
            </w:r>
            <w:r>
              <w:rPr>
                <w:rFonts w:hint="eastAsia" w:ascii="仿宋_GB2312" w:hAnsi="仿宋_GB2312" w:eastAsia="仿宋_GB2312" w:cs="仿宋_GB2312"/>
                <w:kern w:val="0"/>
                <w:sz w:val="24"/>
                <w:highlight w:val="none"/>
                <w:lang w:val="zh-CN"/>
              </w:rPr>
              <w:t>保证金”以便查询。</w:t>
            </w:r>
            <w:r>
              <w:rPr>
                <w:rFonts w:hint="eastAsia" w:ascii="仿宋_GB2312" w:hAnsi="仿宋_GB2312" w:eastAsia="仿宋_GB2312" w:cs="仿宋_GB2312"/>
                <w:kern w:val="0"/>
                <w:sz w:val="24"/>
                <w:highlight w:val="none"/>
                <w:lang w:val="en-US" w:eastAsia="zh-CN"/>
              </w:rPr>
              <w:t>谈判</w:t>
            </w:r>
            <w:r>
              <w:rPr>
                <w:rFonts w:hint="eastAsia" w:ascii="仿宋_GB2312" w:hAnsi="仿宋_GB2312" w:eastAsia="仿宋_GB2312" w:cs="仿宋_GB2312"/>
                <w:kern w:val="0"/>
                <w:sz w:val="24"/>
                <w:highlight w:val="none"/>
                <w:lang w:val="zh-CN"/>
              </w:rPr>
              <w:t>保证金必须在2026年</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kern w:val="0"/>
                <w:sz w:val="24"/>
                <w:highlight w:val="none"/>
                <w:lang w:val="zh-CN"/>
              </w:rPr>
              <w:t>月</w:t>
            </w:r>
            <w:r>
              <w:rPr>
                <w:rFonts w:hint="eastAsia" w:ascii="仿宋_GB2312" w:hAnsi="仿宋_GB2312" w:cs="仿宋_GB2312"/>
                <w:kern w:val="0"/>
                <w:sz w:val="24"/>
                <w:highlight w:val="none"/>
                <w:lang w:val="en-US" w:eastAsia="zh-CN"/>
              </w:rPr>
              <w:t>15</w:t>
            </w:r>
            <w:r>
              <w:rPr>
                <w:rFonts w:hint="eastAsia" w:ascii="仿宋_GB2312" w:hAnsi="仿宋_GB2312" w:eastAsia="仿宋_GB2312" w:cs="仿宋_GB2312"/>
                <w:kern w:val="0"/>
                <w:sz w:val="24"/>
                <w:highlight w:val="none"/>
                <w:lang w:val="zh-CN"/>
              </w:rPr>
              <w:t>日10:30之前支付，逾期则视为自动放弃</w:t>
            </w:r>
            <w:r>
              <w:rPr>
                <w:rFonts w:hint="eastAsia" w:ascii="仿宋_GB2312" w:hAnsi="仿宋_GB2312" w:eastAsia="仿宋_GB2312" w:cs="仿宋_GB2312"/>
                <w:kern w:val="0"/>
                <w:sz w:val="24"/>
                <w:highlight w:val="none"/>
                <w:lang w:val="en-US" w:eastAsia="zh-CN"/>
              </w:rPr>
              <w:t>响应</w:t>
            </w:r>
            <w:r>
              <w:rPr>
                <w:rFonts w:hint="eastAsia" w:ascii="仿宋_GB2312" w:hAnsi="仿宋_GB2312" w:eastAsia="仿宋_GB2312" w:cs="仿宋_GB2312"/>
                <w:kern w:val="0"/>
                <w:sz w:val="24"/>
                <w:highlight w:val="none"/>
                <w:lang w:val="zh-CN"/>
              </w:rPr>
              <w:t>。（上述账号只接受以供应商名义的电汇或转账，不接受以个人名义及其他款项的电汇或转账）。</w:t>
            </w:r>
          </w:p>
          <w:p>
            <w:pPr>
              <w:keepNext w:val="0"/>
              <w:keepLines w:val="0"/>
              <w:pageBreakBefore w:val="0"/>
              <w:kinsoku/>
              <w:overflowPunct/>
              <w:topLinePunct w:val="0"/>
              <w:bidi w:val="0"/>
              <w:spacing w:before="62" w:beforeLines="20" w:line="360" w:lineRule="auto"/>
              <w:ind w:left="0" w:leftChars="0" w:firstLine="14" w:firstLineChars="6"/>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递交</w:t>
            </w:r>
            <w:r>
              <w:rPr>
                <w:rFonts w:hint="eastAsia" w:ascii="仿宋" w:hAnsi="仿宋" w:eastAsia="仿宋" w:cs="仿宋"/>
                <w:color w:val="auto"/>
                <w:kern w:val="2"/>
                <w:sz w:val="24"/>
                <w:szCs w:val="24"/>
                <w:highlight w:val="none"/>
                <w:lang w:val="en-US" w:eastAsia="zh-CN" w:bidi="ar-SA"/>
              </w:rPr>
              <w:t>谈判</w:t>
            </w:r>
            <w:r>
              <w:rPr>
                <w:rFonts w:hint="eastAsia" w:ascii="仿宋" w:hAnsi="仿宋" w:eastAsia="仿宋" w:cs="仿宋"/>
                <w:color w:val="auto"/>
                <w:kern w:val="2"/>
                <w:sz w:val="24"/>
                <w:szCs w:val="24"/>
                <w:highlight w:val="none"/>
                <w:lang w:val="zh-CN" w:eastAsia="zh-CN" w:bidi="ar-SA"/>
              </w:rPr>
              <w:t>保证金后不参加</w:t>
            </w: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的，应提供弃标函（书面加盖单位公章）至采购代理机构用于保证金退还，可发扫描件至代理机构邮箱，邮箱可</w:t>
            </w:r>
            <w:r>
              <w:rPr>
                <w:rFonts w:hint="eastAsia" w:ascii="仿宋" w:hAnsi="仿宋" w:eastAsia="仿宋" w:cs="仿宋"/>
                <w:color w:val="auto"/>
                <w:kern w:val="2"/>
                <w:sz w:val="24"/>
                <w:szCs w:val="24"/>
                <w:highlight w:val="none"/>
                <w:lang w:val="en-US" w:eastAsia="zh-CN" w:bidi="ar-SA"/>
              </w:rPr>
              <w:t>与</w:t>
            </w:r>
            <w:r>
              <w:rPr>
                <w:rFonts w:hint="eastAsia" w:ascii="仿宋" w:hAnsi="仿宋" w:eastAsia="仿宋" w:cs="仿宋"/>
                <w:color w:val="auto"/>
                <w:kern w:val="2"/>
                <w:sz w:val="24"/>
                <w:szCs w:val="24"/>
                <w:highlight w:val="none"/>
                <w:lang w:val="zh-CN" w:eastAsia="zh-CN" w:bidi="ar-SA"/>
              </w:rPr>
              <w:t>项目负责人联系获取。</w:t>
            </w:r>
          </w:p>
          <w:p>
            <w:pPr>
              <w:snapToGrid w:val="0"/>
              <w:spacing w:before="62" w:beforeLines="20" w:line="360" w:lineRule="auto"/>
              <w:ind w:left="0" w:leftChars="0" w:right="0" w:rightChars="0" w:firstLine="0" w:firstLineChars="0"/>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四、保函形式缴纳的，按以下要求办理：</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（1）电子保函按照“一标项一保函”的原则。</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（2）电子保函须在</w:t>
            </w:r>
            <w:r>
              <w:rPr>
                <w:rFonts w:hint="eastAsia" w:ascii="仿宋_GB2312" w:hAnsi="仿宋_GB2312" w:eastAsia="仿宋_GB2312" w:cs="仿宋_GB2312"/>
                <w:kern w:val="0"/>
                <w:sz w:val="24"/>
                <w:highlight w:val="none"/>
                <w:lang w:val="en-US" w:eastAsia="zh-CN"/>
              </w:rPr>
              <w:t>响应</w:t>
            </w:r>
            <w:r>
              <w:rPr>
                <w:rFonts w:hint="eastAsia" w:ascii="仿宋_GB2312" w:hAnsi="仿宋_GB2312" w:eastAsia="仿宋_GB2312" w:cs="仿宋_GB2312"/>
                <w:kern w:val="0"/>
                <w:sz w:val="24"/>
                <w:highlight w:val="none"/>
                <w:lang w:val="zh-CN"/>
              </w:rPr>
              <w:t>截止时间前办理完成。</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（3）保函的有效期不得少于本项目</w:t>
            </w:r>
            <w:r>
              <w:rPr>
                <w:rFonts w:hint="eastAsia" w:ascii="仿宋_GB2312" w:hAnsi="仿宋_GB2312" w:eastAsia="仿宋_GB2312" w:cs="仿宋_GB2312"/>
                <w:kern w:val="0"/>
                <w:sz w:val="24"/>
                <w:highlight w:val="none"/>
                <w:lang w:val="en-US" w:eastAsia="zh-CN"/>
              </w:rPr>
              <w:t>响应</w:t>
            </w:r>
            <w:r>
              <w:rPr>
                <w:rFonts w:hint="eastAsia" w:ascii="仿宋_GB2312" w:hAnsi="仿宋_GB2312" w:eastAsia="仿宋_GB2312" w:cs="仿宋_GB2312"/>
                <w:kern w:val="0"/>
                <w:sz w:val="24"/>
                <w:highlight w:val="none"/>
                <w:lang w:val="zh-CN"/>
              </w:rPr>
              <w:t>有效期。</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（4）供应商以电子保函形式缴纳</w:t>
            </w:r>
            <w:r>
              <w:rPr>
                <w:rFonts w:hint="eastAsia" w:ascii="仿宋_GB2312" w:hAnsi="仿宋_GB2312" w:cs="仿宋_GB2312"/>
                <w:kern w:val="0"/>
                <w:sz w:val="24"/>
                <w:highlight w:val="none"/>
                <w:lang w:val="en-US" w:eastAsia="zh-CN"/>
              </w:rPr>
              <w:t>谈判</w:t>
            </w:r>
            <w:r>
              <w:rPr>
                <w:rFonts w:hint="eastAsia" w:ascii="仿宋_GB2312" w:hAnsi="仿宋_GB2312" w:eastAsia="仿宋_GB2312" w:cs="仿宋_GB2312"/>
                <w:kern w:val="0"/>
                <w:sz w:val="24"/>
                <w:highlight w:val="none"/>
                <w:lang w:val="zh-CN"/>
              </w:rPr>
              <w:t>保证金的，可通过“新疆政府采购网电子保函”的模块申请购买，也可通过其他渠道购买。</w:t>
            </w:r>
          </w:p>
          <w:p>
            <w:pPr>
              <w:snapToGrid w:val="0"/>
              <w:spacing w:before="62" w:beforeLines="20" w:line="360" w:lineRule="auto"/>
              <w:ind w:left="0" w:leftChars="0" w:right="0" w:rightChars="0" w:firstLine="14" w:firstLineChars="6"/>
              <w:jc w:val="left"/>
              <w:rPr>
                <w:rFonts w:hint="eastAsia" w:ascii="仿宋_GB2312" w:hAnsi="仿宋_GB2312" w:eastAsia="仿宋_GB2312" w:cs="仿宋_GB2312"/>
                <w:kern w:val="0"/>
                <w:sz w:val="24"/>
                <w:highlight w:val="none"/>
                <w:lang w:val="zh-CN"/>
              </w:rPr>
            </w:pPr>
            <w:r>
              <w:rPr>
                <w:rFonts w:hint="eastAsia" w:ascii="仿宋_GB2312" w:hAnsi="仿宋_GB2312" w:eastAsia="仿宋_GB2312" w:cs="仿宋_GB2312"/>
                <w:kern w:val="0"/>
                <w:sz w:val="24"/>
                <w:highlight w:val="none"/>
                <w:lang w:val="zh-CN"/>
              </w:rPr>
              <w:t>电子担保凭证需作为电子响应文件组成部分在递交响应文件时一并提交。（备注：如通过“新疆政府采购网电子保函”的模块申请购买电子保函的，可在</w:t>
            </w:r>
            <w:r>
              <w:rPr>
                <w:rFonts w:hint="eastAsia" w:ascii="仿宋_GB2312" w:hAnsi="仿宋_GB2312" w:eastAsia="仿宋_GB2312" w:cs="仿宋_GB2312"/>
                <w:kern w:val="0"/>
                <w:sz w:val="24"/>
                <w:highlight w:val="none"/>
                <w:lang w:val="en-US" w:eastAsia="zh-CN"/>
              </w:rPr>
              <w:t>响应</w:t>
            </w:r>
            <w:r>
              <w:rPr>
                <w:rFonts w:hint="eastAsia" w:ascii="仿宋_GB2312" w:hAnsi="仿宋_GB2312" w:eastAsia="仿宋_GB2312" w:cs="仿宋_GB2312"/>
                <w:kern w:val="0"/>
                <w:sz w:val="24"/>
                <w:highlight w:val="none"/>
                <w:lang w:val="zh-CN"/>
              </w:rPr>
              <w:t>截止之日前通过“投标人工作台金融服务”中在线查看电子保函是否生效。若有任何问题，可以联系政采云金融服务专属客服。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hint="default" w:ascii="仿宋_GB2312" w:hAnsi="宋体" w:eastAsia="仿宋_GB2312" w:cs="宋体"/>
                <w:sz w:val="24"/>
                <w:lang w:val="en-US" w:eastAsia="zh-CN"/>
              </w:rPr>
            </w:pPr>
            <w:r>
              <w:rPr>
                <w:rFonts w:hint="eastAsia" w:ascii="仿宋_GB2312" w:hAnsi="宋体" w:eastAsia="仿宋_GB2312" w:cs="宋体"/>
                <w:b/>
                <w:bCs/>
                <w:sz w:val="24"/>
                <w:lang w:val="en-US" w:eastAsia="zh-CN"/>
              </w:rPr>
              <w:t>29</w:t>
            </w:r>
          </w:p>
        </w:tc>
        <w:tc>
          <w:tcPr>
            <w:tcW w:w="83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napToGrid w:val="0"/>
              <w:spacing w:line="240" w:lineRule="auto"/>
              <w:ind w:left="0" w:leftChars="0" w:right="0" w:rightChars="0" w:firstLine="0" w:firstLineChars="0"/>
              <w:jc w:val="center"/>
              <w:rPr>
                <w:rFonts w:ascii="仿宋_GB2312" w:hAnsi="宋体" w:eastAsia="仿宋_GB2312" w:cs="宋体"/>
                <w:sz w:val="24"/>
                <w:szCs w:val="22"/>
                <w:lang w:bidi="zh-CN"/>
              </w:rPr>
            </w:pPr>
            <w:r>
              <w:rPr>
                <w:rFonts w:hint="eastAsia" w:ascii="仿宋_GB2312" w:hAnsi="宋体" w:eastAsia="仿宋_GB2312" w:cs="宋体"/>
                <w:b/>
                <w:bCs/>
                <w:sz w:val="24"/>
                <w:szCs w:val="22"/>
                <w:lang w:bidi="zh-CN"/>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8"/>
              <w:widowControl/>
              <w:snapToGrid w:val="0"/>
              <w:spacing w:line="240" w:lineRule="auto"/>
              <w:ind w:left="0" w:leftChars="0" w:right="0" w:rightChars="0" w:firstLine="0" w:firstLineChars="0"/>
              <w:jc w:val="center"/>
              <w:rPr>
                <w:rFonts w:ascii="宋体" w:hAnsi="宋体" w:eastAsia="宋体" w:cs="宋体"/>
                <w:sz w:val="22"/>
              </w:rPr>
            </w:pPr>
          </w:p>
        </w:tc>
        <w:tc>
          <w:tcPr>
            <w:tcW w:w="83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149"/>
              <w:snapToGrid w:val="0"/>
              <w:ind w:left="0" w:leftChars="0" w:right="0" w:rightChars="0" w:firstLine="0" w:firstLineChars="0"/>
              <w:jc w:val="left"/>
              <w:rPr>
                <w:rFonts w:ascii="仿宋_GB2312" w:hAnsi="仿宋_GB2312" w:cs="仿宋_GB2312"/>
                <w:kern w:val="0"/>
                <w:sz w:val="24"/>
              </w:rPr>
            </w:pPr>
            <w:r>
              <w:rPr>
                <w:rFonts w:ascii="仿宋_GB2312" w:hAnsi="仿宋_GB2312" w:cs="仿宋_GB2312"/>
                <w:kern w:val="0"/>
                <w:sz w:val="24"/>
              </w:rPr>
              <w:t>特别提醒：</w:t>
            </w:r>
          </w:p>
          <w:p>
            <w:pPr>
              <w:pStyle w:val="149"/>
              <w:snapToGrid w:val="0"/>
              <w:ind w:left="0" w:leftChars="0" w:right="0" w:rightChars="0" w:firstLine="0" w:firstLineChars="0"/>
              <w:jc w:val="left"/>
              <w:rPr>
                <w:rFonts w:ascii="仿宋_GB2312" w:hAnsi="仿宋_GB2312" w:cs="仿宋_GB2312"/>
                <w:kern w:val="0"/>
                <w:sz w:val="24"/>
              </w:rPr>
            </w:pPr>
            <w:r>
              <w:rPr>
                <w:rFonts w:ascii="仿宋_GB2312" w:hAnsi="仿宋_GB2312" w:cs="仿宋_GB2312"/>
                <w:kern w:val="0"/>
                <w:sz w:val="24"/>
              </w:rPr>
              <w:t>1、所有供应商的报价高于采购最高限价视为无效报价（即作否决谈判处理）。</w:t>
            </w:r>
          </w:p>
          <w:p>
            <w:pPr>
              <w:pStyle w:val="149"/>
              <w:snapToGrid w:val="0"/>
              <w:ind w:left="0" w:leftChars="0" w:right="0" w:rightChars="0" w:firstLine="0" w:firstLineChars="0"/>
              <w:jc w:val="left"/>
              <w:rPr>
                <w:rFonts w:ascii="仿宋_GB2312" w:hAnsi="仿宋_GB2312" w:cs="仿宋_GB2312"/>
                <w:kern w:val="0"/>
                <w:sz w:val="24"/>
              </w:rPr>
            </w:pPr>
            <w:r>
              <w:rPr>
                <w:rFonts w:hint="default" w:ascii="仿宋_GB2312" w:hAnsi="仿宋_GB2312" w:cs="仿宋_GB2312"/>
                <w:kern w:val="0"/>
                <w:sz w:val="24"/>
              </w:rPr>
              <w:t>若</w:t>
            </w:r>
            <w:r>
              <w:rPr>
                <w:rFonts w:ascii="仿宋_GB2312" w:hAnsi="仿宋_GB2312" w:cs="仿宋_GB2312"/>
                <w:kern w:val="0"/>
                <w:sz w:val="24"/>
              </w:rPr>
              <w:t>供应商</w:t>
            </w:r>
            <w:r>
              <w:rPr>
                <w:rFonts w:hint="default" w:ascii="仿宋_GB2312" w:hAnsi="仿宋_GB2312" w:cs="仿宋_GB2312"/>
                <w:kern w:val="0"/>
                <w:sz w:val="24"/>
              </w:rPr>
              <w:t>无法证明其报价合理性的，评标委员会将认定为</w:t>
            </w:r>
            <w:r>
              <w:rPr>
                <w:rFonts w:hint="eastAsia" w:ascii="仿宋_GB2312" w:hAnsi="仿宋_GB2312" w:cs="仿宋_GB2312"/>
                <w:kern w:val="0"/>
                <w:sz w:val="24"/>
                <w:lang w:val="en-US" w:eastAsia="zh-CN"/>
              </w:rPr>
              <w:t>响应</w:t>
            </w:r>
            <w:r>
              <w:rPr>
                <w:rFonts w:hint="default" w:ascii="仿宋_GB2312" w:hAnsi="仿宋_GB2312" w:cs="仿宋_GB2312"/>
                <w:kern w:val="0"/>
                <w:sz w:val="24"/>
              </w:rPr>
              <w:t>无效</w:t>
            </w:r>
            <w:r>
              <w:rPr>
                <w:rFonts w:ascii="仿宋_GB2312" w:hAnsi="仿宋_GB2312" w:cs="仿宋_GB2312"/>
                <w:kern w:val="0"/>
                <w:sz w:val="24"/>
              </w:rPr>
              <w:t>。</w:t>
            </w:r>
          </w:p>
          <w:p>
            <w:pPr>
              <w:pStyle w:val="149"/>
              <w:snapToGrid w:val="0"/>
              <w:ind w:left="0" w:leftChars="0" w:right="0" w:rightChars="0" w:firstLine="0" w:firstLineChars="0"/>
              <w:jc w:val="left"/>
              <w:rPr>
                <w:rFonts w:ascii="仿宋_GB2312" w:hAnsi="仿宋_GB2312" w:cs="仿宋_GB2312"/>
                <w:kern w:val="0"/>
                <w:sz w:val="24"/>
              </w:rPr>
            </w:pPr>
            <w:r>
              <w:rPr>
                <w:rFonts w:hint="eastAsia" w:ascii="仿宋_GB2312" w:hAnsi="仿宋_GB2312" w:cs="仿宋_GB2312"/>
                <w:kern w:val="0"/>
                <w:sz w:val="24"/>
                <w:lang w:val="en-US" w:eastAsia="zh-CN"/>
              </w:rPr>
              <w:t>2</w:t>
            </w:r>
            <w:r>
              <w:rPr>
                <w:rFonts w:ascii="仿宋_GB2312" w:hAnsi="仿宋_GB2312" w:cs="仿宋_GB2312"/>
                <w:kern w:val="0"/>
                <w:sz w:val="24"/>
              </w:rPr>
              <w:t>、</w:t>
            </w:r>
            <w:r>
              <w:rPr>
                <w:rFonts w:hint="default" w:ascii="仿宋_GB2312" w:hAnsi="仿宋_GB2312" w:eastAsia="仿宋_GB2312" w:cs="仿宋_GB2312"/>
                <w:kern w:val="0"/>
                <w:sz w:val="24"/>
                <w:szCs w:val="24"/>
                <w:highlight w:val="none"/>
                <w:lang w:eastAsia="zh-CN"/>
              </w:rPr>
              <w:t>对与本项目有关的通知，采购代理机构将在新疆政府采购网发布</w:t>
            </w:r>
            <w:r>
              <w:rPr>
                <w:rFonts w:hint="default" w:ascii="仿宋_GB2312" w:hAnsi="仿宋_GB2312" w:eastAsia="仿宋_GB2312" w:cs="仿宋_GB2312"/>
                <w:kern w:val="0"/>
                <w:sz w:val="24"/>
                <w:szCs w:val="24"/>
                <w:highlight w:val="none"/>
                <w:lang w:val="en-US" w:eastAsia="zh-CN"/>
              </w:rPr>
              <w:t>变更</w:t>
            </w:r>
            <w:r>
              <w:rPr>
                <w:rFonts w:hint="default" w:ascii="仿宋_GB2312" w:hAnsi="仿宋_GB2312" w:eastAsia="仿宋_GB2312" w:cs="仿宋_GB2312"/>
                <w:kern w:val="0"/>
                <w:sz w:val="24"/>
                <w:szCs w:val="24"/>
                <w:highlight w:val="none"/>
                <w:lang w:eastAsia="zh-CN"/>
              </w:rPr>
              <w:t>公告的形式，发布即视为潜在供应商已收悉，供应商未查看变更公告，采购代理机构不因此承担任何责任，有关的招标活动可以继续有效地进行。</w:t>
            </w:r>
            <w:r>
              <w:rPr>
                <w:rFonts w:ascii="仿宋_GB2312" w:hAnsi="仿宋_GB2312" w:cs="仿宋_GB2312"/>
                <w:kern w:val="0"/>
                <w:sz w:val="24"/>
              </w:rPr>
              <w:t>。</w:t>
            </w:r>
          </w:p>
          <w:p>
            <w:pPr>
              <w:pStyle w:val="149"/>
              <w:snapToGrid w:val="0"/>
              <w:ind w:left="0" w:leftChars="0" w:right="0" w:rightChars="0" w:firstLine="0" w:firstLineChars="0"/>
              <w:jc w:val="left"/>
              <w:rPr>
                <w:rFonts w:ascii="仿宋_GB2312" w:hAnsi="仿宋_GB2312" w:cs="仿宋_GB2312"/>
                <w:kern w:val="0"/>
                <w:sz w:val="24"/>
              </w:rPr>
            </w:pPr>
            <w:r>
              <w:rPr>
                <w:rFonts w:ascii="仿宋_GB2312" w:hAnsi="仿宋_GB2312" w:cs="仿宋_GB2312"/>
                <w:kern w:val="0"/>
                <w:sz w:val="24"/>
              </w:rPr>
              <w:t>4、谈判响应文件中有弄虚作假的内容，其谈判响应文件作废（如假证书、假业绩、隐瞒不良行为记录、夸大荣誉、使用非本单位在职员工的相关证件及不符合谈判文件规定的条款</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虚假承诺</w:t>
            </w:r>
            <w:r>
              <w:rPr>
                <w:rFonts w:ascii="仿宋_GB2312" w:hAnsi="仿宋_GB2312" w:cs="仿宋_GB2312"/>
                <w:kern w:val="0"/>
                <w:sz w:val="24"/>
              </w:rPr>
              <w:t>等）；在签订合同之前，如发现供应商的谈判响应文件有弄虚作假内容，</w:t>
            </w:r>
            <w:r>
              <w:rPr>
                <w:rFonts w:hint="eastAsia" w:ascii="仿宋_GB2312" w:hAnsi="仿宋_GB2312" w:cs="仿宋_GB2312"/>
                <w:kern w:val="0"/>
                <w:sz w:val="24"/>
                <w:lang w:val="en-US" w:eastAsia="zh-CN"/>
              </w:rPr>
              <w:t>采购</w:t>
            </w:r>
            <w:r>
              <w:rPr>
                <w:rFonts w:ascii="仿宋_GB2312" w:hAnsi="仿宋_GB2312" w:cs="仿宋_GB2312"/>
                <w:kern w:val="0"/>
                <w:sz w:val="24"/>
              </w:rPr>
              <w:t>人可拒绝与其签订合同。并将其列入政府采购黑名单库。</w:t>
            </w:r>
          </w:p>
          <w:p>
            <w:pPr>
              <w:pStyle w:val="149"/>
              <w:snapToGrid w:val="0"/>
              <w:ind w:left="0" w:leftChars="0" w:right="0" w:rightChars="0" w:firstLine="0" w:firstLineChars="0"/>
              <w:jc w:val="left"/>
              <w:rPr>
                <w:rFonts w:ascii="宋体" w:hAnsi="宋体" w:eastAsia="宋体" w:cs="宋体"/>
                <w:sz w:val="22"/>
                <w:szCs w:val="22"/>
                <w:lang w:bidi="zh-CN"/>
              </w:rPr>
            </w:pPr>
            <w:r>
              <w:rPr>
                <w:rFonts w:ascii="仿宋_GB2312" w:hAnsi="仿宋_GB2312" w:cs="仿宋_GB2312"/>
                <w:kern w:val="0"/>
                <w:sz w:val="24"/>
              </w:rPr>
              <w:t>5、谈判供应商制作谈判响应文件的CA锁必须和开标解密的CA锁为同一把锁，在解密过程中因为CA锁不同而导致解密失败的，由谈判供应商自行承担。</w:t>
            </w:r>
          </w:p>
        </w:tc>
      </w:tr>
    </w:tbl>
    <w:p>
      <w:pPr>
        <w:snapToGrid w:val="0"/>
        <w:spacing w:line="360" w:lineRule="auto"/>
        <w:ind w:firstLine="880"/>
        <w:rPr>
          <w:rFonts w:ascii="宋体" w:hAnsi="宋体" w:cs="宋体"/>
          <w:sz w:val="44"/>
          <w:szCs w:val="44"/>
        </w:rPr>
      </w:pPr>
      <w:r>
        <w:rPr>
          <w:rFonts w:hint="eastAsia" w:ascii="宋体" w:hAnsi="宋体" w:cs="宋体"/>
          <w:sz w:val="44"/>
          <w:szCs w:val="44"/>
        </w:rPr>
        <w:br w:type="page"/>
      </w:r>
      <w:bookmarkEnd w:id="24"/>
      <w:bookmarkEnd w:id="25"/>
    </w:p>
    <w:p>
      <w:pPr>
        <w:pStyle w:val="149"/>
        <w:spacing w:line="540" w:lineRule="exact"/>
        <w:jc w:val="center"/>
        <w:rPr>
          <w:rFonts w:ascii="宋体" w:hAnsi="宋体" w:eastAsia="宋体" w:cs="宋体"/>
          <w:b/>
          <w:szCs w:val="28"/>
        </w:rPr>
      </w:pPr>
      <w:r>
        <w:rPr>
          <w:rFonts w:hint="eastAsia" w:ascii="宋体" w:hAnsi="宋体" w:eastAsia="宋体" w:cs="宋体"/>
          <w:b/>
          <w:bCs/>
          <w:sz w:val="32"/>
          <w:szCs w:val="28"/>
        </w:rPr>
        <w:t>供应商须知正文部分</w:t>
      </w:r>
    </w:p>
    <w:p>
      <w:pPr>
        <w:pStyle w:val="149"/>
        <w:spacing w:line="540" w:lineRule="exact"/>
        <w:ind w:firstLine="436" w:firstLineChars="181"/>
        <w:rPr>
          <w:rFonts w:ascii="宋体" w:hAnsi="宋体" w:eastAsia="宋体" w:cs="宋体"/>
          <w:b/>
          <w:sz w:val="24"/>
          <w:lang w:val="zh-CN"/>
        </w:rPr>
      </w:pPr>
      <w:bookmarkStart w:id="34" w:name="_Toc16119"/>
      <w:bookmarkEnd w:id="34"/>
      <w:bookmarkStart w:id="35" w:name="_Toc256000004"/>
      <w:bookmarkEnd w:id="35"/>
      <w:r>
        <w:rPr>
          <w:rFonts w:hint="eastAsia" w:ascii="宋体" w:hAnsi="宋体" w:eastAsia="宋体" w:cs="宋体"/>
          <w:b/>
          <w:sz w:val="24"/>
          <w:lang w:val="zh-CN"/>
        </w:rPr>
        <w:t>1、适用法律</w:t>
      </w:r>
    </w:p>
    <w:p>
      <w:pPr>
        <w:spacing w:line="540" w:lineRule="exact"/>
        <w:ind w:firstLine="480"/>
        <w:rPr>
          <w:rFonts w:ascii="仿宋" w:hAnsi="仿宋" w:eastAsia="仿宋" w:cs="仿宋"/>
          <w:lang w:val="zh-CN"/>
        </w:rPr>
      </w:pPr>
      <w:r>
        <w:rPr>
          <w:rFonts w:hint="eastAsia" w:ascii="仿宋" w:hAnsi="仿宋" w:eastAsia="仿宋" w:cs="仿宋"/>
          <w:lang w:val="zh-CN"/>
        </w:rPr>
        <w:t>1.1 《中华人民共和国政府采购法</w:t>
      </w:r>
      <w:r>
        <w:rPr>
          <w:rFonts w:ascii="仿宋" w:hAnsi="仿宋" w:eastAsia="仿宋" w:cs="仿宋"/>
        </w:rPr>
        <w:t>》《</w:t>
      </w:r>
      <w:r>
        <w:rPr>
          <w:rFonts w:hint="eastAsia" w:ascii="仿宋" w:hAnsi="仿宋" w:eastAsia="仿宋" w:cs="仿宋"/>
          <w:lang w:val="zh-CN"/>
        </w:rPr>
        <w:t>中华人民共和国政府采购法实施条例</w:t>
      </w:r>
      <w:r>
        <w:rPr>
          <w:rFonts w:ascii="仿宋" w:hAnsi="仿宋" w:eastAsia="仿宋" w:cs="仿宋"/>
        </w:rPr>
        <w:t>》</w:t>
      </w:r>
      <w:r>
        <w:rPr>
          <w:rFonts w:hint="eastAsia" w:ascii="仿宋" w:hAnsi="仿宋" w:eastAsia="仿宋" w:cs="仿宋"/>
          <w:lang w:val="zh-CN"/>
        </w:rPr>
        <w:t>等有关法律、规章和规定等。</w:t>
      </w:r>
    </w:p>
    <w:p>
      <w:pPr>
        <w:pStyle w:val="149"/>
        <w:spacing w:line="540" w:lineRule="exact"/>
        <w:ind w:firstLine="436" w:firstLineChars="181"/>
        <w:rPr>
          <w:rFonts w:ascii="宋体" w:hAnsi="宋体" w:eastAsia="宋体" w:cs="宋体"/>
          <w:b/>
          <w:sz w:val="24"/>
        </w:rPr>
      </w:pPr>
      <w:r>
        <w:rPr>
          <w:rFonts w:hint="eastAsia" w:ascii="宋体" w:hAnsi="宋体" w:eastAsia="宋体" w:cs="宋体"/>
          <w:b/>
          <w:sz w:val="24"/>
        </w:rPr>
        <w:t>2.定义</w:t>
      </w:r>
    </w:p>
    <w:p>
      <w:pPr>
        <w:spacing w:line="540" w:lineRule="exact"/>
        <w:ind w:firstLine="480"/>
        <w:rPr>
          <w:rFonts w:ascii="仿宋" w:hAnsi="仿宋" w:eastAsia="仿宋" w:cs="仿宋"/>
        </w:rPr>
      </w:pPr>
      <w:r>
        <w:rPr>
          <w:rFonts w:hint="eastAsia" w:ascii="仿宋" w:hAnsi="仿宋" w:eastAsia="仿宋" w:cs="仿宋"/>
        </w:rPr>
        <w:t>2.1 监管部门：指采购人所属预算级次的财政部门。</w:t>
      </w:r>
    </w:p>
    <w:p>
      <w:pPr>
        <w:spacing w:line="540" w:lineRule="exact"/>
        <w:ind w:firstLine="480"/>
        <w:rPr>
          <w:rFonts w:ascii="仿宋" w:hAnsi="仿宋" w:eastAsia="仿宋" w:cs="仿宋"/>
        </w:rPr>
      </w:pPr>
      <w:r>
        <w:rPr>
          <w:rFonts w:hint="eastAsia" w:ascii="仿宋" w:hAnsi="仿宋" w:eastAsia="仿宋" w:cs="仿宋"/>
        </w:rPr>
        <w:t>2.2采购人：依法进行政府采购的国家机关、事业单位、团体组织。</w:t>
      </w:r>
    </w:p>
    <w:p>
      <w:pPr>
        <w:spacing w:line="540" w:lineRule="exact"/>
        <w:ind w:firstLine="480"/>
        <w:rPr>
          <w:rFonts w:ascii="仿宋" w:hAnsi="仿宋" w:eastAsia="仿宋" w:cs="仿宋"/>
        </w:rPr>
      </w:pPr>
      <w:r>
        <w:rPr>
          <w:rFonts w:hint="eastAsia" w:ascii="仿宋" w:hAnsi="仿宋" w:eastAsia="仿宋" w:cs="仿宋"/>
        </w:rPr>
        <w:t>2.3 采购代理机构：吐鲁番市行政服务中心（市公共资源交易中心）。</w:t>
      </w:r>
    </w:p>
    <w:p>
      <w:pPr>
        <w:spacing w:line="540" w:lineRule="exact"/>
        <w:ind w:firstLine="480"/>
        <w:rPr>
          <w:rFonts w:ascii="仿宋" w:hAnsi="仿宋" w:eastAsia="仿宋" w:cs="仿宋"/>
        </w:rPr>
      </w:pPr>
      <w:r>
        <w:rPr>
          <w:rFonts w:hint="eastAsia" w:ascii="仿宋" w:hAnsi="仿宋" w:eastAsia="仿宋" w:cs="仿宋"/>
        </w:rPr>
        <w:t>2.4谈判小组：谈判小组是依法组建的专门负责本次谈判及评审工作的人员。</w:t>
      </w:r>
    </w:p>
    <w:p>
      <w:pPr>
        <w:spacing w:line="540" w:lineRule="exact"/>
        <w:ind w:firstLine="480"/>
        <w:rPr>
          <w:rFonts w:ascii="仿宋" w:hAnsi="仿宋" w:eastAsia="仿宋" w:cs="仿宋"/>
        </w:rPr>
      </w:pPr>
      <w:r>
        <w:rPr>
          <w:rFonts w:hint="eastAsia" w:ascii="仿宋" w:hAnsi="仿宋" w:eastAsia="仿宋" w:cs="仿宋"/>
        </w:rPr>
        <w:t>2.5供应商：符合资格要求，响应采购、依法成立的企业法人、其他组织或自然人。</w:t>
      </w:r>
    </w:p>
    <w:p>
      <w:pPr>
        <w:spacing w:line="540" w:lineRule="exact"/>
        <w:ind w:firstLine="480"/>
        <w:rPr>
          <w:rFonts w:ascii="仿宋" w:hAnsi="仿宋" w:eastAsia="仿宋" w:cs="仿宋"/>
        </w:rPr>
      </w:pPr>
      <w:r>
        <w:rPr>
          <w:rFonts w:hint="eastAsia" w:ascii="仿宋" w:hAnsi="仿宋" w:eastAsia="仿宋" w:cs="仿宋"/>
        </w:rPr>
        <w:t>2.6中标供应商：经合法谈判程序评选出来并经采购人确认的获得本项目成交资格的供应商。</w:t>
      </w:r>
    </w:p>
    <w:p>
      <w:pPr>
        <w:spacing w:line="540" w:lineRule="exact"/>
        <w:ind w:firstLine="480"/>
        <w:rPr>
          <w:rFonts w:ascii="仿宋" w:hAnsi="仿宋" w:eastAsia="仿宋" w:cs="仿宋"/>
        </w:rPr>
      </w:pPr>
      <w:r>
        <w:rPr>
          <w:rFonts w:hint="eastAsia" w:ascii="仿宋" w:hAnsi="仿宋" w:eastAsia="仿宋" w:cs="仿宋"/>
        </w:rPr>
        <w:t>2.7日期：指公历日。</w:t>
      </w:r>
    </w:p>
    <w:p>
      <w:pPr>
        <w:spacing w:line="540" w:lineRule="exact"/>
        <w:ind w:firstLine="480"/>
        <w:rPr>
          <w:rFonts w:ascii="仿宋" w:hAnsi="仿宋" w:eastAsia="仿宋" w:cs="仿宋"/>
        </w:rPr>
      </w:pPr>
      <w:r>
        <w:rPr>
          <w:rFonts w:hint="eastAsia" w:ascii="仿宋" w:hAnsi="仿宋" w:eastAsia="仿宋" w:cs="仿宋"/>
        </w:rPr>
        <w:t>2.8时间：指北京时间。</w:t>
      </w:r>
    </w:p>
    <w:p>
      <w:pPr>
        <w:pStyle w:val="149"/>
        <w:spacing w:line="540" w:lineRule="exact"/>
        <w:ind w:firstLine="436" w:firstLineChars="181"/>
        <w:rPr>
          <w:rFonts w:ascii="宋体" w:hAnsi="宋体" w:eastAsia="宋体" w:cs="宋体"/>
          <w:b/>
          <w:sz w:val="24"/>
        </w:rPr>
      </w:pPr>
      <w:r>
        <w:rPr>
          <w:rFonts w:hint="eastAsia" w:ascii="宋体" w:hAnsi="宋体" w:eastAsia="宋体" w:cs="宋体"/>
          <w:b/>
          <w:sz w:val="24"/>
        </w:rPr>
        <w:t>3.合格供应商的条件</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3.1具有本项目实施能力，符合、承认并承诺履行本文件各项规定的国内法人、其他组织或自然人均可参加谈判。</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3.2遵守有关的国家法律、法规和条例，具备《中华人民共和国政府采购法》和本文件中规定的条件：</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（1）具有独立承担民事责任的能力；</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（2）具有良好的商业信誉和健全的财务会计制度；</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（3）具有履行合同所必需的设备和专业技术能力；</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（4）具有依法缴纳税收和社会保障资金的良好记录；</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（5）参加政府采购活动前三年内，在经营活动中没有重大违法记录；</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（6）法律、行政法规规定的其他条件；</w:t>
      </w:r>
    </w:p>
    <w:p>
      <w:pPr>
        <w:pStyle w:val="149"/>
        <w:spacing w:line="540" w:lineRule="exact"/>
        <w:ind w:firstLine="434" w:firstLineChars="181"/>
        <w:rPr>
          <w:rFonts w:ascii="仿宋" w:hAnsi="仿宋" w:eastAsia="仿宋" w:cs="仿宋"/>
          <w:color w:val="auto"/>
          <w:sz w:val="24"/>
        </w:rPr>
      </w:pPr>
      <w:r>
        <w:rPr>
          <w:rFonts w:hint="eastAsia" w:ascii="仿宋" w:hAnsi="仿宋" w:eastAsia="仿宋" w:cs="仿宋"/>
          <w:sz w:val="24"/>
        </w:rPr>
        <w:t>（7）</w:t>
      </w:r>
      <w:r>
        <w:rPr>
          <w:rFonts w:hint="eastAsia" w:ascii="仿宋" w:hAnsi="仿宋" w:eastAsia="仿宋" w:cs="仿宋"/>
          <w:color w:val="auto"/>
          <w:sz w:val="24"/>
        </w:rPr>
        <w:t>具有本采购文件第</w:t>
      </w:r>
      <w:r>
        <w:rPr>
          <w:rFonts w:hint="eastAsia" w:ascii="仿宋" w:hAnsi="仿宋" w:eastAsia="仿宋" w:cs="仿宋"/>
          <w:color w:val="auto"/>
          <w:sz w:val="24"/>
          <w:lang w:val="en-US" w:eastAsia="zh-CN"/>
        </w:rPr>
        <w:t>五</w:t>
      </w:r>
      <w:r>
        <w:rPr>
          <w:rFonts w:hint="eastAsia" w:ascii="仿宋" w:hAnsi="仿宋" w:eastAsia="仿宋" w:cs="仿宋"/>
          <w:color w:val="auto"/>
          <w:sz w:val="24"/>
        </w:rPr>
        <w:t>部分“</w:t>
      </w:r>
      <w:r>
        <w:rPr>
          <w:rFonts w:hint="eastAsia" w:ascii="仿宋" w:hAnsi="仿宋" w:eastAsia="仿宋" w:cs="仿宋"/>
          <w:color w:val="auto"/>
          <w:sz w:val="24"/>
          <w:lang w:val="en-US" w:eastAsia="zh-CN"/>
        </w:rPr>
        <w:t>评审标准</w:t>
      </w:r>
      <w:r>
        <w:rPr>
          <w:rFonts w:hint="eastAsia" w:ascii="仿宋" w:hAnsi="仿宋" w:eastAsia="仿宋" w:cs="仿宋"/>
          <w:color w:val="auto"/>
          <w:sz w:val="24"/>
        </w:rPr>
        <w:t>”中</w:t>
      </w:r>
      <w:r>
        <w:rPr>
          <w:rFonts w:hint="eastAsia" w:ascii="仿宋" w:hAnsi="仿宋" w:eastAsia="仿宋" w:cs="仿宋"/>
          <w:color w:val="auto"/>
          <w:sz w:val="24"/>
          <w:lang w:val="en-US" w:eastAsia="zh-CN"/>
        </w:rPr>
        <w:t>资格审查表中</w:t>
      </w:r>
      <w:r>
        <w:rPr>
          <w:rFonts w:hint="eastAsia" w:ascii="仿宋" w:hAnsi="仿宋" w:eastAsia="仿宋" w:cs="仿宋"/>
          <w:color w:val="auto"/>
          <w:sz w:val="24"/>
        </w:rPr>
        <w:t>的资格条件。</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3.3供应商之间如果存在下列情形之一的，不得同时参加同一包（标段）或者不分包（标段）的同一项目</w:t>
      </w:r>
      <w:r>
        <w:rPr>
          <w:rFonts w:hint="eastAsia" w:ascii="仿宋" w:hAnsi="仿宋" w:eastAsia="仿宋" w:cs="仿宋"/>
          <w:sz w:val="24"/>
          <w:lang w:val="en-US" w:eastAsia="zh-CN"/>
        </w:rPr>
        <w:t>响应</w:t>
      </w:r>
      <w:r>
        <w:rPr>
          <w:rFonts w:hint="eastAsia" w:ascii="仿宋" w:hAnsi="仿宋" w:eastAsia="仿宋" w:cs="仿宋"/>
          <w:sz w:val="24"/>
        </w:rPr>
        <w:t>：</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3.3.1法定代表人为同一个人的两个及两个以上法人；</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3.3.2母公司、全资子公司及其控股公司；</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3.3.3参加</w:t>
      </w:r>
      <w:r>
        <w:rPr>
          <w:rFonts w:hint="eastAsia" w:ascii="仿宋" w:hAnsi="仿宋" w:eastAsia="仿宋" w:cs="仿宋"/>
          <w:sz w:val="24"/>
          <w:lang w:val="en-US" w:eastAsia="zh-CN"/>
        </w:rPr>
        <w:t>响应</w:t>
      </w:r>
      <w:r>
        <w:rPr>
          <w:rFonts w:hint="eastAsia" w:ascii="仿宋" w:hAnsi="仿宋" w:eastAsia="仿宋" w:cs="仿宋"/>
          <w:sz w:val="24"/>
        </w:rPr>
        <w:t>的其他组织之间存在特殊的利害关系的；</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3.3.4法律和行政法规规定的其他情形。</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供应商按时足额交纳</w:t>
      </w:r>
      <w:r>
        <w:rPr>
          <w:rFonts w:hint="eastAsia" w:ascii="仿宋" w:hAnsi="仿宋" w:eastAsia="仿宋" w:cs="仿宋"/>
          <w:sz w:val="24"/>
          <w:lang w:val="en-US" w:eastAsia="zh-CN"/>
        </w:rPr>
        <w:t>谈判</w:t>
      </w:r>
      <w:r>
        <w:rPr>
          <w:rFonts w:hint="eastAsia" w:ascii="仿宋" w:hAnsi="仿宋" w:eastAsia="仿宋" w:cs="仿宋"/>
          <w:sz w:val="24"/>
        </w:rPr>
        <w:t>保证金。</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5</w:t>
      </w:r>
      <w:r>
        <w:rPr>
          <w:rFonts w:hint="eastAsia" w:ascii="仿宋" w:hAnsi="仿宋" w:eastAsia="仿宋" w:cs="仿宋"/>
          <w:sz w:val="24"/>
        </w:rPr>
        <w:t>供应商不得与采购人、采购代理机构等有利害关系。</w:t>
      </w:r>
    </w:p>
    <w:p>
      <w:pPr>
        <w:pStyle w:val="149"/>
        <w:spacing w:line="540" w:lineRule="exact"/>
        <w:ind w:firstLine="436" w:firstLineChars="181"/>
        <w:rPr>
          <w:rFonts w:ascii="宋体" w:hAnsi="宋体" w:eastAsia="宋体" w:cs="宋体"/>
          <w:b/>
          <w:sz w:val="24"/>
          <w:lang w:val="zh-CN"/>
        </w:rPr>
      </w:pPr>
      <w:r>
        <w:rPr>
          <w:rFonts w:hint="eastAsia" w:ascii="宋体" w:hAnsi="宋体" w:eastAsia="宋体" w:cs="宋体"/>
          <w:b/>
          <w:sz w:val="24"/>
        </w:rPr>
        <w:t>4</w:t>
      </w:r>
      <w:r>
        <w:rPr>
          <w:rFonts w:hint="eastAsia" w:ascii="宋体" w:hAnsi="宋体" w:eastAsia="宋体" w:cs="宋体"/>
          <w:b/>
          <w:sz w:val="24"/>
          <w:lang w:val="zh-CN"/>
        </w:rPr>
        <w:t>、政策功能</w:t>
      </w:r>
    </w:p>
    <w:p>
      <w:pPr>
        <w:spacing w:line="540" w:lineRule="exact"/>
        <w:ind w:firstLine="480"/>
        <w:rPr>
          <w:rFonts w:ascii="仿宋" w:hAnsi="仿宋" w:eastAsia="仿宋" w:cs="仿宋"/>
        </w:rPr>
      </w:pPr>
      <w:r>
        <w:rPr>
          <w:rFonts w:hint="eastAsia" w:ascii="仿宋" w:hAnsi="仿宋" w:eastAsia="仿宋" w:cs="仿宋"/>
        </w:rPr>
        <w:t>4.1</w:t>
      </w:r>
      <w:r>
        <w:rPr>
          <w:rFonts w:hint="eastAsia" w:ascii="仿宋" w:hAnsi="仿宋" w:eastAsia="仿宋" w:cs="仿宋"/>
          <w:lang w:val="zh-CN"/>
        </w:rPr>
        <w:t>《政府采购促进中小企业发展管理办法》（财库〔2020〕46 号）</w:t>
      </w:r>
      <w:r>
        <w:rPr>
          <w:rFonts w:ascii="仿宋" w:hAnsi="仿宋" w:eastAsia="仿宋" w:cs="仿宋"/>
          <w:lang w:val="zh-CN"/>
        </w:rPr>
        <w:t>；</w:t>
      </w:r>
    </w:p>
    <w:p>
      <w:pPr>
        <w:spacing w:line="540" w:lineRule="exact"/>
        <w:ind w:firstLine="480"/>
        <w:rPr>
          <w:rFonts w:ascii="仿宋" w:hAnsi="仿宋" w:eastAsia="仿宋" w:cs="仿宋"/>
        </w:rPr>
      </w:pPr>
      <w:r>
        <w:rPr>
          <w:rFonts w:hint="eastAsia" w:ascii="仿宋" w:hAnsi="仿宋" w:eastAsia="仿宋" w:cs="仿宋"/>
        </w:rPr>
        <w:t>4.2《关于政府采购支持监狱企业发展有关问题的通知》</w:t>
      </w:r>
      <w:r>
        <w:rPr>
          <w:rFonts w:ascii="仿宋" w:hAnsi="仿宋" w:eastAsia="仿宋" w:cs="仿宋"/>
        </w:rPr>
        <w:t>（</w:t>
      </w:r>
      <w:r>
        <w:rPr>
          <w:rFonts w:hint="eastAsia" w:ascii="仿宋" w:hAnsi="仿宋" w:eastAsia="仿宋" w:cs="仿宋"/>
        </w:rPr>
        <w:t>财库〔2014〕68 号</w:t>
      </w:r>
      <w:r>
        <w:rPr>
          <w:rFonts w:ascii="仿宋" w:hAnsi="仿宋" w:eastAsia="仿宋" w:cs="仿宋"/>
        </w:rPr>
        <w:t>）；</w:t>
      </w:r>
    </w:p>
    <w:p>
      <w:pPr>
        <w:spacing w:line="540" w:lineRule="exact"/>
        <w:ind w:firstLine="480"/>
        <w:rPr>
          <w:rFonts w:ascii="仿宋" w:hAnsi="仿宋" w:eastAsia="仿宋" w:cs="仿宋"/>
        </w:rPr>
      </w:pPr>
      <w:r>
        <w:rPr>
          <w:rFonts w:hint="eastAsia" w:ascii="仿宋" w:hAnsi="仿宋" w:eastAsia="仿宋" w:cs="仿宋"/>
        </w:rPr>
        <w:t>4.3《关于促进残疾人就业政府采购政策的通知》（财库〔2017〕141 号</w:t>
      </w:r>
      <w:r>
        <w:rPr>
          <w:rFonts w:ascii="仿宋" w:hAnsi="仿宋" w:eastAsia="仿宋" w:cs="仿宋"/>
        </w:rPr>
        <w:t>）；</w:t>
      </w:r>
    </w:p>
    <w:p>
      <w:pPr>
        <w:spacing w:line="540" w:lineRule="exact"/>
        <w:ind w:firstLine="480"/>
        <w:rPr>
          <w:rFonts w:ascii="仿宋" w:hAnsi="仿宋" w:eastAsia="仿宋" w:cs="仿宋"/>
        </w:rPr>
      </w:pPr>
      <w:r>
        <w:rPr>
          <w:rFonts w:hint="eastAsia" w:ascii="仿宋" w:hAnsi="仿宋" w:eastAsia="仿宋" w:cs="仿宋"/>
        </w:rPr>
        <w:t>4.4《关于调整优化节能产品、环境标志产品政府采购执行机制的通知》（财库〔2019〕09号</w:t>
      </w:r>
      <w:r>
        <w:rPr>
          <w:rFonts w:ascii="仿宋" w:hAnsi="仿宋" w:eastAsia="仿宋" w:cs="仿宋"/>
        </w:rPr>
        <w:t>）；</w:t>
      </w:r>
    </w:p>
    <w:p>
      <w:pPr>
        <w:spacing w:line="540" w:lineRule="exact"/>
        <w:ind w:firstLine="480"/>
        <w:rPr>
          <w:rFonts w:ascii="仿宋" w:hAnsi="仿宋" w:eastAsia="仿宋" w:cs="仿宋"/>
        </w:rPr>
      </w:pPr>
      <w:r>
        <w:rPr>
          <w:rFonts w:hint="eastAsia" w:ascii="仿宋" w:hAnsi="仿宋" w:eastAsia="仿宋" w:cs="仿宋"/>
        </w:rPr>
        <w:t>4.5《财政部关于印发环境标志产品政府采购品目清单的通知》（财库〔2019〕18 号）</w:t>
      </w:r>
      <w:r>
        <w:rPr>
          <w:rFonts w:ascii="仿宋" w:hAnsi="仿宋" w:eastAsia="仿宋" w:cs="仿宋"/>
        </w:rPr>
        <w:t>；</w:t>
      </w:r>
    </w:p>
    <w:p>
      <w:pPr>
        <w:spacing w:line="540" w:lineRule="exact"/>
        <w:ind w:firstLine="480"/>
        <w:rPr>
          <w:rFonts w:hint="eastAsia" w:ascii="仿宋" w:hAnsi="仿宋" w:eastAsia="仿宋" w:cs="仿宋"/>
        </w:rPr>
      </w:pPr>
      <w:r>
        <w:rPr>
          <w:rFonts w:hint="eastAsia" w:ascii="仿宋" w:hAnsi="仿宋" w:eastAsia="仿宋" w:cs="仿宋"/>
        </w:rPr>
        <w:t>4.6《关于印发节能产品政府采购品目清单的通知》（财库〔2019〕19 号）</w:t>
      </w:r>
      <w:r>
        <w:rPr>
          <w:rFonts w:hint="eastAsia" w:ascii="仿宋" w:hAnsi="仿宋" w:eastAsia="仿宋" w:cs="仿宋"/>
          <w:lang w:eastAsia="zh-CN"/>
        </w:rPr>
        <w:t>；</w:t>
      </w:r>
      <w:r>
        <w:rPr>
          <w:rFonts w:hint="eastAsia" w:ascii="仿宋" w:hAnsi="仿宋" w:eastAsia="仿宋" w:cs="仿宋"/>
        </w:rPr>
        <w:t xml:space="preserve"> </w:t>
      </w:r>
    </w:p>
    <w:p>
      <w:pPr>
        <w:pStyle w:val="2"/>
        <w:spacing w:line="540" w:lineRule="exact"/>
        <w:rPr>
          <w:rFonts w:hint="eastAsia" w:ascii="仿宋" w:hAnsi="仿宋" w:eastAsia="仿宋" w:cs="仿宋"/>
          <w:kern w:val="2"/>
          <w:sz w:val="24"/>
          <w:lang w:val="en-US" w:eastAsia="zh-CN"/>
        </w:rPr>
      </w:pPr>
      <w:r>
        <w:rPr>
          <w:rFonts w:hint="eastAsia" w:ascii="仿宋" w:hAnsi="仿宋" w:eastAsia="仿宋" w:cs="仿宋"/>
          <w:kern w:val="2"/>
          <w:sz w:val="24"/>
          <w:lang w:val="en-US" w:eastAsia="zh-CN"/>
        </w:rPr>
        <w:t>4.7 关于推动解决政府采购异常低价问题的通知（财库〔2026〕2号 ）；</w:t>
      </w:r>
    </w:p>
    <w:p>
      <w:pPr>
        <w:pStyle w:val="2"/>
        <w:spacing w:line="540" w:lineRule="exact"/>
        <w:rPr>
          <w:rFonts w:hint="eastAsia" w:ascii="仿宋" w:hAnsi="仿宋" w:eastAsia="仿宋" w:cs="仿宋"/>
          <w:kern w:val="2"/>
          <w:sz w:val="24"/>
          <w:lang w:val="en-US" w:eastAsia="zh-CN"/>
        </w:rPr>
      </w:pPr>
      <w:r>
        <w:rPr>
          <w:rFonts w:hint="eastAsia" w:ascii="仿宋" w:hAnsi="仿宋" w:eastAsia="仿宋" w:cs="仿宋"/>
          <w:kern w:val="2"/>
          <w:sz w:val="24"/>
          <w:szCs w:val="24"/>
          <w:lang w:val="en-US" w:eastAsia="zh-CN"/>
        </w:rPr>
        <w:t>4.8</w:t>
      </w:r>
      <w:r>
        <w:rPr>
          <w:rFonts w:hint="eastAsia" w:ascii="仿宋" w:hAnsi="仿宋" w:eastAsia="仿宋" w:cs="仿宋"/>
          <w:kern w:val="2"/>
          <w:sz w:val="24"/>
          <w:szCs w:val="24"/>
        </w:rPr>
        <w:t>国务院办公厅关于在政府采购中实施本国产品标准及相关政策的通知</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 xml:space="preserve">国办发〔2025〕34号 </w:t>
      </w:r>
      <w:r>
        <w:rPr>
          <w:rFonts w:hint="eastAsia" w:ascii="仿宋" w:hAnsi="仿宋" w:eastAsia="仿宋" w:cs="仿宋"/>
          <w:kern w:val="2"/>
          <w:sz w:val="24"/>
          <w:szCs w:val="24"/>
          <w:lang w:eastAsia="zh-CN"/>
        </w:rPr>
        <w:t>）。</w:t>
      </w:r>
    </w:p>
    <w:p>
      <w:pPr>
        <w:pStyle w:val="149"/>
        <w:spacing w:line="540" w:lineRule="exact"/>
        <w:ind w:firstLine="436" w:firstLineChars="181"/>
        <w:rPr>
          <w:rFonts w:ascii="宋体" w:hAnsi="宋体" w:eastAsia="宋体" w:cs="宋体"/>
          <w:b/>
          <w:sz w:val="24"/>
          <w:lang w:val="zh-CN"/>
        </w:rPr>
      </w:pPr>
      <w:r>
        <w:rPr>
          <w:rFonts w:hint="eastAsia" w:ascii="宋体" w:hAnsi="宋体" w:eastAsia="宋体" w:cs="宋体"/>
          <w:b/>
          <w:sz w:val="24"/>
        </w:rPr>
        <w:t>5</w:t>
      </w:r>
      <w:r>
        <w:rPr>
          <w:rFonts w:hint="eastAsia" w:ascii="宋体" w:hAnsi="宋体" w:eastAsia="宋体" w:cs="宋体"/>
          <w:b/>
          <w:sz w:val="24"/>
          <w:lang w:val="zh-CN"/>
        </w:rPr>
        <w:t>、竞争性谈判费用</w:t>
      </w:r>
    </w:p>
    <w:p>
      <w:pPr>
        <w:spacing w:line="540" w:lineRule="exact"/>
        <w:ind w:firstLine="480"/>
        <w:rPr>
          <w:rFonts w:hint="eastAsia" w:ascii="仿宋" w:hAnsi="仿宋" w:eastAsia="仿宋" w:cs="仿宋"/>
          <w:lang w:val="zh-CN"/>
        </w:rPr>
      </w:pPr>
      <w:r>
        <w:rPr>
          <w:rFonts w:hint="eastAsia" w:ascii="仿宋" w:hAnsi="仿宋" w:eastAsia="仿宋" w:cs="仿宋"/>
        </w:rPr>
        <w:t>5</w:t>
      </w:r>
      <w:r>
        <w:rPr>
          <w:rFonts w:hint="eastAsia" w:ascii="仿宋" w:hAnsi="仿宋" w:eastAsia="仿宋" w:cs="仿宋"/>
          <w:lang w:val="zh-CN"/>
        </w:rPr>
        <w:t>.1</w:t>
      </w:r>
      <w:r>
        <w:rPr>
          <w:rFonts w:hint="eastAsia" w:ascii="仿宋" w:hAnsi="仿宋" w:eastAsia="仿宋" w:cs="仿宋"/>
          <w:lang w:eastAsia="zh-CN"/>
        </w:rPr>
        <w:t>供应商</w:t>
      </w:r>
      <w:r>
        <w:rPr>
          <w:rFonts w:hint="eastAsia" w:ascii="仿宋" w:hAnsi="仿宋" w:eastAsia="仿宋" w:cs="仿宋"/>
          <w:lang w:val="zh-CN"/>
        </w:rPr>
        <w:t>应自行承担所有与参加</w:t>
      </w:r>
      <w:r>
        <w:rPr>
          <w:rFonts w:hint="eastAsia" w:ascii="仿宋" w:hAnsi="仿宋" w:eastAsia="仿宋" w:cs="仿宋"/>
        </w:rPr>
        <w:t>响应</w:t>
      </w:r>
      <w:r>
        <w:rPr>
          <w:rFonts w:hint="eastAsia" w:ascii="仿宋" w:hAnsi="仿宋" w:eastAsia="仿宋" w:cs="仿宋"/>
          <w:lang w:val="zh-CN"/>
        </w:rPr>
        <w:t>有关的费用，无论</w:t>
      </w:r>
      <w:r>
        <w:rPr>
          <w:rFonts w:hint="eastAsia" w:ascii="仿宋" w:hAnsi="仿宋" w:eastAsia="仿宋" w:cs="仿宋"/>
        </w:rPr>
        <w:t>响应</w:t>
      </w:r>
      <w:r>
        <w:rPr>
          <w:rFonts w:hint="eastAsia" w:ascii="仿宋" w:hAnsi="仿宋" w:eastAsia="仿宋" w:cs="仿宋"/>
          <w:lang w:val="zh-CN"/>
        </w:rPr>
        <w:t>过程中的做法和结果如何，采购人在任何情况下均无义务和责任承担费用。</w:t>
      </w:r>
    </w:p>
    <w:p>
      <w:pPr>
        <w:pStyle w:val="149"/>
        <w:spacing w:line="540" w:lineRule="exact"/>
        <w:ind w:firstLine="436" w:firstLineChars="181"/>
        <w:rPr>
          <w:rFonts w:ascii="宋体" w:hAnsi="宋体" w:eastAsia="宋体" w:cs="宋体"/>
          <w:b/>
          <w:sz w:val="24"/>
          <w:highlight w:val="none"/>
        </w:rPr>
      </w:pPr>
      <w:r>
        <w:rPr>
          <w:rFonts w:hint="eastAsia" w:ascii="宋体" w:hAnsi="宋体" w:eastAsia="宋体" w:cs="宋体"/>
          <w:b/>
          <w:sz w:val="24"/>
          <w:highlight w:val="none"/>
          <w:lang w:val="en-US" w:eastAsia="zh-CN"/>
        </w:rPr>
        <w:t>6</w:t>
      </w:r>
      <w:r>
        <w:rPr>
          <w:rFonts w:hint="eastAsia" w:ascii="宋体" w:hAnsi="宋体" w:eastAsia="宋体" w:cs="宋体"/>
          <w:b/>
          <w:sz w:val="24"/>
          <w:highlight w:val="none"/>
          <w:lang w:eastAsia="zh-CN"/>
        </w:rPr>
        <w:t>、</w:t>
      </w:r>
      <w:r>
        <w:rPr>
          <w:rFonts w:hint="eastAsia" w:ascii="宋体" w:hAnsi="宋体" w:eastAsia="宋体" w:cs="宋体"/>
          <w:b/>
          <w:sz w:val="24"/>
          <w:highlight w:val="none"/>
        </w:rPr>
        <w:t>答疑及</w:t>
      </w:r>
      <w:r>
        <w:rPr>
          <w:rFonts w:hint="eastAsia" w:ascii="宋体" w:hAnsi="宋体" w:eastAsia="宋体" w:cs="宋体"/>
          <w:b/>
          <w:sz w:val="24"/>
          <w:highlight w:val="none"/>
          <w:lang w:val="en-US" w:eastAsia="zh-CN"/>
        </w:rPr>
        <w:t>谈判</w:t>
      </w:r>
      <w:r>
        <w:rPr>
          <w:rFonts w:hint="eastAsia" w:ascii="宋体" w:hAnsi="宋体" w:eastAsia="宋体" w:cs="宋体"/>
          <w:b/>
          <w:sz w:val="24"/>
          <w:highlight w:val="none"/>
        </w:rPr>
        <w:t>文件的澄清和修改</w:t>
      </w:r>
    </w:p>
    <w:p>
      <w:pPr>
        <w:pStyle w:val="149"/>
        <w:pageBreakBefore w:val="0"/>
        <w:widowControl w:val="0"/>
        <w:kinsoku/>
        <w:wordWrap/>
        <w:overflowPunct/>
        <w:topLinePunct w:val="0"/>
        <w:autoSpaceDE/>
        <w:autoSpaceDN/>
        <w:bidi w:val="0"/>
        <w:snapToGrid/>
        <w:spacing w:line="540" w:lineRule="exact"/>
        <w:ind w:left="0" w:leftChars="0" w:firstLine="434" w:firstLineChars="181"/>
        <w:textAlignment w:val="auto"/>
        <w:rPr>
          <w:rFonts w:hint="eastAsia" w:ascii="仿宋" w:hAnsi="仿宋" w:eastAsia="仿宋" w:cs="仿宋"/>
          <w:color w:val="auto"/>
          <w:sz w:val="24"/>
          <w:szCs w:val="24"/>
          <w:highlight w:val="none"/>
          <w:lang w:val="en-US" w:eastAsia="zh-CN"/>
        </w:rPr>
      </w:pPr>
      <w:bookmarkStart w:id="36" w:name="_Toc256000006"/>
      <w:bookmarkEnd w:id="36"/>
      <w:bookmarkStart w:id="37" w:name="_Toc3095"/>
      <w:bookmarkEnd w:id="37"/>
      <w:r>
        <w:rPr>
          <w:rFonts w:hint="eastAsia" w:ascii="仿宋" w:hAnsi="仿宋" w:eastAsia="仿宋" w:cs="仿宋"/>
          <w:color w:val="auto"/>
          <w:sz w:val="24"/>
          <w:szCs w:val="24"/>
          <w:highlight w:val="none"/>
          <w:lang w:val="en-US" w:eastAsia="zh-CN"/>
        </w:rPr>
        <w:t>6.1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pStyle w:val="149"/>
        <w:pageBreakBefore w:val="0"/>
        <w:widowControl w:val="0"/>
        <w:kinsoku/>
        <w:wordWrap/>
        <w:overflowPunct/>
        <w:topLinePunct w:val="0"/>
        <w:autoSpaceDE/>
        <w:autoSpaceDN/>
        <w:bidi w:val="0"/>
        <w:snapToGrid/>
        <w:spacing w:line="540" w:lineRule="exact"/>
        <w:ind w:left="0" w:leftChars="0" w:firstLine="434" w:firstLineChars="181"/>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lang w:eastAsia="zh-CN"/>
        </w:rPr>
        <w:t>澄清或者修改</w:t>
      </w:r>
      <w:r>
        <w:rPr>
          <w:rFonts w:hint="eastAsia" w:ascii="仿宋" w:hAnsi="仿宋" w:eastAsia="仿宋" w:cs="仿宋"/>
          <w:color w:val="auto"/>
          <w:sz w:val="24"/>
          <w:szCs w:val="24"/>
          <w:highlight w:val="none"/>
          <w:lang w:val="en-US" w:eastAsia="zh-CN"/>
        </w:rPr>
        <w:t>将通过新疆政府采购网发布变更公告的形式通知</w:t>
      </w:r>
      <w:r>
        <w:rPr>
          <w:rFonts w:hint="eastAsia" w:ascii="仿宋" w:hAnsi="仿宋" w:eastAsia="仿宋" w:cs="仿宋"/>
          <w:color w:val="auto"/>
          <w:sz w:val="24"/>
          <w:szCs w:val="24"/>
          <w:highlight w:val="none"/>
          <w:lang w:eastAsia="zh-CN"/>
        </w:rPr>
        <w:t>所有获取招标文件的供应商，</w:t>
      </w:r>
      <w:r>
        <w:rPr>
          <w:rFonts w:hint="eastAsia" w:ascii="仿宋" w:hAnsi="仿宋" w:eastAsia="仿宋" w:cs="仿宋"/>
          <w:color w:val="auto"/>
          <w:sz w:val="24"/>
          <w:szCs w:val="24"/>
          <w:highlight w:val="none"/>
          <w:lang w:val="en-US" w:eastAsia="zh-CN"/>
        </w:rPr>
        <w:t>请供应商及时关注</w:t>
      </w:r>
      <w:r>
        <w:rPr>
          <w:rFonts w:hint="eastAsia" w:ascii="仿宋" w:hAnsi="仿宋" w:eastAsia="仿宋" w:cs="仿宋"/>
          <w:color w:val="auto"/>
          <w:sz w:val="24"/>
          <w:szCs w:val="24"/>
          <w:highlight w:val="none"/>
          <w:lang w:eastAsia="zh-CN"/>
        </w:rPr>
        <w:t>；</w:t>
      </w:r>
    </w:p>
    <w:p>
      <w:pPr>
        <w:pStyle w:val="149"/>
        <w:spacing w:line="540" w:lineRule="exact"/>
        <w:ind w:firstLine="434" w:firstLineChars="181"/>
        <w:rPr>
          <w:rFonts w:hint="eastAsia" w:ascii="仿宋" w:hAnsi="仿宋" w:eastAsia="仿宋" w:cs="仿宋"/>
          <w:lang w:val="zh-CN"/>
        </w:rPr>
      </w:pPr>
      <w:r>
        <w:rPr>
          <w:rFonts w:hint="eastAsia" w:ascii="仿宋" w:hAnsi="仿宋" w:eastAsia="仿宋" w:cs="仿宋"/>
          <w:color w:val="auto"/>
          <w:sz w:val="24"/>
          <w:szCs w:val="24"/>
          <w:highlight w:val="none"/>
          <w:lang w:val="en-US" w:eastAsia="zh-CN"/>
        </w:rPr>
        <w:t xml:space="preserve">6.3 </w:t>
      </w:r>
      <w:r>
        <w:rPr>
          <w:rFonts w:hint="eastAsia" w:ascii="仿宋" w:hAnsi="仿宋" w:eastAsia="仿宋" w:cs="仿宋"/>
          <w:color w:val="auto"/>
          <w:sz w:val="24"/>
          <w:szCs w:val="24"/>
          <w:highlight w:val="none"/>
          <w:lang w:eastAsia="zh-CN"/>
        </w:rPr>
        <w:t>招标文件的澄清或者修改内容作为招标文件的组成部分，并对供应商具有约束力。当招标文件、招标文件的澄清或修改在同一内容的表述上不一致时，以最后发出的文件内容为准。</w:t>
      </w:r>
    </w:p>
    <w:p>
      <w:pPr>
        <w:pStyle w:val="149"/>
        <w:spacing w:line="540" w:lineRule="exact"/>
        <w:ind w:firstLine="436" w:firstLineChars="181"/>
        <w:rPr>
          <w:rFonts w:ascii="宋体" w:hAnsi="宋体" w:eastAsia="宋体" w:cs="宋体"/>
          <w:b/>
          <w:sz w:val="24"/>
        </w:rPr>
      </w:pPr>
      <w:r>
        <w:rPr>
          <w:rFonts w:hint="eastAsia" w:ascii="宋体" w:hAnsi="宋体" w:eastAsia="宋体" w:cs="宋体"/>
          <w:b/>
          <w:sz w:val="24"/>
          <w:lang w:val="en-US" w:eastAsia="zh-CN"/>
        </w:rPr>
        <w:t>7</w:t>
      </w:r>
      <w:r>
        <w:rPr>
          <w:rFonts w:hint="eastAsia" w:ascii="宋体" w:hAnsi="宋体" w:eastAsia="宋体" w:cs="宋体"/>
          <w:b/>
          <w:sz w:val="24"/>
          <w:lang w:eastAsia="zh-CN"/>
        </w:rPr>
        <w:t>、</w:t>
      </w:r>
      <w:r>
        <w:rPr>
          <w:rFonts w:hint="eastAsia" w:ascii="宋体" w:hAnsi="宋体" w:eastAsia="宋体" w:cs="宋体"/>
          <w:b/>
          <w:sz w:val="24"/>
          <w:lang w:val="en-US" w:eastAsia="zh-CN"/>
        </w:rPr>
        <w:t>响应</w:t>
      </w:r>
      <w:r>
        <w:rPr>
          <w:rFonts w:hint="eastAsia" w:ascii="宋体" w:hAnsi="宋体" w:eastAsia="宋体" w:cs="宋体"/>
          <w:b/>
          <w:sz w:val="24"/>
        </w:rPr>
        <w:t>文件组成及编制</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.1谈判文件分为资格审查资料、价格文件、商务技术文件。</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商务技术文件指供应商提交的证明其有</w:t>
      </w:r>
      <w:r>
        <w:rPr>
          <w:rFonts w:hint="eastAsia" w:ascii="仿宋" w:hAnsi="仿宋" w:eastAsia="仿宋" w:cs="仿宋"/>
          <w:sz w:val="24"/>
          <w:lang w:val="en-US" w:eastAsia="zh-CN"/>
        </w:rPr>
        <w:t>能力</w:t>
      </w:r>
      <w:r>
        <w:rPr>
          <w:rFonts w:hint="eastAsia" w:ascii="仿宋" w:hAnsi="仿宋" w:eastAsia="仿宋" w:cs="仿宋"/>
          <w:sz w:val="24"/>
        </w:rPr>
        <w:t>参加谈判和成交后有能力履行合同的文件以及能够证明其提供的货物及服务符合谈判文件规定的文件。本次谈判，供应商须按采购文件中规定提交资格审查资料、价格文件、商务技术文件，其中加</w:t>
      </w:r>
      <w:r>
        <w:rPr>
          <w:rFonts w:hint="eastAsia" w:ascii="宋体" w:hAnsi="宋体" w:eastAsia="宋体" w:cs="宋体"/>
          <w:b/>
          <w:bCs/>
          <w:kern w:val="0"/>
          <w:sz w:val="24"/>
        </w:rPr>
        <w:t>☆</w:t>
      </w:r>
      <w:r>
        <w:rPr>
          <w:rFonts w:hint="eastAsia" w:ascii="仿宋" w:hAnsi="仿宋" w:eastAsia="仿宋" w:cs="仿宋"/>
          <w:sz w:val="24"/>
        </w:rPr>
        <w:t>项目若有缺失或无效，将导致</w:t>
      </w:r>
      <w:r>
        <w:rPr>
          <w:rFonts w:hint="eastAsia" w:ascii="仿宋" w:hAnsi="仿宋" w:eastAsia="仿宋" w:cs="仿宋"/>
          <w:sz w:val="24"/>
          <w:lang w:val="en-US" w:eastAsia="zh-CN"/>
        </w:rPr>
        <w:t>响应</w:t>
      </w:r>
      <w:r>
        <w:rPr>
          <w:rFonts w:hint="eastAsia" w:ascii="仿宋" w:hAnsi="仿宋" w:eastAsia="仿宋" w:cs="仿宋"/>
          <w:sz w:val="24"/>
        </w:rPr>
        <w:t>被拒绝且不允许在开标后补正。</w:t>
      </w:r>
    </w:p>
    <w:p>
      <w:pPr>
        <w:pStyle w:val="149"/>
        <w:spacing w:line="540" w:lineRule="exact"/>
        <w:ind w:firstLine="434" w:firstLineChars="181"/>
        <w:rPr>
          <w:rFonts w:ascii="仿宋" w:hAnsi="仿宋" w:eastAsia="仿宋" w:cs="仿宋"/>
          <w:strike w:val="0"/>
          <w:sz w:val="24"/>
        </w:rPr>
      </w:pPr>
      <w:r>
        <w:rPr>
          <w:rFonts w:hint="eastAsia" w:ascii="仿宋" w:hAnsi="仿宋" w:eastAsia="仿宋" w:cs="仿宋"/>
          <w:strike w:val="0"/>
          <w:sz w:val="24"/>
          <w:lang w:eastAsia="zh-CN"/>
        </w:rPr>
        <w:t>7</w:t>
      </w:r>
      <w:r>
        <w:rPr>
          <w:rFonts w:hint="eastAsia" w:ascii="仿宋" w:hAnsi="仿宋" w:eastAsia="仿宋" w:cs="仿宋"/>
          <w:strike w:val="0"/>
          <w:sz w:val="24"/>
        </w:rPr>
        <w:t>.2供应商递交的谈判响应文件及相关要求按照采购文件第二部分“供应商须知前附表”中第2</w:t>
      </w:r>
      <w:r>
        <w:rPr>
          <w:rFonts w:hint="eastAsia" w:ascii="仿宋" w:hAnsi="仿宋" w:eastAsia="仿宋" w:cs="仿宋"/>
          <w:strike w:val="0"/>
          <w:sz w:val="24"/>
          <w:lang w:eastAsia="zh-CN"/>
        </w:rPr>
        <w:t>6</w:t>
      </w:r>
      <w:r>
        <w:rPr>
          <w:rFonts w:hint="eastAsia" w:ascii="仿宋" w:hAnsi="仿宋" w:eastAsia="仿宋" w:cs="仿宋"/>
          <w:strike w:val="0"/>
          <w:sz w:val="24"/>
        </w:rPr>
        <w:t>、2</w:t>
      </w:r>
      <w:r>
        <w:rPr>
          <w:rFonts w:hint="eastAsia" w:ascii="仿宋" w:hAnsi="仿宋" w:eastAsia="仿宋" w:cs="仿宋"/>
          <w:strike w:val="0"/>
          <w:sz w:val="24"/>
          <w:lang w:eastAsia="zh-CN"/>
        </w:rPr>
        <w:t>7</w:t>
      </w:r>
      <w:r>
        <w:rPr>
          <w:rFonts w:hint="eastAsia" w:ascii="仿宋" w:hAnsi="仿宋" w:eastAsia="仿宋" w:cs="仿宋"/>
          <w:strike w:val="0"/>
          <w:sz w:val="24"/>
        </w:rPr>
        <w:t>项的规定。</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电子谈判响应文件的编制</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1电子谈判响应文件使用政采云平台提供的谈判响应文件制作工具以及谈判文件要求进行制作编制。谈判响应文件制作时，不同内容按标签提示制作导入，按照谈判文件中明确的谈判响应文件目录和格式进行编制，保证目录清晰、内容完整。</w:t>
      </w:r>
    </w:p>
    <w:p>
      <w:pPr>
        <w:pStyle w:val="149"/>
        <w:spacing w:line="540" w:lineRule="exact"/>
        <w:ind w:firstLine="434" w:firstLineChars="181"/>
        <w:rPr>
          <w:rFonts w:ascii="仿宋" w:hAnsi="仿宋" w:eastAsia="仿宋" w:cs="仿宋"/>
          <w:sz w:val="24"/>
          <w:highlight w:val="yellow"/>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电子响应文件须使用供应商公章</w:t>
      </w:r>
      <w:r>
        <w:rPr>
          <w:rFonts w:hint="eastAsia" w:ascii="仿宋" w:hAnsi="仿宋" w:eastAsia="仿宋" w:cs="仿宋"/>
          <w:sz w:val="24"/>
          <w:lang w:eastAsia="zh-CN"/>
        </w:rPr>
        <w:t>（</w:t>
      </w:r>
      <w:r>
        <w:rPr>
          <w:rFonts w:hint="eastAsia" w:ascii="仿宋" w:hAnsi="仿宋" w:eastAsia="仿宋" w:cs="仿宋"/>
          <w:sz w:val="24"/>
          <w:lang w:val="en-US" w:eastAsia="zh-CN"/>
        </w:rPr>
        <w:t>含</w:t>
      </w:r>
      <w:r>
        <w:rPr>
          <w:rFonts w:hint="eastAsia" w:ascii="仿宋" w:hAnsi="仿宋" w:eastAsia="仿宋" w:cs="仿宋"/>
          <w:sz w:val="24"/>
        </w:rPr>
        <w:t>电子签章</w:t>
      </w:r>
      <w:r>
        <w:rPr>
          <w:rFonts w:hint="eastAsia" w:ascii="仿宋" w:hAnsi="仿宋" w:eastAsia="仿宋" w:cs="仿宋"/>
          <w:sz w:val="24"/>
          <w:lang w:eastAsia="zh-CN"/>
        </w:rPr>
        <w:t>）</w:t>
      </w:r>
      <w:r>
        <w:rPr>
          <w:rFonts w:hint="eastAsia" w:ascii="仿宋" w:hAnsi="仿宋" w:eastAsia="仿宋" w:cs="仿宋"/>
          <w:sz w:val="24"/>
        </w:rPr>
        <w:t>以及法定代表人的</w:t>
      </w:r>
      <w:r>
        <w:rPr>
          <w:rFonts w:hint="eastAsia" w:ascii="仿宋" w:hAnsi="仿宋" w:eastAsia="仿宋" w:cs="仿宋"/>
          <w:sz w:val="24"/>
          <w:lang w:val="en-US" w:eastAsia="zh-CN"/>
        </w:rPr>
        <w:t>签字（含</w:t>
      </w:r>
      <w:r>
        <w:rPr>
          <w:rFonts w:hint="eastAsia" w:ascii="仿宋" w:hAnsi="仿宋" w:eastAsia="仿宋" w:cs="仿宋"/>
          <w:sz w:val="24"/>
        </w:rPr>
        <w:t>电子签章</w:t>
      </w:r>
      <w:r>
        <w:rPr>
          <w:rFonts w:hint="eastAsia" w:ascii="仿宋" w:hAnsi="仿宋" w:eastAsia="仿宋" w:cs="仿宋"/>
          <w:sz w:val="24"/>
          <w:lang w:val="en-US" w:eastAsia="zh-CN"/>
        </w:rPr>
        <w:t>）</w:t>
      </w:r>
      <w:r>
        <w:rPr>
          <w:rFonts w:hint="eastAsia" w:ascii="仿宋" w:hAnsi="仿宋" w:eastAsia="仿宋" w:cs="仿宋"/>
          <w:sz w:val="24"/>
        </w:rPr>
        <w:t>（或</w:t>
      </w:r>
      <w:r>
        <w:rPr>
          <w:rFonts w:hint="eastAsia" w:ascii="仿宋" w:hAnsi="仿宋" w:eastAsia="仿宋" w:cs="仿宋"/>
          <w:sz w:val="24"/>
          <w:lang w:eastAsia="zh-CN"/>
        </w:rPr>
        <w:t>授权代表</w:t>
      </w:r>
      <w:r>
        <w:rPr>
          <w:rFonts w:hint="eastAsia" w:ascii="仿宋" w:hAnsi="仿宋" w:eastAsia="仿宋" w:cs="仿宋"/>
          <w:sz w:val="24"/>
        </w:rPr>
        <w:t>的</w:t>
      </w:r>
      <w:r>
        <w:rPr>
          <w:rFonts w:hint="eastAsia" w:ascii="仿宋" w:hAnsi="仿宋" w:eastAsia="仿宋" w:cs="仿宋"/>
          <w:sz w:val="24"/>
          <w:lang w:val="en-US" w:eastAsia="zh-CN"/>
        </w:rPr>
        <w:t>签字，含</w:t>
      </w:r>
      <w:r>
        <w:rPr>
          <w:rFonts w:hint="eastAsia" w:ascii="仿宋" w:hAnsi="仿宋" w:eastAsia="仿宋" w:cs="仿宋"/>
          <w:sz w:val="24"/>
        </w:rPr>
        <w:t>电子签章）。若</w:t>
      </w:r>
      <w:r>
        <w:rPr>
          <w:rFonts w:hint="eastAsia" w:ascii="仿宋" w:hAnsi="仿宋" w:eastAsia="仿宋" w:cs="仿宋"/>
          <w:sz w:val="24"/>
          <w:lang w:val="en-US" w:eastAsia="zh-CN"/>
        </w:rPr>
        <w:t>未按要求</w:t>
      </w:r>
      <w:r>
        <w:rPr>
          <w:rFonts w:hint="eastAsia" w:ascii="仿宋" w:hAnsi="仿宋" w:eastAsia="仿宋" w:cs="仿宋"/>
          <w:sz w:val="24"/>
        </w:rPr>
        <w:t>签章</w:t>
      </w:r>
      <w:r>
        <w:rPr>
          <w:rFonts w:hint="eastAsia" w:ascii="仿宋" w:hAnsi="仿宋" w:eastAsia="仿宋" w:cs="仿宋"/>
          <w:sz w:val="24"/>
          <w:lang w:val="en-US" w:eastAsia="zh-CN"/>
        </w:rPr>
        <w:t>签字</w:t>
      </w:r>
      <w:r>
        <w:rPr>
          <w:rFonts w:hint="eastAsia" w:ascii="仿宋" w:hAnsi="仿宋" w:eastAsia="仿宋" w:cs="仿宋"/>
          <w:sz w:val="24"/>
        </w:rPr>
        <w:t>，则视为无效谈判。</w:t>
      </w:r>
    </w:p>
    <w:p>
      <w:pPr>
        <w:pStyle w:val="149"/>
        <w:spacing w:line="540" w:lineRule="exact"/>
        <w:ind w:firstLine="434" w:firstLineChars="181"/>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.3电子谈判文件具有法律效力，与其他形式的谈判文件在内容和格式上等同，若谈判响应文件与谈判文件要求不一致，其内容影响中标结果时，责任由供应商自行承担。</w:t>
      </w:r>
    </w:p>
    <w:p>
      <w:pPr>
        <w:pStyle w:val="149"/>
        <w:spacing w:line="540" w:lineRule="exact"/>
        <w:ind w:firstLine="436" w:firstLineChars="181"/>
        <w:rPr>
          <w:rFonts w:hint="eastAsia" w:ascii="宋体" w:hAnsi="宋体" w:eastAsia="宋体" w:cs="宋体"/>
          <w:b/>
          <w:sz w:val="24"/>
          <w:highlight w:val="none"/>
        </w:rPr>
      </w:pPr>
      <w:r>
        <w:rPr>
          <w:rFonts w:hint="eastAsia" w:ascii="宋体" w:hAnsi="宋体" w:eastAsia="宋体" w:cs="宋体"/>
          <w:b/>
          <w:sz w:val="24"/>
          <w:lang w:val="en-US" w:eastAsia="zh-CN"/>
        </w:rPr>
        <w:t>8</w:t>
      </w:r>
      <w:r>
        <w:rPr>
          <w:rFonts w:hint="eastAsia" w:ascii="宋体" w:hAnsi="宋体" w:eastAsia="宋体" w:cs="宋体"/>
          <w:b/>
          <w:sz w:val="24"/>
          <w:lang w:eastAsia="zh-CN"/>
        </w:rPr>
        <w:t>、</w:t>
      </w:r>
      <w:r>
        <w:rPr>
          <w:rFonts w:hint="eastAsia" w:ascii="宋体" w:hAnsi="宋体" w:eastAsia="宋体" w:cs="宋体"/>
          <w:b/>
          <w:sz w:val="24"/>
          <w:highlight w:val="none"/>
          <w:lang w:val="en-US" w:eastAsia="zh-CN"/>
        </w:rPr>
        <w:t>谈判</w:t>
      </w:r>
      <w:r>
        <w:rPr>
          <w:rFonts w:hint="eastAsia" w:ascii="宋体" w:hAnsi="宋体" w:eastAsia="宋体" w:cs="宋体"/>
          <w:b/>
          <w:sz w:val="24"/>
          <w:highlight w:val="none"/>
        </w:rPr>
        <w:t>保证金</w:t>
      </w:r>
    </w:p>
    <w:p>
      <w:pPr>
        <w:pStyle w:val="149"/>
        <w:pageBreakBefore w:val="0"/>
        <w:widowControl/>
        <w:kinsoku/>
        <w:wordWrap/>
        <w:overflowPunct/>
        <w:topLinePunct w:val="0"/>
        <w:autoSpaceDE/>
        <w:autoSpaceDN/>
        <w:bidi w:val="0"/>
        <w:snapToGrid/>
        <w:spacing w:line="540" w:lineRule="exact"/>
        <w:ind w:left="0" w:leftChars="0" w:firstLine="434" w:firstLineChars="181"/>
        <w:textAlignment w:val="auto"/>
        <w:rPr>
          <w:rFonts w:hint="eastAsia" w:ascii="仿宋" w:hAnsi="仿宋" w:eastAsia="仿宋" w:cs="仿宋"/>
          <w:color w:val="auto"/>
          <w:sz w:val="24"/>
          <w:szCs w:val="24"/>
          <w:highlight w:val="none"/>
          <w:lang w:eastAsia="zh-CN"/>
        </w:rPr>
      </w:pPr>
      <w:bookmarkStart w:id="38" w:name="_Toc256000008"/>
      <w:bookmarkEnd w:id="38"/>
      <w:bookmarkStart w:id="39" w:name="_Toc5772"/>
      <w:bookmarkEnd w:id="39"/>
      <w:r>
        <w:rPr>
          <w:rFonts w:hint="eastAsia" w:ascii="仿宋" w:hAnsi="仿宋" w:eastAsia="仿宋" w:cs="仿宋"/>
          <w:color w:val="auto"/>
          <w:sz w:val="24"/>
          <w:szCs w:val="24"/>
          <w:highlight w:val="none"/>
          <w:lang w:eastAsia="zh-CN"/>
        </w:rPr>
        <w:t>8.1供应商应按照采购文件第二部分“供应商须知前附表”中第2</w:t>
      </w:r>
      <w:r>
        <w:rPr>
          <w:rFonts w:hint="eastAsia" w:ascii="仿宋" w:hAnsi="仿宋" w:eastAsia="仿宋" w:cs="仿宋"/>
          <w:sz w:val="24"/>
          <w:szCs w:val="24"/>
          <w:lang w:val="en-US" w:eastAsia="zh-CN"/>
        </w:rPr>
        <w:t>8</w:t>
      </w:r>
      <w:r>
        <w:rPr>
          <w:rFonts w:hint="eastAsia" w:ascii="仿宋" w:hAnsi="仿宋" w:eastAsia="仿宋" w:cs="仿宋"/>
          <w:color w:val="auto"/>
          <w:sz w:val="24"/>
          <w:szCs w:val="24"/>
          <w:highlight w:val="none"/>
          <w:lang w:eastAsia="zh-CN"/>
        </w:rPr>
        <w:t>项的规定交纳。</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保证金须于到账截止时间前到账。</w:t>
      </w:r>
    </w:p>
    <w:p>
      <w:pPr>
        <w:pStyle w:val="149"/>
        <w:pageBreakBefore w:val="0"/>
        <w:widowControl/>
        <w:kinsoku/>
        <w:wordWrap/>
        <w:overflowPunct/>
        <w:topLinePunct w:val="0"/>
        <w:autoSpaceDE/>
        <w:autoSpaceDN/>
        <w:bidi w:val="0"/>
        <w:snapToGrid/>
        <w:spacing w:line="540" w:lineRule="exact"/>
        <w:ind w:left="0" w:leftChars="0" w:firstLine="434" w:firstLineChars="181"/>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8.2采购代理机构不接收以现金等其他形式递交的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保证金。未按要求提交</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保证金的，将被视为无效</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w:t>
      </w:r>
    </w:p>
    <w:p>
      <w:pPr>
        <w:pStyle w:val="149"/>
        <w:pageBreakBefore w:val="0"/>
        <w:widowControl/>
        <w:kinsoku/>
        <w:wordWrap/>
        <w:overflowPunct/>
        <w:topLinePunct w:val="0"/>
        <w:autoSpaceDE/>
        <w:autoSpaceDN/>
        <w:bidi w:val="0"/>
        <w:snapToGrid/>
        <w:spacing w:line="540" w:lineRule="exact"/>
        <w:ind w:left="0" w:leftChars="0" w:firstLine="434" w:firstLineChars="181"/>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w:t>
      </w: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谈判</w:t>
      </w:r>
      <w:r>
        <w:rPr>
          <w:rFonts w:hint="eastAsia" w:ascii="仿宋" w:hAnsi="仿宋" w:eastAsia="仿宋" w:cs="仿宋"/>
          <w:color w:val="auto"/>
          <w:sz w:val="24"/>
          <w:szCs w:val="24"/>
          <w:highlight w:val="none"/>
          <w:lang w:eastAsia="zh-CN"/>
        </w:rPr>
        <w:t>保证金退还一律采用网上银行转账方式退还至供应商的汇款账户，资金原路返回。</w:t>
      </w:r>
    </w:p>
    <w:p>
      <w:pPr>
        <w:spacing w:line="540" w:lineRule="exact"/>
        <w:ind w:firstLine="480"/>
        <w:rPr>
          <w:rFonts w:hint="eastAsia" w:ascii="仿宋" w:hAnsi="仿宋" w:eastAsia="仿宋" w:cs="仿宋"/>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lang w:val="en-US" w:eastAsia="zh-CN"/>
        </w:rPr>
        <w:t>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pPr>
        <w:spacing w:line="54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有下列情形之一的，保证金不予退还：</w:t>
      </w:r>
    </w:p>
    <w:p>
      <w:pPr>
        <w:spacing w:line="54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（1）供应商在提交响应文件截止时间后撤回响应文件的；</w:t>
      </w:r>
    </w:p>
    <w:p>
      <w:pPr>
        <w:spacing w:line="540" w:lineRule="exact"/>
        <w:ind w:firstLine="480"/>
        <w:rPr>
          <w:rFonts w:hint="eastAsia" w:ascii="仿宋" w:hAnsi="仿宋" w:eastAsia="仿宋" w:cs="仿宋"/>
          <w:lang w:val="en-US" w:eastAsia="zh-CN"/>
        </w:rPr>
      </w:pPr>
      <w:r>
        <w:rPr>
          <w:rFonts w:hint="eastAsia" w:ascii="仿宋" w:hAnsi="仿宋" w:eastAsia="仿宋" w:cs="仿宋"/>
          <w:lang w:val="en-US" w:eastAsia="zh-CN"/>
        </w:rPr>
        <w:t>（2）供应商在响应文件中提供虚假材料的，包括虚假承诺；</w:t>
      </w:r>
    </w:p>
    <w:p>
      <w:pPr>
        <w:spacing w:line="540" w:lineRule="exact"/>
        <w:ind w:firstLine="480"/>
        <w:rPr>
          <w:rFonts w:hint="eastAsia" w:ascii="仿宋" w:hAnsi="仿宋" w:eastAsia="仿宋" w:cs="仿宋"/>
          <w:lang w:val="en-US" w:eastAsia="zh-CN"/>
        </w:rPr>
      </w:pPr>
      <w:r>
        <w:rPr>
          <w:rFonts w:hint="eastAsia" w:ascii="仿宋" w:hAnsi="仿宋" w:eastAsia="仿宋" w:cs="仿宋"/>
          <w:lang w:val="en-US" w:eastAsia="zh-CN"/>
        </w:rPr>
        <w:t>（3）除因不可抗力或谈判文件认可的情形以外，成交供应商不与采购人签订合同的；</w:t>
      </w:r>
    </w:p>
    <w:p>
      <w:pPr>
        <w:spacing w:line="540" w:lineRule="exact"/>
        <w:ind w:firstLine="480"/>
        <w:rPr>
          <w:rFonts w:hint="eastAsia" w:ascii="仿宋" w:hAnsi="仿宋" w:eastAsia="仿宋" w:cs="仿宋"/>
          <w:lang w:val="en-US" w:eastAsia="zh-CN"/>
        </w:rPr>
      </w:pPr>
      <w:r>
        <w:rPr>
          <w:rFonts w:hint="eastAsia" w:ascii="仿宋" w:hAnsi="仿宋" w:eastAsia="仿宋" w:cs="仿宋"/>
          <w:lang w:val="en-US" w:eastAsia="zh-CN"/>
        </w:rPr>
        <w:t>（4）供应商与采购人、其他供应商或者采购代理机构恶意串通的；</w:t>
      </w:r>
    </w:p>
    <w:p>
      <w:pPr>
        <w:spacing w:line="540" w:lineRule="exact"/>
        <w:ind w:firstLine="480" w:firstLineChars="0"/>
        <w:rPr>
          <w:rFonts w:hint="eastAsia" w:ascii="仿宋" w:hAnsi="仿宋" w:eastAsia="仿宋" w:cs="仿宋"/>
          <w:sz w:val="24"/>
        </w:rPr>
      </w:pPr>
      <w:r>
        <w:rPr>
          <w:rFonts w:hint="eastAsia" w:ascii="仿宋" w:hAnsi="仿宋" w:eastAsia="仿宋" w:cs="仿宋"/>
          <w:lang w:val="en-US" w:eastAsia="zh-CN"/>
        </w:rPr>
        <w:t>（5）法律法规规定的其他情形。</w:t>
      </w:r>
    </w:p>
    <w:p>
      <w:pPr>
        <w:pStyle w:val="157"/>
        <w:tabs>
          <w:tab w:val="left" w:pos="584"/>
          <w:tab w:val="clear" w:pos="720"/>
        </w:tabs>
        <w:spacing w:line="540" w:lineRule="exact"/>
        <w:ind w:left="240" w:leftChars="10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响应文件的递交</w:t>
      </w:r>
    </w:p>
    <w:p>
      <w:pPr>
        <w:pStyle w:val="149"/>
        <w:spacing w:line="540" w:lineRule="exact"/>
        <w:ind w:firstLine="434" w:firstLineChars="181"/>
        <w:rPr>
          <w:rFonts w:hint="default" w:ascii="仿宋" w:hAnsi="仿宋" w:eastAsia="仿宋" w:cs="仿宋"/>
          <w:sz w:val="24"/>
          <w:lang w:val="en-US" w:eastAsia="zh-CN"/>
        </w:rPr>
      </w:pPr>
      <w:r>
        <w:rPr>
          <w:rFonts w:hint="eastAsia" w:ascii="仿宋" w:hAnsi="仿宋" w:eastAsia="仿宋" w:cs="仿宋"/>
          <w:sz w:val="24"/>
          <w:lang w:val="en-US" w:eastAsia="zh-CN"/>
        </w:rPr>
        <w:t>9.1</w:t>
      </w:r>
      <w:r>
        <w:rPr>
          <w:rFonts w:hint="eastAsia" w:ascii="仿宋" w:hAnsi="仿宋" w:eastAsia="仿宋" w:cs="仿宋"/>
          <w:color w:val="auto"/>
          <w:sz w:val="24"/>
          <w:szCs w:val="24"/>
          <w:highlight w:val="none"/>
          <w:lang w:eastAsia="zh-CN"/>
        </w:rPr>
        <w:t>本项目采用不见面开标，只需将加密电子</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截止时间前通过政采云交易平台上传完成。</w:t>
      </w:r>
    </w:p>
    <w:p>
      <w:pPr>
        <w:pStyle w:val="149"/>
        <w:spacing w:line="540" w:lineRule="exact"/>
        <w:ind w:firstLine="434" w:firstLineChars="181"/>
        <w:rPr>
          <w:rFonts w:hint="eastAsia" w:ascii="仿宋" w:hAnsi="仿宋" w:eastAsia="仿宋" w:cs="仿宋"/>
          <w:sz w:val="24"/>
        </w:rPr>
      </w:pPr>
      <w:r>
        <w:rPr>
          <w:rFonts w:hint="eastAsia" w:ascii="仿宋" w:hAnsi="仿宋" w:eastAsia="仿宋" w:cs="仿宋"/>
          <w:sz w:val="24"/>
          <w:lang w:eastAsia="zh-CN"/>
        </w:rPr>
        <w:t>9</w:t>
      </w:r>
      <w:r>
        <w:rPr>
          <w:rFonts w:hint="eastAsia" w:ascii="仿宋" w:hAnsi="仿宋" w:eastAsia="仿宋" w:cs="仿宋"/>
          <w:sz w:val="24"/>
        </w:rPr>
        <w:t>.2供应商应当在</w:t>
      </w:r>
      <w:r>
        <w:rPr>
          <w:rFonts w:hint="eastAsia" w:ascii="仿宋" w:hAnsi="仿宋" w:eastAsia="仿宋" w:cs="仿宋"/>
          <w:sz w:val="24"/>
          <w:lang w:val="en-US" w:eastAsia="zh-CN"/>
        </w:rPr>
        <w:t>响应</w:t>
      </w:r>
      <w:r>
        <w:rPr>
          <w:rFonts w:hint="eastAsia" w:ascii="仿宋" w:hAnsi="仿宋" w:eastAsia="仿宋" w:cs="仿宋"/>
          <w:sz w:val="24"/>
        </w:rPr>
        <w:t>截止时间前,将生成的“电子加密</w:t>
      </w:r>
      <w:r>
        <w:rPr>
          <w:rFonts w:hint="eastAsia" w:ascii="仿宋" w:hAnsi="仿宋" w:eastAsia="仿宋" w:cs="仿宋"/>
          <w:sz w:val="24"/>
          <w:lang w:val="en-US" w:eastAsia="zh-CN"/>
        </w:rPr>
        <w:t>响应</w:t>
      </w:r>
      <w:r>
        <w:rPr>
          <w:rFonts w:hint="eastAsia" w:ascii="仿宋" w:hAnsi="仿宋" w:eastAsia="仿宋" w:cs="仿宋"/>
          <w:sz w:val="24"/>
        </w:rPr>
        <w:t>文件”上传递交至“政府采购云平台”,</w:t>
      </w:r>
      <w:r>
        <w:rPr>
          <w:rFonts w:hint="eastAsia" w:ascii="仿宋" w:hAnsi="仿宋" w:eastAsia="仿宋" w:cs="仿宋"/>
          <w:sz w:val="24"/>
          <w:lang w:val="en-US" w:eastAsia="zh-CN"/>
        </w:rPr>
        <w:t>逾期上传或未</w:t>
      </w:r>
      <w:r>
        <w:rPr>
          <w:rFonts w:hint="eastAsia" w:ascii="仿宋" w:hAnsi="仿宋" w:eastAsia="仿宋" w:cs="仿宋"/>
          <w:sz w:val="24"/>
        </w:rPr>
        <w:t>上传的</w:t>
      </w:r>
      <w:r>
        <w:rPr>
          <w:rFonts w:hint="eastAsia" w:ascii="仿宋" w:hAnsi="仿宋" w:eastAsia="仿宋" w:cs="仿宋"/>
          <w:sz w:val="24"/>
          <w:lang w:eastAsia="zh-CN"/>
        </w:rPr>
        <w:t>响应文件，</w:t>
      </w:r>
      <w:r>
        <w:rPr>
          <w:rFonts w:hint="eastAsia" w:ascii="仿宋" w:hAnsi="仿宋" w:eastAsia="仿宋" w:cs="仿宋"/>
          <w:sz w:val="24"/>
          <w:lang w:val="en-US" w:eastAsia="zh-CN"/>
        </w:rPr>
        <w:t>将</w:t>
      </w:r>
      <w:r>
        <w:rPr>
          <w:rFonts w:hint="eastAsia" w:ascii="仿宋" w:hAnsi="仿宋" w:eastAsia="仿宋" w:cs="仿宋"/>
          <w:color w:val="auto"/>
          <w:sz w:val="24"/>
          <w:szCs w:val="24"/>
          <w:highlight w:val="none"/>
          <w:lang w:eastAsia="zh-CN"/>
        </w:rPr>
        <w:t>不予受理</w:t>
      </w:r>
      <w:r>
        <w:rPr>
          <w:rFonts w:hint="eastAsia" w:ascii="仿宋" w:hAnsi="仿宋" w:eastAsia="仿宋" w:cs="仿宋"/>
          <w:sz w:val="24"/>
        </w:rPr>
        <w:t>。</w:t>
      </w:r>
    </w:p>
    <w:p>
      <w:pPr>
        <w:pStyle w:val="149"/>
        <w:spacing w:line="540" w:lineRule="exact"/>
        <w:ind w:firstLine="434" w:firstLineChars="181"/>
        <w:rPr>
          <w:rFonts w:hint="eastAsia" w:ascii="仿宋" w:hAnsi="仿宋" w:eastAsia="仿宋" w:cs="仿宋"/>
          <w:sz w:val="24"/>
        </w:rPr>
      </w:pPr>
      <w:r>
        <w:rPr>
          <w:rFonts w:hint="eastAsia" w:ascii="仿宋" w:hAnsi="仿宋" w:eastAsia="仿宋" w:cs="仿宋"/>
          <w:sz w:val="24"/>
          <w:lang w:val="en-US" w:eastAsia="zh-CN"/>
        </w:rPr>
        <w:t>9.3</w:t>
      </w:r>
      <w:r>
        <w:rPr>
          <w:rFonts w:hint="eastAsia" w:ascii="仿宋" w:hAnsi="仿宋" w:eastAsia="仿宋" w:cs="仿宋"/>
          <w:sz w:val="24"/>
        </w:rPr>
        <w:t>供应商递交的电子谈判响应文件因供应商自身原因而导致无法导入电子辅助评标系统，该谈判响应文件视为无效谈判文件，将导致其谈判被拒绝。</w:t>
      </w:r>
    </w:p>
    <w:p>
      <w:pPr>
        <w:pStyle w:val="149"/>
        <w:spacing w:line="540" w:lineRule="exact"/>
        <w:ind w:firstLine="436" w:firstLineChars="181"/>
        <w:rPr>
          <w:rFonts w:hint="eastAsia" w:ascii="宋体" w:hAnsi="宋体" w:eastAsia="宋体" w:cs="宋体"/>
          <w:b/>
          <w:sz w:val="24"/>
          <w:highlight w:val="none"/>
        </w:rPr>
      </w:pPr>
      <w:r>
        <w:rPr>
          <w:rFonts w:hint="eastAsia" w:ascii="宋体" w:hAnsi="宋体" w:eastAsia="宋体" w:cs="宋体"/>
          <w:b/>
          <w:sz w:val="24"/>
          <w:highlight w:val="none"/>
          <w:lang w:val="en-US" w:eastAsia="zh-CN"/>
        </w:rPr>
        <w:t>10</w:t>
      </w:r>
      <w:r>
        <w:rPr>
          <w:rFonts w:hint="eastAsia" w:ascii="宋体" w:hAnsi="宋体" w:eastAsia="宋体" w:cs="宋体"/>
          <w:b/>
          <w:sz w:val="24"/>
          <w:lang w:eastAsia="zh-CN"/>
        </w:rPr>
        <w:t>、</w:t>
      </w:r>
      <w:r>
        <w:rPr>
          <w:rFonts w:hint="eastAsia" w:ascii="宋体" w:hAnsi="宋体" w:eastAsia="宋体" w:cs="宋体"/>
          <w:b/>
          <w:sz w:val="24"/>
          <w:highlight w:val="none"/>
          <w:lang w:val="en-US" w:eastAsia="zh-CN"/>
        </w:rPr>
        <w:t>响应</w:t>
      </w:r>
      <w:r>
        <w:rPr>
          <w:rFonts w:hint="eastAsia" w:ascii="宋体" w:hAnsi="宋体" w:eastAsia="宋体" w:cs="宋体"/>
          <w:b/>
          <w:sz w:val="24"/>
          <w:highlight w:val="none"/>
        </w:rPr>
        <w:t>文件的修改和撤回</w:t>
      </w:r>
    </w:p>
    <w:p>
      <w:pPr>
        <w:pStyle w:val="149"/>
        <w:spacing w:line="540" w:lineRule="exact"/>
        <w:ind w:firstLine="434" w:firstLineChars="181"/>
        <w:rPr>
          <w:rFonts w:hint="default" w:ascii="仿宋" w:hAnsi="仿宋" w:eastAsia="仿宋" w:cs="仿宋"/>
          <w:sz w:val="24"/>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.1</w:t>
      </w:r>
      <w:r>
        <w:rPr>
          <w:rFonts w:hint="eastAsia" w:ascii="仿宋" w:hAnsi="仿宋" w:eastAsia="仿宋" w:cs="仿宋"/>
          <w:color w:val="auto"/>
          <w:sz w:val="24"/>
          <w:szCs w:val="24"/>
          <w:highlight w:val="none"/>
          <w:lang w:eastAsia="zh-CN"/>
        </w:rPr>
        <w:t>供应商在递交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文件后，可以修改或撤回其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，但这种修改和撤回，必须在规定的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截止时间前。在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截止时间后，供应商不得要求修改或撤回其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p>
    <w:p>
      <w:pPr>
        <w:pStyle w:val="149"/>
        <w:spacing w:line="540" w:lineRule="exact"/>
        <w:ind w:firstLine="436" w:firstLineChars="181"/>
        <w:rPr>
          <w:rFonts w:ascii="宋体" w:hAnsi="宋体" w:eastAsia="宋体" w:cs="宋体"/>
          <w:b/>
          <w:sz w:val="24"/>
          <w:highlight w:val="none"/>
        </w:rPr>
      </w:pPr>
      <w:r>
        <w:rPr>
          <w:rFonts w:hint="eastAsia" w:ascii="宋体" w:hAnsi="宋体" w:eastAsia="宋体" w:cs="宋体"/>
          <w:b/>
          <w:sz w:val="24"/>
          <w:highlight w:val="none"/>
          <w:lang w:val="en-US" w:eastAsia="zh-CN"/>
        </w:rPr>
        <w:t>11</w:t>
      </w:r>
      <w:r>
        <w:rPr>
          <w:rFonts w:hint="eastAsia" w:ascii="宋体" w:hAnsi="宋体" w:eastAsia="宋体" w:cs="宋体"/>
          <w:b/>
          <w:sz w:val="24"/>
          <w:highlight w:val="none"/>
          <w:lang w:eastAsia="zh-CN"/>
        </w:rPr>
        <w:t>、</w:t>
      </w:r>
      <w:r>
        <w:rPr>
          <w:rFonts w:hint="eastAsia" w:ascii="宋体" w:hAnsi="宋体" w:eastAsia="宋体" w:cs="宋体"/>
          <w:b/>
          <w:sz w:val="24"/>
          <w:highlight w:val="none"/>
        </w:rPr>
        <w:t>开标</w:t>
      </w:r>
    </w:p>
    <w:p>
      <w:pPr>
        <w:pStyle w:val="155"/>
        <w:spacing w:line="540" w:lineRule="exact"/>
        <w:ind w:firstLine="434" w:firstLineChars="18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11.1在规定的响应截止时间（开标时间）和公告规定的地点开标。供应商的法定代表人或授权代表无需到达开标现场，仅需在任意地点通过政采云平台不见面开标系统，使用CA密钥完成远程解密、提疑澄清、开标唱标、结果公布等交互环节。</w:t>
      </w:r>
    </w:p>
    <w:p>
      <w:pPr>
        <w:pStyle w:val="149"/>
        <w:spacing w:line="540" w:lineRule="exact"/>
        <w:ind w:firstLine="434" w:firstLineChars="18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11.2法定代表人或法定代表人授权代表参与远程交互，中途不得更换，在废标、澄清、提疑、传送文件等特殊情况下需要交互时，供应商一端参与交互的人员将均被视为是供应商的法定代表人或授权代表，供应商不得以不承认交互人员的资格或身份等为借口推脱，供应商自行承担随意更换人员所导致的一切后果。</w:t>
      </w:r>
    </w:p>
    <w:p>
      <w:pPr>
        <w:pStyle w:val="149"/>
        <w:spacing w:line="540" w:lineRule="exact"/>
        <w:ind w:left="0" w:leftChars="0" w:firstLine="434" w:firstLineChars="18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11.3供应商不足3家的，不得开标。</w:t>
      </w:r>
    </w:p>
    <w:p>
      <w:pPr>
        <w:pStyle w:val="149"/>
        <w:spacing w:line="540" w:lineRule="exact"/>
        <w:ind w:left="0" w:leftChars="0" w:firstLine="436" w:firstLineChars="18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12.谈判小组</w:t>
      </w:r>
      <w:r>
        <w:rPr>
          <w:rFonts w:hint="eastAsia" w:ascii="宋体" w:hAnsi="宋体" w:eastAsia="宋体" w:cs="宋体"/>
          <w:b/>
          <w:color w:val="auto"/>
          <w:kern w:val="2"/>
          <w:sz w:val="24"/>
          <w:szCs w:val="24"/>
          <w:highlight w:val="none"/>
          <w:lang w:val="en-US" w:eastAsia="zh-CN" w:bidi="ar-SA"/>
        </w:rPr>
        <w:t>组建</w:t>
      </w:r>
    </w:p>
    <w:p>
      <w:pPr>
        <w:pStyle w:val="149"/>
        <w:spacing w:line="540" w:lineRule="exact"/>
        <w:ind w:left="0" w:leftChars="0" w:firstLine="434" w:firstLineChars="181"/>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竞争性谈判小组由采购人代表和评审专家共3人以上单数组成，其中评审专家人数不得少于竞争性谈判小组成员总数的2/3。采购人不得以评审专家身份参加本部门或本单位采购项目的评审。采购代理机构人员不得参加本机构代理的采购项目的评审。</w:t>
      </w:r>
    </w:p>
    <w:p>
      <w:pPr>
        <w:pStyle w:val="149"/>
        <w:spacing w:line="540" w:lineRule="exact"/>
        <w:ind w:firstLine="436" w:firstLineChars="181"/>
        <w:rPr>
          <w:rFonts w:ascii="宋体" w:hAnsi="宋体" w:eastAsia="宋体" w:cs="宋体"/>
          <w:b/>
          <w:bCs/>
          <w:sz w:val="24"/>
          <w:highlight w:val="none"/>
        </w:rPr>
      </w:pPr>
      <w:r>
        <w:rPr>
          <w:rFonts w:hint="eastAsia" w:ascii="宋体" w:hAnsi="宋体" w:eastAsia="宋体" w:cs="宋体"/>
          <w:b/>
          <w:bCs/>
          <w:sz w:val="24"/>
          <w:highlight w:val="none"/>
          <w:lang w:val="en-US" w:eastAsia="zh-CN"/>
        </w:rPr>
        <w:t>13</w:t>
      </w:r>
      <w:r>
        <w:rPr>
          <w:rFonts w:hint="eastAsia" w:ascii="宋体" w:hAnsi="宋体" w:eastAsia="宋体" w:cs="宋体"/>
          <w:b/>
          <w:bCs/>
          <w:sz w:val="24"/>
          <w:highlight w:val="none"/>
        </w:rPr>
        <w:t>.资格审查</w:t>
      </w:r>
    </w:p>
    <w:p>
      <w:pPr>
        <w:pStyle w:val="149"/>
        <w:spacing w:line="540" w:lineRule="exact"/>
        <w:ind w:firstLine="434" w:firstLineChars="181"/>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.1</w:t>
      </w:r>
      <w:r>
        <w:rPr>
          <w:rFonts w:hint="eastAsia" w:ascii="仿宋" w:hAnsi="仿宋" w:eastAsia="仿宋" w:cs="仿宋"/>
          <w:color w:val="auto"/>
          <w:kern w:val="2"/>
          <w:sz w:val="24"/>
          <w:szCs w:val="24"/>
          <w:highlight w:val="none"/>
          <w:lang w:val="en-US" w:eastAsia="zh-CN" w:bidi="ar-SA"/>
        </w:rPr>
        <w:t>开标时间开始，采购人应当依法对供应商的资格进行审查。</w:t>
      </w:r>
    </w:p>
    <w:p>
      <w:pPr>
        <w:pStyle w:val="149"/>
        <w:spacing w:line="540" w:lineRule="exact"/>
        <w:ind w:left="0" w:leftChars="0" w:firstLine="434" w:firstLineChars="181"/>
        <w:rPr>
          <w:rFonts w:hint="eastAsia" w:ascii="仿宋" w:hAnsi="仿宋" w:eastAsia="仿宋" w:cs="仿宋"/>
          <w:b w:val="0"/>
          <w:color w:val="auto"/>
          <w:sz w:val="24"/>
          <w:szCs w:val="24"/>
          <w:highlight w:val="none"/>
        </w:rPr>
      </w:pPr>
      <w:r>
        <w:rPr>
          <w:rFonts w:hint="eastAsia" w:ascii="仿宋" w:hAnsi="仿宋" w:eastAsia="仿宋" w:cs="仿宋"/>
          <w:color w:val="auto"/>
          <w:kern w:val="2"/>
          <w:sz w:val="24"/>
          <w:szCs w:val="24"/>
          <w:highlight w:val="none"/>
          <w:lang w:val="en-US" w:eastAsia="zh-CN" w:bidi="ar-SA"/>
        </w:rPr>
        <w:t>13.2.合格供应商不足3家的，不得进行评审。</w:t>
      </w:r>
    </w:p>
    <w:p>
      <w:pPr>
        <w:pStyle w:val="149"/>
        <w:spacing w:line="540" w:lineRule="exact"/>
        <w:ind w:firstLine="436" w:firstLineChars="181"/>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eastAsia="zh-CN"/>
        </w:rPr>
        <w:t>1</w:t>
      </w:r>
      <w:r>
        <w:rPr>
          <w:rFonts w:hint="eastAsia" w:ascii="宋体" w:hAnsi="宋体" w:eastAsia="宋体" w:cs="宋体"/>
          <w:b/>
          <w:bCs/>
          <w:sz w:val="24"/>
          <w:highlight w:val="none"/>
          <w:lang w:val="en-US" w:eastAsia="zh-CN"/>
        </w:rPr>
        <w:t>4、符合性审查</w:t>
      </w:r>
    </w:p>
    <w:p>
      <w:pPr>
        <w:pStyle w:val="149"/>
        <w:spacing w:line="540" w:lineRule="exact"/>
        <w:ind w:firstLine="434" w:firstLineChars="181"/>
        <w:rPr>
          <w:rFonts w:hint="eastAsia" w:ascii="仿宋" w:hAnsi="仿宋" w:eastAsia="仿宋" w:cs="仿宋"/>
          <w:sz w:val="24"/>
        </w:rPr>
      </w:pPr>
      <w:r>
        <w:rPr>
          <w:rFonts w:hint="eastAsia" w:ascii="仿宋" w:hAnsi="仿宋" w:eastAsia="仿宋" w:cs="仿宋"/>
          <w:sz w:val="24"/>
          <w:lang w:val="en-US" w:eastAsia="zh-CN"/>
        </w:rPr>
        <w:t>14.1</w:t>
      </w:r>
      <w:r>
        <w:rPr>
          <w:rFonts w:hint="eastAsia" w:ascii="仿宋" w:hAnsi="仿宋" w:eastAsia="仿宋" w:cs="仿宋"/>
          <w:sz w:val="24"/>
        </w:rPr>
        <w:t>谈判小组依据竞争性谈判文件的规定，对响应文件的有效性、完整性和对采购文件的响应程度进行符合性审查，以确定</w:t>
      </w:r>
      <w:r>
        <w:rPr>
          <w:rFonts w:hint="eastAsia" w:ascii="仿宋" w:hAnsi="仿宋" w:eastAsia="仿宋" w:cs="仿宋"/>
          <w:sz w:val="24"/>
          <w:lang w:eastAsia="zh-CN"/>
        </w:rPr>
        <w:t>供应商</w:t>
      </w:r>
      <w:r>
        <w:rPr>
          <w:rFonts w:hint="eastAsia" w:ascii="仿宋" w:hAnsi="仿宋" w:eastAsia="仿宋" w:cs="仿宋"/>
          <w:sz w:val="24"/>
        </w:rPr>
        <w:t>是否对采购文件的要求</w:t>
      </w:r>
      <w:r>
        <w:rPr>
          <w:rFonts w:ascii="仿宋" w:hAnsi="仿宋" w:eastAsia="仿宋" w:cs="仿宋"/>
          <w:sz w:val="24"/>
          <w:lang w:val="zh-CN"/>
        </w:rPr>
        <w:t>作出</w:t>
      </w:r>
      <w:r>
        <w:rPr>
          <w:rFonts w:hint="eastAsia" w:ascii="仿宋" w:hAnsi="仿宋" w:eastAsia="仿宋" w:cs="仿宋"/>
          <w:sz w:val="24"/>
        </w:rPr>
        <w:t>实质性响应。评审不合格的供应商的响应文件做无效文件处理。</w:t>
      </w:r>
    </w:p>
    <w:p>
      <w:pPr>
        <w:pStyle w:val="149"/>
        <w:spacing w:line="540" w:lineRule="exact"/>
        <w:ind w:firstLine="434" w:firstLineChars="181"/>
        <w:rPr>
          <w:rFonts w:hint="eastAsia" w:ascii="仿宋" w:hAnsi="仿宋" w:eastAsia="仿宋" w:cs="仿宋"/>
          <w:sz w:val="24"/>
          <w:lang w:val="en-US" w:eastAsia="zh-CN"/>
        </w:rPr>
      </w:pPr>
      <w:r>
        <w:rPr>
          <w:rFonts w:hint="eastAsia" w:ascii="仿宋" w:hAnsi="仿宋" w:eastAsia="仿宋" w:cs="仿宋"/>
          <w:color w:val="auto"/>
          <w:kern w:val="2"/>
          <w:sz w:val="24"/>
          <w:szCs w:val="24"/>
          <w:highlight w:val="none"/>
          <w:lang w:val="en-US" w:eastAsia="zh-CN" w:bidi="ar-SA"/>
        </w:rPr>
        <w:t>合格供应商不足3家的，不得进行评审。</w:t>
      </w:r>
    </w:p>
    <w:p>
      <w:pPr>
        <w:spacing w:line="5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谈判小组</w:t>
      </w:r>
      <w:r>
        <w:rPr>
          <w:rFonts w:hint="eastAsia" w:ascii="仿宋" w:hAnsi="仿宋" w:eastAsia="仿宋" w:cs="仿宋"/>
          <w:color w:val="auto"/>
          <w:kern w:val="2"/>
          <w:sz w:val="24"/>
          <w:szCs w:val="24"/>
          <w:highlight w:val="none"/>
          <w:lang w:val="en-US" w:eastAsia="zh-CN" w:bidi="ar-SA"/>
        </w:rPr>
        <w:t>依法独立评审，严格遵守评审工作纪律。对需要共同认定的事项存在争议的，按照少数服从多数的原则作出评审结论。持不同意见的评标委员会成员应当在评标报告上签署不同意见并说明理由，否则视为同意评标报告。</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lang w:val="en-US" w:eastAsia="zh-CN"/>
        </w:rPr>
        <w:t>14</w:t>
      </w:r>
      <w:r>
        <w:rPr>
          <w:rFonts w:hint="eastAsia" w:ascii="仿宋" w:hAnsi="仿宋" w:eastAsia="仿宋" w:cs="仿宋"/>
          <w:sz w:val="24"/>
        </w:rPr>
        <w:t>.2 谈判小组、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49"/>
        <w:spacing w:line="540" w:lineRule="exact"/>
        <w:ind w:firstLine="434" w:firstLineChars="181"/>
        <w:rPr>
          <w:rFonts w:ascii="仿宋" w:hAnsi="仿宋" w:eastAsia="仿宋" w:cs="仿宋"/>
          <w:sz w:val="24"/>
          <w:lang w:val="zh-CN"/>
        </w:rPr>
      </w:pPr>
      <w:r>
        <w:rPr>
          <w:rFonts w:hint="eastAsia" w:ascii="仿宋" w:hAnsi="仿宋" w:eastAsia="仿宋" w:cs="仿宋"/>
          <w:sz w:val="24"/>
          <w:lang w:val="en-US" w:eastAsia="zh-CN"/>
        </w:rPr>
        <w:t>14.3</w:t>
      </w:r>
      <w:r>
        <w:rPr>
          <w:rFonts w:ascii="仿宋" w:hAnsi="仿宋" w:eastAsia="仿宋" w:cs="仿宋"/>
          <w:sz w:val="24"/>
        </w:rPr>
        <w:t>谈判小组、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49"/>
        <w:spacing w:line="540" w:lineRule="exact"/>
        <w:ind w:firstLine="434" w:firstLineChars="181"/>
        <w:rPr>
          <w:rFonts w:ascii="仿宋" w:hAnsi="仿宋" w:eastAsia="仿宋" w:cs="仿宋"/>
          <w:sz w:val="24"/>
          <w:lang w:val="zh-CN"/>
        </w:rPr>
      </w:pPr>
      <w:r>
        <w:rPr>
          <w:rFonts w:hint="eastAsia" w:ascii="仿宋" w:hAnsi="仿宋" w:eastAsia="仿宋" w:cs="仿宋"/>
          <w:sz w:val="24"/>
          <w:lang w:val="en-US" w:eastAsia="zh-CN"/>
        </w:rPr>
        <w:t>14.4</w:t>
      </w:r>
      <w:r>
        <w:rPr>
          <w:rFonts w:hint="eastAsia" w:ascii="仿宋" w:hAnsi="仿宋" w:eastAsia="仿宋" w:cs="仿宋"/>
          <w:sz w:val="24"/>
          <w:lang w:val="zh-CN"/>
        </w:rPr>
        <w:t>被认定为未实质性响应</w:t>
      </w:r>
      <w:r>
        <w:rPr>
          <w:rFonts w:hint="eastAsia" w:ascii="仿宋" w:hAnsi="仿宋" w:eastAsia="仿宋" w:cs="仿宋"/>
          <w:sz w:val="24"/>
        </w:rPr>
        <w:t>谈判</w:t>
      </w:r>
      <w:r>
        <w:rPr>
          <w:rFonts w:hint="eastAsia" w:ascii="仿宋" w:hAnsi="仿宋" w:eastAsia="仿宋" w:cs="仿宋"/>
          <w:sz w:val="24"/>
          <w:lang w:val="zh-CN"/>
        </w:rPr>
        <w:t>文件的响应文件的情形：</w:t>
      </w:r>
    </w:p>
    <w:p>
      <w:pPr>
        <w:spacing w:line="540" w:lineRule="exact"/>
        <w:ind w:firstLine="480"/>
        <w:rPr>
          <w:rFonts w:ascii="仿宋" w:hAnsi="仿宋" w:eastAsia="仿宋" w:cs="仿宋"/>
        </w:rPr>
      </w:pPr>
      <w:r>
        <w:rPr>
          <w:rFonts w:hint="eastAsia" w:ascii="仿宋" w:hAnsi="仿宋" w:eastAsia="仿宋" w:cs="仿宋"/>
          <w:sz w:val="24"/>
          <w:lang w:val="en-US" w:eastAsia="zh-CN"/>
        </w:rPr>
        <w:t>14.4</w:t>
      </w:r>
      <w:r>
        <w:rPr>
          <w:rFonts w:hint="eastAsia" w:ascii="仿宋" w:hAnsi="仿宋" w:eastAsia="仿宋" w:cs="仿宋"/>
        </w:rPr>
        <w:t>.1报价超预算</w:t>
      </w:r>
    </w:p>
    <w:p>
      <w:pPr>
        <w:spacing w:line="540" w:lineRule="exact"/>
        <w:ind w:firstLine="480"/>
        <w:rPr>
          <w:rFonts w:ascii="仿宋" w:hAnsi="仿宋" w:eastAsia="仿宋" w:cs="仿宋"/>
        </w:rPr>
      </w:pPr>
      <w:r>
        <w:rPr>
          <w:rFonts w:hint="eastAsia" w:ascii="仿宋" w:hAnsi="仿宋" w:eastAsia="仿宋" w:cs="仿宋"/>
          <w:sz w:val="24"/>
          <w:lang w:val="en-US" w:eastAsia="zh-CN"/>
        </w:rPr>
        <w:t>14.4</w:t>
      </w:r>
      <w:r>
        <w:rPr>
          <w:rFonts w:hint="eastAsia" w:ascii="仿宋" w:hAnsi="仿宋" w:eastAsia="仿宋" w:cs="仿宋"/>
        </w:rPr>
        <w:t>.2未按照谈判文件规定要求签署、盖章的。</w:t>
      </w:r>
    </w:p>
    <w:p>
      <w:pPr>
        <w:spacing w:line="540" w:lineRule="exact"/>
        <w:ind w:firstLine="480"/>
        <w:rPr>
          <w:rFonts w:ascii="仿宋" w:hAnsi="仿宋" w:eastAsia="仿宋" w:cs="仿宋"/>
        </w:rPr>
      </w:pPr>
      <w:r>
        <w:rPr>
          <w:rFonts w:hint="eastAsia" w:ascii="仿宋" w:hAnsi="仿宋" w:eastAsia="仿宋" w:cs="仿宋"/>
          <w:sz w:val="24"/>
          <w:lang w:val="en-US" w:eastAsia="zh-CN"/>
        </w:rPr>
        <w:t>14.4</w:t>
      </w:r>
      <w:r>
        <w:rPr>
          <w:rFonts w:hint="eastAsia" w:ascii="仿宋" w:hAnsi="仿宋" w:eastAsia="仿宋" w:cs="仿宋"/>
        </w:rPr>
        <w:t>.3供应商在报价时采用选择性报价。</w:t>
      </w:r>
    </w:p>
    <w:p>
      <w:pPr>
        <w:spacing w:line="540" w:lineRule="exact"/>
        <w:ind w:firstLine="480"/>
        <w:rPr>
          <w:rFonts w:ascii="仿宋" w:hAnsi="仿宋" w:eastAsia="仿宋" w:cs="仿宋"/>
        </w:rPr>
      </w:pPr>
      <w:r>
        <w:rPr>
          <w:rFonts w:hint="eastAsia" w:ascii="仿宋" w:hAnsi="仿宋" w:eastAsia="仿宋" w:cs="仿宋"/>
          <w:sz w:val="24"/>
          <w:lang w:val="en-US" w:eastAsia="zh-CN"/>
        </w:rPr>
        <w:t>14.4</w:t>
      </w:r>
      <w:r>
        <w:rPr>
          <w:rFonts w:hint="eastAsia" w:ascii="仿宋" w:hAnsi="仿宋" w:eastAsia="仿宋" w:cs="仿宋"/>
        </w:rPr>
        <w:t>.4不符合谈判文件中规定的实质性要求和条件的。</w:t>
      </w:r>
    </w:p>
    <w:p>
      <w:pPr>
        <w:spacing w:line="540" w:lineRule="exact"/>
        <w:ind w:firstLine="480"/>
        <w:rPr>
          <w:rFonts w:ascii="仿宋" w:hAnsi="仿宋" w:eastAsia="仿宋" w:cs="仿宋"/>
        </w:rPr>
      </w:pPr>
      <w:r>
        <w:rPr>
          <w:rFonts w:hint="eastAsia" w:ascii="仿宋" w:hAnsi="仿宋" w:eastAsia="仿宋" w:cs="仿宋"/>
          <w:sz w:val="24"/>
          <w:lang w:val="en-US" w:eastAsia="zh-CN"/>
        </w:rPr>
        <w:t>14.4</w:t>
      </w:r>
      <w:r>
        <w:rPr>
          <w:rFonts w:hint="eastAsia" w:ascii="仿宋" w:hAnsi="仿宋" w:eastAsia="仿宋" w:cs="仿宋"/>
        </w:rPr>
        <w:t>.5含有采购人不能接受的附加条件的。</w:t>
      </w:r>
    </w:p>
    <w:p>
      <w:pPr>
        <w:spacing w:line="540" w:lineRule="exact"/>
        <w:ind w:firstLine="480"/>
        <w:rPr>
          <w:rFonts w:ascii="仿宋" w:hAnsi="仿宋" w:eastAsia="仿宋" w:cs="仿宋"/>
        </w:rPr>
      </w:pPr>
      <w:r>
        <w:rPr>
          <w:rFonts w:hint="eastAsia" w:ascii="仿宋" w:hAnsi="仿宋" w:eastAsia="仿宋" w:cs="仿宋"/>
          <w:lang w:val="en-US" w:eastAsia="zh-CN"/>
        </w:rPr>
        <w:t>14</w:t>
      </w: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谈判文件能够详细列明采购标的的技术、服务要求的，谈判结束后，谈判小组将要求所有实质性响应的供应商在规定时间内提交最终报价。</w:t>
      </w:r>
    </w:p>
    <w:p>
      <w:pPr>
        <w:spacing w:line="540" w:lineRule="exact"/>
        <w:ind w:firstLine="480"/>
        <w:rPr>
          <w:rFonts w:ascii="仿宋" w:hAnsi="仿宋" w:eastAsia="仿宋" w:cs="仿宋"/>
          <w:lang w:val="zh-CN"/>
        </w:rPr>
      </w:pPr>
      <w:r>
        <w:rPr>
          <w:rFonts w:hint="eastAsia" w:ascii="仿宋" w:hAnsi="仿宋" w:eastAsia="仿宋" w:cs="仿宋"/>
          <w:lang w:val="en-US" w:eastAsia="zh-CN"/>
        </w:rPr>
        <w:t>14.6</w:t>
      </w:r>
      <w:r>
        <w:rPr>
          <w:rFonts w:hint="eastAsia" w:ascii="仿宋" w:hAnsi="仿宋" w:eastAsia="仿宋" w:cs="仿宋"/>
        </w:rPr>
        <w:t>在质量和服务均能满足采购文件实质性要求的情况下，按照合理低价原则确定中标供货商，但不保证最低价中标。如果评审价格相同，则按技术指标和服务标准优劣顺序排列，技术指标和服务标准最优的为成交供应商。</w:t>
      </w:r>
    </w:p>
    <w:p>
      <w:pPr>
        <w:pStyle w:val="157"/>
        <w:tabs>
          <w:tab w:val="left" w:pos="584"/>
          <w:tab w:val="clear" w:pos="720"/>
        </w:tabs>
        <w:spacing w:line="540" w:lineRule="exact"/>
        <w:ind w:left="0" w:firstLine="481" w:firstLineChars="200"/>
        <w:rPr>
          <w:rFonts w:hint="eastAsia" w:ascii="宋体" w:hAnsi="宋体" w:eastAsia="宋体" w:cs="宋体"/>
          <w:sz w:val="24"/>
          <w:szCs w:val="24"/>
          <w:lang w:val="zh-CN"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、评</w:t>
      </w:r>
      <w:r>
        <w:rPr>
          <w:rFonts w:hint="eastAsia" w:ascii="宋体" w:hAnsi="宋体" w:eastAsia="宋体" w:cs="宋体"/>
          <w:sz w:val="24"/>
          <w:szCs w:val="24"/>
          <w:lang w:val="en-US" w:eastAsia="zh-CN"/>
        </w:rPr>
        <w:t>审</w:t>
      </w:r>
    </w:p>
    <w:p>
      <w:pPr>
        <w:pStyle w:val="149"/>
        <w:spacing w:line="540" w:lineRule="exact"/>
        <w:ind w:firstLine="434" w:firstLineChars="181"/>
        <w:rPr>
          <w:rFonts w:ascii="宋体" w:hAnsi="宋体" w:eastAsia="宋体" w:cs="宋体"/>
          <w:sz w:val="24"/>
          <w:highlight w:val="none"/>
        </w:rPr>
      </w:pPr>
      <w:r>
        <w:rPr>
          <w:rFonts w:hint="eastAsia" w:ascii="仿宋" w:hAnsi="仿宋" w:eastAsia="仿宋" w:cs="仿宋"/>
          <w:color w:val="auto"/>
          <w:kern w:val="2"/>
          <w:sz w:val="24"/>
          <w:szCs w:val="24"/>
          <w:highlight w:val="none"/>
          <w:lang w:val="en-US" w:eastAsia="zh-CN" w:bidi="ar-SA"/>
        </w:rPr>
        <w:t>15.1谈判小组应按照相关政策法规和采购文件要求，对响应文件进行评审；</w:t>
      </w:r>
    </w:p>
    <w:p>
      <w:pPr>
        <w:spacing w:line="54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宋体" w:hAnsi="宋体" w:cs="宋体"/>
          <w:sz w:val="24"/>
          <w:highlight w:val="none"/>
          <w:lang w:val="en-US" w:eastAsia="zh-CN"/>
        </w:rPr>
        <w:t>15</w:t>
      </w:r>
      <w:r>
        <w:rPr>
          <w:rFonts w:hint="eastAsia" w:ascii="宋体" w:hAnsi="宋体" w:eastAsia="宋体" w:cs="宋体"/>
          <w:sz w:val="24"/>
          <w:highlight w:val="none"/>
        </w:rPr>
        <w:t>.2</w:t>
      </w:r>
      <w:r>
        <w:rPr>
          <w:rFonts w:hint="eastAsia" w:ascii="仿宋" w:hAnsi="仿宋" w:eastAsia="仿宋" w:cs="仿宋"/>
          <w:color w:val="auto"/>
          <w:kern w:val="2"/>
          <w:sz w:val="24"/>
          <w:szCs w:val="24"/>
          <w:highlight w:val="none"/>
          <w:lang w:val="en-US" w:eastAsia="zh-CN" w:bidi="ar-SA"/>
        </w:rPr>
        <w:t>谈判小组应当依法独立评审，严格遵守评审工作纪律。对需要共同认定的事项存在争议的，按照少数服从多数的原则作出评审结论。持不同意见的评标委员会成员应当在评标报告上签署不同意见并说明理由，否则视为同意评标报告。</w:t>
      </w:r>
    </w:p>
    <w:p>
      <w:pPr>
        <w:pStyle w:val="155"/>
        <w:spacing w:line="54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15.3采用最低评标价法的采购项目，提供相同品牌产品的不同响应人参加同一合同项下响应的，以其中通过资格审查、符合性审查且报价最低的参加评标；报价相同的，由采购人或者采购人委托谈判小组按照招标文件规定的方式确定一个参加评标的响应人，招标文件未规定的采取随机抽取方式确定，其他响应无效。</w:t>
      </w:r>
    </w:p>
    <w:p>
      <w:pPr>
        <w:spacing w:line="540" w:lineRule="exact"/>
        <w:ind w:firstLine="480" w:firstLineChars="200"/>
        <w:rPr>
          <w:rFonts w:hint="default" w:ascii="Times New Roman" w:hAnsi="Times New Roman" w:eastAsia="宋体" w:cs="Times New Roman"/>
          <w:sz w:val="20"/>
        </w:rPr>
      </w:pPr>
      <w:r>
        <w:rPr>
          <w:rFonts w:hint="eastAsia" w:ascii="仿宋" w:hAnsi="仿宋" w:eastAsia="仿宋" w:cs="仿宋"/>
          <w:color w:val="auto"/>
          <w:kern w:val="2"/>
          <w:sz w:val="24"/>
          <w:szCs w:val="24"/>
          <w:highlight w:val="none"/>
          <w:lang w:val="en-US" w:eastAsia="zh-CN" w:bidi="ar-SA"/>
        </w:rPr>
        <w:t>非单一产品采购项目，采购人应当根据采购项目技术构成、产品价格比重等合理确定核心产品，并在招标文件中载明。多家响应人提供的核心产品品牌相同的，按前款规定处理。</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lang w:val="en-US" w:eastAsia="zh-CN"/>
        </w:rPr>
        <w:t>15.4</w:t>
      </w:r>
      <w:r>
        <w:rPr>
          <w:rFonts w:hint="eastAsia" w:ascii="仿宋" w:hAnsi="仿宋" w:eastAsia="仿宋" w:cs="仿宋"/>
          <w:color w:val="auto"/>
          <w:kern w:val="2"/>
          <w:sz w:val="24"/>
          <w:szCs w:val="24"/>
          <w:highlight w:val="none"/>
          <w:lang w:val="en-US" w:eastAsia="zh-CN" w:bidi="ar-SA"/>
        </w:rPr>
        <w:t>异常低价投标（响应）审查</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15.4.1审查依据</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据《中华人民共和国政府采购法》《中华人民共和国政府采购法实施条例》及《国务院办公厅关于在政府采购中实施本国产品标准及相关政策的通知_》等相关规定，本项目评审委员会对投标（响应）报价开展异常低价审查工作。</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15.4.2异常低价情形认定</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投标（响应）供应商出现下列情形之一的，评审委员会将启动异常低价审查程序：</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●投标（响应）报价低于全部通过符合性审查供应商报价平均值的 50%；</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●投标（响应）报价低于通过符合性审查次低报价的 50%；</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●投标（响应）报价低于本项目最高限价的 45%；</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●评审委员会基于专业判断，认为报价过低可能影响项目履约质量、不能满足采购需求或无法诚信履约的其他情形。</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15.4.3审查要求及处理</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被启动审查的供应商，须在合理时间内（不少于 30 分钟），就报价合理性提交书面说明，并提供项目成本测算明细、原材料采购意向协议、人工成本核算依据等可核验的证明材料。</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供应商未按要求提交说明及证明材料，或提交的材料无法有效证明报价合理性的，评审委员会将其投标（响应）作无效处理。</w:t>
      </w:r>
    </w:p>
    <w:p>
      <w:pPr>
        <w:spacing w:line="54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异常低价审查的全过程及结论，由评审委员会如实记入评审报告，随采购项目档案一并存档备查。</w:t>
      </w:r>
    </w:p>
    <w:p>
      <w:pPr>
        <w:spacing w:line="54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15.4.4提交相关证明材料：供应商书面说明应当签字确认或者加盖公章，否则无效。书面说明的签字确认，供应商为法人的，由其法定代表人或者授权代表签字确认；供应商为其他组织的，由其主要负责人或者授权代表签字确认；供应商为自然人的，由其本人或者授权代表签字确认。</w:t>
      </w:r>
    </w:p>
    <w:p>
      <w:pPr>
        <w:spacing w:line="54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lang w:val="en-US" w:eastAsia="zh-CN"/>
        </w:rPr>
        <w:t>15</w:t>
      </w: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谈判小组根据谈判过程和结果编写评审报告。</w:t>
      </w:r>
    </w:p>
    <w:p>
      <w:pPr>
        <w:spacing w:line="54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lang w:val="en-US"/>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谈判小组按既能满足谈判文件实质性要求，且各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提供的质量和服务均能满足采购需求的前提下，以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提交的最终报价由低到高排序</w:t>
      </w:r>
      <w:r>
        <w:rPr>
          <w:rFonts w:hint="eastAsia" w:ascii="仿宋" w:hAnsi="仿宋" w:eastAsia="仿宋" w:cs="仿宋"/>
          <w:color w:val="auto"/>
          <w:sz w:val="24"/>
          <w:highlight w:val="none"/>
          <w:lang w:eastAsia="zh-CN"/>
        </w:rPr>
        <w:t>（</w:t>
      </w:r>
      <w:r>
        <w:rPr>
          <w:rFonts w:hint="eastAsia" w:ascii="仿宋" w:hAnsi="仿宋" w:eastAsia="仿宋" w:cs="仿宋"/>
          <w:color w:val="auto"/>
          <w:highlight w:val="none"/>
          <w:lang w:val="en-US"/>
        </w:rPr>
        <w:t>报价相同的，按照</w:t>
      </w:r>
      <w:r>
        <w:rPr>
          <w:rFonts w:hint="eastAsia" w:ascii="仿宋" w:hAnsi="仿宋" w:eastAsia="仿宋" w:cs="仿宋"/>
          <w:color w:val="auto"/>
          <w:highlight w:val="none"/>
        </w:rPr>
        <w:t>技术指标和服务标准的</w:t>
      </w:r>
      <w:r>
        <w:rPr>
          <w:rFonts w:hint="eastAsia" w:ascii="仿宋" w:hAnsi="仿宋" w:eastAsia="仿宋" w:cs="仿宋"/>
          <w:color w:val="auto"/>
          <w:highlight w:val="none"/>
          <w:lang w:val="en-US" w:eastAsia="zh-CN"/>
        </w:rPr>
        <w:t>优劣顺序排序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，推荐3名成交候选人</w:t>
      </w:r>
      <w:r>
        <w:rPr>
          <w:rFonts w:hint="eastAsia" w:ascii="仿宋" w:hAnsi="仿宋" w:eastAsia="仿宋" w:cs="仿宋"/>
          <w:color w:val="auto"/>
          <w:highlight w:val="none"/>
        </w:rPr>
        <w:t>。</w:t>
      </w:r>
    </w:p>
    <w:p>
      <w:pPr>
        <w:pStyle w:val="157"/>
        <w:tabs>
          <w:tab w:val="left" w:pos="584"/>
          <w:tab w:val="clear" w:pos="720"/>
        </w:tabs>
        <w:spacing w:line="540" w:lineRule="exact"/>
        <w:ind w:left="0" w:firstLine="481" w:firstLineChars="20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、确定成交供应商</w:t>
      </w:r>
    </w:p>
    <w:p>
      <w:pPr>
        <w:spacing w:line="540" w:lineRule="exact"/>
        <w:ind w:firstLine="480"/>
        <w:rPr>
          <w:rFonts w:hint="eastAsia" w:ascii="仿宋" w:hAnsi="仿宋" w:eastAsia="仿宋" w:cs="仿宋"/>
        </w:rPr>
      </w:pPr>
      <w:r>
        <w:rPr>
          <w:rFonts w:hint="eastAsia" w:ascii="仿宋" w:hAnsi="仿宋" w:eastAsia="仿宋" w:cs="仿宋"/>
          <w:lang w:val="zh-CN"/>
        </w:rPr>
        <w:t>1</w:t>
      </w:r>
      <w:r>
        <w:rPr>
          <w:rFonts w:hint="eastAsia" w:ascii="仿宋" w:hAnsi="仿宋" w:eastAsia="仿宋" w:cs="仿宋"/>
          <w:lang w:val="en-US" w:eastAsia="zh-CN"/>
        </w:rPr>
        <w:t>6</w:t>
      </w:r>
      <w:r>
        <w:rPr>
          <w:rFonts w:hint="eastAsia" w:ascii="仿宋" w:hAnsi="仿宋" w:eastAsia="仿宋" w:cs="仿宋"/>
          <w:lang w:val="zh-CN"/>
        </w:rPr>
        <w:t>.</w:t>
      </w:r>
      <w:r>
        <w:rPr>
          <w:rFonts w:hint="eastAsia" w:ascii="仿宋" w:hAnsi="仿宋" w:eastAsia="仿宋" w:cs="仿宋"/>
          <w:lang w:val="en-US" w:eastAsia="zh-CN"/>
        </w:rPr>
        <w:t>1</w:t>
      </w:r>
      <w:r>
        <w:rPr>
          <w:rFonts w:hint="eastAsia" w:ascii="仿宋" w:hAnsi="仿宋" w:eastAsia="仿宋" w:cs="仿宋"/>
        </w:rPr>
        <w:t>采购代理机构应当自评审结束之日起2个工作日内将评审报告送交采购人。采购人应当自收到评审报告之日起5个工作日内在评审报告推荐</w:t>
      </w:r>
      <w:r>
        <w:rPr>
          <w:rFonts w:hint="eastAsia" w:ascii="仿宋" w:hAnsi="仿宋" w:eastAsia="仿宋" w:cs="仿宋"/>
          <w:lang w:val="en-US" w:eastAsia="zh-CN"/>
        </w:rPr>
        <w:t>的</w:t>
      </w:r>
      <w:r>
        <w:rPr>
          <w:rFonts w:hint="eastAsia" w:ascii="仿宋" w:hAnsi="仿宋" w:eastAsia="仿宋" w:cs="仿宋"/>
        </w:rPr>
        <w:t>成交候选人中按顺序确定中标或者成交供应商。</w:t>
      </w:r>
    </w:p>
    <w:p>
      <w:pPr>
        <w:spacing w:line="540" w:lineRule="exact"/>
        <w:ind w:firstLine="480"/>
        <w:rPr>
          <w:rFonts w:hint="eastAsia" w:ascii="仿宋" w:hAnsi="仿宋" w:eastAsia="仿宋" w:cs="仿宋"/>
        </w:rPr>
      </w:pPr>
      <w:r>
        <w:rPr>
          <w:rFonts w:hint="eastAsia" w:ascii="仿宋" w:hAnsi="仿宋" w:eastAsia="仿宋" w:cs="仿宋"/>
        </w:rPr>
        <w:t xml:space="preserve">  采购人或者采购代理机构应当自中标、成交供应商确定之日起2个工作日内，发出中标、成交通知书，并在省级以上人民政府财政部门指定的媒体上公告成交结果，竞争性谈判文件随成交结果同时公告。</w:t>
      </w:r>
    </w:p>
    <w:p>
      <w:pPr>
        <w:spacing w:line="540" w:lineRule="exact"/>
        <w:ind w:firstLine="480"/>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对未成交的供应商不作未成交原因的解释。</w:t>
      </w:r>
    </w:p>
    <w:p>
      <w:pPr>
        <w:pStyle w:val="157"/>
        <w:tabs>
          <w:tab w:val="left" w:pos="584"/>
          <w:tab w:val="clear" w:pos="720"/>
        </w:tabs>
        <w:spacing w:line="540" w:lineRule="exact"/>
        <w:ind w:left="0" w:firstLine="481" w:firstLineChars="20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、签订合同</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outlineLvl w:val="9"/>
        <w:rPr>
          <w:rFonts w:hint="eastAsia" w:ascii="仿宋" w:hAnsi="仿宋" w:eastAsia="仿宋" w:cs="仿宋"/>
          <w:kern w:val="2"/>
          <w:szCs w:val="24"/>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.1</w:t>
      </w:r>
      <w:r>
        <w:rPr>
          <w:rFonts w:hint="eastAsia" w:ascii="仿宋" w:hAnsi="仿宋" w:eastAsia="仿宋" w:cs="仿宋"/>
          <w:kern w:val="2"/>
          <w:szCs w:val="24"/>
        </w:rPr>
        <w:t>采购人与成交供应商应当在成交通知书发出之日起</w:t>
      </w:r>
      <w:r>
        <w:rPr>
          <w:rFonts w:hint="eastAsia" w:ascii="仿宋" w:hAnsi="仿宋" w:eastAsia="仿宋" w:cs="仿宋"/>
          <w:kern w:val="2"/>
          <w:szCs w:val="24"/>
          <w:lang w:val="en-US" w:eastAsia="zh-CN"/>
        </w:rPr>
        <w:t>30日</w:t>
      </w:r>
      <w:r>
        <w:rPr>
          <w:rFonts w:hint="eastAsia" w:ascii="仿宋" w:hAnsi="仿宋" w:eastAsia="仿宋" w:cs="仿宋"/>
          <w:kern w:val="2"/>
          <w:szCs w:val="24"/>
        </w:rPr>
        <w:t>内，按照</w:t>
      </w:r>
      <w:r>
        <w:rPr>
          <w:rFonts w:hint="eastAsia" w:ascii="仿宋" w:hAnsi="仿宋" w:eastAsia="仿宋" w:cs="仿宋"/>
          <w:kern w:val="2"/>
          <w:szCs w:val="24"/>
          <w:lang w:val="en-US" w:eastAsia="zh-CN"/>
        </w:rPr>
        <w:t>谈判</w:t>
      </w:r>
      <w:r>
        <w:rPr>
          <w:rFonts w:hint="eastAsia" w:ascii="仿宋" w:hAnsi="仿宋" w:eastAsia="仿宋" w:cs="仿宋"/>
          <w:kern w:val="2"/>
          <w:szCs w:val="24"/>
        </w:rPr>
        <w:t>文件确定的事项签订政府采购合同。</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outlineLvl w:val="9"/>
        <w:rPr>
          <w:rFonts w:hint="eastAsia" w:ascii="仿宋" w:hAnsi="仿宋" w:eastAsia="仿宋" w:cs="仿宋"/>
          <w:kern w:val="2"/>
          <w:szCs w:val="24"/>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.2</w:t>
      </w:r>
      <w:r>
        <w:rPr>
          <w:rFonts w:hint="eastAsia" w:ascii="仿宋" w:hAnsi="仿宋" w:eastAsia="仿宋" w:cs="仿宋"/>
          <w:kern w:val="2"/>
          <w:szCs w:val="24"/>
        </w:rPr>
        <w:t>成交通知书对采购人和成交供应商均具有法律效力。成交通知书发出后，采购人改变成交结果的，或者成交供应商放弃成交项目的，应当依法承担法律责任。</w:t>
      </w:r>
    </w:p>
    <w:p>
      <w:pPr>
        <w:spacing w:line="540" w:lineRule="exact"/>
        <w:ind w:firstLine="480"/>
        <w:rPr>
          <w:rFonts w:hint="eastAsia" w:ascii="仿宋" w:hAnsi="仿宋" w:eastAsia="仿宋" w:cs="仿宋"/>
          <w:i w:val="0"/>
          <w:iCs w:val="0"/>
          <w:caps w:val="0"/>
          <w:spacing w:val="0"/>
          <w:kern w:val="2"/>
          <w:sz w:val="24"/>
          <w:szCs w:val="24"/>
          <w:shd w:val="clear"/>
          <w:lang w:val="en-US" w:eastAsia="zh-CN" w:bidi="ar"/>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.3</w:t>
      </w:r>
      <w:r>
        <w:rPr>
          <w:rFonts w:hint="eastAsia" w:ascii="仿宋" w:hAnsi="仿宋" w:eastAsia="仿宋" w:cs="仿宋"/>
          <w:i w:val="0"/>
          <w:iCs w:val="0"/>
          <w:caps w:val="0"/>
          <w:color w:val="auto"/>
          <w:spacing w:val="0"/>
          <w:kern w:val="2"/>
          <w:sz w:val="24"/>
          <w:szCs w:val="24"/>
          <w:shd w:val="clear" w:color="auto" w:fill="auto"/>
          <w:lang w:val="en-US" w:eastAsia="zh-CN" w:bidi="ar"/>
        </w:rPr>
        <w:t>成交供应商拒绝与采购人签订合同的，采购人可以按评审报告推荐的成交候选人名单排序，确定下一候选人为成交供应商，也可以重新开展政府采购活动，无需向财政部门报批。采购人应当向财政部门报告供应商违规行为。政府采购活动或中标供应商不存在违法违规情形的，采购人可以根据采购项目的实际情况，综合考虑递补供应商的经济性和效率等因素，自主确定是否重新开展采购活动或确定下一候选人为中标或者成交供应商。</w:t>
      </w:r>
    </w:p>
    <w:p>
      <w:pPr>
        <w:spacing w:line="540" w:lineRule="exact"/>
        <w:ind w:firstLine="480"/>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17.4成交供应商一旦中标及签订合同后，不得合同转包，亦不得将合同全部及任何权利、义务向第三方转让。</w:t>
      </w:r>
    </w:p>
    <w:p>
      <w:pPr>
        <w:pStyle w:val="157"/>
        <w:tabs>
          <w:tab w:val="left" w:pos="584"/>
          <w:tab w:val="clear" w:pos="720"/>
        </w:tabs>
        <w:spacing w:line="540" w:lineRule="exact"/>
        <w:ind w:left="0" w:firstLine="481" w:firstLineChars="200"/>
        <w:rPr>
          <w:rFonts w:hint="eastAsia" w:ascii="宋体" w:hAnsi="宋体" w:eastAsia="宋体" w:cs="宋体"/>
          <w:b/>
          <w:sz w:val="24"/>
          <w:szCs w:val="24"/>
          <w:highlight w:val="none"/>
          <w:lang w:val="zh-CN" w:eastAsia="zh-CN" w:bidi="ar"/>
        </w:rPr>
      </w:pPr>
      <w:r>
        <w:rPr>
          <w:rFonts w:hint="eastAsia" w:ascii="宋体" w:hAnsi="宋体" w:eastAsia="宋体" w:cs="宋体"/>
          <w:b/>
          <w:sz w:val="24"/>
          <w:szCs w:val="24"/>
          <w:lang w:val="en-US" w:eastAsia="zh-CN" w:bidi="ar"/>
        </w:rPr>
        <w:t>18、</w:t>
      </w:r>
      <w:r>
        <w:rPr>
          <w:rFonts w:hint="eastAsia" w:ascii="宋体" w:hAnsi="宋体" w:eastAsia="宋体" w:cs="宋体"/>
          <w:b/>
          <w:sz w:val="24"/>
          <w:szCs w:val="24"/>
          <w:highlight w:val="none"/>
          <w:lang w:val="zh-CN" w:bidi="ar"/>
        </w:rPr>
        <w:t>合同</w:t>
      </w:r>
      <w:r>
        <w:rPr>
          <w:rFonts w:hint="eastAsia" w:ascii="宋体" w:hAnsi="宋体" w:eastAsia="宋体" w:cs="宋体"/>
          <w:b/>
          <w:sz w:val="24"/>
          <w:szCs w:val="24"/>
          <w:highlight w:val="none"/>
          <w:lang w:val="zh-CN" w:eastAsia="zh-CN" w:bidi="ar"/>
        </w:rPr>
        <w:t>公告和备案</w:t>
      </w:r>
    </w:p>
    <w:p>
      <w:pPr>
        <w:spacing w:line="540" w:lineRule="exact"/>
        <w:ind w:firstLine="480"/>
        <w:rPr>
          <w:rFonts w:hint="eastAsia" w:ascii="仿宋" w:hAnsi="仿宋" w:eastAsia="仿宋" w:cs="仿宋"/>
        </w:rPr>
      </w:pPr>
      <w:bookmarkStart w:id="40" w:name="_Toc256000014"/>
      <w:bookmarkEnd w:id="40"/>
      <w:bookmarkStart w:id="41" w:name="_Toc26443"/>
      <w:bookmarkEnd w:id="41"/>
      <w:r>
        <w:rPr>
          <w:rFonts w:hint="eastAsia" w:ascii="仿宋" w:hAnsi="仿宋" w:eastAsia="仿宋" w:cs="仿宋"/>
          <w:color w:val="auto"/>
          <w:kern w:val="2"/>
          <w:sz w:val="24"/>
          <w:szCs w:val="24"/>
          <w:highlight w:val="none"/>
          <w:lang w:val="en-US" w:eastAsia="zh-CN" w:bidi="ar"/>
        </w:rPr>
        <w:t>18.1采购人应当自政府采购合同签订之日起2个工作日内，将政府采购合同在省级以上人民政府财政部门指定的媒体上公告，但政府采购合同中涉及国家秘密、商业秘密的内容除外。政府采购项目的采购合同自签订之日起7个工作日内，采购人应当将合同副本报同级政府采购监督管理部门和有关部门备案。</w:t>
      </w:r>
    </w:p>
    <w:p>
      <w:pPr>
        <w:pStyle w:val="157"/>
        <w:tabs>
          <w:tab w:val="left" w:pos="584"/>
          <w:tab w:val="clear" w:pos="720"/>
        </w:tabs>
        <w:spacing w:line="540" w:lineRule="exact"/>
        <w:ind w:left="0" w:firstLine="481" w:firstLineChars="20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、询问</w:t>
      </w:r>
    </w:p>
    <w:p>
      <w:pPr>
        <w:spacing w:line="540" w:lineRule="exact"/>
        <w:ind w:firstLine="480"/>
        <w:rPr>
          <w:rFonts w:ascii="仿宋" w:hAnsi="仿宋" w:eastAsia="仿宋" w:cs="仿宋"/>
          <w:lang w:val="zh-CN"/>
        </w:rPr>
      </w:pPr>
      <w:r>
        <w:rPr>
          <w:rFonts w:hint="eastAsia" w:ascii="仿宋" w:hAnsi="仿宋" w:eastAsia="仿宋" w:cs="仿宋"/>
          <w:lang w:val="en-US" w:eastAsia="zh-CN"/>
        </w:rPr>
        <w:t>19</w:t>
      </w:r>
      <w:r>
        <w:rPr>
          <w:rFonts w:hint="eastAsia" w:ascii="仿宋" w:hAnsi="仿宋" w:eastAsia="仿宋" w:cs="仿宋"/>
          <w:lang w:val="zh-CN"/>
        </w:rPr>
        <w:t>.1</w:t>
      </w:r>
      <w:bookmarkStart w:id="42" w:name="_Toc16938558"/>
      <w:bookmarkStart w:id="43" w:name="_Toc120614221"/>
      <w:bookmarkStart w:id="44" w:name="_Toc200451960"/>
      <w:bookmarkStart w:id="45" w:name="_Toc513029242"/>
      <w:bookmarkStart w:id="46" w:name="_Toc20823314"/>
      <w:bookmarkStart w:id="47" w:name="_Toc479757207"/>
      <w:bookmarkStart w:id="48" w:name="_Toc494375079"/>
      <w:r>
        <w:rPr>
          <w:rFonts w:hint="eastAsia" w:ascii="仿宋" w:hAnsi="仿宋" w:eastAsia="仿宋" w:cs="仿宋"/>
        </w:rPr>
        <w:t>供应商对采购事项有疑问的，可以向采购人或采购代理机构提出询问。</w:t>
      </w:r>
    </w:p>
    <w:bookmarkEnd w:id="42"/>
    <w:bookmarkEnd w:id="43"/>
    <w:bookmarkEnd w:id="44"/>
    <w:bookmarkEnd w:id="45"/>
    <w:bookmarkEnd w:id="46"/>
    <w:bookmarkEnd w:id="47"/>
    <w:bookmarkEnd w:id="48"/>
    <w:p>
      <w:pPr>
        <w:pStyle w:val="149"/>
        <w:spacing w:line="540" w:lineRule="exact"/>
        <w:ind w:firstLine="498" w:firstLineChars="207"/>
        <w:rPr>
          <w:rFonts w:ascii="宋体" w:hAnsi="宋体" w:eastAsia="宋体" w:cs="宋体"/>
          <w:b/>
          <w:sz w:val="24"/>
        </w:rPr>
      </w:pPr>
      <w:r>
        <w:rPr>
          <w:rFonts w:hint="eastAsia" w:ascii="宋体" w:hAnsi="宋体" w:eastAsia="宋体" w:cs="宋体"/>
          <w:b/>
          <w:sz w:val="24"/>
          <w:lang w:val="en-US" w:eastAsia="zh-CN"/>
        </w:rPr>
        <w:t>20</w:t>
      </w:r>
      <w:r>
        <w:rPr>
          <w:rFonts w:hint="eastAsia" w:ascii="宋体" w:hAnsi="宋体" w:eastAsia="宋体" w:cs="宋体"/>
          <w:b/>
          <w:sz w:val="24"/>
          <w:lang w:eastAsia="zh-CN"/>
        </w:rPr>
        <w:t>、</w:t>
      </w:r>
      <w:r>
        <w:rPr>
          <w:rFonts w:hint="eastAsia" w:ascii="宋体" w:hAnsi="宋体" w:eastAsia="宋体" w:cs="宋体"/>
          <w:b/>
          <w:sz w:val="24"/>
        </w:rPr>
        <w:t>供应商有权就谈判事宜提出质疑</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.1供应商认为谈判文件、谈判过程和成交结果使自已的权益受到损害的，可以在知道或者应知其权益受到损害之日起7个工作日内，以书面形式提出质疑。</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.2质疑应当按照《中华人民共和国政府采购法》、《中华人民共和国政府采购法实施条例》、《政府采购质疑和投诉办法》等法律法规的相关规定，以书面形式向采购人提出。</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.3质疑书应当附上相关证明材料。未递交</w:t>
      </w:r>
      <w:r>
        <w:rPr>
          <w:rFonts w:hint="eastAsia" w:ascii="仿宋" w:hAnsi="仿宋" w:eastAsia="仿宋" w:cs="仿宋"/>
          <w:sz w:val="24"/>
          <w:szCs w:val="24"/>
          <w:lang w:eastAsia="zh-CN"/>
        </w:rPr>
        <w:t>响应文件</w:t>
      </w:r>
      <w:r>
        <w:rPr>
          <w:rFonts w:hint="eastAsia" w:ascii="仿宋" w:hAnsi="仿宋" w:eastAsia="仿宋" w:cs="仿宋"/>
          <w:sz w:val="24"/>
          <w:szCs w:val="24"/>
        </w:rPr>
        <w:t>的供应商，其未参加后续采购活动，不得对递交</w:t>
      </w:r>
      <w:r>
        <w:rPr>
          <w:rFonts w:hint="eastAsia" w:ascii="仿宋" w:hAnsi="仿宋" w:eastAsia="仿宋" w:cs="仿宋"/>
          <w:sz w:val="24"/>
          <w:szCs w:val="24"/>
          <w:lang w:eastAsia="zh-CN"/>
        </w:rPr>
        <w:t>响应文件</w:t>
      </w:r>
      <w:r>
        <w:rPr>
          <w:rFonts w:hint="eastAsia" w:ascii="仿宋" w:hAnsi="仿宋" w:eastAsia="仿宋" w:cs="仿宋"/>
          <w:sz w:val="24"/>
          <w:szCs w:val="24"/>
        </w:rPr>
        <w:t>截止后的采购过程、采购结果提出质疑。</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.4质疑人可以采取直接送达或者邮寄方式提交质疑书。</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.5采购人将在受理书面质疑后7个工作日内审查质疑事项，作出答复或相关处理决定，并以书面形式通知质疑人和其他相关供应商，但答复的内容不涉及商业秘密。</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.6供应商进行虚假和恶意质疑的，将提请有关部门将其列入不良记录名单，在一至三年内禁止参加政府采购活动，并将处理决定在相关政府采购媒体上公布。</w:t>
      </w:r>
    </w:p>
    <w:p>
      <w:pPr>
        <w:pStyle w:val="155"/>
        <w:spacing w:line="540" w:lineRule="exact"/>
        <w:ind w:firstLine="434" w:firstLineChars="181"/>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.7质疑人对答复不满意以及采购人未在规定的时间内作出答复的，可以在答复期满后15个工作日内向财政部门投诉。</w:t>
      </w:r>
    </w:p>
    <w:p>
      <w:pPr>
        <w:pStyle w:val="157"/>
        <w:tabs>
          <w:tab w:val="left" w:pos="584"/>
          <w:tab w:val="clear" w:pos="720"/>
        </w:tabs>
        <w:spacing w:line="540" w:lineRule="exact"/>
        <w:ind w:left="240" w:leftChars="100" w:firstLine="240" w:firstLineChars="100"/>
        <w:rPr>
          <w:rFonts w:ascii="宋体" w:hAnsi="宋体" w:eastAsia="宋体" w:cs="宋体"/>
          <w:sz w:val="24"/>
          <w:szCs w:val="24"/>
          <w:lang w:val="zh-CN"/>
        </w:rPr>
      </w:pPr>
      <w:r>
        <w:rPr>
          <w:rFonts w:hint="eastAsia" w:ascii="宋体" w:hAnsi="宋体" w:eastAsia="宋体" w:cs="宋体"/>
          <w:sz w:val="24"/>
          <w:szCs w:val="24"/>
          <w:lang w:val="en-US" w:eastAsia="zh-CN"/>
        </w:rPr>
        <w:t>21</w:t>
      </w:r>
      <w:r>
        <w:rPr>
          <w:rFonts w:hint="eastAsia" w:ascii="宋体" w:hAnsi="宋体" w:eastAsia="宋体" w:cs="宋体"/>
          <w:sz w:val="24"/>
          <w:szCs w:val="24"/>
          <w:lang w:val="zh-CN"/>
        </w:rPr>
        <w:t>、竞争性谈判终止</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rPr>
        <w:t>出现下列情形之一的，采购人或者采购代理机构应当终止竞争性谈判采购活动，发布项目终止公告并说明原因，重新开展采购活动：</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.1</w:t>
      </w:r>
      <w:r>
        <w:rPr>
          <w:rFonts w:ascii="仿宋" w:hAnsi="仿宋" w:eastAsia="仿宋" w:cs="仿宋"/>
          <w:sz w:val="24"/>
        </w:rPr>
        <w:t>因情况变化，不再符合规定的竞争性谈判采购方式适用情形的；</w:t>
      </w:r>
    </w:p>
    <w:p>
      <w:pPr>
        <w:pStyle w:val="149"/>
        <w:spacing w:line="540" w:lineRule="exact"/>
        <w:ind w:firstLine="434" w:firstLineChars="181"/>
        <w:rPr>
          <w:rFonts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.2</w:t>
      </w:r>
      <w:r>
        <w:rPr>
          <w:rFonts w:ascii="仿宋" w:hAnsi="仿宋" w:eastAsia="仿宋" w:cs="仿宋"/>
          <w:sz w:val="24"/>
        </w:rPr>
        <w:t>出现影响采购公正的违法、违规行为的；</w:t>
      </w:r>
    </w:p>
    <w:p>
      <w:pPr>
        <w:pStyle w:val="149"/>
        <w:spacing w:line="540" w:lineRule="exact"/>
        <w:ind w:firstLine="434" w:firstLineChars="181"/>
        <w:rPr>
          <w:rFonts w:hint="eastAsia" w:ascii="仿宋" w:hAnsi="仿宋" w:eastAsia="仿宋" w:cs="仿宋"/>
          <w:sz w:val="24"/>
          <w:szCs w:val="24"/>
        </w:rPr>
      </w:pPr>
      <w:r>
        <w:rPr>
          <w:rFonts w:hint="eastAsia" w:ascii="仿宋" w:hAnsi="仿宋" w:eastAsia="仿宋" w:cs="仿宋"/>
          <w:sz w:val="24"/>
          <w:lang w:val="en-US" w:eastAsia="zh-CN"/>
        </w:rPr>
        <w:t>21</w:t>
      </w:r>
      <w:r>
        <w:rPr>
          <w:rFonts w:hint="eastAsia" w:ascii="仿宋" w:hAnsi="仿宋" w:eastAsia="仿宋" w:cs="仿宋"/>
          <w:sz w:val="24"/>
        </w:rPr>
        <w:t>.3</w:t>
      </w:r>
      <w:r>
        <w:rPr>
          <w:rFonts w:ascii="仿宋" w:hAnsi="仿宋" w:eastAsia="仿宋" w:cs="仿宋"/>
          <w:sz w:val="24"/>
        </w:rPr>
        <w:t>在采购过程中符合竞争要求的供应商或者报价未超过采购预算的供应商不足3家的，但</w:t>
      </w:r>
      <w:r>
        <w:rPr>
          <w:rFonts w:hint="eastAsia" w:ascii="仿宋" w:hAnsi="仿宋" w:eastAsia="仿宋" w:cs="仿宋"/>
          <w:sz w:val="24"/>
          <w:lang w:eastAsia="zh-CN"/>
        </w:rPr>
        <w:t>《</w:t>
      </w:r>
      <w:r>
        <w:rPr>
          <w:rFonts w:hint="eastAsia" w:ascii="仿宋" w:hAnsi="仿宋" w:eastAsia="仿宋" w:cs="仿宋"/>
          <w:sz w:val="24"/>
        </w:rPr>
        <w:t>政府采购非招标采购方式管理办法</w:t>
      </w:r>
      <w:r>
        <w:rPr>
          <w:rFonts w:hint="eastAsia" w:ascii="仿宋" w:hAnsi="仿宋" w:eastAsia="仿宋" w:cs="仿宋"/>
          <w:sz w:val="24"/>
          <w:lang w:eastAsia="zh-CN"/>
        </w:rPr>
        <w:t>》（</w:t>
      </w:r>
      <w:r>
        <w:rPr>
          <w:rFonts w:ascii="仿宋" w:hAnsi="仿宋" w:eastAsia="仿宋" w:cs="仿宋"/>
          <w:sz w:val="24"/>
          <w:lang w:val="en-US" w:eastAsia="zh-CN"/>
        </w:rPr>
        <w:t>中华人民共和国财政部令第</w:t>
      </w:r>
      <w:r>
        <w:rPr>
          <w:rFonts w:hint="eastAsia" w:ascii="仿宋" w:hAnsi="仿宋" w:eastAsia="仿宋" w:cs="仿宋"/>
          <w:sz w:val="24"/>
          <w:lang w:val="en-US" w:eastAsia="zh-CN"/>
        </w:rPr>
        <w:t>74号）</w:t>
      </w:r>
      <w:r>
        <w:rPr>
          <w:rFonts w:ascii="仿宋" w:hAnsi="仿宋" w:eastAsia="仿宋" w:cs="仿宋"/>
          <w:sz w:val="24"/>
        </w:rPr>
        <w:t>第二十七条第二款规定的情形除外。</w:t>
      </w:r>
    </w:p>
    <w:p>
      <w:pPr>
        <w:pStyle w:val="149"/>
        <w:spacing w:line="540" w:lineRule="exact"/>
        <w:ind w:firstLine="498" w:firstLineChars="207"/>
        <w:rPr>
          <w:rFonts w:ascii="宋体" w:hAnsi="宋体" w:eastAsia="宋体" w:cs="宋体"/>
          <w:b/>
          <w:sz w:val="24"/>
        </w:rPr>
      </w:pPr>
      <w:r>
        <w:rPr>
          <w:rFonts w:hint="eastAsia" w:ascii="宋体" w:hAnsi="宋体" w:eastAsia="宋体" w:cs="宋体"/>
          <w:b/>
          <w:sz w:val="24"/>
          <w:lang w:val="en-US" w:eastAsia="zh-CN"/>
        </w:rPr>
        <w:t>22、</w:t>
      </w:r>
      <w:r>
        <w:rPr>
          <w:rFonts w:hint="eastAsia" w:ascii="宋体" w:hAnsi="宋体" w:eastAsia="宋体" w:cs="宋体"/>
          <w:b/>
          <w:sz w:val="24"/>
        </w:rPr>
        <w:t>保密和披露</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1供应商自领取谈判文件之日起，须承担本谈判项目保密义务，不得将因本次谈判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pStyle w:val="155"/>
        <w:spacing w:line="540" w:lineRule="exact"/>
        <w:ind w:firstLine="434" w:firstLineChars="181"/>
        <w:rPr>
          <w:rFonts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.2采购人和采购代理机构有权将供应商提供的所有资料向有关政府部门或评审标书的有关人员披露。</w:t>
      </w:r>
    </w:p>
    <w:p>
      <w:pPr>
        <w:pStyle w:val="155"/>
        <w:spacing w:line="540" w:lineRule="exact"/>
        <w:ind w:firstLine="434" w:firstLineChars="181"/>
        <w:rPr>
          <w:rFonts w:ascii="宋体" w:hAnsi="宋体" w:cs="宋体"/>
          <w:b/>
          <w:sz w:val="36"/>
          <w:szCs w:val="36"/>
        </w:rPr>
      </w:pPr>
      <w:r>
        <w:rPr>
          <w:rFonts w:hint="eastAsia" w:ascii="仿宋" w:hAnsi="仿宋" w:eastAsia="仿宋" w:cs="仿宋"/>
          <w:sz w:val="24"/>
          <w:szCs w:val="24"/>
          <w:lang w:val="en-US" w:eastAsia="zh-CN"/>
        </w:rPr>
        <w:t>22</w:t>
      </w:r>
      <w:r>
        <w:rPr>
          <w:rFonts w:hint="eastAsia" w:ascii="仿宋" w:hAnsi="仿宋" w:eastAsia="仿宋" w:cs="仿宋"/>
          <w:sz w:val="24"/>
          <w:szCs w:val="24"/>
        </w:rPr>
        <w:t>.3在采购人和采购代理机构认为适当时、国家机关调查、审查、审计时以及其他符合法律规定的情形下，采购人和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公开的，无须再承担保密责任。</w:t>
      </w:r>
    </w:p>
    <w:p>
      <w:pPr>
        <w:snapToGrid w:val="0"/>
        <w:spacing w:line="360" w:lineRule="auto"/>
        <w:ind w:firstLine="0" w:firstLineChars="0"/>
        <w:jc w:val="center"/>
        <w:rPr>
          <w:rFonts w:ascii="宋体" w:hAnsi="宋体" w:cs="宋体"/>
          <w:b/>
          <w:bCs/>
          <w:sz w:val="36"/>
          <w:szCs w:val="36"/>
        </w:rPr>
      </w:pPr>
      <w:r>
        <w:rPr>
          <w:rFonts w:hint="eastAsia" w:ascii="宋体" w:hAnsi="宋体" w:cs="宋体"/>
          <w:kern w:val="0"/>
        </w:rPr>
        <w:br w:type="page"/>
      </w:r>
      <w:r>
        <w:rPr>
          <w:rFonts w:hint="eastAsia" w:ascii="宋体" w:hAnsi="宋体" w:cs="宋体"/>
          <w:b/>
          <w:bCs/>
          <w:sz w:val="36"/>
          <w:szCs w:val="36"/>
        </w:rPr>
        <w:t>第三部分</w:t>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采购需求及技术规格要求</w:t>
      </w:r>
      <w:bookmarkStart w:id="49" w:name="_Toc31015"/>
      <w:bookmarkStart w:id="50" w:name="_Toc15994"/>
      <w:bookmarkStart w:id="51" w:name="_Toc8764"/>
      <w:bookmarkStart w:id="52" w:name="_Toc28193"/>
    </w:p>
    <w:bookmarkEnd w:id="49"/>
    <w:bookmarkEnd w:id="50"/>
    <w:p>
      <w:pPr>
        <w:snapToGrid w:val="0"/>
        <w:spacing w:line="580" w:lineRule="exact"/>
        <w:ind w:firstLine="0" w:firstLineChars="0"/>
        <w:rPr>
          <w:rFonts w:ascii="仿宋" w:hAnsi="仿宋" w:eastAsia="仿宋" w:cs="宋体"/>
          <w:b/>
          <w:bCs/>
          <w:color w:val="000000"/>
          <w:kern w:val="0"/>
        </w:rPr>
      </w:pPr>
      <w:r>
        <w:rPr>
          <w:rFonts w:hint="eastAsia" w:ascii="仿宋" w:hAnsi="仿宋" w:eastAsia="仿宋" w:cs="宋体"/>
          <w:b/>
          <w:bCs/>
          <w:color w:val="000000"/>
          <w:kern w:val="0"/>
        </w:rPr>
        <w:t>一、技术参数需求</w:t>
      </w:r>
    </w:p>
    <w:tbl>
      <w:tblPr>
        <w:tblStyle w:val="47"/>
        <w:tblW w:w="9798" w:type="dxa"/>
        <w:jc w:val="center"/>
        <w:tblLayout w:type="fixed"/>
        <w:tblCellMar>
          <w:top w:w="0" w:type="dxa"/>
          <w:left w:w="108" w:type="dxa"/>
          <w:bottom w:w="0" w:type="dxa"/>
          <w:right w:w="108" w:type="dxa"/>
        </w:tblCellMar>
      </w:tblPr>
      <w:tblGrid>
        <w:gridCol w:w="643"/>
        <w:gridCol w:w="1906"/>
        <w:gridCol w:w="5773"/>
        <w:gridCol w:w="759"/>
        <w:gridCol w:w="717"/>
      </w:tblGrid>
      <w:tr>
        <w:tblPrEx>
          <w:tblCellMar>
            <w:top w:w="0" w:type="dxa"/>
            <w:left w:w="108" w:type="dxa"/>
            <w:bottom w:w="0" w:type="dxa"/>
            <w:right w:w="108" w:type="dxa"/>
          </w:tblCellMar>
        </w:tblPrEx>
        <w:trPr>
          <w:trHeight w:val="567" w:hRule="atLeast"/>
          <w:tblHeader/>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b/>
                <w:color w:val="000000"/>
                <w:sz w:val="18"/>
                <w:szCs w:val="18"/>
              </w:rPr>
            </w:pPr>
            <w:r>
              <w:rPr>
                <w:rFonts w:hint="eastAsia" w:ascii="宋体" w:hAnsi="宋体" w:cs="宋体"/>
                <w:b/>
                <w:color w:val="000000"/>
                <w:kern w:val="0"/>
                <w:sz w:val="18"/>
                <w:szCs w:val="18"/>
              </w:rPr>
              <w:t>序号</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b/>
                <w:color w:val="000000"/>
                <w:sz w:val="18"/>
                <w:szCs w:val="18"/>
              </w:rPr>
            </w:pPr>
            <w:r>
              <w:rPr>
                <w:rFonts w:hint="eastAsia" w:ascii="宋体" w:hAnsi="宋体" w:cs="宋体"/>
                <w:b/>
                <w:color w:val="000000"/>
                <w:kern w:val="0"/>
                <w:sz w:val="18"/>
                <w:szCs w:val="18"/>
              </w:rPr>
              <w:t>设备/材料名称</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b/>
                <w:color w:val="000000"/>
                <w:sz w:val="18"/>
                <w:szCs w:val="18"/>
              </w:rPr>
            </w:pPr>
            <w:r>
              <w:rPr>
                <w:rFonts w:hint="eastAsia" w:ascii="宋体" w:hAnsi="宋体" w:cs="宋体"/>
                <w:b/>
                <w:color w:val="000000"/>
                <w:kern w:val="0"/>
                <w:sz w:val="18"/>
                <w:szCs w:val="18"/>
              </w:rPr>
              <w:t>技术要求</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b/>
                <w:color w:val="000000"/>
                <w:sz w:val="18"/>
                <w:szCs w:val="18"/>
              </w:rPr>
            </w:pPr>
            <w:r>
              <w:rPr>
                <w:rFonts w:hint="eastAsia" w:ascii="宋体" w:hAnsi="宋体" w:cs="宋体"/>
                <w:b/>
                <w:color w:val="000000"/>
                <w:kern w:val="0"/>
                <w:sz w:val="18"/>
                <w:szCs w:val="18"/>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一、文物安全监管平台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FF0000"/>
                <w:sz w:val="18"/>
                <w:szCs w:val="18"/>
              </w:rPr>
            </w:pPr>
            <w:r>
              <w:rPr>
                <w:rFonts w:hint="eastAsia" w:ascii="东文宋体" w:hAnsi="东文宋体" w:eastAsia="东文宋体" w:cs="东文宋体"/>
                <w:color w:val="auto"/>
                <w:kern w:val="0"/>
                <w:sz w:val="18"/>
                <w:szCs w:val="18"/>
                <w:highlight w:val="none"/>
              </w:rPr>
              <w:t>▲</w:t>
            </w:r>
            <w:r>
              <w:rPr>
                <w:rFonts w:hint="eastAsia" w:ascii="宋体" w:hAnsi="宋体" w:cs="宋体"/>
                <w:color w:val="000000" w:themeColor="text1"/>
                <w:kern w:val="0"/>
                <w:sz w:val="18"/>
                <w:szCs w:val="18"/>
                <w14:textFill>
                  <w14:solidFill>
                    <w14:schemeClr w14:val="tx1"/>
                  </w14:solidFill>
                </w14:textFill>
              </w:rPr>
              <w:t>文物安全监管平台（客户端、手机端）</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auto"/>
                <w:kern w:val="0"/>
                <w:sz w:val="18"/>
                <w:szCs w:val="18"/>
                <w:highlight w:val="none"/>
              </w:rPr>
            </w:pPr>
            <w:r>
              <w:rPr>
                <w:rFonts w:hint="eastAsia" w:ascii="宋体" w:hAnsi="宋体" w:cs="宋体"/>
                <w:color w:val="0000FF"/>
                <w:kern w:val="0"/>
                <w:sz w:val="18"/>
                <w:szCs w:val="18"/>
                <w:highlight w:val="none"/>
              </w:rPr>
              <w:t>1</w:t>
            </w:r>
            <w:r>
              <w:rPr>
                <w:rFonts w:hint="eastAsia" w:ascii="宋体" w:hAnsi="宋体" w:cs="宋体"/>
                <w:color w:val="auto"/>
                <w:kern w:val="0"/>
                <w:sz w:val="18"/>
                <w:szCs w:val="18"/>
                <w:highlight w:val="none"/>
              </w:rPr>
              <w:t>.文物安全监管平台（客户端）功能模块涉及文保信息、安防系统、消防系统、白蚁虫害、防雷系统、建控地带监控、巡检管理、应急指挥、环境监测、客流统计等子系统。文物安全监管平台是多子系统集中化统一管理可达到互联互动功能，采用服务模块化设计达到灵活应用及系统扩展功能，方便用户使用和提高效率，应实现各种设备、视频、数据系统间的协同联动功能，将各独立系统融合到一起，实现文字、图像、数据信息一起综合展示。</w:t>
            </w:r>
            <w:r>
              <w:rPr>
                <w:rFonts w:hint="eastAsia" w:ascii="宋体" w:hAnsi="宋体" w:cs="宋体"/>
                <w:b/>
                <w:bCs/>
                <w:color w:val="auto"/>
                <w:kern w:val="0"/>
                <w:sz w:val="18"/>
                <w:szCs w:val="18"/>
                <w:highlight w:val="none"/>
              </w:rPr>
              <w:t>提供各功能模块截图</w:t>
            </w:r>
            <w:r>
              <w:rPr>
                <w:rFonts w:hint="eastAsia" w:ascii="宋体" w:hAnsi="宋体" w:cs="宋体"/>
                <w:color w:val="auto"/>
                <w:kern w:val="0"/>
                <w:sz w:val="18"/>
                <w:szCs w:val="18"/>
                <w:highlight w:val="none"/>
              </w:rPr>
              <w:t>。</w:t>
            </w:r>
          </w:p>
          <w:p>
            <w:pPr>
              <w:widowControl/>
              <w:snapToGrid w:val="0"/>
              <w:ind w:firstLine="0" w:firstLineChars="0"/>
              <w:jc w:val="left"/>
              <w:textAlignment w:val="center"/>
              <w:rPr>
                <w:rFonts w:ascii="宋体" w:hAnsi="宋体" w:cs="宋体"/>
                <w:color w:val="auto"/>
                <w:kern w:val="0"/>
                <w:sz w:val="18"/>
                <w:szCs w:val="18"/>
                <w:highlight w:val="none"/>
              </w:rPr>
            </w:pPr>
            <w:r>
              <w:rPr>
                <w:rFonts w:hint="eastAsia" w:ascii="仿宋_GB2312" w:hAnsi="仿宋_GB2312" w:eastAsia="仿宋_GB2312" w:cs="仿宋_GB2312"/>
                <w:color w:val="auto"/>
                <w:kern w:val="0"/>
                <w:sz w:val="18"/>
                <w:szCs w:val="18"/>
                <w:highlight w:val="none"/>
                <w:lang w:eastAsia="zh-CN"/>
              </w:rPr>
              <w:t>■</w:t>
            </w:r>
            <w:r>
              <w:rPr>
                <w:rFonts w:hint="eastAsia" w:ascii="宋体" w:hAnsi="宋体" w:cs="宋体"/>
                <w:color w:val="auto"/>
                <w:kern w:val="0"/>
                <w:sz w:val="18"/>
                <w:szCs w:val="18"/>
                <w:highlight w:val="none"/>
              </w:rPr>
              <w:t>2.支持应急指挥调度，选择一个或多个人员点击“呼叫”按钮，相关手机端能收到呼叫信息，接通后能进行语音会议、远程调度、网络可视对讲操作。</w:t>
            </w:r>
            <w:r>
              <w:rPr>
                <w:rFonts w:hint="eastAsia" w:ascii="宋体" w:hAnsi="宋体" w:cs="宋体"/>
                <w:b/>
                <w:bCs/>
                <w:color w:val="auto"/>
                <w:kern w:val="0"/>
                <w:sz w:val="18"/>
                <w:szCs w:val="18"/>
                <w:highlight w:val="none"/>
              </w:rPr>
              <w:t>提供首页具有CNAS或CMA标识的第三方检测报告复印件</w:t>
            </w:r>
            <w:r>
              <w:rPr>
                <w:rFonts w:hint="eastAsia" w:ascii="宋体" w:hAnsi="宋体" w:cs="宋体"/>
                <w:color w:val="auto"/>
                <w:kern w:val="0"/>
                <w:sz w:val="18"/>
                <w:szCs w:val="18"/>
                <w:highlight w:val="none"/>
              </w:rPr>
              <w:t>。</w:t>
            </w:r>
          </w:p>
          <w:p>
            <w:pPr>
              <w:widowControl/>
              <w:snapToGrid w:val="0"/>
              <w:ind w:firstLine="0" w:firstLineChars="0"/>
              <w:jc w:val="left"/>
              <w:textAlignment w:val="center"/>
              <w:rPr>
                <w:rFonts w:ascii="宋体" w:hAnsi="宋体" w:cs="宋体"/>
                <w:color w:val="auto"/>
                <w:kern w:val="0"/>
                <w:sz w:val="18"/>
                <w:szCs w:val="18"/>
                <w:highlight w:val="none"/>
              </w:rPr>
            </w:pPr>
            <w:r>
              <w:rPr>
                <w:rFonts w:hint="eastAsia" w:ascii="仿宋_GB2312" w:hAnsi="仿宋_GB2312" w:eastAsia="仿宋_GB2312" w:cs="仿宋_GB2312"/>
                <w:color w:val="auto"/>
                <w:kern w:val="0"/>
                <w:sz w:val="18"/>
                <w:szCs w:val="18"/>
                <w:highlight w:val="none"/>
                <w:lang w:eastAsia="zh-CN"/>
              </w:rPr>
              <w:t>■</w:t>
            </w:r>
            <w:r>
              <w:rPr>
                <w:rFonts w:hint="eastAsia" w:ascii="宋体" w:hAnsi="宋体" w:cs="宋体"/>
                <w:color w:val="auto"/>
                <w:kern w:val="0"/>
                <w:sz w:val="18"/>
                <w:szCs w:val="18"/>
                <w:highlight w:val="none"/>
              </w:rPr>
              <w:t>3.支持门禁监测，选择监控设备列表中的某个设备，能显示实时监控视频画面，并对监控画面中的相关人员进行人脸识别检测，同时在检测结果栏显示识别出的人员姓名，以及用绿色框体标注该人员的视频截图。</w:t>
            </w:r>
            <w:r>
              <w:rPr>
                <w:rFonts w:hint="eastAsia" w:ascii="宋体" w:hAnsi="宋体" w:cs="宋体"/>
                <w:b/>
                <w:bCs/>
                <w:color w:val="auto"/>
                <w:kern w:val="0"/>
                <w:sz w:val="18"/>
                <w:szCs w:val="18"/>
                <w:highlight w:val="none"/>
              </w:rPr>
              <w:t>提供首页具有CNAS或CMA标识的第三方检测报告复印件。</w:t>
            </w:r>
          </w:p>
          <w:p>
            <w:pPr>
              <w:widowControl/>
              <w:snapToGrid w:val="0"/>
              <w:ind w:firstLine="0" w:firstLineChars="0"/>
              <w:jc w:val="left"/>
              <w:textAlignment w:val="center"/>
              <w:rPr>
                <w:rFonts w:ascii="宋体" w:hAnsi="宋体" w:cs="宋体"/>
                <w:b/>
                <w:bCs/>
                <w:color w:val="auto"/>
                <w:kern w:val="0"/>
                <w:sz w:val="18"/>
                <w:szCs w:val="18"/>
                <w:highlight w:val="none"/>
              </w:rPr>
            </w:pPr>
            <w:r>
              <w:rPr>
                <w:rFonts w:hint="eastAsia" w:ascii="仿宋_GB2312" w:hAnsi="仿宋_GB2312" w:eastAsia="仿宋_GB2312" w:cs="仿宋_GB2312"/>
                <w:color w:val="auto"/>
                <w:kern w:val="0"/>
                <w:sz w:val="18"/>
                <w:szCs w:val="18"/>
                <w:highlight w:val="none"/>
                <w:lang w:eastAsia="zh-CN"/>
              </w:rPr>
              <w:t>■</w:t>
            </w:r>
            <w:r>
              <w:rPr>
                <w:rFonts w:hint="eastAsia" w:ascii="宋体" w:hAnsi="宋体" w:cs="宋体"/>
                <w:color w:val="auto"/>
                <w:kern w:val="0"/>
                <w:sz w:val="18"/>
                <w:szCs w:val="18"/>
                <w:highlight w:val="none"/>
              </w:rPr>
              <w:t>4.支持AI功能，采用主流的目标识别算法，快速精准的通过视频监控到报警主机的周边状态，与支持入侵检测的摄像头联动，对非法进入进行实时报警。并可以相应弹出报警信息和TTS语音报警。</w:t>
            </w:r>
            <w:r>
              <w:rPr>
                <w:rFonts w:hint="eastAsia" w:ascii="宋体" w:hAnsi="宋体" w:cs="宋体"/>
                <w:b/>
                <w:bCs/>
                <w:color w:val="auto"/>
                <w:kern w:val="0"/>
                <w:sz w:val="18"/>
                <w:szCs w:val="18"/>
                <w:highlight w:val="none"/>
              </w:rPr>
              <w:t>提供首页具有CNAS或CMA标识的第三方检测报告复印件。</w:t>
            </w:r>
          </w:p>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auto"/>
                <w:kern w:val="0"/>
                <w:sz w:val="18"/>
                <w:szCs w:val="18"/>
                <w:highlight w:val="none"/>
              </w:rPr>
              <w:t>5.文物安全监管平台（手机端）功能模块涉及文保信息、安防系统、消防系统、白蚁虫害、防雷系统、建控地带监控、巡检管理、应急指挥、环境监测、客流统计等子系统。文物安全监管平台是多子系统集中化统一管理达到互联互动功能，采用服务模块化设计达到灵活应用及系统扩展功能，方便用户使用和提高效率，应实现各种设备、视频、数据系统间的协同联动功能，将各独立系统融合到一起，实现文字、图像、数据信息一起综合展示。</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云服务器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1.配置 4 核 16G 内存；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2.硬盘 100G；</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3.带宽 20M。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年</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视频远程传输软件</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视频远程传输及联动处理软件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智能网关服务器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1.消防报警，入侵报警信息接入智能网关；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2.支持向管理平台上传报警信息；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3.断网续传：网络断网恢复后，接续上传断网期间的数据；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4.硬件接口：1 路开关量输入，2 路常开输出，1 个以太网接口。</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防火墙</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1.设备类型:下一代防火墙;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2.网络层吞吐量不小于：4Gbps;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3.并发连接数不小于 160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4.网络端口不小于 6 个 10/100/1000M Base-TX；</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5.设备需集成防火墙、VPN、入侵检测与防御、防蠕虫病毒、上网行为管理、流量整形等众多功能。</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9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PC 客户端</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snapToGrid w:val="0"/>
              <w:ind w:firstLine="0" w:firstLineChars="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操作系统：预装正版操作系统；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.核心/线程数：20核心/28线程；</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.内存容量：32GB；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.固态硬盘容量：1TB；</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.显卡：8G 独立显卡;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.数据接口：1×USB3.2 Gen1 Type C，2×USB3.2 Gen1，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4×USB2.0；</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.视频接口：1×VGA，1×HDMI；</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.网络接口：1×RJ45（2.5Gb 有线网口）；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.电源：500W 电源适配器；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.32寸液晶超窄边显示器。</w:t>
            </w:r>
          </w:p>
          <w:p>
            <w:pPr>
              <w:widowControl/>
              <w:snapToGrid w:val="0"/>
              <w:ind w:firstLine="0" w:firstLineChars="0"/>
              <w:jc w:val="left"/>
              <w:textAlignment w:val="center"/>
              <w:rPr>
                <w:rFonts w:ascii="宋体" w:hAnsi="宋体" w:cs="宋体"/>
                <w:color w:val="000000"/>
                <w:sz w:val="18"/>
                <w:szCs w:val="18"/>
              </w:rPr>
            </w:pPr>
            <w:r>
              <w:rPr>
                <w:rFonts w:hint="eastAsia" w:ascii="仿宋_GB2312" w:hAnsi="仿宋_GB2312" w:eastAsia="仿宋_GB2312" w:cs="仿宋_GB2312"/>
                <w:b/>
                <w:bCs/>
                <w:color w:val="000000"/>
                <w:kern w:val="0"/>
                <w:sz w:val="18"/>
                <w:szCs w:val="18"/>
                <w:lang w:eastAsia="zh-CN"/>
              </w:rPr>
              <w:t>■</w:t>
            </w:r>
            <w:r>
              <w:rPr>
                <w:rFonts w:hint="eastAsia" w:ascii="宋体" w:hAnsi="宋体" w:eastAsia="东文宋体" w:cs="宋体"/>
                <w:b/>
                <w:bCs/>
                <w:color w:val="000000"/>
                <w:kern w:val="0"/>
                <w:sz w:val="18"/>
                <w:szCs w:val="18"/>
                <w:lang w:val="en-US" w:eastAsia="zh-CN"/>
              </w:rPr>
              <w:t>11.</w:t>
            </w:r>
            <w:r>
              <w:rPr>
                <w:rFonts w:hint="eastAsia" w:ascii="宋体" w:hAnsi="宋体" w:cs="宋体"/>
                <w:b/>
                <w:bCs/>
                <w:color w:val="000000"/>
                <w:kern w:val="0"/>
                <w:sz w:val="18"/>
                <w:szCs w:val="18"/>
              </w:rPr>
              <w:t>提供强制性产品认证证书</w:t>
            </w:r>
            <w:r>
              <w:rPr>
                <w:rFonts w:hint="eastAsia" w:ascii="宋体" w:hAnsi="宋体" w:cs="宋体"/>
                <w:b/>
                <w:bCs/>
                <w:color w:val="000000"/>
                <w:kern w:val="0"/>
                <w:sz w:val="18"/>
                <w:szCs w:val="18"/>
                <w:lang w:eastAsia="zh-CN"/>
              </w:rPr>
              <w:t>和</w:t>
            </w:r>
            <w:r>
              <w:rPr>
                <w:rFonts w:hint="eastAsia" w:ascii="宋体" w:hAnsi="宋体" w:eastAsia="宋体" w:cs="宋体"/>
                <w:b/>
                <w:bCs/>
                <w:color w:val="000000"/>
                <w:kern w:val="0"/>
                <w:sz w:val="18"/>
                <w:szCs w:val="18"/>
              </w:rPr>
              <w:t>强制性采购的节能产品认</w:t>
            </w:r>
            <w:r>
              <w:rPr>
                <w:rFonts w:hint="eastAsia" w:ascii="宋体" w:hAnsi="宋体" w:cs="宋体"/>
                <w:b/>
                <w:bCs/>
                <w:color w:val="000000"/>
                <w:kern w:val="0"/>
                <w:sz w:val="18"/>
                <w:szCs w:val="18"/>
              </w:rPr>
              <w:t>证证书，否则</w:t>
            </w:r>
            <w:r>
              <w:rPr>
                <w:rFonts w:hint="eastAsia" w:ascii="宋体" w:hAnsi="宋体" w:cs="宋体"/>
                <w:b/>
                <w:bCs/>
                <w:color w:val="000000"/>
                <w:kern w:val="0"/>
                <w:sz w:val="18"/>
                <w:szCs w:val="18"/>
                <w:lang w:val="en-US" w:eastAsia="zh-CN"/>
              </w:rPr>
              <w:t>响应</w:t>
            </w:r>
            <w:r>
              <w:rPr>
                <w:rFonts w:hint="eastAsia" w:ascii="宋体" w:hAnsi="宋体" w:cs="宋体"/>
                <w:b/>
                <w:bCs/>
                <w:color w:val="000000"/>
                <w:kern w:val="0"/>
                <w:sz w:val="18"/>
                <w:szCs w:val="18"/>
              </w:rPr>
              <w:t>无效。</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二、安防综合管理平台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综合安防管理平台软件</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综合管理平台支持系统管理、视频管理、报警管理、门禁管理、可视对讲、设备运维、停车管理等业务系统。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1、系统管理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（1）支持基础资源（组织、设备、人、卡、车等信息）管理，提供事件中心、数据存储、电子地图、日志记录等基础功能；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（2）支持平台运维，提供服务部署维护功能、支持模块化升级部署、系统资源使用情况监控等运维相关功能；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（3）支持级联、分布式、集群，实现系统核心能力提升；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（4）支持双机热备，提升系统灾备能力，保障系统的可靠性；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 mysql 数据库、云数据库，统一云、标准云、智微云，满足图片、视频、结构化数据的按需求存储；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（6）支持标准开放平台，提供多维度接口，显示数据互联互通；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（7）支持光栅、矢量、3D 三种类型，不同厂家的地图；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（8）支持自定义定制，如：皮肤切换，设备校时，表单自定义；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（9）支持按照用户配置的权限过滤展示组织设备树、部门人员树、数据查询；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2、视频管理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（1）支持实时视频、录像回放、录像下载、电视墙、雷球联动、热成像等；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（2）支持手机移动客户端进行实时视频监控、音频播放、本地截图、本地录像、云台控制、远程视频回放等；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3、报警管理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（1）支持报警主机接入及布撤防；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（2）支持报警联动录像、抓图、云台、输出、电视墙、信息发布、门禁、道闸、电话、短信、邮件等；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4、门禁管理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（1）支持门禁设备管理；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（2）支持门禁控制，包括：门通道控制、门组分配、首卡开门、多卡开门、多门互锁、反潜回、开门计划、远程验证、常开常闭等；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（3）支持门禁控制授权及复核，支持门禁管理任务查询；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（4）支持门禁系统集群，分布式方式提升接入能力；</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5、可视对讲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（1）支持设备管理、权限分组、呼叫分组、监控权限分组、信息发布分组；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（2）支持卡片、人脸等授权及复核；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（3）支持呼叫通话、信息发布、开门记录查询；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6、设备运维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（1）支持资源监控：最大支持对十万点位运维，支持对前端点位、物联设备、动环主机、服务器、服务进行统一纳管监控运，绘制服务拓扑；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（2）支持报警管理：最大支持存储一年报警数据，支持对所纳管资源配置报警策略，并将产生的报警消息进行统一汇聚和展示，支持对报警进行确认处理，联动工单，推送报警消息、短信及邮件；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（3）支持自动化巡检：支持对前端视频点位的视频质量及录像巡检、服务器及服务的资源占用巡检、网络环境巡检；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（4）支持可视化报表：支持故障工单统计和报警统计；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（5）支持运维工具箱：提供巡检平台，支持上传可执行文件生成巡检记录和手动执行记录；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7、停车管理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（1）支持出入口管理、场区管理、地图管理、收费规则管理、支付对接配置、人员车辆管理等；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（2）支持车辆黑白名单管理、预约登记、反向寻车向导等拓展业务；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（3）支持月卡、储值用户充值缴费；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（4）支持报表统计，包括收费明细与统计、缴费明细与统计、在场车辆信息、车辆进出抓拍记录、人工开闸记录等；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（5）支持配套实现在线支付和无人值守；</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综合安防管理平台服务器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1.处理器：双核四线程；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2.硬盘：1 块 128G SSD 固态硬盘、1 块 1T 机械硬盘；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3.内存：16G 内存（1 根 16GB DDR4 SODIMM 内存条）；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4.接口：前置 2 个 USB2.0 接口、后置 2 个 USB3.0 接口 1 个RS-232 接口（后置，用于调试及透传串口数据）、1 个 VGA接口、2 个 HDMI 接口；</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监控通道授权</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1.视频通道路数授权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路</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门禁授权</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1.门禁路数授权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路</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视频对讲授权</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1.对讲分机路数</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路</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视频对讲软件模块</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1.视频对讲软件模块</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三、入侵探测子系统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双鉴探测器（室内）</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1.探测方式：被动红外;微波；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2.探测角度：90°；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3.透镜扇区：52；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4.测速范围：0.2～3m/s；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5.抗环境光：6500lux；</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6.微波频段：24GHz(24.15～24.25GHz)；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7.支持数字温度补偿。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双鉴探测器（室外）</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1.防护等级:IP65；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2.探测方式：被动红外;微波；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3.探测角度：90°；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4.透镜扇区：52；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5.测速范围：0.2～3m/s；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6.抗环境光：6500lux；</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7.微波频段：24GHz(24.15～24.25GHz)；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8.支持数字温度补偿。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被动红外探测器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1.探测技术：采用被动红外探测技术；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2.探测距离：18m；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3.探测角度：85.9°；</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4.抗环境光：6500lux；</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5.防拆：支持；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6.电源：12 VDC (工作电压)，宽电压 9~16 VDC；</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微波探测器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1.探测类型：微波；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2.探测距离：不小于 20 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3.微波频率：9 -11GHZ；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4.电压：8 -16 直流；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5.报警继电器：固态继电器，A 型(NC,常闭型)，50 毫安/30 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6.防拆开关：A 型(NC,常闭型)，50 毫安/30 伏直流;</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振动探测器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1.探测方式：震动探测；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2.探测距离：不小于半径 5m；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3.灵敏度：不少于 8 档拨码调节；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4.支持：防拆保护；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5.报警输出接口：常闭；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6.设备供电：9 - 16 VDC；</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多维驻波探测器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1.探测类型： 多维驻波密闭空间探测；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2.采用超声波探测技术，当有人或物体试图非法侵入展柜时产生报警信号；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3.对大型展柜，可组合使用；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4.支持灵敏度可调，多层信号探测；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5.带防拆开关；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6.监控范围： 0.3～1.0 立方米；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7.电源电压： 9.5V～15.5V 。</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紧急开关</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1.独立式紧急按钮；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2.防火 ABS 阻燃外壳；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3.触点模式：常开/常闭；</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前端设备箱</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1.室内防水设备箱；</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2.箱体尺寸：500mm*400mm*200；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3.材质：冷轧铁，镀锌处理；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4.工艺：氩弧焊，抛光、打磨；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5.锁芯采用弹起式门锁。</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开关电源</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开关电源设备 12V 20A</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警号</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1.设备名称： 声光报警器；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2.产品声压 108-120+3DB；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3.闪烁频率：150 次/秒；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4.报警方式：通电立即报警断电停止报警；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5.工作电压：12V；</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报警主机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1.报警输入：支持本地 16 路，最大可扩展到 256 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2.报警输出：本地 4 路，最大可扩展到 256 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3.网络接口：2 个 RJ-45 10M/100M 以太网口；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4.电话线：1 路 PSTN；</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5.RS-485 接口：2 路，支持键盘、扩展模块、打印机；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6.M-BUS 总线接口：支持 2 路 MBUS 扩展，单路最大通信距离2.4KM；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7.蓄电池：1 个接口，蓄电池规格 DC12V/7Ah；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8.辅电输出：1 路 DC12V/1A；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9.蜂鸣器：1 个；</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10.供电方式：AC100~AC240V，50Hz/60Hz；</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报警键盘</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1.支持界面 LCD 屏显示；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2.支持防区状态指示灯、故障指示灯、布撤防指示灯、网络指示灯、通讯指示灯；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 0~9 数字键和菜单键；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4.支持蜂鸣器；壳体防拆；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5.支持主机编程、布撤防、消警、旁路/旁路恢复、防区状态查询；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6.RS485 接口与主机连接。</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报警打印机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热敏纸打印机，报警设备配套使用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8路扩展模块</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 RS485 总线接口；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 8 个常闭或常开探测设备接入；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 2 路继电器输出扩展；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4.支持地址拨码设置；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8路联动模块</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 8 路继电器输出以及 8 路状态指示灯；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 RS485 与报警主机连接；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3.支持工作电压：DC12V（9~16V）；</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LED灯</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1.12V 监控补光灯；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2.功率：＜10W；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3.供电电压：直流 12V2A；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4.光源类型：LED 白光灯≥50000HRS；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5.色温：6000K-70000K；</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6.材质：铝合金+防水钢化玻璃；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 180°旋转支架安装。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联动灯光配电箱</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1.箱体尺寸：500mm*400mm*200；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2.材质：冷轧铁，镀锌处理；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3.工艺：氩弧焊，抛光、打磨；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4.1 路 2P20A 总输入空开，2 路 2P10A 输出空开；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5.2 只 12V30A 开关电源；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6.8 路小功率继电器。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四、视频监控及声音复核子系统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高清红外半球摄像机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1.支持传感器类型：1/3 英寸 CMOS；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2.支持像素：400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 支持最大分辨率：2688×1520；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4.支持最低照度：0.002lux（彩色模式）；0.0002lux（黑白模式）；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5.支持最大补光距离：50m（红外）；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6.镜头类型：定焦；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7.视场角：水平：102°；垂直：55°；对角：121°；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8.支持通用行为分析：绊线入侵；区域入侵；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9.支持智能编码：支持 H.264，支持 H.265；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10.支持宽动态：120dB；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11.支持报警事件：网络断开；IP 冲突；非法访问；动态检测；视频遮挡；绊线入侵；区域入侵；电压检测；安全异常；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12.支持接入标准：ONVIF（Profile S &amp; Profile T）；CGI；GB/T28181-2022；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13.支持供电方式：DC12V。</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高清红外枪式摄像机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1.支持传感器类型：1/3 英寸 CMOS；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2.支持像素：400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3.支持最大分辨率：2688×1520；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4.支持最低照度：0.002lux（彩色模式）；0.0002lux（黑白模式）；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5.支持最大补光距离：50m（红外）；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6.镜头类型：定焦；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7.支持视场角：水平：84°；垂直：45°；对角：100°；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8.支持通用行为分析：绊线入侵；区域入侵；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9.支持智能编码：H.264，H.265；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10.支持宽动态：120dB；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11.支持报警事件：网络断开；IP 冲突；非法访问；动态检测；视频遮挡；绊线入侵；区域入侵；电压检测；安全异常；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12.支持接入标准：ONVIF（Profile S &amp; Profile T）；CGI；GB/T28181-2022；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13.支持供电方式：DC12V。</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高清红外枪式摄像机</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含</w:t>
            </w:r>
            <w:r>
              <w:rPr>
                <w:rFonts w:hint="eastAsia" w:ascii="宋体" w:hAnsi="宋体" w:cs="宋体"/>
                <w:color w:val="000000"/>
                <w:kern w:val="0"/>
                <w:sz w:val="18"/>
                <w:szCs w:val="18"/>
              </w:rPr>
              <w:t>音频接口</w:t>
            </w:r>
            <w:r>
              <w:rPr>
                <w:rFonts w:hint="eastAsia" w:ascii="宋体" w:hAnsi="宋体" w:cs="宋体"/>
                <w:color w:val="000000"/>
                <w:kern w:val="0"/>
                <w:sz w:val="18"/>
                <w:szCs w:val="18"/>
                <w:lang w:eastAsia="zh-CN"/>
              </w:rPr>
              <w:t>）</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1.支持传感器类型：1/3 英寸 CMOS；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2.支持像素：400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3.支持最大分辨率：2688×1520；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4.支持最低照度：0.002lux（彩色模式）；0.0002lux（黑白模式）；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5.支持最大补光距离：50m（红外）；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6.镜头类型：定焦；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7.支持视场角：水平：104°；垂直：56°；对角：122°；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8.支持通用行为分析：绊线入侵；区域入侵；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9.支持智能编码：H.264:支持;H.265:支持；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10.支持宽动态：120dB；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11.支持报警事件：网络断开；IP 冲突；非法访问；动态检测；视频遮挡；绊线入侵；区域入侵；音频异常侦测；电压检测；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12.支持接入标准：ONVIF（Profile S &amp; Profile G &amp; Profile T）；CGI；GB/T28181-2022（双国标）；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13.支持音频输入：1 路（RCA 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14.支持音频输出：1 路（RCA 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15.支持供电方式：DC12V。</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高清网络球型摄像机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1.传感器类型：全景：1/2.8 英寸 CMOS；细节：1/2.8 英寸 CMOS；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2.像素：全景：400 万；细节：400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3.最大分辨率：全景：3840×1080；细节：2560×1440；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4.最低照度：全景：（单目镜头）彩色：0.001Lux@F1.0 黑白：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5.最大补光距离：全景：30m（白光）；细节：150m（红外）；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6.补光类型：全景：白光；细节：红外+白光；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7.镜头焦距：全景：2.8mm；细节：4.8mm～120mm；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8.镜头光圈：全景：F1.0 细节：F1.6-3.6；</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9.光学变倍：全景：NA；细节：25；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10.定时任务：预置点；巡迹；巡航；线扫；</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11.网络接口：1 个（RJ-45 母头网口，支持 10M/100M 网络数据）；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12.供电方式：DC36V/2.23A（-25%~+25%）；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电梯专用摄像机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1.支持传感器类型：1/3 英寸 CMOS；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2.支持像素：400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3.支持最大分辨率：2688×1520；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4.支持最低照度：0.002lux（彩色模式）；0.0002lux（黑白模式）；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5.支持最大补光距离：20m（红外）；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6.支持镜头类型：定焦；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7.支持视场角：水平：84°；垂直：45°；对角：100°；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8.支持通用行为分析：绊线入侵；区域入侵；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9.支持智能编码：H.264：支持 H.265：支持；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10.支持宽动态：120dB；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11.支持报警事件：网络断开；IP 冲突；非法访问；动态检测；视频遮挡；绊线入侵；区域入侵；电压检测；外部报警；安全异常；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12.支持接入标准：ONVIF（Profile S &amp; Profile G &amp; Profile T）；CGI；GB/T28181-2022（双国标）；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13.支持供电方式：DC12V/PoE。</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无线网桥</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1.支持无线传输距离:不小于 100 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2.支持带机量:1 路 6MP;</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3.组网方式 点对点;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4.支持无线标准 IEEE 802.11b/g/n;</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5.支持工作频段 2400 MHz~2472 MHz;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6.支持天线角度:水平天线角度：65° ± 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7.网络接口类型:1 个 RJ45, 10/100 Mbps 自适应;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8.支持抱杆安装方式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9.供电方式:12 VDC 0.5 A。</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高保真拾音器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1.拾音范围：不小于 100 平方米；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2.支持高保真咪头；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3.支持全指向特性；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4.灵敏度：不小于-42. 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5.信噪比：65 dB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6.音频输出值：2.5Vpp/100dB 声压；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7.保护电路：极性保护、错接保护、雷击保护；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8.信号传输距离：3000 米屏蔽电缆；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9.电源电压：线性稳压电源 DC 9V-20V；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10.外壳材质:PVC</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摄像机支架</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室内吊装支架，项目定制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128 路网络视频存储服务器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1.支持主处理器：64 位高性能多核处理器；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2.支持操作系统：国产操作系统；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3.控制器：单控制器；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4.高速缓存：标配 8GB，可扩展至 128GB；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5.视频直存：最大支持 512 路（1024Mbps）前端接入、存储、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转发，32 路（64Mbps）网络回放；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6.硬盘接口：24 个；SATA；CMR 单盘最大支持 24TB 硬盘，SMR单盘最大支持 25TB；支持热插拔；支持 CMR，SMR。</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14T 硬盘</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1.企业级硬盘；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 : 3.5 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3.容量 : 14T；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4.缓存 : 256M；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5.转速 : 7200RPM。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32 路硬盘录像机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1.接入路数：32 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2.硬盘接口：16 个，SATA3.0，单盘最大 10T，支持热插拔；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3.分辨率：12MP、8MP、6MP、5MP、4MP、3MP、1080P、1.3MP、720P、D1；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4.解码能力：16 个 1080P (30 fps)；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5.多路回放：1、4、9、16 分割；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6.视频输出：VGA1/HDMI1 同源输出、VGA2/HDMI2 同源输出、VGA1/HDMI1 和 VGA2/HDMI2 两组之间支持异源输出。其中 HDMI1最大支持 4K 显示输出，VGA1/VGA2/HDMI2 最大支持 1080P 显示输出。</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8T 硬盘</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1.企业级硬盘；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 : 3.5 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3.容量 : 8T；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4.缓存 : 256M；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5.转速 : 7200RPM。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解码器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1.画面分割：单屏支持 1/4/6/8/9/16/25/36 固定分割支持 M×N自定义分割，M×N≤36；</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2.视频压缩标准：H.265；H.264；MJPEG；MPEG4；SVAC；MPEG2；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3.解码能力：支持 2 路 32MP@25fps（仅 H.265 支持）；7 路12MP@25fps；10 路 8MP@25fps；14路6MP@25fps；18路5MP@25fps；21路4MP@25fps；28路3MP@25fps；43路1080p@25fps；108 路 D1@25fps；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4.视频输入：2路 HDMI 输入口；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5.视频输出路数：8路 HDMI。</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55寸LCD 显示单元</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1.屏幕尺寸 55 寸，LED 光源；分辨率：3840×2160，双边拼缝≦1.7mm，水平可视角度≧178°，垂直可视角度≧178°，响应时间≦8ms；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2.液晶拼接单元采用后壳传导散热方式，具有导热柱设计，屏体内部元器件热。</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子单元框架</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采用不锈钢材料定制，外层涂有绝缘喷塑材料，涂层表面平滑、喷涂均匀、色调一致，颜色为黑色标准化、模块化搭积木式安装机架，可采用横向和纵向安装方式，进行灵活拼接及扩展。</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底座</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采用不锈钢材料定制，外层涂有绝缘喷塑材料，涂层表面平滑、喷涂均匀、色调一致，颜色为黑色。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积木式底座定制高度。积木式箱体单元间有紧固连接装置，确保显示单元箱体、底座连接牢固。</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HDMI 高清线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15 米 HDMI 高清数据线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条</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五、出入口控制子系统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发卡器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1.全速 USB 或高速串口通信支持 ISO14443TypeA&amp;B 标准卡，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2.发卡类型：ID 卡；IC 卡(Mifare 卡)；CPU 卡；身份证（序列号）；</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四门禁控制器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1.主处理器：高性能嵌入式处理器；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2.网络协议：IPv4；UDP；P2P；IPv6；TCP；</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3.用户容量：100000；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4.指纹容量：10000；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5.卡片容量：100000；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6.RS-485 接口：9 个（8 个读卡器接口，1 个扩展接口）；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7.韦根接口：8 路输入；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8.网络接口：1 个 RJ-45，10Mbps/100Mbps 自适应；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9.门状态检测：4 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10.供电方式：开关电源（AC 转 DC，AC 100V-240V 4A;DC 12V12.5A）</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读卡器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1.OSDP 协议：支持；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2.按键类型：触摸按键；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3.产品款式：读卡器；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4.蜂鸣器：支持；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5.安装方式：明装；86 盒安装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磁力锁</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外壳材料：铝合金；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信号输出：锁状态信号输出；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安全类型：断电开门；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最大拉力：500kg(1200Lbs)直线拉力；</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磁力锁支架</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外壳材料：高强铝合金；</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出门按钮</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外壳材料：塑料外壳；</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CPU 卡</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类型：CPU；</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外壳材料：PVC；</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执行标准：ISO14443-A；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通信速率：106Kbps；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工作频率：13.56MHZ；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存储容量：8Kbyte EEPROM；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读写距离：1cm～5cm；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六、电子巡查子系统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防爆巡更棒</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1.存储容量：不小于 3 万条记录；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2.功耗：待机电流小于 0.06mA；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3.电池寿命；可连续使用一年以上；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3.读卡距离：2～5cm；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4.通讯格式：无线通讯。</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通信座</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 LED 指示灯；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2.兼容性：支持同一通讯坐型号配用于多类巡更棒。</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信息纽--无线巡更点+夜光贴</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1.工作频率:支持 125KHz EM 格式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2.封装:支持完全密封防水</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电子巡查管理软件</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1.支持自动完成巡更机通讯、时钟校验、数据上载、数据下载、智能数据识别、计划核查、统计分析、异常处理等功能；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2.支持智能排班功能，自动识别周期和人员；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3.支持自动对巡更数据进行处理，可查询排班计划的执行情况，统计巡查次数、漏巡次数、顺序错次数、事件次数；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4.支持数据、程序都严格加密，无法更改，巡更机上不需带电永久保存近３万条巡更记录，可以重新上传；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5.支持自动完成数据月备份、周备份和即时备份，自动清除过期数据。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七、应急广播子系统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网络服务器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1.处理器不小于：64 位高性能多核处理器；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2.内存不小于：4G/DDR3；</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3.硬盘不小于：120G 固态硬盘；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4.显示屏支持：分辨率 1920×1080，电阻式触摸屏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5.支持协议 TCP/IP、UDP、ICMP、IGMP（组播）；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6.支持基于 LInux 系统，B/S 架构，任意 PC、移动平台的浏览器均可登录操作。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7.支持背景广播、紧急广播、语音对讲、视频对讲、监听、监控功能。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8.支持对所有分区进行自定义分组操作，对分区进行广播、调节音量操作。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9.支持显示分组信息、分区状态（开关/音量/实时节目名称）、节目列表、定时点信息。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10.支持对一个或多个分组/分区进行广播节目操作。</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IP网络寻呼话筒</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1.IP 网络寻呼话筒，群呼、分区呼叫、单独呼叫</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机房内监听音箱</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机房内监听音箱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IP 网络吸顶式音箱</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IP 网络吸顶式音箱，功率不小于 15w。</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八、可视对讲子系统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可视对讲管理主机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1.主处理器：高性能嵌入式处理器；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2.屏幕类型：电容触摸屏；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3.显示屏：全彩显示屏；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4.显示屏分辨率：1024×600；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5.音频输入：2 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6.音频输出：内置喇叭;听筒扬声器；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7.电源输出：1 路 12V/200mA；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8.网络接口：1 个 RJ-45 100Mbps/1000Mbps 自适应。</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可视对讲门口机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1.显示屏：全彩显示屏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2.屏幕类型：电容触摸屏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3.显示屏分辨率：不小于 600(H)×1024(V)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4.摄像头：支持高清摄像头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5.光照补偿：自动红外补光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6.验证方式：刷卡；密码；人脸识别</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7.外接读卡器：支持 1 路 485 读卡器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8.网络接口：1 个 10Mbps/100Mbps/1000Mbps 自适应以太网口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9.安装方式：壁装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九、手持对讲子系统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对讲机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1.支持公专融合智能手持终端；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 IP68 防护品质标准；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3.支持在运营商 3G/4G 无线网络覆盖范围内均可工作；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4.能够实现移动现场的集群对讲；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5.含三年网络使用费。</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十、传输子系统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核心交换机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1.交换容量≥48Tbps；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2.包转发率≥32000Mpps；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3.主控引擎≥2；业务板槽位数≥3，整机主控+业务板槽位数≥5。主控和业务板卡槽位相互独立，物理隔离。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4.支持颗粒化电源，整机电源槽位数≥2；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5.支持整机 MAC 地址≥384K；</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6.实配主控板≥2，48 端口十兆/百兆/千兆以太网电接口板(EA1,RJ45)*1，48 端口万兆以太网光接口板(X6S,SFP+)*1。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24口接入交换机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24口千兆电口接入层交换机，上行口支持 2 个万兆光口，支持 VLAN 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光模块</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LC 单模万兆光模块</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金属桥架</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300*100 防火金属桥架，含配套辅材</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KBG管</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φ25 壁厚 1.2mm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六类非屏蔽网线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cat6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报警控制线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RVV4*1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报警信号线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RVV6*0.5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2500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电源线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RVV2*1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2500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主电力电缆</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YJV4*35+1*16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分支电力电缆</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YJV3*4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分支电力电缆</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YJV3*2.5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光缆</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12 芯室内光缆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箱式多路集中供电电源</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箱式集中电源适配器，多路输出 DC12V16.5A 电源线，稳压开关变压器 9 路输出</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壁挂网络机柜</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12U 壁挂网络机柜</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网络机柜</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42U 600*600*2000mm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十一、综合布线系统</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双口面板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双口面板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单口面板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单口面板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六类非屏蔽模块</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六类非屏蔽模块</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六类2米非屏蔽跳线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六类 2 米非屏蔽跳线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六类非屏蔽网线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cat6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2800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24口非屏蔽配线架</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24 口非屏蔽配线架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理线器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1U 标准理线器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壁挂网络机柜</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12U 壁挂网络机柜</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网络机柜</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42U 800*800*2000mm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电源管理单元</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8位/10A</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24芯室内光缆</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24 芯室内光缆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4芯室内光缆</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4 芯室内光缆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ODF单元</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12 芯，满配（含 sc 法兰、尾纤）</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互联网出口防火墙</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1.设备类型:下一代防火墙;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2.网络层吞吐量不小于：4Gbps;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3.并发连接数不小于 160 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4.网络端口不小于 6 个 10/100/1000M Base-TX；</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5.设备需集成防火墙、VPN、入侵检测与防御、防蠕虫病毒、上网行为管理、流量整形等众多功能。</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接入交换机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24口千兆电口接入层交换机，上行口支持2个万兆光口，支持VLAN管理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核心交换机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1.交换容量≥48Tbps；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2.包转发率≥32000Mpps；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3.主控引擎≥2；业务板槽位数≥3，整机主控+业务板槽位数≥5。主控和业务板卡槽位相互独立，物理隔离。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4.支持颗粒化电源，整机电源槽位数≥2；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5.支持整机 MAC 地址≥384K；</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6.实配主控板≥2，24 端口十兆/百兆/千兆以太网电接口板(EA1,RJ45)*1，16 端口万兆以太网光接口板(X6S,SFP+)*1。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光模块</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LC 单模万兆光模块</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firstLine="0" w:firstLineChars="0"/>
              <w:jc w:val="left"/>
              <w:rPr>
                <w:rFonts w:ascii="宋体" w:hAnsi="宋体" w:cs="宋体"/>
                <w:color w:val="000000"/>
                <w:sz w:val="18"/>
                <w:szCs w:val="18"/>
              </w:rPr>
            </w:pPr>
            <w:r>
              <w:rPr>
                <w:rFonts w:hint="eastAsia" w:ascii="宋体" w:hAnsi="宋体" w:cs="宋体"/>
                <w:color w:val="000000"/>
                <w:kern w:val="0"/>
                <w:sz w:val="18"/>
                <w:szCs w:val="18"/>
              </w:rPr>
              <w:t>十二、监控中心</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20KVAUPS 不间断电源</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1.UPS 类型 在线式；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2.额定功率 20KW；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3.整机效率 达到 85%；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4.输入配线 三相四线+地线；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5.输入电压范围 210-475V；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6.输入频率范围 46-64Hz，50/60Hz；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7.输入功因 &gt;0.9；</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8.输出电压范围 AC 220V（1±1%）V；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9.输出频率范围 市电模式：46-54Hz/56-64Hz（与输入市电频率同步）；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10.电流峰值比 3:1；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11.输出功因≥ 0.75；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12.过载能力 Load＜105%，长期运行。</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蓄电池</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1.端子类型 M3；</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2.额定电压 12V；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3.额定容量 100Ah。</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电池连接线</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BVR16mm2</w:t>
            </w:r>
            <w:r>
              <w:rPr>
                <w:rFonts w:hint="eastAsia"/>
                <w:lang w:eastAsia="zh-CN"/>
              </w:rPr>
              <w:t>，</w:t>
            </w:r>
            <w:r>
              <w:rPr>
                <w:rFonts w:hint="eastAsia" w:ascii="宋体" w:hAnsi="宋体" w:cs="宋体"/>
                <w:color w:val="000000"/>
                <w:kern w:val="0"/>
                <w:sz w:val="18"/>
                <w:szCs w:val="18"/>
                <w:lang w:val="en-US" w:eastAsia="zh-CN"/>
              </w:rPr>
              <w:t>长度不小于0.6m。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电池柜(A32)</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电池柜(A32)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机房配电箱</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国内成套，具体空开配置根据项目实际情况配置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分配电箱</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国内成套，具体空开配置根据项目实际情况配置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服务器机柜</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标准 19 寸 42U 网络服务器机柜，机柜尺寸 800*800*2000mm，前玻璃，后网孔</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电源管理单元PDU</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1.8 位 10A；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2.电缆线规格:1.8 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3.额定值:10A 250V；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4.承载功率:2500W；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5.控制功能:总控开关；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6.输入插头:10A 三扇插头；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7.插座制式:10A 五孔插座；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8.保护功能:过载保护。</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调度操作台</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门及门锁 网门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材料及工艺 材料：优质冷轧钢，胡桃木色防火板材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工艺：脱脂，磷化，静电喷涂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其他参数 承重：200KG</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长度：1800mm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板材厚度：立梁 1.2mm，其余 1.0mm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联</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椅子</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1.面料材质:网布类别：弓形椅靠背最大角度：不可调节扶手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类型：固定扶手附加组件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把</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防静电活动地板</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地板安装高度：h=250m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600×600*35mm 全钢无边静电地板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全钢无边静电地板：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1.面材选择:加厚 HPL 面板（防火板）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2.规格尺寸（MM）:600*600*35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3.钢板厚度：上7钢板下6钢板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4.填充：高强度发泡水泥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5.荷载力（KG）800KG</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抗震底座</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1.规格：L50*5镀锌角钢焊制，焊接后做防锈处理；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2.架空高度：250mm；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精密空调服务</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建设单位原有精密空调利旧拆装调试</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接地母线 :ZRBVR16mm2</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1.名称:等电位连接（各金属体之间）；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2.规格:ZRBVR16mm2；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3.材质:阻燃铜芯线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接地母线 :ZRBVR6mm2</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1.名称:等电位连接（各金属体之间）；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2.规格:ZRBVR6mm2；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3.材质:阻燃铜芯线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接地装置</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机房接地、采用联合接地装置</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组</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电力电缆 YJV3*6</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YJV3*6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监控计算机</w:t>
            </w:r>
          </w:p>
        </w:tc>
        <w:tc>
          <w:tcPr>
            <w:tcW w:w="5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1.操作系统：预装正版操作系统；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.核心/线程数：20 核心/28 线程；</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.内存容量：32GB；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.固态硬盘容量：1TB；</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.显卡：8G 独立显卡;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.数据接口：1×USB3.2 Gen1 Type C，2×USB3.2 Gen1，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4×USB2.0；</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.视频接口：1×VGA，1×HDMI；</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.网络接口：1×RJ45（2.5Gb 有线网口）；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.电源：500W电源适配器；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 xml:space="preserve">.32寸液晶超窄边显示器。 </w:t>
            </w:r>
            <w:r>
              <w:rPr>
                <w:rFonts w:hint="eastAsia" w:ascii="宋体" w:hAnsi="宋体" w:cs="宋体"/>
                <w:color w:val="000000"/>
                <w:kern w:val="0"/>
                <w:sz w:val="18"/>
                <w:szCs w:val="18"/>
              </w:rPr>
              <w:br w:type="textWrapping"/>
            </w:r>
            <w:r>
              <w:rPr>
                <w:rFonts w:hint="eastAsia" w:ascii="仿宋_GB2312" w:hAnsi="仿宋_GB2312" w:eastAsia="仿宋_GB2312" w:cs="仿宋_GB2312"/>
                <w:b/>
                <w:bCs/>
                <w:color w:val="000000"/>
                <w:kern w:val="0"/>
                <w:sz w:val="18"/>
                <w:szCs w:val="18"/>
                <w:lang w:eastAsia="zh-CN"/>
              </w:rPr>
              <w:t>■</w:t>
            </w:r>
            <w:r>
              <w:rPr>
                <w:rFonts w:hint="eastAsia" w:ascii="宋体" w:hAnsi="宋体" w:eastAsia="东文宋体" w:cs="宋体"/>
                <w:b/>
                <w:bCs/>
                <w:color w:val="000000"/>
                <w:kern w:val="0"/>
                <w:sz w:val="18"/>
                <w:szCs w:val="18"/>
                <w:lang w:val="en-US" w:eastAsia="zh-CN"/>
              </w:rPr>
              <w:t>11.</w:t>
            </w:r>
            <w:r>
              <w:rPr>
                <w:rFonts w:hint="eastAsia" w:ascii="宋体" w:hAnsi="宋体" w:cs="宋体"/>
                <w:b/>
                <w:bCs/>
                <w:color w:val="000000"/>
                <w:kern w:val="0"/>
                <w:sz w:val="18"/>
                <w:szCs w:val="18"/>
              </w:rPr>
              <w:t>提供强制性产品认证证书</w:t>
            </w:r>
            <w:r>
              <w:rPr>
                <w:rFonts w:hint="eastAsia" w:ascii="宋体" w:hAnsi="宋体" w:cs="宋体"/>
                <w:b/>
                <w:bCs/>
                <w:color w:val="000000"/>
                <w:kern w:val="0"/>
                <w:sz w:val="18"/>
                <w:szCs w:val="18"/>
                <w:lang w:eastAsia="zh-CN"/>
              </w:rPr>
              <w:t>和</w:t>
            </w:r>
            <w:r>
              <w:rPr>
                <w:rFonts w:hint="eastAsia" w:ascii="宋体" w:hAnsi="宋体" w:eastAsia="宋体" w:cs="宋体"/>
                <w:b/>
                <w:bCs/>
                <w:color w:val="000000"/>
                <w:kern w:val="0"/>
                <w:sz w:val="18"/>
                <w:szCs w:val="18"/>
              </w:rPr>
              <w:t>强制性采购的节能产品认</w:t>
            </w:r>
            <w:r>
              <w:rPr>
                <w:rFonts w:hint="eastAsia" w:ascii="宋体" w:hAnsi="宋体" w:cs="宋体"/>
                <w:b/>
                <w:bCs/>
                <w:color w:val="000000"/>
                <w:kern w:val="0"/>
                <w:sz w:val="18"/>
                <w:szCs w:val="18"/>
              </w:rPr>
              <w:t>证证书，否则</w:t>
            </w:r>
            <w:r>
              <w:rPr>
                <w:rFonts w:hint="eastAsia" w:ascii="宋体" w:hAnsi="宋体" w:cs="宋体"/>
                <w:b/>
                <w:bCs/>
                <w:color w:val="000000"/>
                <w:kern w:val="0"/>
                <w:sz w:val="18"/>
                <w:szCs w:val="18"/>
                <w:lang w:val="en-US" w:eastAsia="zh-CN"/>
              </w:rPr>
              <w:t>响应</w:t>
            </w:r>
            <w:r>
              <w:rPr>
                <w:rFonts w:hint="eastAsia" w:ascii="宋体" w:hAnsi="宋体" w:cs="宋体"/>
                <w:b/>
                <w:bCs/>
                <w:color w:val="000000"/>
                <w:kern w:val="0"/>
                <w:sz w:val="18"/>
                <w:szCs w:val="18"/>
              </w:rPr>
              <w:t>无效。</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r>
      <w:tr>
        <w:tblPrEx>
          <w:tblCellMar>
            <w:top w:w="0" w:type="dxa"/>
            <w:left w:w="108" w:type="dxa"/>
            <w:bottom w:w="0" w:type="dxa"/>
            <w:right w:w="108" w:type="dxa"/>
          </w:tblCellMar>
        </w:tblPrEx>
        <w:trPr>
          <w:trHeight w:val="5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灭火器</w:t>
            </w: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rPr>
              <w:t>手提式二氧化碳气体灭火器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具</w:t>
            </w:r>
          </w:p>
        </w:tc>
      </w:tr>
    </w:tbl>
    <w:p>
      <w:pPr>
        <w:pStyle w:val="152"/>
        <w:spacing w:afterLines="50"/>
        <w:ind w:firstLine="0" w:firstLineChars="0"/>
        <w:jc w:val="left"/>
        <w:rPr>
          <w:rFonts w:ascii="仿宋" w:hAnsi="仿宋" w:eastAsia="仿宋" w:cs="仿宋"/>
          <w:b w:val="0"/>
          <w:sz w:val="24"/>
        </w:rPr>
      </w:pPr>
    </w:p>
    <w:p>
      <w:pPr>
        <w:keepNext w:val="0"/>
        <w:keepLines w:val="0"/>
        <w:widowControl/>
        <w:suppressLineNumbers w:val="0"/>
        <w:jc w:val="left"/>
      </w:pPr>
      <w:r>
        <w:rPr>
          <w:rFonts w:hint="eastAsia"/>
          <w:sz w:val="21"/>
          <w:szCs w:val="21"/>
        </w:rPr>
        <w:t>备注：本</w:t>
      </w:r>
      <w:r>
        <w:rPr>
          <w:rFonts w:hint="eastAsia"/>
          <w:sz w:val="21"/>
          <w:szCs w:val="21"/>
          <w:lang w:eastAsia="zh-CN"/>
        </w:rPr>
        <w:t>采购文件中，标注“</w:t>
      </w:r>
      <w:r>
        <w:rPr>
          <w:rFonts w:hint="eastAsia" w:ascii="仿宋_GB2312" w:hAnsi="仿宋_GB2312" w:eastAsia="仿宋_GB2312" w:cs="仿宋_GB2312"/>
          <w:sz w:val="21"/>
          <w:szCs w:val="21"/>
          <w:lang w:eastAsia="zh-CN"/>
        </w:rPr>
        <w:t>■</w:t>
      </w:r>
      <w:r>
        <w:rPr>
          <w:rFonts w:hint="eastAsia"/>
          <w:sz w:val="21"/>
          <w:szCs w:val="21"/>
          <w:lang w:eastAsia="zh-CN"/>
        </w:rPr>
        <w:t>”</w:t>
      </w:r>
      <w:r>
        <w:rPr>
          <w:rFonts w:hint="eastAsia"/>
          <w:sz w:val="21"/>
          <w:szCs w:val="21"/>
          <w:lang w:val="en-US" w:eastAsia="zh-CN"/>
        </w:rPr>
        <w:t>技术参数</w:t>
      </w:r>
      <w:r>
        <w:rPr>
          <w:rFonts w:hint="eastAsia"/>
          <w:sz w:val="21"/>
          <w:szCs w:val="21"/>
        </w:rPr>
        <w:t>为本次采购的核心</w:t>
      </w:r>
      <w:r>
        <w:rPr>
          <w:rFonts w:hint="eastAsia"/>
          <w:sz w:val="21"/>
          <w:szCs w:val="21"/>
          <w:lang w:val="en-US" w:eastAsia="zh-CN"/>
        </w:rPr>
        <w:t>设备技术要求</w:t>
      </w:r>
      <w:r>
        <w:rPr>
          <w:rFonts w:hint="eastAsia"/>
          <w:sz w:val="21"/>
          <w:szCs w:val="21"/>
        </w:rPr>
        <w:t>，不满足则视为无效</w:t>
      </w:r>
      <w:r>
        <w:rPr>
          <w:rFonts w:hint="eastAsia"/>
          <w:sz w:val="21"/>
          <w:szCs w:val="21"/>
          <w:lang w:val="en-US" w:eastAsia="zh-CN"/>
        </w:rPr>
        <w:t>响应</w:t>
      </w:r>
      <w:r>
        <w:rPr>
          <w:rFonts w:hint="eastAsia"/>
          <w:sz w:val="21"/>
          <w:szCs w:val="21"/>
        </w:rPr>
        <w:t>。</w:t>
      </w:r>
    </w:p>
    <w:p>
      <w:pPr>
        <w:widowControl/>
        <w:ind w:firstLine="420"/>
        <w:jc w:val="left"/>
        <w:rPr>
          <w:sz w:val="21"/>
          <w:szCs w:val="21"/>
        </w:rPr>
      </w:pPr>
    </w:p>
    <w:p>
      <w:pPr>
        <w:ind w:firstLine="0" w:firstLineChars="0"/>
        <w:rPr>
          <w:rFonts w:cs="宋体"/>
          <w:b/>
        </w:rPr>
      </w:pPr>
      <w:bookmarkStart w:id="53" w:name="_Toc22990"/>
      <w:bookmarkStart w:id="54" w:name="_Toc22311"/>
    </w:p>
    <w:p>
      <w:pPr>
        <w:pStyle w:val="149"/>
        <w:spacing w:line="360" w:lineRule="auto"/>
        <w:ind w:firstLine="436" w:firstLineChars="181"/>
      </w:pPr>
      <w:r>
        <w:rPr>
          <w:rFonts w:hint="eastAsia" w:ascii="宋体" w:hAnsi="宋体" w:eastAsia="宋体" w:cs="宋体"/>
          <w:b/>
          <w:sz w:val="24"/>
        </w:rPr>
        <w:t>二、商务要求</w:t>
      </w:r>
    </w:p>
    <w:p>
      <w:pPr>
        <w:spacing w:line="440" w:lineRule="exact"/>
        <w:ind w:firstLine="480"/>
        <w:rPr>
          <w:rFonts w:ascii="仿宋" w:hAnsi="仿宋" w:eastAsia="仿宋" w:cs="仿宋"/>
        </w:rPr>
      </w:pPr>
      <w:r>
        <w:rPr>
          <w:rFonts w:hint="eastAsia" w:ascii="仿宋" w:hAnsi="仿宋" w:eastAsia="仿宋" w:cs="仿宋"/>
        </w:rPr>
        <w:t>1.建设周期：合同签订后须在60个日历日内完成项目交付并达到终验条件，未按合同约定的建设周期完成的，逾期时间超过30个日历日的，延误该项目正常投入使用的，按照合同约定中标供应商向甲方支付不超过合同总金额10%的违约金，同时追究乙方合同违约责任。</w:t>
      </w:r>
    </w:p>
    <w:p>
      <w:pPr>
        <w:spacing w:line="440" w:lineRule="exact"/>
        <w:ind w:firstLine="480"/>
        <w:rPr>
          <w:rFonts w:ascii="仿宋" w:hAnsi="仿宋" w:eastAsia="仿宋" w:cs="仿宋"/>
          <w:color w:val="auto"/>
          <w:highlight w:val="none"/>
        </w:rPr>
      </w:pPr>
      <w:r>
        <w:rPr>
          <w:rFonts w:hint="eastAsia" w:ascii="仿宋" w:hAnsi="仿宋" w:eastAsia="仿宋" w:cs="仿宋"/>
          <w:color w:val="auto"/>
          <w:highlight w:val="none"/>
        </w:rPr>
        <w:t>2.质保要求：合同项内一般设备质保期限为2年，技术要求中加“</w:t>
      </w:r>
      <w:r>
        <w:rPr>
          <w:rFonts w:hint="eastAsia" w:ascii="东文宋体" w:hAnsi="东文宋体" w:eastAsia="东文宋体" w:cs="东文宋体"/>
          <w:b w:val="0"/>
          <w:bCs w:val="0"/>
          <w:color w:val="auto"/>
          <w:kern w:val="0"/>
          <w:sz w:val="24"/>
          <w:szCs w:val="23"/>
          <w:highlight w:val="none"/>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设备</w:t>
      </w:r>
      <w:r>
        <w:rPr>
          <w:rFonts w:hint="eastAsia" w:ascii="仿宋" w:hAnsi="仿宋" w:eastAsia="仿宋" w:cs="仿宋"/>
          <w:color w:val="auto"/>
          <w:highlight w:val="none"/>
        </w:rPr>
        <w:t>质保期限为3年。质保期自验收合格之日起算。质保期内如设备出现任何质量问题，乙方应免费维修或按甲方要求免费换新；乙方应每季度对项目运行状况开展1次巡检，并出具巡检报告；如出现设备故障，乙方在接到甲方报修紧急通知后12小时内排除故障恢复正常运行；如遇重要或应急事件，乙方须在6小时内提供免费现场技术支撑。</w:t>
      </w:r>
    </w:p>
    <w:p>
      <w:pPr>
        <w:spacing w:line="440" w:lineRule="exact"/>
        <w:ind w:firstLine="480"/>
        <w:rPr>
          <w:rFonts w:ascii="仿宋" w:hAnsi="仿宋" w:eastAsia="仿宋" w:cs="仿宋"/>
        </w:rPr>
      </w:pPr>
      <w:r>
        <w:rPr>
          <w:rFonts w:hint="eastAsia" w:ascii="仿宋" w:hAnsi="仿宋" w:eastAsia="仿宋" w:cs="仿宋"/>
        </w:rPr>
        <w:t>3.培训要求：在甲方指定地点对系统操作人员进行不少于3个工作日的培训</w:t>
      </w:r>
      <w:bookmarkStart w:id="55" w:name="_Toc29469"/>
      <w:bookmarkStart w:id="56" w:name="_Toc14"/>
      <w:r>
        <w:rPr>
          <w:rFonts w:hint="eastAsia" w:ascii="仿宋" w:hAnsi="仿宋" w:eastAsia="仿宋" w:cs="仿宋"/>
        </w:rPr>
        <w:t>，成交供应商必须认真做好培训记录，作为履约验收、资金支付依据。</w:t>
      </w:r>
    </w:p>
    <w:p>
      <w:pPr>
        <w:spacing w:line="440" w:lineRule="exact"/>
        <w:ind w:firstLine="480"/>
        <w:rPr>
          <w:rFonts w:ascii="仿宋" w:hAnsi="仿宋" w:eastAsia="仿宋" w:cs="仿宋"/>
        </w:rPr>
      </w:pPr>
      <w:r>
        <w:rPr>
          <w:rFonts w:hint="eastAsia" w:ascii="仿宋" w:hAnsi="仿宋" w:eastAsia="仿宋" w:cs="仿宋"/>
        </w:rPr>
        <w:t>4.实施要求：供应商须按照采购人提供的项目建设方案实施（项目建设方案附后），确保各项功能指标符合采购人需求，成交供应商须与实施文物标本库房基础环境装修施工方充分紧密配合，确保项目整体建设工作衔接有序，各项实施安装不遗漏。</w:t>
      </w:r>
    </w:p>
    <w:p>
      <w:pPr>
        <w:spacing w:line="440" w:lineRule="exact"/>
        <w:ind w:firstLine="480"/>
        <w:rPr>
          <w:rFonts w:hint="eastAsia" w:ascii="仿宋" w:hAnsi="仿宋" w:eastAsia="仿宋" w:cs="仿宋"/>
          <w:b w:val="0"/>
          <w:sz w:val="24"/>
          <w:szCs w:val="24"/>
        </w:rPr>
      </w:pPr>
      <w:r>
        <w:rPr>
          <w:rFonts w:hint="eastAsia" w:ascii="仿宋" w:hAnsi="仿宋" w:eastAsia="仿宋" w:cs="仿宋"/>
          <w:kern w:val="2"/>
          <w:lang w:eastAsia="zh-CN"/>
        </w:rPr>
        <w:t>■</w:t>
      </w:r>
      <w:r>
        <w:rPr>
          <w:rFonts w:hint="eastAsia" w:ascii="仿宋" w:hAnsi="仿宋" w:eastAsia="仿宋" w:cs="仿宋"/>
          <w:kern w:val="2"/>
        </w:rPr>
        <w:t>注：商务要求必须完全满足，未提供商务要求响应承诺函的或任一一条商务要求未满足的均按无效响应处理！</w:t>
      </w:r>
    </w:p>
    <w:p>
      <w:pPr>
        <w:pStyle w:val="10"/>
        <w:ind w:firstLine="0" w:firstLineChars="0"/>
        <w:rPr>
          <w:rFonts w:cs="宋体"/>
          <w:b/>
          <w:szCs w:val="28"/>
        </w:rPr>
      </w:pPr>
    </w:p>
    <w:p>
      <w:pPr>
        <w:pStyle w:val="149"/>
        <w:spacing w:line="360" w:lineRule="auto"/>
        <w:ind w:firstLine="436" w:firstLineChars="181"/>
        <w:rPr>
          <w:rFonts w:ascii="宋体" w:hAnsi="宋体" w:cs="宋体"/>
          <w:color w:val="000000" w:themeColor="text1"/>
          <w:kern w:val="0"/>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三、验收及付款方式</w:t>
      </w:r>
      <w:bookmarkEnd w:id="55"/>
      <w:bookmarkEnd w:id="56"/>
      <w:bookmarkStart w:id="57" w:name="_Toc11667"/>
      <w:bookmarkStart w:id="58" w:name="_Toc2751"/>
    </w:p>
    <w:p>
      <w:pPr>
        <w:spacing w:line="44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1.验收主体：由采购人负责组织实施项目验收工作，邀请各相关部门、评标专家或第三方检测机构成立验收小组，共同开展项目验收。</w:t>
      </w:r>
    </w:p>
    <w:p>
      <w:pPr>
        <w:spacing w:line="44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2.验收准备：中标方须提交完整的验收申请材料，包括但不仅限于：项目初验报告、终验报告，用户手册、运行情况等。</w:t>
      </w:r>
    </w:p>
    <w:p>
      <w:pPr>
        <w:spacing w:line="44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3.初验阶段：在硬件安装及系统部署完成后进行，检验硬件是否与响应文件、合同约定一致，各项功能是否正常运转，是否满足采购人技术参数需求。</w:t>
      </w:r>
    </w:p>
    <w:p>
      <w:pPr>
        <w:spacing w:line="44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4.试运行阶段：项目整体须不间断正常稳定运行10个日历日，中标方须出具试运行报告，并提请甲方启动终验程序。</w:t>
      </w:r>
    </w:p>
    <w:p>
      <w:pPr>
        <w:spacing w:line="44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终验阶段：试运行通过后，由采购人组织原验收小组成员进行终验，各验收小组成员分别出具验收意见，验收意见一致通过的，视为终验通过，验收过程应详细记录中标方项目交付情况，对验收过程中发现的问题限期整改，未在整改期限内完成整改造成延误交付的，依据合同约定处理。</w:t>
      </w:r>
    </w:p>
    <w:p>
      <w:pPr>
        <w:spacing w:line="44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验收标准：验收小组严格对照响应文件及合同约定，逐项对货物供应、项目实施、合同履约及商务要求响应情况进行验收，对未按照响应文件、合同约定履约的情况记录登记在案，严格按合同约定处理，对货物无法满足采购文件技术要求指标的，依法追究成交供应商相关责任，并报同级政府采购监管部门严肃处理。</w:t>
      </w:r>
    </w:p>
    <w:p>
      <w:pPr>
        <w:spacing w:line="440" w:lineRule="exact"/>
        <w:ind w:firstLine="480"/>
        <w:rPr>
          <w:rFonts w:cs="宋体"/>
          <w:b/>
          <w:color w:val="000000" w:themeColor="text1"/>
          <w:sz w:val="24"/>
          <w:szCs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7.付款方式：合同签订后3个工作日内，采购人向中标方支付合同金额30%的预付款，</w:t>
      </w:r>
      <w:r>
        <w:rPr>
          <w:rFonts w:hint="default" w:ascii="仿宋" w:hAnsi="仿宋" w:eastAsia="仿宋" w:cs="仿宋"/>
          <w:color w:val="000000" w:themeColor="text1"/>
          <w14:textFill>
            <w14:solidFill>
              <w14:schemeClr w14:val="tx1"/>
            </w14:solidFill>
          </w14:textFill>
        </w:rPr>
        <w:t>根据</w:t>
      </w:r>
      <w:r>
        <w:rPr>
          <w:rFonts w:hint="eastAsia" w:ascii="仿宋" w:hAnsi="仿宋" w:eastAsia="仿宋" w:cs="仿宋"/>
          <w:color w:val="000000" w:themeColor="text1"/>
          <w:lang w:val="en-US" w:eastAsia="zh-CN"/>
          <w14:textFill>
            <w14:solidFill>
              <w14:schemeClr w14:val="tx1"/>
            </w14:solidFill>
          </w14:textFill>
        </w:rPr>
        <w:t>项目</w:t>
      </w:r>
      <w:r>
        <w:rPr>
          <w:rFonts w:hint="default" w:ascii="仿宋" w:hAnsi="仿宋" w:eastAsia="仿宋" w:cs="仿宋"/>
          <w:color w:val="000000" w:themeColor="text1"/>
          <w14:textFill>
            <w14:solidFill>
              <w14:schemeClr w14:val="tx1"/>
            </w14:solidFill>
          </w14:textFill>
        </w:rPr>
        <w:t>的实际完成情况，按月或按阶段支付</w:t>
      </w:r>
      <w:r>
        <w:rPr>
          <w:rFonts w:hint="eastAsia" w:ascii="仿宋" w:hAnsi="仿宋" w:eastAsia="仿宋" w:cs="仿宋"/>
          <w:color w:val="000000" w:themeColor="text1"/>
          <w:lang w:val="en-US" w:eastAsia="zh-CN"/>
          <w14:textFill>
            <w14:solidFill>
              <w14:schemeClr w14:val="tx1"/>
            </w14:solidFill>
          </w14:textFill>
        </w:rPr>
        <w:t>项目进度款，</w:t>
      </w:r>
      <w:r>
        <w:rPr>
          <w:rFonts w:hint="default" w:ascii="仿宋" w:hAnsi="仿宋" w:eastAsia="仿宋" w:cs="仿宋"/>
          <w:color w:val="000000" w:themeColor="text1"/>
          <w14:textFill>
            <w14:solidFill>
              <w14:schemeClr w14:val="tx1"/>
            </w14:solidFill>
          </w14:textFill>
        </w:rPr>
        <w:t>完成</w:t>
      </w:r>
      <w:r>
        <w:rPr>
          <w:rFonts w:hint="eastAsia" w:ascii="仿宋" w:hAnsi="仿宋" w:eastAsia="仿宋" w:cs="仿宋"/>
          <w:color w:val="000000" w:themeColor="text1"/>
          <w:lang w:val="en-US" w:eastAsia="zh-CN"/>
          <w14:textFill>
            <w14:solidFill>
              <w14:schemeClr w14:val="tx1"/>
            </w14:solidFill>
          </w14:textFill>
        </w:rPr>
        <w:t>项目</w:t>
      </w:r>
      <w:r>
        <w:rPr>
          <w:rFonts w:hint="default" w:ascii="仿宋" w:hAnsi="仿宋" w:eastAsia="仿宋" w:cs="仿宋"/>
          <w:color w:val="000000" w:themeColor="text1"/>
          <w14:textFill>
            <w14:solidFill>
              <w14:schemeClr w14:val="tx1"/>
            </w14:solidFill>
          </w14:textFill>
        </w:rPr>
        <w:t>总额的50%时支付已完</w:t>
      </w:r>
      <w:r>
        <w:rPr>
          <w:rFonts w:hint="eastAsia" w:ascii="仿宋" w:hAnsi="仿宋" w:eastAsia="仿宋" w:cs="仿宋"/>
          <w:color w:val="000000" w:themeColor="text1"/>
          <w:lang w:val="en-US" w:eastAsia="zh-CN"/>
          <w14:textFill>
            <w14:solidFill>
              <w14:schemeClr w14:val="tx1"/>
            </w14:solidFill>
          </w14:textFill>
        </w:rPr>
        <w:t>项目</w:t>
      </w:r>
      <w:r>
        <w:rPr>
          <w:rFonts w:hint="default" w:ascii="仿宋" w:hAnsi="仿宋" w:eastAsia="仿宋" w:cs="仿宋"/>
          <w:color w:val="000000" w:themeColor="text1"/>
          <w14:textFill>
            <w14:solidFill>
              <w14:schemeClr w14:val="tx1"/>
            </w14:solidFill>
          </w14:textFill>
        </w:rPr>
        <w:t>额的30%，完成80%时支付已完</w:t>
      </w:r>
      <w:r>
        <w:rPr>
          <w:rFonts w:hint="eastAsia" w:ascii="仿宋" w:hAnsi="仿宋" w:eastAsia="仿宋" w:cs="仿宋"/>
          <w:color w:val="000000" w:themeColor="text1"/>
          <w:lang w:val="en-US" w:eastAsia="zh-CN"/>
          <w14:textFill>
            <w14:solidFill>
              <w14:schemeClr w14:val="tx1"/>
            </w14:solidFill>
          </w14:textFill>
        </w:rPr>
        <w:t>项目</w:t>
      </w:r>
      <w:r>
        <w:rPr>
          <w:rFonts w:hint="default" w:ascii="仿宋" w:hAnsi="仿宋" w:eastAsia="仿宋" w:cs="仿宋"/>
          <w:color w:val="000000" w:themeColor="text1"/>
          <w14:textFill>
            <w14:solidFill>
              <w14:schemeClr w14:val="tx1"/>
            </w14:solidFill>
          </w14:textFill>
        </w:rPr>
        <w:t>额的60%</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试运行期10个日历日，试运行期满且无任何问题的，进入项目终验阶段，通过采购人验收小组终验后，采购人向中标方支付至合同总额的100%。</w:t>
      </w:r>
      <w:bookmarkEnd w:id="57"/>
      <w:bookmarkEnd w:id="58"/>
    </w:p>
    <w:p>
      <w:pPr>
        <w:pStyle w:val="10"/>
        <w:ind w:firstLine="0" w:firstLineChars="0"/>
        <w:rPr>
          <w:rFonts w:cs="宋体"/>
          <w:b/>
          <w:szCs w:val="28"/>
        </w:rPr>
      </w:pPr>
    </w:p>
    <w:p>
      <w:pPr>
        <w:pStyle w:val="16"/>
        <w:ind w:right="1415" w:firstLine="0" w:firstLineChars="0"/>
        <w:jc w:val="both"/>
        <w:outlineLvl w:val="0"/>
        <w:rPr>
          <w:rFonts w:ascii="黑体" w:eastAsia="黑体" w:cs="黑体"/>
          <w:spacing w:val="-40"/>
          <w:sz w:val="32"/>
          <w:szCs w:val="32"/>
        </w:rPr>
        <w:sectPr>
          <w:headerReference r:id="rId13" w:type="default"/>
          <w:footerReference r:id="rId14" w:type="default"/>
          <w:pgSz w:w="11910" w:h="16840"/>
          <w:pgMar w:top="1580" w:right="1220" w:bottom="280" w:left="1680" w:header="720" w:footer="720" w:gutter="0"/>
          <w:pgNumType w:start="1"/>
          <w:cols w:space="720" w:num="1"/>
        </w:sectPr>
      </w:pPr>
    </w:p>
    <w:p>
      <w:pPr>
        <w:pStyle w:val="3"/>
        <w:tabs>
          <w:tab w:val="left" w:pos="961"/>
        </w:tabs>
        <w:spacing w:line="240" w:lineRule="auto"/>
        <w:ind w:firstLine="0" w:firstLineChars="0"/>
        <w:jc w:val="center"/>
      </w:pPr>
      <w:r>
        <w:rPr>
          <w:rFonts w:hint="eastAsia"/>
        </w:rPr>
        <w:t>项目建设方案</w:t>
      </w:r>
    </w:p>
    <w:p>
      <w:pPr>
        <w:pStyle w:val="16"/>
        <w:ind w:firstLine="120"/>
        <w:rPr>
          <w:rFonts w:ascii="黑体" w:eastAsia="黑体" w:cs="黑体"/>
          <w:sz w:val="10"/>
          <w:szCs w:val="10"/>
        </w:rPr>
      </w:pPr>
    </w:p>
    <w:p>
      <w:pPr>
        <w:pStyle w:val="3"/>
        <w:spacing w:line="360" w:lineRule="auto"/>
        <w:ind w:firstLine="442"/>
        <w:rPr>
          <w:bCs w:val="0"/>
          <w:sz w:val="22"/>
          <w:szCs w:val="22"/>
        </w:rPr>
      </w:pPr>
      <w:bookmarkStart w:id="59" w:name="_Toc214269575"/>
      <w:r>
        <w:rPr>
          <w:rFonts w:hint="eastAsia"/>
          <w:bCs w:val="0"/>
          <w:sz w:val="22"/>
          <w:szCs w:val="22"/>
        </w:rPr>
        <w:t>一、项目概况</w:t>
      </w:r>
      <w:bookmarkEnd w:id="59"/>
    </w:p>
    <w:p>
      <w:pPr>
        <w:spacing w:line="360" w:lineRule="auto"/>
        <w:ind w:firstLine="480"/>
      </w:pPr>
      <w:r>
        <w:rPr>
          <w:rFonts w:hint="eastAsia"/>
        </w:rPr>
        <w:t>吐鲁番文物考古标本库房是新建项目，位于吐鲁番市高昌区木纳尔路1268号，是吐鲁番博物馆的附属配套库房。总建筑面积：10603.26㎡，其中地上建筑面积：8187.22㎡，地下建筑面积：2416.04㎡。地上4层,地下1层。结构形式：框架剪力墙结构。建筑高度：23.9m。</w:t>
      </w:r>
    </w:p>
    <w:p>
      <w:pPr>
        <w:spacing w:line="360" w:lineRule="auto"/>
        <w:ind w:firstLine="480"/>
      </w:pPr>
      <w:r>
        <w:rPr>
          <w:rFonts w:hint="eastAsia"/>
        </w:rPr>
        <w:t>吐鲁番文物考古标本库房功能划分如下：</w:t>
      </w:r>
    </w:p>
    <w:p>
      <w:pPr>
        <w:spacing w:line="360" w:lineRule="auto"/>
        <w:ind w:firstLine="480"/>
      </w:pPr>
      <w:r>
        <w:rPr>
          <w:rFonts w:hint="eastAsia"/>
        </w:rPr>
        <w:t>地下一层为文物库房、配电室、消防泵房、空调机房。</w:t>
      </w:r>
    </w:p>
    <w:p>
      <w:pPr>
        <w:spacing w:line="360" w:lineRule="auto"/>
        <w:ind w:firstLine="480"/>
      </w:pPr>
      <w:r>
        <w:rPr>
          <w:rFonts w:hint="eastAsia"/>
        </w:rPr>
        <w:t>一层为文物临时库房、文物修复室、展示性文物修复室及业务办公用房；</w:t>
      </w:r>
    </w:p>
    <w:p>
      <w:pPr>
        <w:spacing w:line="360" w:lineRule="auto"/>
        <w:ind w:firstLine="480"/>
      </w:pPr>
      <w:r>
        <w:rPr>
          <w:rFonts w:hint="eastAsia"/>
        </w:rPr>
        <w:t>二层为文物库房、标本文物展厅及业务办公用房；</w:t>
      </w:r>
    </w:p>
    <w:p>
      <w:pPr>
        <w:spacing w:line="360" w:lineRule="auto"/>
        <w:ind w:firstLine="480"/>
      </w:pPr>
      <w:r>
        <w:rPr>
          <w:rFonts w:hint="eastAsia"/>
        </w:rPr>
        <w:t>三层为文物库房、标本文物展厅；</w:t>
      </w:r>
    </w:p>
    <w:p>
      <w:pPr>
        <w:spacing w:line="360" w:lineRule="auto"/>
        <w:ind w:firstLine="480"/>
      </w:pPr>
      <w:r>
        <w:rPr>
          <w:rFonts w:hint="eastAsia"/>
        </w:rPr>
        <w:t>四层为文物库房及业务办公用房；</w:t>
      </w:r>
    </w:p>
    <w:p>
      <w:pPr>
        <w:spacing w:line="360" w:lineRule="auto"/>
        <w:ind w:firstLine="480"/>
      </w:pPr>
      <w:r>
        <w:rPr>
          <w:rFonts w:hint="eastAsia"/>
        </w:rPr>
        <w:t>监控中心位于一层西北侧。</w:t>
      </w:r>
    </w:p>
    <w:p>
      <w:pPr>
        <w:spacing w:line="360" w:lineRule="auto"/>
        <w:ind w:firstLine="480"/>
      </w:pPr>
      <w:r>
        <w:rPr>
          <w:rFonts w:hint="eastAsia"/>
        </w:rPr>
        <w:t>吐鲁番博物馆是国家一级博物馆，是壹级风险单位。现有藏品数量20637件/套，其中珍贵文物892件/套。</w:t>
      </w:r>
    </w:p>
    <w:p>
      <w:pPr>
        <w:spacing w:line="360" w:lineRule="auto"/>
        <w:ind w:firstLine="480"/>
      </w:pPr>
      <w:r>
        <w:rPr>
          <w:rFonts w:hint="eastAsia"/>
        </w:rPr>
        <w:t>吐鲁番博物馆年均游客参观人数为3万多人，且制定了行之有效的安全保卫管理制度和应急预案，配备了值班和保安人员，具有一定的实体防护能力和技防设施。</w:t>
      </w:r>
    </w:p>
    <w:p>
      <w:pPr>
        <w:spacing w:line="360" w:lineRule="auto"/>
        <w:ind w:firstLine="480"/>
      </w:pPr>
      <w:r>
        <w:rPr>
          <w:rFonts w:hint="eastAsia"/>
        </w:rPr>
        <w:t>文物考古标本库房项目建成后，文物库房面积大幅增加、功能进一步完善、人流和文物流更加顺畅、实体防护措施得以加强。</w:t>
      </w:r>
    </w:p>
    <w:p>
      <w:pPr>
        <w:spacing w:line="360" w:lineRule="auto"/>
        <w:ind w:firstLine="480"/>
      </w:pPr>
      <w:r>
        <w:rPr>
          <w:rFonts w:hint="eastAsia"/>
        </w:rPr>
        <w:t>为保证文物和人员财产安全，结合吐鲁番博物馆现有人防、物防、技防条件，依据政府部门规定和相关标准规范，通过配置前沿技术措施，提升文物安全管理水平，弥补物防和人防的不足，对盗窃和破坏文物的行为实时前期监控和预警以及事后取证，做到全天候巡逻以及早发现、早预警，将犯罪行为遏止在萌芽之中。</w:t>
      </w:r>
    </w:p>
    <w:p>
      <w:pPr>
        <w:spacing w:line="360" w:lineRule="auto"/>
        <w:ind w:firstLine="480"/>
      </w:pPr>
      <w:r>
        <w:rPr>
          <w:rFonts w:hint="eastAsia"/>
        </w:rPr>
        <w:t>文物安全监管平台的设立，对吐鲁番文物考古标本库房的安防系统、消防系统、供电系统、信息化系统实时监测管控。中长期目标是：对高昌区、鄯善县、托克逊县县级文物安全监管平台统一监测管控，两级监管平台接入辖区内博物馆和文物保护单位文保单位文物信息系统、文博单位环境监测系统、文保单位病害监测系统、文物安防监管系统、文物消防预警监管系统、文物防雷监管系统、客流信息管理系统、设备管理系统、应急指挥系统，今后达成国家文物局-自治区文物局-吐鲁番市文物局-县区局-文博单位五级文物安全监管平台联网。这些目标的实现将有助于更好地保护和管理文物、服务公众，进一步提高管理水平，确保文物安全和永续传承。</w:t>
      </w:r>
    </w:p>
    <w:p>
      <w:pPr>
        <w:spacing w:line="360" w:lineRule="auto"/>
        <w:ind w:firstLine="480"/>
      </w:pPr>
      <w:r>
        <w:rPr>
          <w:rFonts w:hint="eastAsia"/>
        </w:rPr>
        <w:t>吐鲁番文物考古标本库房“信息安全”系统建成后，与吐鲁番博物馆现有安防系统高度集成、无缝衔接，组成一套高效现代化的安全防范系统。</w:t>
      </w:r>
    </w:p>
    <w:p>
      <w:pPr>
        <w:spacing w:line="360" w:lineRule="auto"/>
        <w:ind w:firstLine="480"/>
      </w:pPr>
      <w:r>
        <w:rPr>
          <w:rFonts w:hint="eastAsia"/>
        </w:rPr>
        <w:t>依据GA 27-2002《文物系统博物馆风险等级和安全防护级别的规定》,文物考古标本库房以及各个区域、部位、目标的风险等级划分如下：</w:t>
      </w:r>
    </w:p>
    <w:p>
      <w:pPr>
        <w:adjustRightInd w:val="0"/>
        <w:snapToGrid w:val="0"/>
        <w:spacing w:line="360" w:lineRule="auto"/>
        <w:ind w:firstLine="482"/>
        <w:rPr>
          <w:b/>
        </w:rPr>
      </w:pPr>
      <w:r>
        <w:rPr>
          <w:rFonts w:hint="eastAsia"/>
          <w:b/>
        </w:rPr>
        <w:t>单位风险等级：</w:t>
      </w:r>
    </w:p>
    <w:p>
      <w:pPr>
        <w:adjustRightInd w:val="0"/>
        <w:snapToGrid w:val="0"/>
        <w:spacing w:line="360" w:lineRule="auto"/>
        <w:ind w:firstLine="480"/>
      </w:pPr>
      <w:r>
        <w:rPr>
          <w:rFonts w:hint="eastAsia"/>
        </w:rPr>
        <w:t>1）</w:t>
      </w:r>
      <w:r>
        <w:rPr>
          <w:rFonts w:hint="eastAsia" w:ascii="宋体" w:hAnsi="宋体"/>
        </w:rPr>
        <w:t>吐鲁番博物馆是</w:t>
      </w:r>
      <w:r>
        <w:rPr>
          <w:rFonts w:ascii="宋体" w:hAnsi="宋体"/>
        </w:rPr>
        <w:t>国家一级博物馆</w:t>
      </w:r>
      <w:r>
        <w:rPr>
          <w:rFonts w:hint="eastAsia" w:ascii="宋体" w:hAnsi="宋体"/>
        </w:rPr>
        <w:t>，即一级风险单位</w:t>
      </w:r>
      <w:r>
        <w:rPr>
          <w:rFonts w:hint="eastAsia"/>
        </w:rPr>
        <w:t>。</w:t>
      </w:r>
    </w:p>
    <w:p>
      <w:pPr>
        <w:adjustRightInd w:val="0"/>
        <w:snapToGrid w:val="0"/>
        <w:spacing w:line="360" w:lineRule="auto"/>
        <w:ind w:firstLine="482"/>
        <w:rPr>
          <w:b/>
        </w:rPr>
      </w:pPr>
      <w:r>
        <w:rPr>
          <w:rFonts w:hint="eastAsia"/>
          <w:b/>
        </w:rPr>
        <w:t>部位风险等级：</w:t>
      </w:r>
    </w:p>
    <w:p>
      <w:pPr>
        <w:adjustRightInd w:val="0"/>
        <w:snapToGrid w:val="0"/>
        <w:spacing w:line="360" w:lineRule="auto"/>
        <w:ind w:firstLine="480"/>
      </w:pPr>
      <w:r>
        <w:rPr>
          <w:rFonts w:hint="eastAsia"/>
        </w:rPr>
        <w:t>2）标本文物展厅为二级风险部位；</w:t>
      </w:r>
    </w:p>
    <w:p>
      <w:pPr>
        <w:adjustRightInd w:val="0"/>
        <w:snapToGrid w:val="0"/>
        <w:spacing w:line="360" w:lineRule="auto"/>
        <w:ind w:firstLine="480"/>
      </w:pPr>
      <w:r>
        <w:rPr>
          <w:rFonts w:hint="eastAsia"/>
        </w:rPr>
        <w:t>3）展示性文物修复室为二级风险部位；</w:t>
      </w:r>
    </w:p>
    <w:p>
      <w:pPr>
        <w:adjustRightInd w:val="0"/>
        <w:snapToGrid w:val="0"/>
        <w:spacing w:line="360" w:lineRule="auto"/>
        <w:ind w:firstLine="480"/>
      </w:pPr>
      <w:r>
        <w:rPr>
          <w:rFonts w:hint="eastAsia"/>
        </w:rPr>
        <w:t>4）临时文物库房为二级风险部位；</w:t>
      </w:r>
    </w:p>
    <w:p>
      <w:pPr>
        <w:adjustRightInd w:val="0"/>
        <w:snapToGrid w:val="0"/>
        <w:spacing w:line="360" w:lineRule="auto"/>
        <w:ind w:firstLine="480"/>
      </w:pPr>
      <w:r>
        <w:rPr>
          <w:rFonts w:hint="eastAsia"/>
        </w:rPr>
        <w:t>5）监控中心为禁区、即一级风险部位；</w:t>
      </w:r>
    </w:p>
    <w:p>
      <w:pPr>
        <w:adjustRightInd w:val="0"/>
        <w:snapToGrid w:val="0"/>
        <w:spacing w:line="360" w:lineRule="auto"/>
        <w:ind w:firstLine="480"/>
      </w:pPr>
      <w:r>
        <w:rPr>
          <w:rFonts w:hint="eastAsia"/>
        </w:rPr>
        <w:t>6）陈列一级文物的展柜为一级风险部位；</w:t>
      </w:r>
    </w:p>
    <w:p>
      <w:pPr>
        <w:adjustRightInd w:val="0"/>
        <w:snapToGrid w:val="0"/>
        <w:spacing w:line="360" w:lineRule="auto"/>
        <w:ind w:firstLine="909" w:firstLineChars="379"/>
      </w:pPr>
      <w:r>
        <w:rPr>
          <w:rFonts w:hint="eastAsia"/>
        </w:rPr>
        <w:t>陈列二级文物的展柜为二级风险部位；</w:t>
      </w:r>
    </w:p>
    <w:p>
      <w:pPr>
        <w:adjustRightInd w:val="0"/>
        <w:snapToGrid w:val="0"/>
        <w:spacing w:line="360" w:lineRule="auto"/>
        <w:ind w:firstLine="909" w:firstLineChars="379"/>
      </w:pPr>
      <w:r>
        <w:rPr>
          <w:rFonts w:hint="eastAsia"/>
        </w:rPr>
        <w:t>陈列三级文物展柜为三级风险部位；</w:t>
      </w:r>
    </w:p>
    <w:p>
      <w:pPr>
        <w:adjustRightInd w:val="0"/>
        <w:snapToGrid w:val="0"/>
        <w:spacing w:line="360" w:lineRule="auto"/>
        <w:ind w:firstLine="482"/>
        <w:rPr>
          <w:b/>
        </w:rPr>
      </w:pPr>
      <w:bookmarkStart w:id="60" w:name="_Toc26559"/>
      <w:r>
        <w:rPr>
          <w:rFonts w:hint="eastAsia"/>
          <w:b/>
        </w:rPr>
        <w:t>目标风险等级：</w:t>
      </w:r>
    </w:p>
    <w:p>
      <w:pPr>
        <w:adjustRightInd w:val="0"/>
        <w:snapToGrid w:val="0"/>
        <w:spacing w:line="360" w:lineRule="auto"/>
        <w:ind w:firstLine="480"/>
      </w:pPr>
      <w:r>
        <w:rPr>
          <w:rFonts w:hint="eastAsia"/>
        </w:rPr>
        <w:t>9）展出的一级文物为一级风险目标；</w:t>
      </w:r>
      <w:bookmarkEnd w:id="60"/>
    </w:p>
    <w:p>
      <w:pPr>
        <w:adjustRightInd w:val="0"/>
        <w:snapToGrid w:val="0"/>
        <w:spacing w:line="360" w:lineRule="auto"/>
        <w:ind w:firstLine="789" w:firstLineChars="329"/>
      </w:pPr>
      <w:r>
        <w:rPr>
          <w:rFonts w:hint="eastAsia"/>
        </w:rPr>
        <w:t>展出的二级文物为二级风险目标；</w:t>
      </w:r>
    </w:p>
    <w:p>
      <w:pPr>
        <w:adjustRightInd w:val="0"/>
        <w:snapToGrid w:val="0"/>
        <w:spacing w:line="360" w:lineRule="auto"/>
        <w:ind w:firstLine="789" w:firstLineChars="329"/>
      </w:pPr>
      <w:r>
        <w:rPr>
          <w:rFonts w:hint="eastAsia"/>
        </w:rPr>
        <w:t>展出的三级文物为三级风险目标。</w:t>
      </w:r>
    </w:p>
    <w:p>
      <w:pPr>
        <w:adjustRightInd w:val="0"/>
        <w:snapToGrid w:val="0"/>
        <w:spacing w:line="360" w:lineRule="auto"/>
        <w:ind w:firstLine="480"/>
        <w:rPr>
          <w:rFonts w:ascii="宋体" w:hAnsi="宋体"/>
        </w:rPr>
      </w:pPr>
      <w:r>
        <w:rPr>
          <w:rFonts w:hint="eastAsia" w:ascii="宋体" w:hAnsi="宋体"/>
        </w:rPr>
        <w:t>依据</w:t>
      </w:r>
      <w:r>
        <w:t>GA 27—2002</w:t>
      </w:r>
      <w:r>
        <w:rPr>
          <w:rFonts w:hint="eastAsia"/>
        </w:rPr>
        <w:t>《</w:t>
      </w:r>
      <w:r>
        <w:rPr>
          <w:rFonts w:hint="eastAsia" w:ascii="宋体" w:hAnsi="宋体"/>
        </w:rPr>
        <w:t>文物系统博物馆风险等级和安全防护级别的规定》、</w:t>
      </w:r>
      <w:r>
        <w:t>GB 50348-20</w:t>
      </w:r>
      <w:r>
        <w:rPr>
          <w:rFonts w:hint="eastAsia"/>
        </w:rPr>
        <w:t>1</w:t>
      </w:r>
      <w:r>
        <w:t>8</w:t>
      </w:r>
      <w:r>
        <w:rPr>
          <w:rFonts w:hint="eastAsia"/>
        </w:rPr>
        <w:t>《</w:t>
      </w:r>
      <w:r>
        <w:rPr>
          <w:rFonts w:hint="eastAsia" w:ascii="宋体" w:hAnsi="宋体"/>
        </w:rPr>
        <w:t>安全防范工程技术规范》等标准、规范，应用高科技安防技术与设备对“吐鲁番文物考古标本库房安全防范项目”实施方案进行科学的设计，以确保馆藏文物的安全。</w:t>
      </w:r>
    </w:p>
    <w:p>
      <w:pPr>
        <w:adjustRightInd w:val="0"/>
        <w:snapToGrid w:val="0"/>
        <w:spacing w:line="360" w:lineRule="auto"/>
        <w:ind w:firstLine="480"/>
        <w:rPr>
          <w:rFonts w:ascii="宋体" w:hAnsi="宋体"/>
        </w:rPr>
      </w:pPr>
      <w:r>
        <w:t>GB50348-20</w:t>
      </w:r>
      <w:r>
        <w:rPr>
          <w:rFonts w:hint="eastAsia"/>
        </w:rPr>
        <w:t>1</w:t>
      </w:r>
      <w:r>
        <w:t>8</w:t>
      </w:r>
      <w:r>
        <w:rPr>
          <w:rFonts w:hint="eastAsia" w:ascii="宋体" w:hAnsi="宋体"/>
        </w:rPr>
        <w:t>《安全防范工程技术规范》明确规定，当博物馆位于建筑群或与其他单位共用一栋建筑物时，博物馆安全防范系统必须是一套独立的系统。</w:t>
      </w:r>
    </w:p>
    <w:p>
      <w:pPr>
        <w:pStyle w:val="3"/>
        <w:spacing w:line="360" w:lineRule="auto"/>
        <w:ind w:firstLine="482"/>
        <w:rPr>
          <w:bCs w:val="0"/>
          <w:sz w:val="24"/>
          <w:szCs w:val="24"/>
        </w:rPr>
      </w:pPr>
      <w:bookmarkStart w:id="61" w:name="_Toc214269576"/>
      <w:bookmarkStart w:id="62" w:name="_Toc485727894"/>
      <w:bookmarkStart w:id="63" w:name="_Toc482701751"/>
      <w:r>
        <w:rPr>
          <w:rFonts w:hint="eastAsia"/>
          <w:bCs w:val="0"/>
          <w:sz w:val="24"/>
          <w:szCs w:val="24"/>
        </w:rPr>
        <w:t>二、设计依据</w:t>
      </w:r>
      <w:bookmarkEnd w:id="61"/>
      <w:bookmarkEnd w:id="62"/>
      <w:bookmarkEnd w:id="63"/>
    </w:p>
    <w:p>
      <w:pPr>
        <w:pStyle w:val="4"/>
        <w:spacing w:line="360" w:lineRule="auto"/>
        <w:ind w:firstLine="482"/>
        <w:rPr>
          <w:rFonts w:ascii="宋体" w:hAnsi="宋体" w:eastAsia="宋体" w:cs="宋体"/>
          <w:sz w:val="24"/>
          <w:szCs w:val="24"/>
        </w:rPr>
      </w:pPr>
      <w:bookmarkStart w:id="64" w:name="_Toc29666"/>
      <w:bookmarkStart w:id="65" w:name="_Toc193733280"/>
      <w:bookmarkStart w:id="66" w:name="_Toc29665"/>
      <w:bookmarkStart w:id="67" w:name="_Toc214269577"/>
      <w:r>
        <w:rPr>
          <w:rFonts w:hint="eastAsia" w:ascii="宋体" w:hAnsi="宋体" w:eastAsia="宋体" w:cs="宋体"/>
          <w:sz w:val="24"/>
          <w:szCs w:val="24"/>
        </w:rPr>
        <w:t>2.1、国家政府部门有关法律和管理要求</w:t>
      </w:r>
      <w:bookmarkEnd w:id="64"/>
      <w:bookmarkEnd w:id="65"/>
      <w:bookmarkEnd w:id="66"/>
      <w:bookmarkEnd w:id="67"/>
    </w:p>
    <w:p>
      <w:pPr>
        <w:adjustRightInd w:val="0"/>
        <w:snapToGrid w:val="0"/>
        <w:spacing w:line="360" w:lineRule="auto"/>
        <w:ind w:firstLine="480"/>
      </w:pPr>
      <w:r>
        <w:rPr>
          <w:rFonts w:hint="eastAsia"/>
        </w:rPr>
        <w:t>1)《中华人民共和国文物保护法》；</w:t>
      </w:r>
    </w:p>
    <w:p>
      <w:pPr>
        <w:adjustRightInd w:val="0"/>
        <w:snapToGrid w:val="0"/>
        <w:spacing w:line="360" w:lineRule="auto"/>
        <w:ind w:firstLine="480"/>
      </w:pPr>
      <w:r>
        <w:rPr>
          <w:rFonts w:hint="eastAsia"/>
        </w:rPr>
        <w:t>2)《中华人民共和国文物保护法实施条例》；</w:t>
      </w:r>
    </w:p>
    <w:p>
      <w:pPr>
        <w:adjustRightInd w:val="0"/>
        <w:snapToGrid w:val="0"/>
        <w:spacing w:line="360" w:lineRule="auto"/>
        <w:ind w:firstLine="480"/>
      </w:pPr>
      <w:r>
        <w:rPr>
          <w:rFonts w:hint="eastAsia"/>
        </w:rPr>
        <w:t>3）国家文物局办保函〔2013〕375号《文物保护工程设计文件编制深度要求》(试行)；</w:t>
      </w:r>
    </w:p>
    <w:p>
      <w:pPr>
        <w:adjustRightInd w:val="0"/>
        <w:snapToGrid w:val="0"/>
        <w:spacing w:line="360" w:lineRule="auto"/>
        <w:ind w:firstLine="480"/>
      </w:pPr>
      <w:r>
        <w:rPr>
          <w:rFonts w:hint="eastAsia"/>
        </w:rPr>
        <w:t>4)《文物安全防控“十四五”专项规划》的通知-文物督发〔2022〕12号。</w:t>
      </w:r>
    </w:p>
    <w:p>
      <w:pPr>
        <w:pStyle w:val="4"/>
        <w:spacing w:line="360" w:lineRule="auto"/>
        <w:ind w:firstLine="482"/>
        <w:rPr>
          <w:rFonts w:ascii="宋体" w:hAnsi="宋体" w:eastAsia="宋体" w:cs="宋体"/>
          <w:sz w:val="24"/>
          <w:szCs w:val="24"/>
        </w:rPr>
      </w:pPr>
      <w:bookmarkStart w:id="68" w:name="_Toc214269578"/>
      <w:bookmarkStart w:id="69" w:name="_Toc193733281"/>
      <w:bookmarkStart w:id="70" w:name="_Toc3051"/>
      <w:bookmarkStart w:id="71" w:name="_Toc31639"/>
      <w:r>
        <w:rPr>
          <w:rFonts w:hint="eastAsia" w:ascii="宋体" w:hAnsi="宋体" w:eastAsia="宋体" w:cs="宋体"/>
          <w:sz w:val="24"/>
          <w:szCs w:val="24"/>
        </w:rPr>
        <w:t>2.2、国家现行标准</w:t>
      </w:r>
      <w:bookmarkEnd w:id="68"/>
      <w:bookmarkEnd w:id="69"/>
      <w:bookmarkEnd w:id="70"/>
      <w:bookmarkEnd w:id="71"/>
    </w:p>
    <w:p>
      <w:pPr>
        <w:adjustRightInd w:val="0"/>
        <w:snapToGrid w:val="0"/>
        <w:spacing w:line="360" w:lineRule="auto"/>
        <w:ind w:firstLine="480"/>
      </w:pPr>
      <w:r>
        <w:rPr>
          <w:rFonts w:hint="eastAsia"/>
        </w:rPr>
        <w:t>1）GB/T 16571-2012《博物馆与文物保护单位安全防范系统要求》；</w:t>
      </w:r>
    </w:p>
    <w:p>
      <w:pPr>
        <w:adjustRightInd w:val="0"/>
        <w:snapToGrid w:val="0"/>
        <w:spacing w:line="360" w:lineRule="auto"/>
        <w:ind w:firstLine="480"/>
      </w:pPr>
      <w:r>
        <w:rPr>
          <w:rFonts w:hint="eastAsia"/>
        </w:rPr>
        <w:t>2）GA27-2002《文物系统博物馆风险等级和安全防护级别的规定》；</w:t>
      </w:r>
    </w:p>
    <w:p>
      <w:pPr>
        <w:adjustRightInd w:val="0"/>
        <w:snapToGrid w:val="0"/>
        <w:spacing w:line="360" w:lineRule="auto"/>
        <w:ind w:firstLine="480"/>
      </w:pPr>
      <w:r>
        <w:rPr>
          <w:rFonts w:hint="eastAsia"/>
        </w:rPr>
        <w:t>3）GB50348-2018《安全防范工程技术标准》；</w:t>
      </w:r>
    </w:p>
    <w:p>
      <w:pPr>
        <w:adjustRightInd w:val="0"/>
        <w:snapToGrid w:val="0"/>
        <w:spacing w:line="360" w:lineRule="auto"/>
        <w:ind w:firstLine="480"/>
      </w:pPr>
      <w:r>
        <w:rPr>
          <w:rFonts w:hint="eastAsia"/>
        </w:rPr>
        <w:t>4）GB55029-2022《安全防范工程通用规范》；</w:t>
      </w:r>
    </w:p>
    <w:p>
      <w:pPr>
        <w:adjustRightInd w:val="0"/>
        <w:snapToGrid w:val="0"/>
        <w:spacing w:line="360" w:lineRule="auto"/>
        <w:ind w:firstLine="480"/>
      </w:pPr>
      <w:r>
        <w:rPr>
          <w:rFonts w:hint="eastAsia"/>
        </w:rPr>
        <w:t>5）GB55024-2022《建筑电气与智能化通用规范》；</w:t>
      </w:r>
    </w:p>
    <w:p>
      <w:pPr>
        <w:adjustRightInd w:val="0"/>
        <w:snapToGrid w:val="0"/>
        <w:spacing w:line="360" w:lineRule="auto"/>
        <w:ind w:firstLine="480"/>
      </w:pPr>
      <w:r>
        <w:rPr>
          <w:rFonts w:hint="eastAsia"/>
        </w:rPr>
        <w:t>6）GB/T28181-2022《公共安全视频监控联网系统信息传输、交换、控制技术要求》；</w:t>
      </w:r>
    </w:p>
    <w:p>
      <w:pPr>
        <w:adjustRightInd w:val="0"/>
        <w:snapToGrid w:val="0"/>
        <w:spacing w:line="360" w:lineRule="auto"/>
        <w:ind w:firstLine="480"/>
      </w:pPr>
      <w:bookmarkStart w:id="72" w:name="_Toc14112"/>
      <w:r>
        <w:rPr>
          <w:rFonts w:hint="eastAsia"/>
        </w:rPr>
        <w:t>7）GB50394-2007《入侵报警系统工程设计规范》；</w:t>
      </w:r>
      <w:bookmarkEnd w:id="72"/>
    </w:p>
    <w:p>
      <w:pPr>
        <w:adjustRightInd w:val="0"/>
        <w:snapToGrid w:val="0"/>
        <w:spacing w:line="360" w:lineRule="auto"/>
        <w:ind w:firstLine="480"/>
      </w:pPr>
      <w:r>
        <w:rPr>
          <w:rFonts w:hint="eastAsia"/>
        </w:rPr>
        <w:t>8）GB50395-2007《视频安防监控系统工程设计规范》；</w:t>
      </w:r>
    </w:p>
    <w:p>
      <w:pPr>
        <w:adjustRightInd w:val="0"/>
        <w:snapToGrid w:val="0"/>
        <w:spacing w:line="360" w:lineRule="auto"/>
        <w:ind w:firstLine="480"/>
      </w:pPr>
      <w:bookmarkStart w:id="73" w:name="_Toc27735"/>
      <w:r>
        <w:rPr>
          <w:rFonts w:hint="eastAsia"/>
        </w:rPr>
        <w:t>9）GB 20815-2006《视频安防监控数字录像设备》；</w:t>
      </w:r>
      <w:bookmarkEnd w:id="73"/>
    </w:p>
    <w:p>
      <w:pPr>
        <w:adjustRightInd w:val="0"/>
        <w:snapToGrid w:val="0"/>
        <w:spacing w:line="360" w:lineRule="auto"/>
        <w:ind w:firstLine="480"/>
      </w:pPr>
      <w:r>
        <w:rPr>
          <w:rFonts w:hint="eastAsia"/>
        </w:rPr>
        <w:t>10）GB50396-2007《出入口控制系统工程设计规范》；</w:t>
      </w:r>
    </w:p>
    <w:p>
      <w:pPr>
        <w:adjustRightInd w:val="0"/>
        <w:snapToGrid w:val="0"/>
        <w:spacing w:line="360" w:lineRule="auto"/>
        <w:ind w:firstLine="480"/>
      </w:pPr>
      <w:bookmarkStart w:id="74" w:name="_Toc25843"/>
      <w:r>
        <w:rPr>
          <w:rFonts w:hint="eastAsia"/>
        </w:rPr>
        <w:t>11）GA/T644-2006《电子巡查系统技术要求》；</w:t>
      </w:r>
      <w:bookmarkEnd w:id="74"/>
    </w:p>
    <w:p>
      <w:pPr>
        <w:adjustRightInd w:val="0"/>
        <w:snapToGrid w:val="0"/>
        <w:spacing w:line="360" w:lineRule="auto"/>
        <w:ind w:firstLine="480"/>
      </w:pPr>
      <w:r>
        <w:rPr>
          <w:rFonts w:hint="eastAsia"/>
        </w:rPr>
        <w:t>12）GB50526-2010《公共广播系统工程技术规范》；</w:t>
      </w:r>
    </w:p>
    <w:p>
      <w:pPr>
        <w:adjustRightInd w:val="0"/>
        <w:snapToGrid w:val="0"/>
        <w:spacing w:line="360" w:lineRule="auto"/>
        <w:ind w:firstLine="480"/>
      </w:pPr>
      <w:bookmarkStart w:id="75" w:name="_Toc23626"/>
      <w:r>
        <w:rPr>
          <w:rFonts w:hint="eastAsia"/>
        </w:rPr>
        <w:t>13）GB50311-2016《综合布线系统工程设计规范》；</w:t>
      </w:r>
      <w:bookmarkEnd w:id="75"/>
    </w:p>
    <w:p>
      <w:pPr>
        <w:adjustRightInd w:val="0"/>
        <w:snapToGrid w:val="0"/>
        <w:spacing w:line="360" w:lineRule="auto"/>
        <w:ind w:firstLine="480"/>
      </w:pPr>
      <w:r>
        <w:rPr>
          <w:rFonts w:hint="eastAsia"/>
        </w:rPr>
        <w:t>14）GB/T15408-2011《安全防范系统供电技术要求》；</w:t>
      </w:r>
    </w:p>
    <w:p>
      <w:pPr>
        <w:adjustRightInd w:val="0"/>
        <w:snapToGrid w:val="0"/>
        <w:spacing w:line="360" w:lineRule="auto"/>
        <w:ind w:firstLine="480"/>
      </w:pPr>
      <w:r>
        <w:rPr>
          <w:rFonts w:hint="eastAsia"/>
        </w:rPr>
        <w:t>15）GB50343-2012《建筑物电子信息系统防雷技术规范》等标准规范。</w:t>
      </w:r>
    </w:p>
    <w:p>
      <w:pPr>
        <w:spacing w:line="360" w:lineRule="auto"/>
        <w:ind w:firstLine="482"/>
        <w:rPr>
          <w:rFonts w:ascii="宋体" w:hAnsi="宋体"/>
          <w:b/>
          <w:bCs/>
        </w:rPr>
      </w:pPr>
      <w:r>
        <w:rPr>
          <w:rFonts w:ascii="宋体" w:hAnsi="宋体"/>
          <w:b/>
          <w:bCs/>
        </w:rPr>
        <w:t>国家、地方政府颁布的相关法律、法规、规范。</w:t>
      </w:r>
    </w:p>
    <w:p>
      <w:pPr>
        <w:pStyle w:val="3"/>
        <w:spacing w:line="360" w:lineRule="auto"/>
        <w:ind w:firstLine="482"/>
        <w:rPr>
          <w:bCs w:val="0"/>
          <w:sz w:val="24"/>
          <w:szCs w:val="24"/>
        </w:rPr>
      </w:pPr>
      <w:bookmarkStart w:id="76" w:name="_Toc214269579"/>
      <w:bookmarkStart w:id="77" w:name="_Toc485727899"/>
      <w:bookmarkStart w:id="78" w:name="_Toc482701756"/>
      <w:r>
        <w:rPr>
          <w:rFonts w:hint="eastAsia"/>
          <w:bCs w:val="0"/>
          <w:sz w:val="24"/>
          <w:szCs w:val="24"/>
        </w:rPr>
        <w:t>三、系统设计原则</w:t>
      </w:r>
      <w:bookmarkEnd w:id="76"/>
      <w:bookmarkEnd w:id="77"/>
      <w:bookmarkEnd w:id="78"/>
    </w:p>
    <w:p>
      <w:pPr>
        <w:spacing w:line="360" w:lineRule="auto"/>
        <w:ind w:firstLine="480"/>
      </w:pPr>
      <w:r>
        <w:rPr>
          <w:rFonts w:hint="eastAsia"/>
        </w:rPr>
        <w:t>在对吐鲁番文物考古标本库房安全防范项目进行设计时，应遵循如下一些原则进行设计：</w:t>
      </w:r>
    </w:p>
    <w:p>
      <w:pPr>
        <w:adjustRightInd w:val="0"/>
        <w:snapToGrid w:val="0"/>
        <w:spacing w:line="360" w:lineRule="auto"/>
        <w:ind w:firstLine="480"/>
      </w:pPr>
      <w:r>
        <w:rPr>
          <w:rFonts w:hint="eastAsia"/>
        </w:rPr>
        <w:t>1）系统的防护级别与被防护对象的风险等级相适应。</w:t>
      </w:r>
    </w:p>
    <w:p>
      <w:pPr>
        <w:adjustRightInd w:val="0"/>
        <w:snapToGrid w:val="0"/>
        <w:spacing w:line="360" w:lineRule="auto"/>
        <w:ind w:firstLine="480"/>
      </w:pPr>
      <w:r>
        <w:rPr>
          <w:rFonts w:hint="eastAsia"/>
        </w:rPr>
        <w:t>2）技防、物防、人防相结合，探测、延迟、反映相协调。</w:t>
      </w:r>
    </w:p>
    <w:p>
      <w:pPr>
        <w:adjustRightInd w:val="0"/>
        <w:snapToGrid w:val="0"/>
        <w:spacing w:line="360" w:lineRule="auto"/>
        <w:ind w:firstLine="480"/>
      </w:pPr>
      <w:r>
        <w:rPr>
          <w:rFonts w:hint="eastAsia"/>
        </w:rPr>
        <w:t>3）满足防护的纵深性、均衡性、抗易损性的要求。</w:t>
      </w:r>
    </w:p>
    <w:p>
      <w:pPr>
        <w:adjustRightInd w:val="0"/>
        <w:snapToGrid w:val="0"/>
        <w:spacing w:line="360" w:lineRule="auto"/>
        <w:ind w:firstLine="480"/>
      </w:pPr>
      <w:r>
        <w:rPr>
          <w:rFonts w:hint="eastAsia"/>
        </w:rPr>
        <w:t>4）满足系统的安全性、电磁兼容性的要求。</w:t>
      </w:r>
    </w:p>
    <w:p>
      <w:pPr>
        <w:adjustRightInd w:val="0"/>
        <w:snapToGrid w:val="0"/>
        <w:spacing w:line="360" w:lineRule="auto"/>
        <w:ind w:firstLine="480"/>
      </w:pPr>
      <w:r>
        <w:rPr>
          <w:rFonts w:hint="eastAsia"/>
        </w:rPr>
        <w:t>5）满足系统可靠性、维修性与维护保证性要求。</w:t>
      </w:r>
    </w:p>
    <w:p>
      <w:pPr>
        <w:adjustRightInd w:val="0"/>
        <w:snapToGrid w:val="0"/>
        <w:spacing w:line="360" w:lineRule="auto"/>
        <w:ind w:firstLine="480"/>
      </w:pPr>
      <w:r>
        <w:rPr>
          <w:rFonts w:hint="eastAsia"/>
        </w:rPr>
        <w:t>6）满足系统先进性、兼容性、可扩展性的要求。</w:t>
      </w:r>
    </w:p>
    <w:p>
      <w:pPr>
        <w:adjustRightInd w:val="0"/>
        <w:snapToGrid w:val="0"/>
        <w:spacing w:line="360" w:lineRule="auto"/>
        <w:ind w:firstLine="480"/>
      </w:pPr>
      <w:r>
        <w:rPr>
          <w:rFonts w:hint="eastAsia"/>
        </w:rPr>
        <w:t>7）满足系统经济性、适用性的要求。</w:t>
      </w:r>
    </w:p>
    <w:p>
      <w:pPr>
        <w:pStyle w:val="3"/>
        <w:spacing w:line="360" w:lineRule="auto"/>
        <w:ind w:firstLine="482"/>
        <w:rPr>
          <w:bCs w:val="0"/>
          <w:sz w:val="24"/>
          <w:szCs w:val="24"/>
        </w:rPr>
      </w:pPr>
      <w:bookmarkStart w:id="79" w:name="_Toc485727900"/>
      <w:bookmarkStart w:id="80" w:name="_Toc214269580"/>
      <w:bookmarkStart w:id="81" w:name="_Toc482701757"/>
      <w:r>
        <w:rPr>
          <w:rFonts w:hint="eastAsia"/>
          <w:bCs w:val="0"/>
          <w:sz w:val="24"/>
          <w:szCs w:val="24"/>
        </w:rPr>
        <w:t>四、指导思想</w:t>
      </w:r>
      <w:bookmarkEnd w:id="79"/>
      <w:bookmarkEnd w:id="80"/>
      <w:bookmarkEnd w:id="81"/>
    </w:p>
    <w:p>
      <w:pPr>
        <w:spacing w:line="360" w:lineRule="auto"/>
        <w:ind w:firstLine="480"/>
      </w:pPr>
      <w:r>
        <w:rPr>
          <w:rFonts w:hint="eastAsia"/>
        </w:rPr>
        <w:t>树立正确的指导思想，是提高设计水平完成设计任务的根本保障。为此，在设计工作中应遵循以下指导思想。</w:t>
      </w:r>
    </w:p>
    <w:p>
      <w:pPr>
        <w:spacing w:line="360" w:lineRule="auto"/>
        <w:ind w:firstLine="480"/>
      </w:pPr>
      <w:r>
        <w:t>1）从文物保护实际出发，建设满足</w:t>
      </w:r>
      <w:r>
        <w:rPr>
          <w:rFonts w:hint="eastAsia"/>
        </w:rPr>
        <w:t>文物存放、展示不同环境下的防护策略；</w:t>
      </w:r>
    </w:p>
    <w:p>
      <w:pPr>
        <w:spacing w:line="360" w:lineRule="auto"/>
        <w:ind w:firstLine="480"/>
      </w:pPr>
      <w:r>
        <w:rPr>
          <w:rFonts w:hint="eastAsia"/>
        </w:rPr>
        <w:t>2</w:t>
      </w:r>
      <w:r>
        <w:t>）统一规划，优化设计，强调先进性、实用性与安全性的统一，做到设计先进，工作稳定，功能齐全，操作、维修、扩展方便，系统留有余量</w:t>
      </w:r>
      <w:r>
        <w:rPr>
          <w:rFonts w:hint="eastAsia"/>
        </w:rPr>
        <w:t>；</w:t>
      </w:r>
    </w:p>
    <w:p>
      <w:pPr>
        <w:spacing w:line="360" w:lineRule="auto"/>
        <w:ind w:firstLine="480"/>
      </w:pPr>
      <w:r>
        <w:rPr>
          <w:rFonts w:hint="eastAsia"/>
        </w:rPr>
        <w:t>3</w:t>
      </w:r>
      <w:r>
        <w:t>）全面考虑人防、物防、技防的有机结合，形成由外向内、逐层递进的纵深防护体系，对异常情况早发现、快报警、速定位、及时联动处置，将可疑人、车、物尽量控制在整个保护区周界外围，在保证重点区域安全的前提下，体现对外重安全、对内重管理的设计理念</w:t>
      </w:r>
      <w:r>
        <w:rPr>
          <w:rFonts w:hint="eastAsia"/>
        </w:rPr>
        <w:t>；</w:t>
      </w:r>
    </w:p>
    <w:p>
      <w:pPr>
        <w:spacing w:line="360" w:lineRule="auto"/>
        <w:ind w:firstLine="480"/>
      </w:pPr>
      <w:r>
        <w:rPr>
          <w:rFonts w:hint="eastAsia"/>
        </w:rPr>
        <w:t>4</w:t>
      </w:r>
      <w:r>
        <w:t>）认真贯彻国家有关《规范》、《标准》，使设计工作不偏离规范化、标准化的轨道。系统应具有高度集成性，网络选用的通信协议和设备应符合国际通用标准</w:t>
      </w:r>
      <w:r>
        <w:rPr>
          <w:rFonts w:hint="eastAsia"/>
        </w:rPr>
        <w:t>；</w:t>
      </w:r>
    </w:p>
    <w:p>
      <w:pPr>
        <w:spacing w:line="360" w:lineRule="auto"/>
        <w:ind w:firstLine="480"/>
      </w:pPr>
      <w:r>
        <w:rPr>
          <w:rFonts w:hint="eastAsia"/>
        </w:rPr>
        <w:t>5</w:t>
      </w:r>
      <w:r>
        <w:t>）产品选择充分考虑性能、功能和价格等综合因素，同时也要考虑到特殊的安全要求，保证良好的售后服务和换代升级</w:t>
      </w:r>
      <w:r>
        <w:rPr>
          <w:rFonts w:hint="eastAsia"/>
        </w:rPr>
        <w:t>；</w:t>
      </w:r>
    </w:p>
    <w:p>
      <w:pPr>
        <w:spacing w:line="360" w:lineRule="auto"/>
        <w:ind w:firstLine="480"/>
      </w:pPr>
      <w:r>
        <w:rPr>
          <w:rFonts w:hint="eastAsia"/>
        </w:rPr>
        <w:t>6）</w:t>
      </w:r>
      <w:r>
        <w:t>充分考虑系统建设的一次性投入和建成后的运行成本，采用成熟稳定的产品，保证运行稳定可靠。中心系统易于维护，具有良好的可扩展、可升级能力，使系统具有合理的建设及运行成本</w:t>
      </w:r>
      <w:r>
        <w:rPr>
          <w:rFonts w:hint="eastAsia"/>
        </w:rPr>
        <w:t>；</w:t>
      </w:r>
    </w:p>
    <w:p>
      <w:pPr>
        <w:spacing w:line="360" w:lineRule="auto"/>
        <w:ind w:firstLine="480"/>
      </w:pPr>
      <w:r>
        <w:rPr>
          <w:rFonts w:hint="eastAsia"/>
        </w:rPr>
        <w:t>7）设计要反映项目全貌，设计内容要全面、系统、文字阐述简练、清楚，易于理解，规范、系统、齐套，表达明确一目了然，从而使方案具有可审性。</w:t>
      </w:r>
    </w:p>
    <w:p>
      <w:pPr>
        <w:spacing w:line="360" w:lineRule="auto"/>
        <w:ind w:firstLine="480"/>
      </w:pPr>
      <w:bookmarkStart w:id="82" w:name="_Toc18356"/>
      <w:r>
        <w:rPr>
          <w:rFonts w:hint="eastAsia"/>
        </w:rPr>
        <w:t>8）树立保密意识，加强保密管理，做好保密工作。</w:t>
      </w:r>
      <w:bookmarkEnd w:id="82"/>
    </w:p>
    <w:p>
      <w:pPr>
        <w:pStyle w:val="3"/>
        <w:spacing w:line="360" w:lineRule="auto"/>
        <w:ind w:firstLine="482"/>
        <w:rPr>
          <w:bCs w:val="0"/>
          <w:sz w:val="24"/>
          <w:szCs w:val="24"/>
        </w:rPr>
      </w:pPr>
      <w:bookmarkStart w:id="83" w:name="_Toc214269595"/>
      <w:r>
        <w:rPr>
          <w:rFonts w:hint="eastAsia"/>
          <w:bCs w:val="0"/>
          <w:sz w:val="24"/>
          <w:szCs w:val="24"/>
        </w:rPr>
        <w:t>五、系统构成</w:t>
      </w:r>
      <w:bookmarkEnd w:id="83"/>
    </w:p>
    <w:p>
      <w:pPr>
        <w:spacing w:line="360" w:lineRule="auto"/>
        <w:ind w:firstLine="480"/>
      </w:pPr>
      <w:r>
        <w:rPr>
          <w:rFonts w:hint="eastAsia"/>
        </w:rPr>
        <w:t>吐鲁番文物考古标本库房信息安全和安全防范系统设计方案，是以一级防护单位“项目技术要求”、预先制定的“系统工程技术性能指标”和相关的规范、标准为依据，通过系统集成和网络的设置，将各系统融为一体，在多媒体计算机控制下，在应用软件的支持下，构成一套自动化、智能化程度高，功能设置完善，防范严密，反应迅速，能杜绝漏报警和最大限度的减少误报警，并且稳定可靠、界面友好、易于操作与管理的现代化的信息安全和安全防范系统。</w:t>
      </w:r>
    </w:p>
    <w:p>
      <w:pPr>
        <w:pStyle w:val="16"/>
        <w:spacing w:line="360" w:lineRule="auto"/>
        <w:ind w:firstLine="480"/>
        <w:jc w:val="left"/>
        <w:rPr>
          <w:spacing w:val="0"/>
          <w:szCs w:val="24"/>
        </w:rPr>
      </w:pPr>
      <w:r>
        <w:rPr>
          <w:rFonts w:hint="eastAsia"/>
          <w:spacing w:val="0"/>
          <w:szCs w:val="24"/>
        </w:rPr>
        <w:t>文物安全监管系统的配置，为博物馆管理层实时提供全面的安全信息和各部门工作状态、为上级文物主管部门（国家文物局、自治区文物局、吐鲁番市文物局）提供文物信息和安全监管功能。</w:t>
      </w:r>
    </w:p>
    <w:p>
      <w:pPr>
        <w:spacing w:line="360" w:lineRule="auto"/>
        <w:ind w:firstLine="480"/>
      </w:pPr>
      <w:r>
        <w:rPr>
          <w:rFonts w:hint="eastAsia"/>
        </w:rPr>
        <w:t>依据GB/T16571-2012《文物系统博物馆安全防范工程设计规范》的划分，本项目属一级风险工程；按照GB 50348-2018《安全防范工程技术规范》、GB/T16571-2012《文物系统博物馆安全防范工程设计规范》的要求，吐鲁番文物考古标本库房</w:t>
      </w:r>
      <w:r>
        <w:rPr>
          <w:rFonts w:hint="eastAsia"/>
          <w:bCs/>
        </w:rPr>
        <w:t>安全防范系统</w:t>
      </w:r>
      <w:r>
        <w:rPr>
          <w:rFonts w:hint="eastAsia"/>
        </w:rPr>
        <w:t>构成如下：</w:t>
      </w:r>
    </w:p>
    <w:p>
      <w:pPr>
        <w:spacing w:line="360" w:lineRule="auto"/>
        <w:ind w:firstLine="480"/>
        <w:rPr>
          <w:rFonts w:ascii="宋体" w:hAnsi="宋体"/>
          <w:color w:val="000000"/>
        </w:rPr>
      </w:pPr>
      <w:r>
        <w:rPr>
          <w:rFonts w:hint="eastAsia" w:ascii="宋体" w:hAnsi="宋体"/>
          <w:color w:val="000000"/>
        </w:rPr>
        <w:t>1）文物安全监管平台</w:t>
      </w:r>
    </w:p>
    <w:p>
      <w:pPr>
        <w:spacing w:line="360" w:lineRule="auto"/>
        <w:ind w:firstLine="480"/>
        <w:rPr>
          <w:rFonts w:ascii="宋体" w:hAnsi="宋体"/>
          <w:color w:val="000000"/>
        </w:rPr>
      </w:pPr>
      <w:r>
        <w:rPr>
          <w:rFonts w:hint="eastAsia" w:ascii="宋体" w:hAnsi="宋体"/>
          <w:color w:val="000000"/>
        </w:rPr>
        <w:t>2）安防综合管理平台</w:t>
      </w:r>
    </w:p>
    <w:p>
      <w:pPr>
        <w:spacing w:line="360" w:lineRule="auto"/>
        <w:ind w:firstLine="480"/>
        <w:rPr>
          <w:rFonts w:ascii="宋体" w:hAnsi="宋体"/>
          <w:color w:val="000000"/>
        </w:rPr>
      </w:pPr>
      <w:r>
        <w:rPr>
          <w:rFonts w:hint="eastAsia" w:ascii="宋体" w:hAnsi="宋体"/>
          <w:color w:val="000000"/>
        </w:rPr>
        <w:t>3）入侵探测子系统</w:t>
      </w:r>
    </w:p>
    <w:p>
      <w:pPr>
        <w:spacing w:line="360" w:lineRule="auto"/>
        <w:ind w:firstLine="480"/>
        <w:rPr>
          <w:rFonts w:ascii="宋体" w:hAnsi="宋体"/>
          <w:color w:val="000000"/>
        </w:rPr>
      </w:pPr>
      <w:bookmarkStart w:id="84" w:name="_Toc502780386"/>
      <w:r>
        <w:rPr>
          <w:rFonts w:hint="eastAsia" w:ascii="宋体" w:hAnsi="宋体"/>
          <w:color w:val="000000"/>
        </w:rPr>
        <w:t>4）视频监控</w:t>
      </w:r>
      <w:bookmarkEnd w:id="84"/>
      <w:r>
        <w:rPr>
          <w:rFonts w:hint="eastAsia" w:ascii="宋体" w:hAnsi="宋体"/>
          <w:color w:val="000000"/>
        </w:rPr>
        <w:t>与声音复核子系统</w:t>
      </w:r>
    </w:p>
    <w:p>
      <w:pPr>
        <w:spacing w:line="360" w:lineRule="auto"/>
        <w:ind w:firstLine="480"/>
        <w:rPr>
          <w:rFonts w:ascii="宋体" w:hAnsi="宋体"/>
          <w:color w:val="000000"/>
        </w:rPr>
      </w:pPr>
      <w:r>
        <w:rPr>
          <w:rFonts w:hint="eastAsia" w:ascii="宋体" w:hAnsi="宋体"/>
          <w:color w:val="000000"/>
        </w:rPr>
        <w:t>5）出入口控制子系统</w:t>
      </w:r>
    </w:p>
    <w:p>
      <w:pPr>
        <w:spacing w:line="360" w:lineRule="auto"/>
        <w:ind w:firstLine="480"/>
        <w:rPr>
          <w:rFonts w:ascii="宋体" w:hAnsi="宋体"/>
          <w:color w:val="000000"/>
        </w:rPr>
      </w:pPr>
      <w:r>
        <w:rPr>
          <w:rFonts w:hint="eastAsia" w:ascii="宋体" w:hAnsi="宋体"/>
          <w:color w:val="000000"/>
        </w:rPr>
        <w:t>6）对讲子系统</w:t>
      </w:r>
    </w:p>
    <w:p>
      <w:pPr>
        <w:spacing w:line="360" w:lineRule="auto"/>
        <w:ind w:firstLine="480"/>
        <w:rPr>
          <w:rFonts w:ascii="宋体" w:hAnsi="宋体"/>
          <w:color w:val="000000"/>
        </w:rPr>
      </w:pPr>
      <w:r>
        <w:rPr>
          <w:rFonts w:hint="eastAsia" w:ascii="宋体" w:hAnsi="宋体"/>
          <w:color w:val="000000"/>
        </w:rPr>
        <w:t>7）应急广播子系统</w:t>
      </w:r>
    </w:p>
    <w:p>
      <w:pPr>
        <w:spacing w:line="360" w:lineRule="auto"/>
        <w:ind w:firstLine="480"/>
        <w:rPr>
          <w:rFonts w:ascii="宋体" w:hAnsi="宋体"/>
          <w:color w:val="000000"/>
        </w:rPr>
      </w:pPr>
      <w:r>
        <w:rPr>
          <w:rFonts w:hint="eastAsia" w:ascii="宋体" w:hAnsi="宋体"/>
          <w:color w:val="000000"/>
        </w:rPr>
        <w:t>8）电子巡查子系统</w:t>
      </w:r>
    </w:p>
    <w:p>
      <w:pPr>
        <w:spacing w:line="360" w:lineRule="auto"/>
        <w:ind w:firstLine="480"/>
        <w:rPr>
          <w:rFonts w:ascii="宋体" w:hAnsi="宋体"/>
          <w:color w:val="000000"/>
        </w:rPr>
      </w:pPr>
      <w:r>
        <w:rPr>
          <w:rFonts w:hint="eastAsia" w:ascii="宋体" w:hAnsi="宋体"/>
          <w:color w:val="000000"/>
        </w:rPr>
        <w:t>9）手持对讲子系统</w:t>
      </w:r>
    </w:p>
    <w:p>
      <w:pPr>
        <w:spacing w:line="360" w:lineRule="auto"/>
        <w:ind w:firstLine="480"/>
        <w:rPr>
          <w:rFonts w:ascii="宋体" w:hAnsi="宋体"/>
          <w:color w:val="000000"/>
        </w:rPr>
      </w:pPr>
      <w:r>
        <w:rPr>
          <w:rFonts w:hint="eastAsia" w:ascii="宋体" w:hAnsi="宋体"/>
          <w:color w:val="000000"/>
        </w:rPr>
        <w:t>10）综合布线子系统</w:t>
      </w:r>
    </w:p>
    <w:p>
      <w:pPr>
        <w:spacing w:line="360" w:lineRule="auto"/>
        <w:ind w:firstLine="480"/>
        <w:rPr>
          <w:rFonts w:ascii="宋体" w:hAnsi="宋体"/>
          <w:color w:val="000000"/>
        </w:rPr>
      </w:pPr>
      <w:r>
        <w:rPr>
          <w:rFonts w:hint="eastAsia" w:ascii="宋体" w:hAnsi="宋体"/>
          <w:color w:val="000000"/>
        </w:rPr>
        <w:t>11）电源子系统</w:t>
      </w:r>
    </w:p>
    <w:p>
      <w:pPr>
        <w:spacing w:line="360" w:lineRule="auto"/>
        <w:ind w:firstLine="480"/>
        <w:rPr>
          <w:rFonts w:ascii="宋体" w:hAnsi="宋体"/>
          <w:color w:val="000000"/>
        </w:rPr>
      </w:pPr>
      <w:r>
        <w:rPr>
          <w:rFonts w:hint="eastAsia" w:ascii="宋体" w:hAnsi="宋体"/>
          <w:color w:val="000000"/>
        </w:rPr>
        <w:t>12）传输子系统</w:t>
      </w:r>
    </w:p>
    <w:p>
      <w:pPr>
        <w:spacing w:line="360" w:lineRule="auto"/>
        <w:ind w:firstLine="480"/>
        <w:rPr>
          <w:rFonts w:ascii="宋体" w:hAnsi="宋体"/>
          <w:color w:val="000000"/>
        </w:rPr>
      </w:pPr>
      <w:r>
        <w:rPr>
          <w:rFonts w:hint="eastAsia" w:ascii="宋体" w:hAnsi="宋体"/>
          <w:color w:val="000000"/>
        </w:rPr>
        <w:t>13）防雷、接地</w:t>
      </w:r>
    </w:p>
    <w:p>
      <w:pPr>
        <w:adjustRightInd w:val="0"/>
        <w:snapToGrid w:val="0"/>
        <w:spacing w:line="360" w:lineRule="auto"/>
        <w:ind w:firstLine="480"/>
        <w:rPr>
          <w:rFonts w:ascii="宋体" w:hAnsi="宋体" w:cs="宋体"/>
          <w:color w:val="000000"/>
        </w:rPr>
      </w:pPr>
      <w:r>
        <w:rPr>
          <w:rFonts w:hint="eastAsia" w:ascii="宋体" w:hAnsi="宋体"/>
          <w:color w:val="000000"/>
        </w:rPr>
        <w:t>14）监控中心建设</w:t>
      </w:r>
    </w:p>
    <w:p>
      <w:pPr>
        <w:pStyle w:val="3"/>
        <w:spacing w:line="360" w:lineRule="auto"/>
        <w:ind w:firstLine="482"/>
        <w:rPr>
          <w:bCs w:val="0"/>
          <w:sz w:val="24"/>
          <w:szCs w:val="24"/>
        </w:rPr>
      </w:pPr>
      <w:bookmarkStart w:id="85" w:name="_Toc482701758"/>
      <w:bookmarkStart w:id="86" w:name="_Toc485727901"/>
      <w:bookmarkStart w:id="87" w:name="_Toc214269581"/>
      <w:r>
        <w:rPr>
          <w:rFonts w:hint="eastAsia"/>
          <w:bCs w:val="0"/>
          <w:sz w:val="24"/>
          <w:szCs w:val="24"/>
        </w:rPr>
        <w:t>六、系统技术性能指标</w:t>
      </w:r>
      <w:bookmarkEnd w:id="85"/>
      <w:bookmarkEnd w:id="86"/>
      <w:bookmarkEnd w:id="87"/>
      <w:r>
        <w:rPr>
          <w:rFonts w:hint="eastAsia"/>
          <w:bCs w:val="0"/>
          <w:sz w:val="24"/>
          <w:szCs w:val="24"/>
        </w:rPr>
        <w:t>和实现功能</w:t>
      </w:r>
    </w:p>
    <w:p>
      <w:pPr>
        <w:spacing w:line="360" w:lineRule="auto"/>
        <w:ind w:firstLine="480"/>
        <w:rPr>
          <w:rFonts w:ascii="宋体" w:hAnsi="宋体" w:cs="宋体"/>
        </w:rPr>
      </w:pPr>
      <w:bookmarkStart w:id="88" w:name="_Toc502780385"/>
      <w:r>
        <w:rPr>
          <w:rFonts w:hint="eastAsia" w:ascii="宋体" w:hAnsi="宋体" w:cs="宋体"/>
        </w:rPr>
        <w:t>安全防范系统工程的方案设计，必须遵循设计程序，有计划、有目的、有步骤的进行，才能使方案设计顺利完成，其中制定“目标”是至关重要的，它是反映工程总体性能质量和防范效果的“系统工程技术性能指标”。目标的制定，不仅从总体上保证了工程质量和预期要达到的防范效果，而且为了工程设计、方案审核和工程验收提供了依据。</w:t>
      </w:r>
    </w:p>
    <w:p>
      <w:pPr>
        <w:pStyle w:val="4"/>
        <w:spacing w:line="360" w:lineRule="auto"/>
        <w:ind w:firstLine="482"/>
        <w:rPr>
          <w:rFonts w:ascii="宋体" w:hAnsi="宋体" w:eastAsia="宋体" w:cs="宋体"/>
          <w:sz w:val="24"/>
          <w:szCs w:val="24"/>
        </w:rPr>
      </w:pPr>
      <w:bookmarkStart w:id="89" w:name="_Toc214269582"/>
      <w:r>
        <w:rPr>
          <w:rFonts w:hint="eastAsia" w:ascii="宋体" w:hAnsi="宋体" w:eastAsia="宋体" w:cs="宋体"/>
          <w:sz w:val="24"/>
          <w:szCs w:val="24"/>
        </w:rPr>
        <w:t>6.1、安防工程整体技术性能</w:t>
      </w:r>
      <w:bookmarkEnd w:id="89"/>
    </w:p>
    <w:p>
      <w:pPr>
        <w:spacing w:line="360" w:lineRule="auto"/>
        <w:ind w:firstLine="480"/>
        <w:rPr>
          <w:rFonts w:ascii="宋体" w:hAnsi="宋体" w:cs="宋体"/>
        </w:rPr>
      </w:pPr>
      <w:r>
        <w:rPr>
          <w:rFonts w:hint="eastAsia" w:ascii="宋体" w:hAnsi="宋体" w:cs="宋体"/>
          <w:color w:val="000000"/>
        </w:rPr>
        <w:t>通过安全防范各子系统的“点、线、面”全面布防，加上实体防护措施（安全门窗、防护栏）、纵深防护体系、安全管理制度、安全组织机构、安全防范预案，形成一套完整的安全防护体系，实现“两快一长”：即报警响应时间快、处警响应时间快，入侵延迟时间长。</w:t>
      </w:r>
    </w:p>
    <w:p>
      <w:pPr>
        <w:pStyle w:val="4"/>
        <w:spacing w:line="360" w:lineRule="auto"/>
        <w:ind w:firstLine="482"/>
        <w:rPr>
          <w:rFonts w:ascii="宋体" w:hAnsi="宋体" w:eastAsia="宋体" w:cs="宋体"/>
          <w:sz w:val="24"/>
          <w:szCs w:val="24"/>
        </w:rPr>
      </w:pPr>
      <w:bookmarkStart w:id="90" w:name="_Toc214269583"/>
      <w:r>
        <w:rPr>
          <w:rFonts w:hint="eastAsia" w:ascii="宋体" w:hAnsi="宋体" w:eastAsia="宋体" w:cs="宋体"/>
          <w:sz w:val="24"/>
          <w:szCs w:val="24"/>
        </w:rPr>
        <w:t>6.2、文物安全监管平台性能</w:t>
      </w:r>
      <w:bookmarkEnd w:id="90"/>
      <w:r>
        <w:rPr>
          <w:rFonts w:hint="eastAsia" w:ascii="宋体" w:hAnsi="宋体" w:eastAsia="宋体" w:cs="宋体"/>
          <w:sz w:val="24"/>
          <w:szCs w:val="24"/>
        </w:rPr>
        <w:t>和实现功能</w:t>
      </w:r>
    </w:p>
    <w:p>
      <w:pPr>
        <w:spacing w:line="360" w:lineRule="auto"/>
        <w:ind w:firstLine="480"/>
        <w:rPr>
          <w:rFonts w:ascii="宋体" w:hAnsi="宋体" w:cs="宋体"/>
        </w:rPr>
      </w:pPr>
      <w:r>
        <w:rPr>
          <w:rFonts w:hint="eastAsia" w:ascii="宋体" w:hAnsi="宋体" w:cs="宋体"/>
        </w:rPr>
        <w:t>依据《文物安全防控“十四五”专项规划》的通知（文物督发〔2022〕12号），吐鲁番文物考古标本库房需建设文物安全监管平台，平台将文物保护单位以下系统</w:t>
      </w:r>
    </w:p>
    <w:p>
      <w:pPr>
        <w:spacing w:line="360" w:lineRule="auto"/>
        <w:ind w:firstLine="480"/>
        <w:rPr>
          <w:rFonts w:ascii="宋体" w:hAnsi="宋体" w:cs="宋体"/>
        </w:rPr>
      </w:pPr>
      <w:r>
        <w:rPr>
          <w:rFonts w:hint="eastAsia" w:ascii="宋体" w:hAnsi="宋体" w:cs="宋体"/>
        </w:rPr>
        <w:t>文保信息系统、</w:t>
      </w:r>
    </w:p>
    <w:p>
      <w:pPr>
        <w:spacing w:line="360" w:lineRule="auto"/>
        <w:ind w:firstLine="480"/>
        <w:rPr>
          <w:rFonts w:ascii="宋体" w:hAnsi="宋体" w:cs="宋体"/>
        </w:rPr>
      </w:pPr>
      <w:r>
        <w:rPr>
          <w:rFonts w:hint="eastAsia" w:ascii="宋体" w:hAnsi="宋体" w:cs="宋体"/>
        </w:rPr>
        <w:t>消防系统、</w:t>
      </w:r>
    </w:p>
    <w:p>
      <w:pPr>
        <w:spacing w:line="360" w:lineRule="auto"/>
        <w:ind w:firstLine="480"/>
        <w:rPr>
          <w:rFonts w:ascii="宋体" w:hAnsi="宋体" w:cs="宋体"/>
        </w:rPr>
      </w:pPr>
      <w:r>
        <w:rPr>
          <w:rFonts w:hint="eastAsia" w:ascii="宋体" w:hAnsi="宋体" w:cs="宋体"/>
        </w:rPr>
        <w:t>安防系统、</w:t>
      </w:r>
    </w:p>
    <w:p>
      <w:pPr>
        <w:spacing w:line="360" w:lineRule="auto"/>
        <w:ind w:firstLine="480"/>
        <w:rPr>
          <w:rFonts w:ascii="宋体" w:hAnsi="宋体" w:cs="宋体"/>
        </w:rPr>
      </w:pPr>
      <w:r>
        <w:rPr>
          <w:rFonts w:hint="eastAsia" w:ascii="宋体" w:hAnsi="宋体" w:cs="宋体"/>
        </w:rPr>
        <w:t>防雷系统、</w:t>
      </w:r>
    </w:p>
    <w:p>
      <w:pPr>
        <w:spacing w:line="360" w:lineRule="auto"/>
        <w:ind w:firstLine="480"/>
        <w:rPr>
          <w:rFonts w:ascii="宋体" w:hAnsi="宋体" w:cs="宋体"/>
        </w:rPr>
      </w:pPr>
      <w:r>
        <w:rPr>
          <w:rFonts w:hint="eastAsia" w:ascii="宋体" w:hAnsi="宋体" w:cs="宋体"/>
        </w:rPr>
        <w:t>建控地带监控系统、</w:t>
      </w:r>
    </w:p>
    <w:p>
      <w:pPr>
        <w:spacing w:line="360" w:lineRule="auto"/>
        <w:ind w:firstLine="480"/>
        <w:rPr>
          <w:rFonts w:ascii="宋体" w:hAnsi="宋体" w:cs="宋体"/>
        </w:rPr>
      </w:pPr>
      <w:r>
        <w:rPr>
          <w:rFonts w:hint="eastAsia"/>
        </w:rPr>
        <w:t>文物本体病害（包括白蚁虫害）监测系统</w:t>
      </w:r>
      <w:r>
        <w:rPr>
          <w:rFonts w:hint="eastAsia" w:ascii="宋体" w:hAnsi="宋体" w:cs="宋体"/>
        </w:rPr>
        <w:t>、</w:t>
      </w:r>
    </w:p>
    <w:p>
      <w:pPr>
        <w:spacing w:line="360" w:lineRule="auto"/>
        <w:ind w:firstLine="480"/>
        <w:rPr>
          <w:rFonts w:ascii="宋体" w:hAnsi="宋体" w:cs="宋体"/>
        </w:rPr>
      </w:pPr>
      <w:r>
        <w:rPr>
          <w:rFonts w:hint="eastAsia" w:ascii="宋体" w:hAnsi="宋体" w:cs="宋体"/>
        </w:rPr>
        <w:t>设备检测系统、</w:t>
      </w:r>
    </w:p>
    <w:p>
      <w:pPr>
        <w:spacing w:line="360" w:lineRule="auto"/>
        <w:ind w:firstLine="480"/>
        <w:rPr>
          <w:rFonts w:ascii="宋体" w:hAnsi="宋体" w:cs="宋体"/>
        </w:rPr>
      </w:pPr>
      <w:r>
        <w:rPr>
          <w:rFonts w:hint="eastAsia" w:ascii="宋体" w:hAnsi="宋体" w:cs="宋体"/>
        </w:rPr>
        <w:t>环境监测系统、</w:t>
      </w:r>
    </w:p>
    <w:p>
      <w:pPr>
        <w:spacing w:line="360" w:lineRule="auto"/>
        <w:ind w:firstLine="480"/>
        <w:rPr>
          <w:rFonts w:ascii="宋体" w:hAnsi="宋体" w:cs="宋体"/>
        </w:rPr>
      </w:pPr>
      <w:r>
        <w:rPr>
          <w:rFonts w:hint="eastAsia" w:ascii="宋体" w:hAnsi="宋体" w:cs="宋体"/>
        </w:rPr>
        <w:t>联动系统、</w:t>
      </w:r>
    </w:p>
    <w:p>
      <w:pPr>
        <w:spacing w:line="360" w:lineRule="auto"/>
        <w:ind w:firstLine="480"/>
        <w:rPr>
          <w:rFonts w:ascii="宋体" w:hAnsi="宋体" w:cs="宋体"/>
        </w:rPr>
      </w:pPr>
      <w:r>
        <w:rPr>
          <w:rFonts w:hint="eastAsia" w:ascii="宋体" w:hAnsi="宋体" w:cs="宋体"/>
        </w:rPr>
        <w:t>客流量统计系统、</w:t>
      </w:r>
    </w:p>
    <w:p>
      <w:pPr>
        <w:spacing w:line="360" w:lineRule="auto"/>
        <w:ind w:firstLine="480"/>
        <w:rPr>
          <w:rFonts w:ascii="宋体" w:hAnsi="宋体" w:cs="宋体"/>
        </w:rPr>
      </w:pPr>
      <w:r>
        <w:rPr>
          <w:rFonts w:hint="eastAsia" w:ascii="宋体" w:hAnsi="宋体" w:cs="宋体"/>
        </w:rPr>
        <w:t>通知公告等多子系统集中化统一管理，达到互联互动功能。</w:t>
      </w:r>
    </w:p>
    <w:p>
      <w:pPr>
        <w:spacing w:line="360" w:lineRule="auto"/>
        <w:ind w:firstLine="480"/>
        <w:rPr>
          <w:rFonts w:ascii="宋体" w:hAnsi="宋体" w:cs="宋体"/>
          <w:color w:val="000000"/>
        </w:rPr>
      </w:pPr>
      <w:r>
        <w:rPr>
          <w:rFonts w:hint="eastAsia" w:ascii="宋体" w:hAnsi="宋体" w:cs="宋体"/>
          <w:color w:val="000000"/>
        </w:rPr>
        <w:t>通过物联网平台将文物安全管理涉及的所有系统进行整合、集成，打破“信息孤岛”，同时利用数字孪生平台创建文物安全管理数据底板，并在此基础上构建各类场景化应用，以打造“一个中心、统一应用”的文物安全综合管理体系。</w:t>
      </w:r>
      <w:r>
        <w:rPr>
          <w:rFonts w:ascii="宋体" w:hAnsi="宋体" w:cs="宋体"/>
          <w:color w:val="000000"/>
        </w:rPr>
        <w:t>从而满足统一配置管理、数据共享、功能联动和业务优化等系统需求，整体实现“</w:t>
      </w:r>
      <w:r>
        <w:rPr>
          <w:rFonts w:hint="eastAsia" w:ascii="宋体" w:hAnsi="宋体" w:cs="宋体"/>
          <w:color w:val="000000"/>
        </w:rPr>
        <w:t>精确预警、快速处置、智能运管</w:t>
      </w:r>
      <w:r>
        <w:rPr>
          <w:rFonts w:ascii="宋体" w:hAnsi="宋体" w:cs="宋体"/>
          <w:color w:val="000000"/>
        </w:rPr>
        <w:t>”的核心能力。</w:t>
      </w:r>
    </w:p>
    <w:p>
      <w:pPr>
        <w:pStyle w:val="4"/>
        <w:spacing w:line="360" w:lineRule="auto"/>
        <w:ind w:firstLine="482"/>
        <w:rPr>
          <w:rFonts w:ascii="宋体" w:hAnsi="宋体" w:eastAsia="宋体" w:cs="宋体"/>
          <w:sz w:val="24"/>
          <w:szCs w:val="24"/>
        </w:rPr>
      </w:pPr>
      <w:bookmarkStart w:id="91" w:name="_Toc214269584"/>
      <w:r>
        <w:rPr>
          <w:rFonts w:hint="eastAsia" w:ascii="宋体" w:hAnsi="宋体" w:eastAsia="宋体" w:cs="宋体"/>
          <w:sz w:val="24"/>
          <w:szCs w:val="24"/>
        </w:rPr>
        <w:t>6.3、综合安防管理平台性能指标</w:t>
      </w:r>
      <w:bookmarkEnd w:id="91"/>
      <w:r>
        <w:rPr>
          <w:rFonts w:hint="eastAsia" w:ascii="宋体" w:hAnsi="宋体" w:eastAsia="宋体" w:cs="宋体"/>
          <w:sz w:val="24"/>
          <w:szCs w:val="24"/>
        </w:rPr>
        <w:t>和实现功能</w:t>
      </w:r>
    </w:p>
    <w:p>
      <w:pPr>
        <w:spacing w:line="360" w:lineRule="auto"/>
        <w:ind w:firstLine="480"/>
        <w:rPr>
          <w:rFonts w:ascii="宋体" w:hAnsi="宋体" w:cs="宋体"/>
        </w:rPr>
      </w:pPr>
      <w:r>
        <w:rPr>
          <w:rFonts w:hint="eastAsia" w:ascii="宋体" w:hAnsi="宋体" w:cs="宋体"/>
        </w:rPr>
        <w:t>依据GB50348-2018《安全防范工程技术标准》的规定，文博单位一级防护工程应组成以计算机为核心的综合安防管理系统，实现对子系统的管理、监测、控制。</w:t>
      </w:r>
    </w:p>
    <w:p>
      <w:pPr>
        <w:spacing w:line="360" w:lineRule="auto"/>
        <w:ind w:firstLine="480"/>
        <w:rPr>
          <w:rFonts w:ascii="宋体" w:hAnsi="宋体" w:cs="宋体"/>
        </w:rPr>
      </w:pPr>
      <w:r>
        <w:rPr>
          <w:rFonts w:hint="eastAsia" w:ascii="宋体" w:hAnsi="宋体" w:cs="宋体"/>
        </w:rPr>
        <w:t>1）综合安防管理系统由服务器、相应的应用软件以及网络设备构成，实现对子系统（入侵探测、视频安防、对讲、门禁）的管理和监控；</w:t>
      </w:r>
    </w:p>
    <w:p>
      <w:pPr>
        <w:spacing w:line="360" w:lineRule="auto"/>
        <w:ind w:firstLine="480"/>
        <w:rPr>
          <w:rFonts w:ascii="宋体" w:hAnsi="宋体" w:cs="宋体"/>
        </w:rPr>
      </w:pPr>
      <w:r>
        <w:rPr>
          <w:rFonts w:hint="eastAsia" w:ascii="宋体" w:hAnsi="宋体" w:cs="宋体"/>
        </w:rPr>
        <w:t>2）假如综合安防管理系统运行发生故障，各子系统仍能单独工作；如果某一子系统发生故障，不影响其它子系统正常工作；</w:t>
      </w:r>
    </w:p>
    <w:p>
      <w:pPr>
        <w:spacing w:line="360" w:lineRule="auto"/>
        <w:ind w:firstLine="480"/>
        <w:rPr>
          <w:rFonts w:ascii="宋体" w:hAnsi="宋体" w:cs="宋体"/>
        </w:rPr>
      </w:pPr>
      <w:r>
        <w:rPr>
          <w:rFonts w:hint="eastAsia" w:ascii="宋体" w:hAnsi="宋体" w:cs="宋体"/>
        </w:rPr>
        <w:t>3）通讯协议和接口应符合国家现行标准的规定；</w:t>
      </w:r>
    </w:p>
    <w:p>
      <w:pPr>
        <w:spacing w:line="360" w:lineRule="auto"/>
        <w:ind w:firstLine="480"/>
        <w:rPr>
          <w:rFonts w:ascii="宋体" w:hAnsi="宋体" w:cs="宋体"/>
        </w:rPr>
      </w:pPr>
      <w:r>
        <w:rPr>
          <w:rFonts w:hint="eastAsia" w:ascii="宋体" w:hAnsi="宋体" w:cs="宋体"/>
        </w:rPr>
        <w:t>4）系统应具有可靠性、容错性和维护性；</w:t>
      </w:r>
    </w:p>
    <w:p>
      <w:pPr>
        <w:spacing w:line="360" w:lineRule="auto"/>
        <w:ind w:firstLine="480"/>
        <w:rPr>
          <w:rFonts w:ascii="宋体" w:hAnsi="宋体" w:cs="宋体"/>
        </w:rPr>
      </w:pPr>
      <w:r>
        <w:rPr>
          <w:rFonts w:hint="eastAsia" w:ascii="宋体" w:hAnsi="宋体" w:cs="宋体"/>
        </w:rPr>
        <w:t>5）系统应能与上一级管理系统进行更高一级的集成；</w:t>
      </w:r>
    </w:p>
    <w:p>
      <w:pPr>
        <w:spacing w:line="360" w:lineRule="auto"/>
        <w:ind w:firstLine="480"/>
        <w:rPr>
          <w:rFonts w:ascii="宋体" w:hAnsi="宋体" w:cs="宋体"/>
        </w:rPr>
      </w:pPr>
      <w:r>
        <w:rPr>
          <w:rFonts w:hint="eastAsia" w:ascii="宋体" w:hAnsi="宋体" w:cs="宋体"/>
        </w:rPr>
        <w:t>6）全年系统无故障运行率≥99.99%；</w:t>
      </w:r>
    </w:p>
    <w:p>
      <w:pPr>
        <w:spacing w:line="360" w:lineRule="auto"/>
        <w:ind w:firstLine="480"/>
        <w:rPr>
          <w:rFonts w:ascii="宋体" w:hAnsi="宋体" w:cs="宋体"/>
        </w:rPr>
      </w:pPr>
      <w:r>
        <w:rPr>
          <w:rFonts w:hint="eastAsia" w:ascii="宋体" w:hAnsi="宋体" w:cs="宋体"/>
        </w:rPr>
        <w:t>7）核心设备MTBF（平均无故障时间）≥10万小时。</w:t>
      </w:r>
    </w:p>
    <w:p>
      <w:pPr>
        <w:spacing w:line="360" w:lineRule="auto"/>
        <w:ind w:firstLine="480"/>
        <w:rPr>
          <w:rFonts w:ascii="宋体" w:hAnsi="宋体" w:cs="宋体"/>
          <w:color w:val="000000"/>
        </w:rPr>
      </w:pPr>
      <w:r>
        <w:rPr>
          <w:rFonts w:hint="eastAsia" w:ascii="宋体" w:hAnsi="宋体" w:cs="宋体"/>
          <w:color w:val="000000"/>
        </w:rPr>
        <w:t>综合安防管理平台是一种基于信息技术的综合性平台，旨在整合多个安防子系统（如视频监控、报警、门禁等），实现集中管控、智能化管理以及跨系统联动。</w:t>
      </w:r>
    </w:p>
    <w:p>
      <w:pPr>
        <w:spacing w:line="360" w:lineRule="auto"/>
        <w:ind w:firstLine="480"/>
        <w:rPr>
          <w:rFonts w:ascii="宋体" w:hAnsi="宋体" w:cs="宋体"/>
          <w:color w:val="000000"/>
        </w:rPr>
      </w:pPr>
      <w:r>
        <w:rPr>
          <w:rFonts w:ascii="宋体" w:hAnsi="宋体" w:cs="宋体"/>
          <w:color w:val="000000"/>
        </w:rPr>
        <w:t>该平台的主要</w:t>
      </w:r>
      <w:r>
        <w:rPr>
          <w:rFonts w:hint="eastAsia" w:ascii="宋体" w:hAnsi="宋体" w:cs="宋体"/>
          <w:color w:val="000000"/>
        </w:rPr>
        <w:t>功能</w:t>
      </w:r>
      <w:r>
        <w:rPr>
          <w:rFonts w:ascii="宋体" w:hAnsi="宋体" w:cs="宋体"/>
          <w:color w:val="000000"/>
        </w:rPr>
        <w:t>包括：</w:t>
      </w:r>
    </w:p>
    <w:p>
      <w:pPr>
        <w:spacing w:line="360" w:lineRule="auto"/>
        <w:ind w:firstLine="482"/>
        <w:rPr>
          <w:rFonts w:ascii="宋体" w:hAnsi="宋体" w:cs="宋体"/>
          <w:color w:val="000000"/>
        </w:rPr>
      </w:pPr>
      <w:r>
        <w:rPr>
          <w:rFonts w:ascii="宋体" w:hAnsi="宋体" w:cs="宋体"/>
          <w:b/>
          <w:bCs/>
          <w:color w:val="000000"/>
        </w:rPr>
        <w:t>集中化监控管理</w:t>
      </w:r>
      <w:r>
        <w:rPr>
          <w:rFonts w:hint="eastAsia" w:ascii="宋体" w:hAnsi="宋体" w:cs="宋体"/>
          <w:color w:val="000000"/>
        </w:rPr>
        <w:t>：</w:t>
      </w:r>
      <w:r>
        <w:rPr>
          <w:rFonts w:ascii="宋体" w:hAnsi="宋体" w:cs="宋体"/>
          <w:color w:val="000000"/>
        </w:rPr>
        <w:t>通过整合视频实时预览、录像回放、云台控制和电子地图等功能，实现对</w:t>
      </w:r>
      <w:r>
        <w:rPr>
          <w:rFonts w:hint="eastAsia" w:ascii="宋体" w:hAnsi="宋体" w:cs="宋体"/>
          <w:color w:val="000000"/>
        </w:rPr>
        <w:t>视频、报警、</w:t>
      </w:r>
      <w:r>
        <w:rPr>
          <w:rFonts w:ascii="宋体" w:hAnsi="宋体" w:cs="宋体"/>
          <w:color w:val="000000"/>
        </w:rPr>
        <w:t>门禁系统的统一管理。</w:t>
      </w:r>
    </w:p>
    <w:p>
      <w:pPr>
        <w:spacing w:line="360" w:lineRule="auto"/>
        <w:ind w:firstLine="482"/>
        <w:rPr>
          <w:rFonts w:ascii="宋体" w:hAnsi="宋体" w:cs="宋体"/>
          <w:color w:val="000000"/>
        </w:rPr>
      </w:pPr>
      <w:r>
        <w:rPr>
          <w:rFonts w:ascii="宋体" w:hAnsi="宋体" w:cs="宋体"/>
          <w:b/>
          <w:bCs/>
          <w:color w:val="000000"/>
        </w:rPr>
        <w:t>智能分析与联动</w:t>
      </w:r>
      <w:r>
        <w:rPr>
          <w:rFonts w:hint="eastAsia" w:ascii="宋体" w:hAnsi="宋体" w:cs="宋体"/>
          <w:color w:val="000000"/>
        </w:rPr>
        <w:t>：</w:t>
      </w:r>
      <w:r>
        <w:rPr>
          <w:rFonts w:ascii="宋体" w:hAnsi="宋体" w:cs="宋体"/>
          <w:color w:val="000000"/>
        </w:rPr>
        <w:t>支持人脸识别等智能算法，触发报警联动功能，如视频弹屏或语音提示。平台可通过摄像头识别违规行为并实时报警。</w:t>
      </w:r>
    </w:p>
    <w:p>
      <w:pPr>
        <w:spacing w:line="360" w:lineRule="auto"/>
        <w:ind w:firstLine="482"/>
        <w:rPr>
          <w:rFonts w:ascii="宋体" w:hAnsi="宋体" w:cs="宋体"/>
          <w:color w:val="000000"/>
        </w:rPr>
      </w:pPr>
      <w:r>
        <w:rPr>
          <w:rFonts w:ascii="宋体" w:hAnsi="宋体" w:cs="宋体"/>
          <w:b/>
          <w:bCs/>
          <w:color w:val="000000"/>
        </w:rPr>
        <w:t>业务系统整合</w:t>
      </w:r>
      <w:r>
        <w:rPr>
          <w:rFonts w:hint="eastAsia" w:ascii="宋体" w:hAnsi="宋体" w:cs="宋体"/>
          <w:b/>
          <w:bCs/>
          <w:color w:val="000000"/>
        </w:rPr>
        <w:t>：</w:t>
      </w:r>
      <w:r>
        <w:rPr>
          <w:rFonts w:ascii="宋体" w:hAnsi="宋体" w:cs="宋体"/>
          <w:color w:val="000000"/>
        </w:rPr>
        <w:t>涵盖</w:t>
      </w:r>
      <w:r>
        <w:rPr>
          <w:rFonts w:hint="eastAsia" w:ascii="宋体" w:hAnsi="宋体" w:cs="宋体"/>
          <w:color w:val="000000"/>
        </w:rPr>
        <w:t>视频、报警、门禁</w:t>
      </w:r>
      <w:r>
        <w:rPr>
          <w:rFonts w:ascii="宋体" w:hAnsi="宋体" w:cs="宋体"/>
          <w:color w:val="000000"/>
        </w:rPr>
        <w:t>、巡更、等子系统，满足多样化的业务需求。提供资产管理、保安人员管理等功能。</w:t>
      </w:r>
    </w:p>
    <w:p>
      <w:pPr>
        <w:spacing w:line="360" w:lineRule="auto"/>
        <w:ind w:firstLine="482"/>
        <w:rPr>
          <w:rFonts w:ascii="宋体" w:hAnsi="宋体" w:cs="宋体"/>
          <w:color w:val="000000"/>
        </w:rPr>
      </w:pPr>
      <w:r>
        <w:rPr>
          <w:rFonts w:ascii="宋体" w:hAnsi="宋体" w:cs="宋体"/>
          <w:b/>
          <w:bCs/>
          <w:color w:val="000000"/>
        </w:rPr>
        <w:t>多级联网与集中管理</w:t>
      </w:r>
      <w:r>
        <w:rPr>
          <w:rFonts w:hint="eastAsia" w:ascii="宋体" w:hAnsi="宋体" w:cs="宋体"/>
          <w:color w:val="000000"/>
        </w:rPr>
        <w:t>：</w:t>
      </w:r>
      <w:r>
        <w:rPr>
          <w:rFonts w:ascii="宋体" w:hAnsi="宋体" w:cs="宋体"/>
          <w:color w:val="000000"/>
        </w:rPr>
        <w:t>支持跨层级、跨平台的视频信息整合与共享，提供从前端应用到后台服务的一体化支持。</w:t>
      </w:r>
    </w:p>
    <w:p>
      <w:pPr>
        <w:spacing w:line="360" w:lineRule="auto"/>
        <w:ind w:firstLine="480"/>
        <w:rPr>
          <w:rFonts w:ascii="宋体" w:hAnsi="宋体" w:cs="宋体"/>
          <w:color w:val="000000"/>
        </w:rPr>
      </w:pPr>
      <w:r>
        <w:rPr>
          <w:rFonts w:ascii="宋体" w:hAnsi="宋体" w:cs="宋体"/>
          <w:color w:val="000000"/>
        </w:rPr>
        <w:t>通过这些功能，综合安防管理平台显著提升了安防效率与安全性，适应了</w:t>
      </w:r>
      <w:r>
        <w:rPr>
          <w:rFonts w:hint="eastAsia" w:ascii="宋体" w:hAnsi="宋体" w:cs="宋体"/>
          <w:color w:val="000000"/>
        </w:rPr>
        <w:t>博物馆新时代</w:t>
      </w:r>
      <w:r>
        <w:rPr>
          <w:rFonts w:ascii="宋体" w:hAnsi="宋体" w:cs="宋体"/>
          <w:color w:val="000000"/>
        </w:rPr>
        <w:t>多场景的需求。</w:t>
      </w:r>
    </w:p>
    <w:p>
      <w:pPr>
        <w:pStyle w:val="4"/>
        <w:spacing w:line="360" w:lineRule="auto"/>
        <w:ind w:firstLine="482"/>
        <w:rPr>
          <w:rFonts w:ascii="宋体" w:hAnsi="宋体" w:eastAsia="宋体" w:cs="宋体"/>
          <w:sz w:val="24"/>
          <w:szCs w:val="24"/>
        </w:rPr>
      </w:pPr>
      <w:bookmarkStart w:id="92" w:name="_Toc204328034"/>
      <w:bookmarkStart w:id="93" w:name="_Toc214269585"/>
      <w:r>
        <w:rPr>
          <w:rFonts w:hint="eastAsia" w:ascii="宋体" w:hAnsi="宋体" w:eastAsia="宋体" w:cs="宋体"/>
          <w:sz w:val="24"/>
          <w:szCs w:val="24"/>
        </w:rPr>
        <w:t>6.4、入侵报警子系统</w:t>
      </w:r>
      <w:bookmarkEnd w:id="88"/>
      <w:bookmarkEnd w:id="92"/>
      <w:bookmarkEnd w:id="93"/>
      <w:r>
        <w:rPr>
          <w:rFonts w:hint="eastAsia" w:ascii="宋体" w:hAnsi="宋体" w:eastAsia="宋体" w:cs="宋体"/>
          <w:sz w:val="24"/>
          <w:szCs w:val="24"/>
        </w:rPr>
        <w:t>性能指标和实现功能</w:t>
      </w:r>
    </w:p>
    <w:p>
      <w:pPr>
        <w:spacing w:line="360" w:lineRule="auto"/>
        <w:ind w:firstLine="480"/>
        <w:rPr>
          <w:rFonts w:ascii="宋体" w:hAnsi="宋体" w:cs="宋体"/>
        </w:rPr>
      </w:pPr>
      <w:bookmarkStart w:id="94" w:name="_Toc204328035"/>
      <w:r>
        <w:rPr>
          <w:rFonts w:hint="eastAsia" w:ascii="宋体" w:hAnsi="宋体" w:cs="宋体"/>
        </w:rPr>
        <w:t>1）根据纵深防护的原则，综合设置周界防护、重点部位和空间防护、重点目标防护；</w:t>
      </w:r>
    </w:p>
    <w:p>
      <w:pPr>
        <w:spacing w:line="360" w:lineRule="auto"/>
        <w:ind w:firstLine="480"/>
        <w:rPr>
          <w:rFonts w:ascii="宋体" w:hAnsi="宋体" w:cs="宋体"/>
        </w:rPr>
      </w:pPr>
      <w:r>
        <w:rPr>
          <w:rFonts w:hint="eastAsia" w:ascii="宋体" w:hAnsi="宋体" w:cs="宋体"/>
        </w:rPr>
        <w:t>2）报警主机通过计算机的通讯的网络接口，可与图像复核、录音、录像设备和辅助光源等外部设备进行报警联动，其自动切换时间≤4秒；</w:t>
      </w:r>
    </w:p>
    <w:p>
      <w:pPr>
        <w:spacing w:line="360" w:lineRule="auto"/>
        <w:ind w:firstLine="480"/>
        <w:rPr>
          <w:rFonts w:ascii="宋体" w:hAnsi="宋体" w:cs="宋体"/>
        </w:rPr>
      </w:pPr>
      <w:r>
        <w:rPr>
          <w:rFonts w:hint="eastAsia" w:ascii="宋体" w:hAnsi="宋体" w:cs="宋体"/>
        </w:rPr>
        <w:t>3）控制器与前端各类探测器的输入匹配应灵活多样（兼容性好）。系统探测器的输入总容量应大实用容量的10%-20%；</w:t>
      </w:r>
    </w:p>
    <w:p>
      <w:pPr>
        <w:spacing w:line="360" w:lineRule="auto"/>
        <w:ind w:firstLine="480"/>
        <w:rPr>
          <w:rFonts w:ascii="宋体" w:hAnsi="宋体" w:cs="宋体"/>
        </w:rPr>
      </w:pPr>
      <w:r>
        <w:rPr>
          <w:rFonts w:hint="eastAsia" w:ascii="宋体" w:hAnsi="宋体" w:cs="宋体"/>
        </w:rPr>
        <w:t>4）主机应具备明显的声、光报警显示、部位显示，报警信号的声响度≥80DB；应有接收多路同时报警功能，并能显示记录任何一路的报警信号及报警部位;系统探测器具有防拆、短接、断路、接假负载报警功能，报警响应时间：≤2秒；报警后确认报警性质和复位时间≤15秒；</w:t>
      </w:r>
    </w:p>
    <w:p>
      <w:pPr>
        <w:spacing w:line="360" w:lineRule="auto"/>
        <w:ind w:firstLine="480"/>
        <w:rPr>
          <w:rFonts w:ascii="宋体" w:hAnsi="宋体" w:cs="宋体"/>
        </w:rPr>
      </w:pPr>
      <w:r>
        <w:rPr>
          <w:rFonts w:hint="eastAsia" w:ascii="宋体" w:hAnsi="宋体" w:cs="宋体"/>
        </w:rPr>
        <w:t>5）系统漏报警：=0；</w:t>
      </w:r>
    </w:p>
    <w:p>
      <w:pPr>
        <w:spacing w:line="360" w:lineRule="auto"/>
        <w:ind w:firstLine="480"/>
        <w:rPr>
          <w:rFonts w:ascii="宋体" w:hAnsi="宋体" w:cs="宋体"/>
        </w:rPr>
      </w:pPr>
      <w:r>
        <w:rPr>
          <w:rFonts w:hint="eastAsia" w:ascii="宋体" w:hAnsi="宋体" w:cs="宋体"/>
        </w:rPr>
        <w:t>6）系统误报警：日误报次数≤探测器输入总量1%；</w:t>
      </w:r>
    </w:p>
    <w:p>
      <w:pPr>
        <w:spacing w:line="360" w:lineRule="auto"/>
        <w:ind w:firstLine="480"/>
        <w:rPr>
          <w:rFonts w:ascii="宋体" w:hAnsi="宋体" w:cs="宋体"/>
        </w:rPr>
      </w:pPr>
      <w:r>
        <w:rPr>
          <w:rFonts w:hint="eastAsia" w:ascii="宋体" w:hAnsi="宋体" w:cs="宋体"/>
        </w:rPr>
        <w:t>7）系统具有故障报警和欠压报警，其报警响应时间≤2s；</w:t>
      </w:r>
    </w:p>
    <w:p>
      <w:pPr>
        <w:spacing w:line="360" w:lineRule="auto"/>
        <w:ind w:firstLine="480"/>
        <w:rPr>
          <w:rFonts w:ascii="宋体" w:hAnsi="宋体" w:cs="宋体"/>
        </w:rPr>
      </w:pPr>
      <w:r>
        <w:rPr>
          <w:rFonts w:hint="eastAsia" w:ascii="宋体" w:hAnsi="宋体" w:cs="宋体"/>
        </w:rPr>
        <w:t>8）为便于分级管理，应设有不同级别的密码，确定不同级别的操作权限，使各级责任明确。</w:t>
      </w:r>
    </w:p>
    <w:p>
      <w:pPr>
        <w:spacing w:line="360" w:lineRule="auto"/>
        <w:ind w:firstLine="960" w:firstLineChars="400"/>
        <w:rPr>
          <w:rFonts w:ascii="宋体" w:hAnsi="宋体" w:cs="宋体"/>
        </w:rPr>
      </w:pPr>
      <w:r>
        <w:rPr>
          <w:rFonts w:hint="eastAsia" w:ascii="宋体" w:hAnsi="宋体" w:cs="宋体"/>
        </w:rPr>
        <w:t>a)系统所使用设备的平均无故障间隔时间（MTBF）应不小于5000h；</w:t>
      </w:r>
    </w:p>
    <w:p>
      <w:pPr>
        <w:spacing w:line="360" w:lineRule="auto"/>
        <w:ind w:firstLine="960" w:firstLineChars="400"/>
        <w:rPr>
          <w:rFonts w:ascii="宋体" w:hAnsi="宋体" w:cs="宋体"/>
        </w:rPr>
      </w:pPr>
      <w:r>
        <w:rPr>
          <w:rFonts w:hint="eastAsia" w:ascii="宋体" w:hAnsi="宋体" w:cs="宋体"/>
        </w:rPr>
        <w:t>b)系统验收后首次故障时间应大于3个月；</w:t>
      </w:r>
    </w:p>
    <w:p>
      <w:pPr>
        <w:spacing w:line="360" w:lineRule="auto"/>
        <w:ind w:firstLine="960" w:firstLineChars="400"/>
        <w:rPr>
          <w:rFonts w:ascii="宋体" w:hAnsi="宋体" w:cs="宋体"/>
        </w:rPr>
      </w:pPr>
      <w:r>
        <w:rPr>
          <w:rFonts w:hint="eastAsia" w:ascii="宋体" w:hAnsi="宋体" w:cs="宋体"/>
        </w:rPr>
        <w:t>c)系统绝缘电阻：≥20MΩ；</w:t>
      </w:r>
    </w:p>
    <w:p>
      <w:pPr>
        <w:spacing w:line="360" w:lineRule="auto"/>
        <w:ind w:firstLine="960" w:firstLineChars="400"/>
        <w:rPr>
          <w:rFonts w:ascii="宋体" w:hAnsi="宋体" w:cs="宋体"/>
        </w:rPr>
      </w:pPr>
      <w:r>
        <w:rPr>
          <w:rFonts w:hint="eastAsia" w:ascii="宋体" w:hAnsi="宋体" w:cs="宋体"/>
        </w:rPr>
        <w:t>d)系统漏电电流：≤5mA；</w:t>
      </w:r>
    </w:p>
    <w:p>
      <w:pPr>
        <w:spacing w:line="360" w:lineRule="auto"/>
        <w:ind w:firstLine="480"/>
        <w:rPr>
          <w:rFonts w:ascii="宋体" w:hAnsi="宋体" w:cs="宋体"/>
        </w:rPr>
      </w:pPr>
      <w:r>
        <w:rPr>
          <w:rFonts w:hint="eastAsia" w:ascii="宋体" w:hAnsi="宋体" w:cs="宋体"/>
        </w:rPr>
        <w:t>9）联动：与视频监控系统和辅助光源联动；</w:t>
      </w:r>
    </w:p>
    <w:p>
      <w:pPr>
        <w:spacing w:line="360" w:lineRule="auto"/>
        <w:ind w:firstLine="480"/>
        <w:rPr>
          <w:rFonts w:ascii="宋体" w:hAnsi="宋体" w:cs="宋体"/>
        </w:rPr>
      </w:pPr>
      <w:r>
        <w:rPr>
          <w:rFonts w:hint="eastAsia" w:ascii="宋体" w:hAnsi="宋体" w:cs="宋体"/>
        </w:rPr>
        <w:t>10）系统能独立运行。</w:t>
      </w:r>
    </w:p>
    <w:p>
      <w:pPr>
        <w:spacing w:line="360" w:lineRule="auto"/>
        <w:ind w:firstLine="480"/>
        <w:rPr>
          <w:rFonts w:ascii="宋体" w:hAnsi="宋体" w:cs="宋体"/>
        </w:rPr>
      </w:pPr>
      <w:r>
        <w:rPr>
          <w:rFonts w:hint="eastAsia" w:ascii="宋体" w:hAnsi="宋体" w:cs="宋体"/>
        </w:rPr>
        <w:t>入侵报警系统以大型专业报警主机为核心，通过多种探测技术对各区域进行布防，形成一个多层立体交叉的严密防护网，达到提前预警、阻止犯罪的目的</w:t>
      </w:r>
      <w:r>
        <w:rPr>
          <w:rFonts w:ascii="宋体" w:hAnsi="宋体" w:cs="宋体"/>
        </w:rPr>
        <w:t>。前端设备主要采用双鉴探测器、被动红外探测器、玻璃破碎探测器、</w:t>
      </w:r>
      <w:r>
        <w:rPr>
          <w:rFonts w:hint="eastAsia" w:ascii="宋体" w:hAnsi="宋体" w:cs="宋体"/>
        </w:rPr>
        <w:t>微波探测器、</w:t>
      </w:r>
      <w:r>
        <w:rPr>
          <w:rFonts w:ascii="宋体" w:hAnsi="宋体" w:cs="宋体"/>
        </w:rPr>
        <w:t>震动传感器和紧急报警按钮，设备的布置将主要考虑周界、各个展厅、展</w:t>
      </w:r>
      <w:r>
        <w:rPr>
          <w:rFonts w:hint="eastAsia" w:ascii="宋体" w:hAnsi="宋体" w:cs="宋体"/>
        </w:rPr>
        <w:t>柜</w:t>
      </w:r>
      <w:r>
        <w:rPr>
          <w:rFonts w:ascii="宋体" w:hAnsi="宋体" w:cs="宋体"/>
        </w:rPr>
        <w:t>、库房、出入口、监控室和重要</w:t>
      </w:r>
      <w:r>
        <w:rPr>
          <w:rFonts w:hint="eastAsia" w:ascii="宋体" w:hAnsi="宋体" w:cs="宋体"/>
        </w:rPr>
        <w:t>业务</w:t>
      </w:r>
      <w:r>
        <w:rPr>
          <w:rFonts w:ascii="宋体" w:hAnsi="宋体" w:cs="宋体"/>
        </w:rPr>
        <w:t>办公室等重要部位的监控。</w:t>
      </w:r>
    </w:p>
    <w:p>
      <w:pPr>
        <w:pStyle w:val="4"/>
        <w:spacing w:line="360" w:lineRule="auto"/>
        <w:ind w:firstLine="482"/>
        <w:rPr>
          <w:rFonts w:ascii="宋体" w:hAnsi="宋体" w:eastAsia="宋体" w:cs="宋体"/>
          <w:sz w:val="24"/>
          <w:szCs w:val="24"/>
        </w:rPr>
      </w:pPr>
      <w:bookmarkStart w:id="95" w:name="_Toc214269586"/>
      <w:r>
        <w:rPr>
          <w:rFonts w:hint="eastAsia" w:ascii="宋体" w:hAnsi="宋体" w:eastAsia="宋体" w:cs="宋体"/>
          <w:sz w:val="24"/>
          <w:szCs w:val="24"/>
        </w:rPr>
        <w:t>6.5、视频监控子系统</w:t>
      </w:r>
      <w:bookmarkEnd w:id="94"/>
      <w:bookmarkEnd w:id="95"/>
      <w:r>
        <w:rPr>
          <w:rFonts w:hint="eastAsia" w:ascii="宋体" w:hAnsi="宋体" w:eastAsia="宋体" w:cs="宋体"/>
          <w:sz w:val="24"/>
          <w:szCs w:val="24"/>
        </w:rPr>
        <w:t>性能指标和实现功能</w:t>
      </w:r>
    </w:p>
    <w:p>
      <w:pPr>
        <w:spacing w:line="360" w:lineRule="auto"/>
        <w:ind w:firstLine="480"/>
        <w:rPr>
          <w:rFonts w:ascii="宋体" w:hAnsi="宋体" w:cs="宋体"/>
        </w:rPr>
      </w:pPr>
      <w:bookmarkStart w:id="96" w:name="_Toc20329"/>
      <w:bookmarkStart w:id="97" w:name="_Toc482121025"/>
      <w:r>
        <w:rPr>
          <w:rFonts w:hint="eastAsia" w:ascii="宋体" w:hAnsi="宋体" w:cs="宋体"/>
        </w:rPr>
        <w:t>1）系统能独立运行;</w:t>
      </w:r>
      <w:bookmarkEnd w:id="96"/>
    </w:p>
    <w:p>
      <w:pPr>
        <w:spacing w:line="360" w:lineRule="auto"/>
        <w:ind w:firstLine="480"/>
        <w:rPr>
          <w:rFonts w:ascii="宋体" w:hAnsi="宋体" w:cs="宋体"/>
        </w:rPr>
      </w:pPr>
      <w:r>
        <w:rPr>
          <w:rFonts w:hint="eastAsia" w:ascii="宋体" w:hAnsi="宋体" w:cs="宋体"/>
        </w:rPr>
        <w:t>2）应能对多路图像信号实时传输、切换显示，所有摄像机的图像无一遗漏地显示在中心控制室监视大屏上，对重要部位、空间、目标进行图像实时监控和有效记录、回放、存储，应能定时录像、报警自动录像，资料保留时间≥90天;</w:t>
      </w:r>
    </w:p>
    <w:p>
      <w:pPr>
        <w:spacing w:line="360" w:lineRule="auto"/>
        <w:ind w:firstLine="480"/>
        <w:rPr>
          <w:rFonts w:ascii="宋体" w:hAnsi="宋体" w:cs="宋体"/>
        </w:rPr>
      </w:pPr>
      <w:r>
        <w:rPr>
          <w:rFonts w:hint="eastAsia" w:ascii="宋体" w:hAnsi="宋体" w:cs="宋体"/>
        </w:rPr>
        <w:t>3）系统的画面显示应能任意编程，能自动或手动切换，画面上应有摄像机编号、部位、地址和时间、日期显示;</w:t>
      </w:r>
    </w:p>
    <w:p>
      <w:pPr>
        <w:spacing w:line="360" w:lineRule="auto"/>
        <w:ind w:firstLine="480"/>
        <w:rPr>
          <w:rFonts w:ascii="宋体" w:hAnsi="宋体" w:cs="宋体"/>
        </w:rPr>
      </w:pPr>
      <w:r>
        <w:rPr>
          <w:rFonts w:hint="eastAsia" w:ascii="宋体" w:hAnsi="宋体" w:cs="宋体"/>
        </w:rPr>
        <w:t>4）宜配备具有多重检索、慢动作画面、超静止画面、步进性图像分解等功能的录像设备;</w:t>
      </w:r>
    </w:p>
    <w:p>
      <w:pPr>
        <w:spacing w:line="360" w:lineRule="auto"/>
        <w:ind w:firstLine="480"/>
        <w:rPr>
          <w:rFonts w:ascii="宋体" w:hAnsi="宋体" w:cs="宋体"/>
        </w:rPr>
      </w:pPr>
      <w:bookmarkStart w:id="98" w:name="_Toc26952"/>
      <w:r>
        <w:rPr>
          <w:rFonts w:hint="eastAsia" w:ascii="宋体" w:hAnsi="宋体" w:cs="宋体"/>
        </w:rPr>
        <w:t>5）系统前端设备的输入总容量应大实用容量的10%-20%；</w:t>
      </w:r>
      <w:bookmarkEnd w:id="98"/>
    </w:p>
    <w:p>
      <w:pPr>
        <w:spacing w:line="360" w:lineRule="auto"/>
        <w:ind w:firstLine="480"/>
        <w:rPr>
          <w:rFonts w:ascii="宋体" w:hAnsi="宋体" w:cs="宋体"/>
        </w:rPr>
      </w:pPr>
      <w:r>
        <w:rPr>
          <w:rFonts w:hint="eastAsia" w:ascii="宋体" w:hAnsi="宋体" w:cs="宋体"/>
        </w:rPr>
        <w:t>6）图像水平清晰度：400w像素，记录帧率应不小于25fps;</w:t>
      </w:r>
    </w:p>
    <w:p>
      <w:pPr>
        <w:spacing w:line="360" w:lineRule="auto"/>
        <w:ind w:firstLine="480"/>
        <w:rPr>
          <w:rFonts w:ascii="宋体" w:hAnsi="宋体" w:cs="宋体"/>
        </w:rPr>
      </w:pPr>
      <w:bookmarkStart w:id="99" w:name="_Toc265"/>
      <w:r>
        <w:rPr>
          <w:rFonts w:hint="eastAsia" w:ascii="宋体" w:hAnsi="宋体" w:cs="宋体"/>
        </w:rPr>
        <w:t>7）图像画面的灰度不低于8级；</w:t>
      </w:r>
      <w:bookmarkEnd w:id="99"/>
    </w:p>
    <w:p>
      <w:pPr>
        <w:spacing w:line="360" w:lineRule="auto"/>
        <w:ind w:firstLine="480"/>
        <w:rPr>
          <w:rFonts w:ascii="宋体" w:hAnsi="宋体" w:cs="宋体"/>
        </w:rPr>
      </w:pPr>
      <w:r>
        <w:rPr>
          <w:rFonts w:hint="eastAsia" w:ascii="宋体" w:hAnsi="宋体" w:cs="宋体"/>
        </w:rPr>
        <w:t>8）系统所使用设备的平均无故障间隔时间（MTBF）应不小于5000h；</w:t>
      </w:r>
    </w:p>
    <w:p>
      <w:pPr>
        <w:spacing w:line="360" w:lineRule="auto"/>
        <w:ind w:firstLine="480"/>
        <w:rPr>
          <w:rFonts w:ascii="宋体" w:hAnsi="宋体" w:cs="宋体"/>
        </w:rPr>
      </w:pPr>
      <w:r>
        <w:rPr>
          <w:rFonts w:hint="eastAsia" w:ascii="宋体" w:hAnsi="宋体" w:cs="宋体"/>
        </w:rPr>
        <w:t>9）系统验收后首次故障时间应大于3个月；</w:t>
      </w:r>
    </w:p>
    <w:p>
      <w:pPr>
        <w:spacing w:line="360" w:lineRule="auto"/>
        <w:ind w:firstLine="480"/>
        <w:rPr>
          <w:rFonts w:ascii="宋体" w:hAnsi="宋体" w:cs="宋体"/>
        </w:rPr>
      </w:pPr>
      <w:r>
        <w:rPr>
          <w:rFonts w:hint="eastAsia" w:ascii="宋体" w:hAnsi="宋体" w:cs="宋体"/>
        </w:rPr>
        <w:t>10）系统绝缘电阻：≥20MΩ；</w:t>
      </w:r>
    </w:p>
    <w:p>
      <w:pPr>
        <w:spacing w:line="360" w:lineRule="auto"/>
        <w:ind w:firstLine="480"/>
        <w:rPr>
          <w:rFonts w:ascii="宋体" w:hAnsi="宋体" w:cs="宋体"/>
        </w:rPr>
      </w:pPr>
      <w:r>
        <w:rPr>
          <w:rFonts w:hint="eastAsia" w:ascii="宋体" w:hAnsi="宋体" w:cs="宋体"/>
        </w:rPr>
        <w:t>11）联动：与入侵探测系统、出入口控制系统联动；</w:t>
      </w:r>
    </w:p>
    <w:p>
      <w:pPr>
        <w:spacing w:line="360" w:lineRule="auto"/>
        <w:ind w:firstLine="480"/>
        <w:rPr>
          <w:rFonts w:ascii="宋体" w:hAnsi="宋体" w:cs="宋体"/>
        </w:rPr>
      </w:pPr>
      <w:r>
        <w:rPr>
          <w:rFonts w:hint="eastAsia" w:ascii="宋体" w:hAnsi="宋体" w:cs="宋体"/>
        </w:rPr>
        <w:t>12）系统漏电电流：≤5mA。</w:t>
      </w:r>
    </w:p>
    <w:p>
      <w:pPr>
        <w:spacing w:line="360" w:lineRule="auto"/>
        <w:ind w:firstLine="480"/>
        <w:rPr>
          <w:rFonts w:ascii="宋体" w:hAnsi="宋体" w:cs="宋体"/>
        </w:rPr>
      </w:pPr>
      <w:bookmarkStart w:id="100" w:name="_Toc214269587"/>
      <w:r>
        <w:rPr>
          <w:rFonts w:hint="eastAsia" w:ascii="宋体" w:hAnsi="宋体" w:cs="宋体"/>
        </w:rPr>
        <w:t>视频监控系统的智能分析功能，是保障文物安全的一道重要防线。通过集成先进的智能分析技术，系统能够自动识别场馆内的潜在风险，如游客异常行为等情况，一旦检测到这些风险，系统会立即触发预警信号，通知管理者及时采取措施。这种智能化的预警机制，使得管理者能够在第一时间掌握紧急信息，迅速响应，有效避免事故的发生或扩大。同时，远程监控和即时通讯功能的加入，让管理者无论身处何地都能实时了解场馆状况，快速调度资源，确保问题得到及时解决。这种智能预警与高效响应的结合，不仅提升了文物的安全防护能力，还为博物馆的安全运营提供了强有力的保障。</w:t>
      </w:r>
    </w:p>
    <w:p>
      <w:pPr>
        <w:pStyle w:val="4"/>
        <w:spacing w:line="360" w:lineRule="auto"/>
        <w:ind w:firstLine="482"/>
        <w:rPr>
          <w:rFonts w:ascii="宋体" w:hAnsi="宋体" w:eastAsia="宋体" w:cs="宋体"/>
          <w:sz w:val="24"/>
          <w:szCs w:val="24"/>
        </w:rPr>
      </w:pPr>
      <w:r>
        <w:rPr>
          <w:rFonts w:hint="eastAsia" w:ascii="宋体" w:hAnsi="宋体" w:eastAsia="宋体" w:cs="宋体"/>
          <w:sz w:val="24"/>
          <w:szCs w:val="24"/>
        </w:rPr>
        <w:t>6.6、声音复核系统</w:t>
      </w:r>
      <w:bookmarkEnd w:id="97"/>
      <w:bookmarkEnd w:id="100"/>
      <w:r>
        <w:rPr>
          <w:rFonts w:hint="eastAsia" w:ascii="宋体" w:hAnsi="宋体" w:eastAsia="宋体" w:cs="宋体"/>
          <w:sz w:val="24"/>
          <w:szCs w:val="24"/>
        </w:rPr>
        <w:t>性能指标和实现功能</w:t>
      </w:r>
    </w:p>
    <w:p>
      <w:pPr>
        <w:spacing w:line="360" w:lineRule="auto"/>
        <w:ind w:firstLine="480"/>
        <w:rPr>
          <w:color w:val="000000"/>
        </w:rPr>
      </w:pPr>
      <w:r>
        <w:rPr>
          <w:rFonts w:hint="eastAsia"/>
          <w:color w:val="000000"/>
        </w:rPr>
        <w:t>1）系统最大输入容量：100路；</w:t>
      </w:r>
    </w:p>
    <w:p>
      <w:pPr>
        <w:spacing w:line="360" w:lineRule="auto"/>
        <w:ind w:firstLine="480"/>
        <w:rPr>
          <w:color w:val="000000"/>
        </w:rPr>
      </w:pPr>
      <w:r>
        <w:rPr>
          <w:rFonts w:hint="eastAsia"/>
          <w:color w:val="000000"/>
        </w:rPr>
        <w:t>2）系统设计输入容量：34路；</w:t>
      </w:r>
    </w:p>
    <w:p>
      <w:pPr>
        <w:spacing w:line="360" w:lineRule="auto"/>
        <w:ind w:firstLine="480"/>
        <w:rPr>
          <w:color w:val="000000"/>
        </w:rPr>
      </w:pPr>
      <w:r>
        <w:rPr>
          <w:rFonts w:hint="eastAsia"/>
          <w:color w:val="000000"/>
        </w:rPr>
        <w:t>3）灵敏度（应能清晰探测现场内人的话音、人走动、撬、挖、凿、锯时发出的声音所能覆盖的范围）；</w:t>
      </w:r>
    </w:p>
    <w:p>
      <w:pPr>
        <w:spacing w:line="360" w:lineRule="auto"/>
        <w:ind w:firstLine="480"/>
        <w:rPr>
          <w:color w:val="000000"/>
        </w:rPr>
      </w:pPr>
      <w:r>
        <w:rPr>
          <w:rFonts w:hint="eastAsia"/>
          <w:color w:val="000000"/>
        </w:rPr>
        <w:t>4）失真度：≤5%；</w:t>
      </w:r>
    </w:p>
    <w:p>
      <w:pPr>
        <w:spacing w:line="360" w:lineRule="auto"/>
        <w:ind w:firstLine="480"/>
        <w:rPr>
          <w:color w:val="000000"/>
        </w:rPr>
      </w:pPr>
      <w:r>
        <w:rPr>
          <w:rFonts w:hint="eastAsia"/>
          <w:color w:val="000000"/>
        </w:rPr>
        <w:t>5）频响：200Hz—8000Hz+3dB；</w:t>
      </w:r>
    </w:p>
    <w:p>
      <w:pPr>
        <w:spacing w:line="360" w:lineRule="auto"/>
        <w:ind w:firstLine="480"/>
        <w:rPr>
          <w:color w:val="000000"/>
        </w:rPr>
      </w:pPr>
      <w:r>
        <w:rPr>
          <w:rFonts w:hint="eastAsia"/>
          <w:color w:val="000000"/>
        </w:rPr>
        <w:t>6）信噪比：大于45dB。</w:t>
      </w:r>
    </w:p>
    <w:p>
      <w:pPr>
        <w:spacing w:line="360" w:lineRule="auto"/>
        <w:ind w:firstLine="480"/>
        <w:rPr>
          <w:rFonts w:ascii="宋体" w:hAnsi="宋体" w:cs="宋体"/>
        </w:rPr>
      </w:pPr>
      <w:r>
        <w:rPr>
          <w:rFonts w:hint="eastAsia" w:ascii="宋体" w:hAnsi="宋体" w:cs="宋体"/>
        </w:rPr>
        <w:t>声音复核系统监测博物馆</w:t>
      </w:r>
      <w:r>
        <w:rPr>
          <w:rFonts w:ascii="宋体" w:hAnsi="宋体" w:cs="宋体"/>
        </w:rPr>
        <w:t>环境出现异常声响时即时报警针对在博物馆等敏感区域可能产生的盗窃、破坏等事件进行声音环境监控,当出现异常声响时做出智能分析，联动视频监控系统对可能存在的高风险事件进行实时监视和情况核实。同时可以实现混音监听与对话。</w:t>
      </w:r>
      <w:r>
        <w:rPr>
          <w:rFonts w:hint="eastAsia" w:ascii="宋体" w:hAnsi="宋体" w:cs="宋体"/>
        </w:rPr>
        <w:t>声音复核系统</w:t>
      </w:r>
      <w:r>
        <w:rPr>
          <w:rFonts w:ascii="宋体" w:hAnsi="宋体" w:cs="宋体"/>
        </w:rPr>
        <w:t>与</w:t>
      </w:r>
      <w:r>
        <w:rPr>
          <w:rFonts w:hint="eastAsia" w:ascii="宋体" w:hAnsi="宋体" w:cs="宋体"/>
        </w:rPr>
        <w:t>综合安防</w:t>
      </w:r>
      <w:r>
        <w:rPr>
          <w:rFonts w:ascii="宋体" w:hAnsi="宋体" w:cs="宋体"/>
        </w:rPr>
        <w:t>管理平台。提供无缝联接功能。大大提高在博物馆等区域的技术防能力。</w:t>
      </w:r>
    </w:p>
    <w:p>
      <w:pPr>
        <w:pStyle w:val="4"/>
        <w:spacing w:line="360" w:lineRule="auto"/>
        <w:ind w:firstLine="482"/>
        <w:rPr>
          <w:rFonts w:ascii="宋体" w:hAnsi="宋体" w:eastAsia="宋体" w:cs="宋体"/>
          <w:sz w:val="24"/>
          <w:szCs w:val="24"/>
        </w:rPr>
      </w:pPr>
      <w:bookmarkStart w:id="101" w:name="_Toc204328036"/>
      <w:bookmarkStart w:id="102" w:name="_Toc214269588"/>
      <w:r>
        <w:rPr>
          <w:rFonts w:hint="eastAsia" w:ascii="宋体" w:hAnsi="宋体" w:eastAsia="宋体" w:cs="宋体"/>
          <w:sz w:val="24"/>
          <w:szCs w:val="24"/>
        </w:rPr>
        <w:t>6.7、出入口控制系统</w:t>
      </w:r>
      <w:bookmarkEnd w:id="101"/>
      <w:bookmarkEnd w:id="102"/>
      <w:r>
        <w:rPr>
          <w:rFonts w:hint="eastAsia" w:ascii="宋体" w:hAnsi="宋体" w:eastAsia="宋体" w:cs="宋体"/>
          <w:sz w:val="24"/>
          <w:szCs w:val="24"/>
        </w:rPr>
        <w:t>性能指标和实现功能</w:t>
      </w:r>
    </w:p>
    <w:p>
      <w:pPr>
        <w:spacing w:line="360" w:lineRule="auto"/>
        <w:ind w:firstLine="480"/>
        <w:rPr>
          <w:color w:val="000000"/>
        </w:rPr>
      </w:pPr>
      <w:bookmarkStart w:id="103" w:name="_Toc7031"/>
      <w:r>
        <w:rPr>
          <w:rFonts w:hint="eastAsia"/>
          <w:color w:val="000000"/>
        </w:rPr>
        <w:t>1）系统能独立运行，并能与视频安防监控子系统联动；</w:t>
      </w:r>
      <w:bookmarkEnd w:id="103"/>
    </w:p>
    <w:p>
      <w:pPr>
        <w:spacing w:line="360" w:lineRule="auto"/>
        <w:ind w:firstLine="480"/>
        <w:rPr>
          <w:color w:val="000000"/>
        </w:rPr>
      </w:pPr>
      <w:r>
        <w:rPr>
          <w:rFonts w:hint="eastAsia"/>
          <w:color w:val="000000"/>
        </w:rPr>
        <w:t>2）能与安全防范系统的综合安防管理系统联网，实现综合安防管理系统对出入口控制子系统的自动化管理与控制；</w:t>
      </w:r>
    </w:p>
    <w:p>
      <w:pPr>
        <w:spacing w:line="360" w:lineRule="auto"/>
        <w:ind w:firstLine="480"/>
        <w:rPr>
          <w:color w:val="000000"/>
        </w:rPr>
      </w:pPr>
      <w:r>
        <w:rPr>
          <w:rFonts w:hint="eastAsia"/>
          <w:color w:val="000000"/>
        </w:rPr>
        <w:t>3）子系统应对受控区域通行对象及通行时间等进行实时控制；</w:t>
      </w:r>
    </w:p>
    <w:p>
      <w:pPr>
        <w:spacing w:line="360" w:lineRule="auto"/>
        <w:ind w:firstLine="480"/>
        <w:rPr>
          <w:color w:val="000000"/>
        </w:rPr>
      </w:pPr>
      <w:r>
        <w:rPr>
          <w:rFonts w:hint="eastAsia"/>
          <w:color w:val="000000"/>
        </w:rPr>
        <w:t>4）子系统的识别装置和执行机构应保证操作的有效性和可靠性；</w:t>
      </w:r>
    </w:p>
    <w:p>
      <w:pPr>
        <w:spacing w:line="360" w:lineRule="auto"/>
        <w:ind w:firstLine="480"/>
        <w:rPr>
          <w:color w:val="000000"/>
        </w:rPr>
      </w:pPr>
      <w:bookmarkStart w:id="104" w:name="_Toc204328037"/>
      <w:r>
        <w:rPr>
          <w:rFonts w:hint="eastAsia"/>
          <w:color w:val="000000"/>
        </w:rPr>
        <w:t>5）密钥差异≥102×nmax；</w:t>
      </w:r>
    </w:p>
    <w:p>
      <w:pPr>
        <w:spacing w:line="360" w:lineRule="auto"/>
        <w:ind w:firstLine="480"/>
        <w:rPr>
          <w:color w:val="000000"/>
        </w:rPr>
      </w:pPr>
      <w:r>
        <w:rPr>
          <w:rFonts w:hint="eastAsia"/>
          <w:color w:val="000000"/>
        </w:rPr>
        <w:t>6）误识率不大于1/nmax；</w:t>
      </w:r>
    </w:p>
    <w:p>
      <w:pPr>
        <w:spacing w:line="360" w:lineRule="auto"/>
        <w:ind w:firstLine="480"/>
        <w:rPr>
          <w:color w:val="000000"/>
        </w:rPr>
      </w:pPr>
      <w:r>
        <w:rPr>
          <w:rFonts w:hint="eastAsia"/>
          <w:color w:val="000000"/>
        </w:rPr>
        <w:t>7）防误识开启抵抗时间：1500min；</w:t>
      </w:r>
    </w:p>
    <w:p>
      <w:pPr>
        <w:spacing w:line="360" w:lineRule="auto"/>
        <w:ind w:firstLine="480"/>
        <w:rPr>
          <w:color w:val="000000"/>
        </w:rPr>
      </w:pPr>
      <w:r>
        <w:rPr>
          <w:rFonts w:hint="eastAsia"/>
          <w:color w:val="000000"/>
        </w:rPr>
        <w:t>8）防电磁场开启抵抗时间：1500min；</w:t>
      </w:r>
    </w:p>
    <w:p>
      <w:pPr>
        <w:spacing w:line="360" w:lineRule="auto"/>
        <w:ind w:firstLine="480"/>
        <w:rPr>
          <w:color w:val="000000"/>
        </w:rPr>
      </w:pPr>
      <w:r>
        <w:rPr>
          <w:rFonts w:hint="eastAsia"/>
          <w:color w:val="000000"/>
        </w:rPr>
        <w:t>9）系统所使用设备的平均无故障间隔时间应不小于10000h；</w:t>
      </w:r>
    </w:p>
    <w:p>
      <w:pPr>
        <w:spacing w:line="360" w:lineRule="auto"/>
        <w:ind w:firstLine="480"/>
        <w:rPr>
          <w:color w:val="000000"/>
        </w:rPr>
      </w:pPr>
      <w:r>
        <w:rPr>
          <w:rFonts w:hint="eastAsia"/>
          <w:color w:val="000000"/>
        </w:rPr>
        <w:t>10）系统验收后首次故障时间应大于3个月；</w:t>
      </w:r>
    </w:p>
    <w:p>
      <w:pPr>
        <w:spacing w:line="360" w:lineRule="auto"/>
        <w:ind w:firstLine="480"/>
        <w:rPr>
          <w:color w:val="000000"/>
        </w:rPr>
      </w:pPr>
      <w:r>
        <w:rPr>
          <w:rFonts w:hint="eastAsia"/>
          <w:color w:val="000000"/>
        </w:rPr>
        <w:t>11）各类识读装置的安装高度离地不宜高于1.5m，安装应牢固；</w:t>
      </w:r>
    </w:p>
    <w:p>
      <w:pPr>
        <w:spacing w:line="360" w:lineRule="auto"/>
        <w:ind w:firstLine="480"/>
        <w:rPr>
          <w:color w:val="000000"/>
        </w:rPr>
      </w:pPr>
      <w:r>
        <w:rPr>
          <w:rFonts w:hint="eastAsia"/>
          <w:color w:val="000000"/>
        </w:rPr>
        <w:t>12）联动：与视频监控系统联动；</w:t>
      </w:r>
    </w:p>
    <w:p>
      <w:pPr>
        <w:spacing w:line="360" w:lineRule="auto"/>
        <w:ind w:firstLine="480"/>
        <w:rPr>
          <w:color w:val="000000"/>
        </w:rPr>
      </w:pPr>
      <w:bookmarkStart w:id="105" w:name="_Toc24958"/>
      <w:r>
        <w:rPr>
          <w:rFonts w:hint="eastAsia"/>
          <w:color w:val="000000"/>
        </w:rPr>
        <w:t>13）锁具安装应符合产品技术要求，安装应牢固，启闭应灵活。</w:t>
      </w:r>
      <w:bookmarkEnd w:id="105"/>
    </w:p>
    <w:p>
      <w:pPr>
        <w:spacing w:line="360" w:lineRule="auto"/>
        <w:ind w:firstLine="480"/>
        <w:rPr>
          <w:color w:val="000000"/>
        </w:rPr>
      </w:pPr>
      <w:r>
        <w:rPr>
          <w:rFonts w:hint="eastAsia"/>
          <w:color w:val="000000"/>
        </w:rPr>
        <w:t>出入口控制系统是加强博物馆安全管理的一种有效手段。只有被授权的人员才有权限开启某一扇门,并且门禁控制系统具有查询和记录的功能</w:t>
      </w:r>
      <w:r>
        <w:rPr>
          <w:color w:val="000000"/>
        </w:rPr>
        <w:t>,可以对博物馆各扇门的进出情况进行自动记录,如果发生突发事件,能根据记录追查到责任人。门禁控制系统还可对库房、展厅等重要部位进行条件设定,如进入库房必须两个人同时读卡,库门才能打开,而且还可以根据时间进行出入控制,</w:t>
      </w:r>
      <w:r>
        <w:rPr>
          <w:rFonts w:hint="eastAsia"/>
          <w:color w:val="000000"/>
        </w:rPr>
        <w:t>如</w:t>
      </w:r>
      <w:r>
        <w:rPr>
          <w:color w:val="000000"/>
        </w:rPr>
        <w:t>下班后所有卡片都不能够使用等。</w:t>
      </w:r>
    </w:p>
    <w:p>
      <w:pPr>
        <w:pStyle w:val="4"/>
        <w:spacing w:line="360" w:lineRule="auto"/>
        <w:ind w:firstLine="482"/>
        <w:rPr>
          <w:rFonts w:ascii="宋体" w:hAnsi="宋体" w:eastAsia="宋体" w:cs="宋体"/>
          <w:sz w:val="24"/>
          <w:szCs w:val="24"/>
        </w:rPr>
      </w:pPr>
      <w:bookmarkStart w:id="106" w:name="_Toc214269589"/>
      <w:r>
        <w:rPr>
          <w:rFonts w:hint="eastAsia" w:ascii="宋体" w:hAnsi="宋体" w:eastAsia="宋体" w:cs="宋体"/>
          <w:sz w:val="24"/>
          <w:szCs w:val="24"/>
        </w:rPr>
        <w:t>6.8、应急广播子系统</w:t>
      </w:r>
      <w:bookmarkEnd w:id="104"/>
      <w:bookmarkEnd w:id="106"/>
      <w:r>
        <w:rPr>
          <w:rFonts w:hint="eastAsia" w:ascii="宋体" w:hAnsi="宋体" w:eastAsia="宋体" w:cs="宋体"/>
          <w:sz w:val="24"/>
          <w:szCs w:val="24"/>
        </w:rPr>
        <w:t>性能指标和实现功能</w:t>
      </w:r>
    </w:p>
    <w:p>
      <w:pPr>
        <w:spacing w:line="360" w:lineRule="auto"/>
        <w:ind w:firstLine="480"/>
        <w:rPr>
          <w:color w:val="000000"/>
        </w:rPr>
      </w:pPr>
      <w:r>
        <w:rPr>
          <w:rFonts w:hint="eastAsia"/>
          <w:color w:val="000000"/>
        </w:rPr>
        <w:t>1）系统容量：系统管理平台最大管理能力：单机支持100路；</w:t>
      </w:r>
    </w:p>
    <w:p>
      <w:pPr>
        <w:spacing w:line="360" w:lineRule="auto"/>
        <w:ind w:firstLine="480"/>
        <w:rPr>
          <w:color w:val="000000"/>
        </w:rPr>
      </w:pPr>
      <w:r>
        <w:rPr>
          <w:rFonts w:hint="eastAsia"/>
          <w:color w:val="000000"/>
        </w:rPr>
        <w:t>2）设计容量：35路IP终端、1路桌面式寻呼话筒；</w:t>
      </w:r>
    </w:p>
    <w:p>
      <w:pPr>
        <w:spacing w:line="360" w:lineRule="auto"/>
        <w:ind w:firstLine="480"/>
        <w:rPr>
          <w:color w:val="000000"/>
        </w:rPr>
      </w:pPr>
      <w:r>
        <w:rPr>
          <w:rFonts w:hint="eastAsia"/>
          <w:color w:val="000000"/>
        </w:rPr>
        <w:t>3）当广播系统有多种用途时，应急广播应具有最高级别的优先权。应急广播系统应能在手动或警报信号触发的10s内，向相关广播区播放警示信号、警报语声文件或实时指挥语声；</w:t>
      </w:r>
    </w:p>
    <w:p>
      <w:pPr>
        <w:spacing w:line="360" w:lineRule="auto"/>
        <w:ind w:firstLine="480"/>
        <w:rPr>
          <w:color w:val="000000"/>
        </w:rPr>
      </w:pPr>
      <w:r>
        <w:rPr>
          <w:rFonts w:hint="eastAsia"/>
          <w:color w:val="000000"/>
        </w:rPr>
        <w:t>4）以现场环境噪声为基准，应急广播的信噪比应大于或等于12dB；</w:t>
      </w:r>
    </w:p>
    <w:p>
      <w:pPr>
        <w:spacing w:line="360" w:lineRule="auto"/>
        <w:ind w:firstLine="480"/>
        <w:rPr>
          <w:color w:val="000000"/>
        </w:rPr>
      </w:pPr>
      <w:r>
        <w:rPr>
          <w:rFonts w:hint="eastAsia"/>
          <w:color w:val="000000"/>
        </w:rPr>
        <w:t>5）应急广播系统设备应处于热备用状态，或具有定时自检和故障自动告警功能；</w:t>
      </w:r>
    </w:p>
    <w:p>
      <w:pPr>
        <w:spacing w:line="360" w:lineRule="auto"/>
        <w:ind w:firstLine="480"/>
        <w:rPr>
          <w:color w:val="000000"/>
        </w:rPr>
      </w:pPr>
      <w:r>
        <w:rPr>
          <w:rFonts w:hint="eastAsia"/>
          <w:color w:val="000000"/>
        </w:rPr>
        <w:t>6）当需要手动发布应急广播时，应设置一键到位功能；</w:t>
      </w:r>
    </w:p>
    <w:p>
      <w:pPr>
        <w:spacing w:line="360" w:lineRule="auto"/>
        <w:ind w:firstLine="480"/>
        <w:rPr>
          <w:color w:val="000000"/>
        </w:rPr>
      </w:pPr>
      <w:r>
        <w:rPr>
          <w:rFonts w:hint="eastAsia"/>
          <w:color w:val="000000"/>
        </w:rPr>
        <w:t>7）单台广播功率放大器失效不应导致整个广播系统失效；</w:t>
      </w:r>
    </w:p>
    <w:p>
      <w:pPr>
        <w:spacing w:line="360" w:lineRule="auto"/>
        <w:ind w:firstLine="480"/>
        <w:rPr>
          <w:color w:val="000000"/>
        </w:rPr>
      </w:pPr>
      <w:r>
        <w:rPr>
          <w:rFonts w:hint="eastAsia"/>
          <w:color w:val="000000"/>
        </w:rPr>
        <w:t>8）单个广播扬声器失效不应导致整个广播分区失效。</w:t>
      </w:r>
    </w:p>
    <w:p>
      <w:pPr>
        <w:spacing w:line="360" w:lineRule="auto"/>
        <w:ind w:firstLine="480"/>
        <w:rPr>
          <w:rFonts w:hint="default" w:ascii="宋体" w:hAnsi="宋体" w:cs="宋体"/>
          <w:lang w:val="en-US" w:eastAsia="zh-CN"/>
        </w:rPr>
      </w:pPr>
      <w:r>
        <w:rPr>
          <w:rFonts w:hint="eastAsia" w:ascii="宋体" w:hAnsi="宋体" w:cs="宋体"/>
        </w:rPr>
        <w:t>应急</w:t>
      </w:r>
      <w:r>
        <w:rPr>
          <w:rFonts w:ascii="宋体" w:hAnsi="宋体" w:cs="宋体"/>
        </w:rPr>
        <w:t>广播系统在博物馆中的应用，主要在以下几方面发挥作用。第一，分区广播功能，实现自动化广播。在博物馆管理中，不同的展室有着不同的展览主题和广播内容。需要预选编排好节目播放表，并对不同区域、不同的时间段指定好播放音频内容，服务器将自动进行分区播放。可以对任意制定展室进行定时广播（定时打铃），对每一个展室内的播放终端进行远程控制，调整相应的播放内容、播放时间、播放音量以及监听。第二，广播寻人功能，为观众提供广播寻人服务。第</w:t>
      </w:r>
      <w:r>
        <w:rPr>
          <w:rFonts w:hint="eastAsia" w:ascii="宋体" w:hAnsi="宋体" w:cs="宋体"/>
        </w:rPr>
        <w:t>三</w:t>
      </w:r>
      <w:r>
        <w:rPr>
          <w:rFonts w:ascii="宋体" w:hAnsi="宋体" w:cs="宋体"/>
        </w:rPr>
        <w:t>，紧急广播通知功能。如遇某些不可控的紧急情况需要广播，例如恶劣天气、管控、临时闭馆通知、单行参观疏散通知、国家政策宣传等事务性广播等原因的影响下，进行临时紧急广播。第四</w:t>
      </w:r>
      <w:r>
        <w:rPr>
          <w:rFonts w:hint="eastAsia" w:ascii="宋体" w:hAnsi="宋体" w:cs="宋体"/>
          <w:lang w:eastAsia="zh-CN"/>
        </w:rPr>
        <w:t>，</w:t>
      </w:r>
      <w:r>
        <w:rPr>
          <w:rFonts w:hint="eastAsia" w:ascii="宋体" w:hAnsi="宋体" w:cs="宋体"/>
          <w:lang w:val="en-US" w:eastAsia="zh-CN"/>
        </w:rPr>
        <w:t>对防护区域内的潜在不良行为进行远程喊话驱离或警告通知。</w:t>
      </w:r>
    </w:p>
    <w:p>
      <w:pPr>
        <w:pStyle w:val="4"/>
        <w:spacing w:line="360" w:lineRule="auto"/>
        <w:ind w:firstLine="482"/>
        <w:rPr>
          <w:rFonts w:ascii="宋体" w:hAnsi="宋体" w:eastAsia="宋体" w:cs="宋体"/>
          <w:sz w:val="24"/>
          <w:szCs w:val="24"/>
        </w:rPr>
      </w:pPr>
      <w:bookmarkStart w:id="107" w:name="_Toc204328038"/>
      <w:bookmarkStart w:id="108" w:name="_Toc214269590"/>
      <w:r>
        <w:rPr>
          <w:rFonts w:hint="eastAsia" w:ascii="宋体" w:hAnsi="宋体" w:eastAsia="宋体" w:cs="宋体"/>
          <w:sz w:val="24"/>
          <w:szCs w:val="24"/>
        </w:rPr>
        <w:t>6.9、电子巡查子系统</w:t>
      </w:r>
      <w:bookmarkEnd w:id="107"/>
      <w:bookmarkEnd w:id="108"/>
      <w:r>
        <w:rPr>
          <w:rFonts w:hint="eastAsia" w:ascii="宋体" w:hAnsi="宋体" w:eastAsia="宋体" w:cs="宋体"/>
          <w:sz w:val="24"/>
          <w:szCs w:val="24"/>
        </w:rPr>
        <w:t>性能指标和实现功能</w:t>
      </w:r>
    </w:p>
    <w:p>
      <w:pPr>
        <w:spacing w:line="360" w:lineRule="auto"/>
        <w:ind w:firstLine="480"/>
        <w:rPr>
          <w:color w:val="000000"/>
        </w:rPr>
      </w:pPr>
      <w:r>
        <w:rPr>
          <w:rFonts w:hint="eastAsia"/>
          <w:color w:val="000000"/>
        </w:rPr>
        <w:t>1）采集装置应能存储不少于4000余条的巡查信息;</w:t>
      </w:r>
    </w:p>
    <w:p>
      <w:pPr>
        <w:spacing w:line="360" w:lineRule="auto"/>
        <w:ind w:firstLine="480"/>
        <w:rPr>
          <w:color w:val="000000"/>
        </w:rPr>
      </w:pPr>
      <w:r>
        <w:rPr>
          <w:rFonts w:hint="eastAsia"/>
          <w:color w:val="000000"/>
        </w:rPr>
        <w:t>2）采集装置或识读装置的识读响应时间应小于1s;</w:t>
      </w:r>
    </w:p>
    <w:p>
      <w:pPr>
        <w:spacing w:line="360" w:lineRule="auto"/>
        <w:ind w:firstLine="480"/>
        <w:rPr>
          <w:color w:val="000000"/>
        </w:rPr>
      </w:pPr>
      <w:r>
        <w:rPr>
          <w:rFonts w:hint="eastAsia"/>
          <w:color w:val="000000"/>
        </w:rPr>
        <w:t>3）采集装置或识读装置采用非接触方式的识读距离应大于2cm;</w:t>
      </w:r>
    </w:p>
    <w:p>
      <w:pPr>
        <w:spacing w:line="360" w:lineRule="auto"/>
        <w:ind w:firstLine="480"/>
        <w:rPr>
          <w:color w:val="000000"/>
        </w:rPr>
      </w:pPr>
      <w:r>
        <w:rPr>
          <w:rFonts w:hint="eastAsia"/>
          <w:color w:val="000000"/>
        </w:rPr>
        <w:t>4）巡查的信息采集点(巡查点)的数目应符合设计与使用要求，其安装高度离地1.3～1.5m；</w:t>
      </w:r>
    </w:p>
    <w:p>
      <w:pPr>
        <w:spacing w:line="360" w:lineRule="auto"/>
        <w:ind w:firstLine="480"/>
        <w:rPr>
          <w:color w:val="000000"/>
        </w:rPr>
      </w:pPr>
      <w:r>
        <w:rPr>
          <w:rFonts w:hint="eastAsia"/>
          <w:color w:val="000000"/>
        </w:rPr>
        <w:t>5）在授权下可按时间、地点、路线、区域、人员、班次等方式对巡查记录查询、统计；</w:t>
      </w:r>
    </w:p>
    <w:p>
      <w:pPr>
        <w:spacing w:line="360" w:lineRule="auto"/>
        <w:ind w:firstLine="480"/>
        <w:rPr>
          <w:color w:val="000000"/>
        </w:rPr>
      </w:pPr>
      <w:bookmarkStart w:id="109" w:name="_Toc15150"/>
      <w:r>
        <w:rPr>
          <w:rFonts w:hint="eastAsia"/>
          <w:color w:val="000000"/>
        </w:rPr>
        <w:t>6）系统巡查信息在管理终端(管理中心)中保存应不少于30天。</w:t>
      </w:r>
      <w:bookmarkEnd w:id="109"/>
    </w:p>
    <w:p>
      <w:pPr>
        <w:spacing w:line="360" w:lineRule="auto"/>
        <w:ind w:firstLine="480"/>
        <w:rPr>
          <w:rFonts w:ascii="宋体" w:hAnsi="宋体" w:cs="宋体"/>
        </w:rPr>
      </w:pPr>
      <w:r>
        <w:rPr>
          <w:rFonts w:ascii="宋体" w:hAnsi="宋体" w:cs="宋体"/>
        </w:rPr>
        <w:t>电子巡检系统是实现监督管理巡逻人员是否按规定路线，在规定的时间内，巡逻了规定的数量的巡逻地点的最有效的、最科学的、技防与人防相协调一致的系统；其主要特点可助提高巡逻工作人员的责任心、积极性，及时消除隐患，防患于未然。</w:t>
      </w:r>
      <w:r>
        <w:fldChar w:fldCharType="begin"/>
      </w:r>
      <w:r>
        <w:instrText xml:space="preserve"> HYPERLINK "https://baike.baidu.com/item/%E7%94%B5%E5%AD%90%E5%B7%A1%E6%9B%B4%E7%B3%BB%E7%BB%9F/0?fromModule=lemma_inlink" \t "https://baike.baidu.com/item/%E7%94%B5%E5%AD%90%E5%B7%A1%E6%A3%80%E7%B3%BB%E7%BB%9F/_blank" </w:instrText>
      </w:r>
      <w:r>
        <w:fldChar w:fldCharType="separate"/>
      </w:r>
      <w:r>
        <w:rPr>
          <w:rFonts w:ascii="宋体" w:hAnsi="宋体" w:cs="宋体"/>
        </w:rPr>
        <w:t>电子巡更系统</w:t>
      </w:r>
      <w:r>
        <w:rPr>
          <w:rFonts w:ascii="宋体" w:hAnsi="宋体" w:cs="宋体"/>
        </w:rPr>
        <w:fldChar w:fldCharType="end"/>
      </w:r>
      <w:r>
        <w:rPr>
          <w:rFonts w:ascii="宋体" w:hAnsi="宋体" w:cs="宋体"/>
        </w:rPr>
        <w:t>是</w:t>
      </w:r>
      <w:r>
        <w:fldChar w:fldCharType="begin"/>
      </w:r>
      <w:r>
        <w:instrText xml:space="preserve"> HYPERLINK "https://baike.baidu.com/item/%E5%AE%89%E5%85%A8%E9%98%B2%E8%8C%83%E6%8A%80%E6%9C%AF/0?fromModule=lemma_inlink" \t "https://baike.baidu.com/item/%E7%94%B5%E5%AD%90%E5%B7%A1%E6%A3%80%E7%B3%BB%E7%BB%9F/_blank" </w:instrText>
      </w:r>
      <w:r>
        <w:fldChar w:fldCharType="separate"/>
      </w:r>
      <w:r>
        <w:rPr>
          <w:rFonts w:ascii="宋体" w:hAnsi="宋体" w:cs="宋体"/>
        </w:rPr>
        <w:t>安全防范技术</w:t>
      </w:r>
      <w:r>
        <w:rPr>
          <w:rFonts w:ascii="宋体" w:hAnsi="宋体" w:cs="宋体"/>
        </w:rPr>
        <w:fldChar w:fldCharType="end"/>
      </w:r>
      <w:r>
        <w:rPr>
          <w:rFonts w:ascii="宋体" w:hAnsi="宋体" w:cs="宋体"/>
        </w:rPr>
        <w:t>体系中的一个重要组成部分，是一种先进的综合性管理体系，它要求巡逻人员及时准确地到位，同时它又把巡逻人员巡逻的全部或部分情况记录下来，并为日后对某些突发事件的处理提供了方便的条件及重要的依据。</w:t>
      </w:r>
      <w:r>
        <w:fldChar w:fldCharType="begin"/>
      </w:r>
      <w:r>
        <w:instrText xml:space="preserve"> HYPERLINK "https://baike.baidu.com/item/%E7%94%B5%E5%AD%90%E5%B7%A1%E6%9B%B4%E7%B3%BB%E7%BB%9F/1282026?fromModule=lemma_inlink" \t "https://baike.baidu.com/item/%E7%94%B5%E5%AD%90%E5%B7%A1%E6%A3%80%E7%B3%BB%E7%BB%9F/_blank" </w:instrText>
      </w:r>
      <w:r>
        <w:fldChar w:fldCharType="separate"/>
      </w:r>
      <w:r>
        <w:rPr>
          <w:rFonts w:ascii="宋体" w:hAnsi="宋体" w:cs="宋体"/>
        </w:rPr>
        <w:t>电子巡更系统</w:t>
      </w:r>
      <w:r>
        <w:rPr>
          <w:rFonts w:ascii="宋体" w:hAnsi="宋体" w:cs="宋体"/>
        </w:rPr>
        <w:fldChar w:fldCharType="end"/>
      </w:r>
      <w:r>
        <w:rPr>
          <w:rFonts w:ascii="宋体" w:hAnsi="宋体" w:cs="宋体"/>
        </w:rPr>
        <w:t>要求巡逻人员及时准确的到位。因为只有人员的及时准确到位，才可以对损坏及破坏行为进行快速反应，同时对破坏分子也有强大的心理威慑作用；而人员的及时准确到位又能及时发现隐患，预防破坏，减少事故，所以它是对</w:t>
      </w:r>
      <w:r>
        <w:rPr>
          <w:rFonts w:hint="eastAsia" w:ascii="宋体" w:hAnsi="宋体" w:cs="宋体"/>
        </w:rPr>
        <w:t>博物馆安全防护</w:t>
      </w:r>
      <w:r>
        <w:rPr>
          <w:rFonts w:ascii="宋体" w:hAnsi="宋体" w:cs="宋体"/>
        </w:rPr>
        <w:t>进行巡逻的一个很重要的预防手段。</w:t>
      </w:r>
    </w:p>
    <w:p>
      <w:pPr>
        <w:pStyle w:val="4"/>
        <w:spacing w:line="360" w:lineRule="auto"/>
        <w:ind w:firstLine="482"/>
        <w:rPr>
          <w:rFonts w:hint="eastAsia" w:ascii="宋体" w:hAnsi="宋体" w:eastAsia="宋体" w:cs="宋体"/>
          <w:sz w:val="24"/>
          <w:szCs w:val="24"/>
        </w:rPr>
      </w:pPr>
      <w:bookmarkStart w:id="110" w:name="_Toc214269591"/>
      <w:r>
        <w:rPr>
          <w:rFonts w:hint="eastAsia" w:ascii="宋体" w:hAnsi="宋体" w:eastAsia="宋体" w:cs="宋体"/>
          <w:sz w:val="24"/>
          <w:szCs w:val="24"/>
        </w:rPr>
        <w:t>6.10、综合布线子系统</w:t>
      </w:r>
      <w:bookmarkEnd w:id="110"/>
      <w:r>
        <w:rPr>
          <w:rFonts w:hint="eastAsia" w:ascii="宋体" w:hAnsi="宋体" w:eastAsia="宋体" w:cs="宋体"/>
          <w:sz w:val="24"/>
          <w:szCs w:val="24"/>
        </w:rPr>
        <w:t>性能指标和实现功能</w:t>
      </w:r>
    </w:p>
    <w:p>
      <w:pPr>
        <w:spacing w:line="360" w:lineRule="auto"/>
        <w:ind w:firstLine="480"/>
        <w:rPr>
          <w:color w:val="000000"/>
        </w:rPr>
      </w:pPr>
      <w:r>
        <w:rPr>
          <w:rFonts w:hint="eastAsia"/>
          <w:color w:val="000000"/>
        </w:rPr>
        <w:t>1）高可靠性：支持7×24小时连续运行，关键区域（文物库房、展厅）线路冗余设计；</w:t>
      </w:r>
    </w:p>
    <w:p>
      <w:pPr>
        <w:spacing w:line="360" w:lineRule="auto"/>
        <w:ind w:firstLine="480"/>
        <w:rPr>
          <w:color w:val="000000"/>
        </w:rPr>
      </w:pPr>
      <w:r>
        <w:rPr>
          <w:rFonts w:hint="eastAsia"/>
          <w:color w:val="000000"/>
        </w:rPr>
        <w:t>2）前瞻性与扩展性：满足未来10年智慧博物馆升级需求，主干带宽≥10Gbps，水平布线≥1Gbps；</w:t>
      </w:r>
    </w:p>
    <w:p>
      <w:pPr>
        <w:spacing w:line="360" w:lineRule="auto"/>
        <w:ind w:firstLine="480"/>
        <w:rPr>
          <w:color w:val="000000"/>
        </w:rPr>
      </w:pPr>
      <w:r>
        <w:rPr>
          <w:rFonts w:hint="eastAsia"/>
          <w:color w:val="000000"/>
        </w:rPr>
        <w:t>3）环境适应性：所有材料耐高温（-20℃~+70℃）、防沙尘、抗紫外线（吐鲁番年日照3000+小时）；</w:t>
      </w:r>
    </w:p>
    <w:p>
      <w:pPr>
        <w:spacing w:line="360" w:lineRule="auto"/>
        <w:ind w:firstLine="480"/>
        <w:rPr>
          <w:color w:val="000000"/>
        </w:rPr>
      </w:pPr>
      <w:bookmarkStart w:id="111" w:name="_Toc28016"/>
      <w:r>
        <w:rPr>
          <w:rFonts w:hint="eastAsia"/>
          <w:color w:val="000000"/>
        </w:rPr>
        <w:t>4）主干布线系统（垂直子系统）</w:t>
      </w:r>
      <w:bookmarkEnd w:id="111"/>
    </w:p>
    <w:p>
      <w:pPr>
        <w:spacing w:line="360" w:lineRule="auto"/>
        <w:ind w:left="480" w:leftChars="200" w:firstLine="480"/>
        <w:rPr>
          <w:rFonts w:ascii="宋体" w:hAnsi="宋体" w:cs="宋体"/>
        </w:rPr>
      </w:pPr>
      <w:r>
        <w:rPr>
          <w:rFonts w:hint="eastAsia" w:ascii="宋体" w:hAnsi="宋体" w:cs="宋体"/>
        </w:rPr>
        <w:t>a)介质类型：单模光缆（OS2等级），支持40G/100G传输；核心机房与配线间采用24芯以上光缆；</w:t>
      </w:r>
    </w:p>
    <w:p>
      <w:pPr>
        <w:spacing w:line="360" w:lineRule="auto"/>
        <w:ind w:left="480" w:leftChars="200" w:firstLine="480"/>
        <w:rPr>
          <w:color w:val="000000"/>
        </w:rPr>
      </w:pPr>
      <w:r>
        <w:rPr>
          <w:rFonts w:hint="eastAsia" w:ascii="宋体" w:hAnsi="宋体" w:cs="宋体"/>
        </w:rPr>
        <w:t>b)</w:t>
      </w:r>
      <w:r>
        <w:rPr>
          <w:rFonts w:hint="eastAsia"/>
          <w:color w:val="000000"/>
        </w:rPr>
        <w:t>桥架与管道：金属镀锌桥架（厚度≥1.2mm），防火等级A级；管道采用镀锌钢管（SC管），内径≥40mm。</w:t>
      </w:r>
    </w:p>
    <w:p>
      <w:pPr>
        <w:spacing w:line="360" w:lineRule="auto"/>
        <w:ind w:firstLine="480"/>
        <w:rPr>
          <w:color w:val="000000"/>
        </w:rPr>
      </w:pPr>
      <w:bookmarkStart w:id="112" w:name="_Toc1311"/>
      <w:r>
        <w:rPr>
          <w:rFonts w:hint="eastAsia"/>
          <w:color w:val="000000"/>
        </w:rPr>
        <w:t>5）水平布线系统</w:t>
      </w:r>
      <w:bookmarkEnd w:id="112"/>
    </w:p>
    <w:p>
      <w:pPr>
        <w:spacing w:line="360" w:lineRule="auto"/>
        <w:ind w:left="480" w:leftChars="200" w:firstLine="480"/>
        <w:rPr>
          <w:color w:val="000000"/>
        </w:rPr>
      </w:pPr>
      <w:r>
        <w:rPr>
          <w:rFonts w:hint="eastAsia" w:ascii="宋体" w:hAnsi="宋体" w:cs="宋体"/>
        </w:rPr>
        <w:t>a)</w:t>
      </w:r>
      <w:r>
        <w:rPr>
          <w:rFonts w:hint="eastAsia"/>
          <w:color w:val="000000"/>
        </w:rPr>
        <w:t>线缆类型：六类非屏蔽双绞线（CAT6 UTP），带十字骨架隔离，传输带宽≥250MHz；</w:t>
      </w:r>
    </w:p>
    <w:p>
      <w:pPr>
        <w:spacing w:line="360" w:lineRule="auto"/>
        <w:ind w:left="480" w:leftChars="200" w:firstLine="480"/>
        <w:rPr>
          <w:color w:val="000000"/>
        </w:rPr>
      </w:pPr>
      <w:r>
        <w:rPr>
          <w:rFonts w:hint="eastAsia" w:ascii="宋体" w:hAnsi="宋体" w:cs="宋体"/>
        </w:rPr>
        <w:t>b)</w:t>
      </w:r>
      <w:r>
        <w:rPr>
          <w:rFonts w:hint="eastAsia"/>
          <w:color w:val="000000"/>
        </w:rPr>
        <w:t>信息点密度：展厅每30㎡≥2个（1数据内网+1数据外网）；文物库房每20㎡≥2个（数据+备用）；</w:t>
      </w:r>
    </w:p>
    <w:p>
      <w:pPr>
        <w:spacing w:line="360" w:lineRule="auto"/>
        <w:ind w:firstLine="960" w:firstLineChars="400"/>
        <w:rPr>
          <w:color w:val="000000"/>
        </w:rPr>
      </w:pPr>
      <w:r>
        <w:rPr>
          <w:rFonts w:hint="eastAsia" w:ascii="宋体" w:hAnsi="宋体" w:cs="宋体"/>
        </w:rPr>
        <w:t>c)</w:t>
      </w:r>
      <w:r>
        <w:rPr>
          <w:rFonts w:hint="eastAsia"/>
          <w:color w:val="000000"/>
        </w:rPr>
        <w:t>插座模块：六类全金属模块（带防尘盖），插拔寿命≥1000次。</w:t>
      </w:r>
    </w:p>
    <w:p>
      <w:pPr>
        <w:spacing w:line="360" w:lineRule="auto"/>
        <w:ind w:firstLine="480"/>
        <w:rPr>
          <w:color w:val="000000"/>
        </w:rPr>
      </w:pPr>
      <w:bookmarkStart w:id="113" w:name="_Toc8970"/>
      <w:r>
        <w:rPr>
          <w:rFonts w:hint="eastAsia"/>
          <w:color w:val="000000"/>
        </w:rPr>
        <w:t>6）作区子系统</w:t>
      </w:r>
      <w:bookmarkEnd w:id="113"/>
    </w:p>
    <w:p>
      <w:pPr>
        <w:spacing w:line="360" w:lineRule="auto"/>
        <w:ind w:firstLine="960" w:firstLineChars="400"/>
        <w:rPr>
          <w:color w:val="000000"/>
        </w:rPr>
      </w:pPr>
      <w:r>
        <w:rPr>
          <w:rFonts w:hint="eastAsia" w:ascii="宋体" w:hAnsi="宋体" w:cs="宋体"/>
        </w:rPr>
        <w:t>a)</w:t>
      </w:r>
      <w:r>
        <w:rPr>
          <w:rFonts w:hint="eastAsia"/>
          <w:color w:val="000000"/>
        </w:rPr>
        <w:t>面板：86型金属面板（与墙面平齐），表面阳极氧化处理（防腐蚀）；</w:t>
      </w:r>
    </w:p>
    <w:p>
      <w:pPr>
        <w:spacing w:line="360" w:lineRule="auto"/>
        <w:ind w:firstLine="960" w:firstLineChars="400"/>
        <w:rPr>
          <w:color w:val="000000"/>
        </w:rPr>
      </w:pPr>
      <w:r>
        <w:rPr>
          <w:rFonts w:hint="eastAsia" w:ascii="宋体" w:hAnsi="宋体" w:cs="宋体"/>
        </w:rPr>
        <w:t>b)</w:t>
      </w:r>
      <w:r>
        <w:rPr>
          <w:rFonts w:hint="eastAsia"/>
          <w:color w:val="000000"/>
        </w:rPr>
        <w:t>接口标识：彩色标签区分用途：红色（安防）、蓝色（网络）；</w:t>
      </w:r>
    </w:p>
    <w:p>
      <w:pPr>
        <w:spacing w:line="360" w:lineRule="auto"/>
        <w:ind w:firstLine="960" w:firstLineChars="400"/>
        <w:rPr>
          <w:color w:val="000000"/>
        </w:rPr>
      </w:pPr>
      <w:r>
        <w:rPr>
          <w:rFonts w:hint="eastAsia" w:ascii="宋体" w:hAnsi="宋体" w:cs="宋体"/>
        </w:rPr>
        <w:t>c)</w:t>
      </w:r>
      <w:r>
        <w:rPr>
          <w:rFonts w:hint="eastAsia"/>
          <w:color w:val="000000"/>
        </w:rPr>
        <w:t>设备跳线：CAT6 S/UTP跳线（长度≤5m），带应变消除护套。</w:t>
      </w:r>
    </w:p>
    <w:p>
      <w:pPr>
        <w:spacing w:line="360" w:lineRule="auto"/>
        <w:ind w:firstLine="480"/>
        <w:rPr>
          <w:color w:val="000000"/>
        </w:rPr>
      </w:pPr>
      <w:bookmarkStart w:id="114" w:name="_Toc21971"/>
      <w:r>
        <w:rPr>
          <w:rFonts w:hint="eastAsia"/>
          <w:color w:val="000000"/>
        </w:rPr>
        <w:t>7）设备间与机房要求</w:t>
      </w:r>
      <w:bookmarkEnd w:id="114"/>
    </w:p>
    <w:p>
      <w:pPr>
        <w:spacing w:line="360" w:lineRule="auto"/>
        <w:ind w:left="480" w:leftChars="200" w:firstLine="480"/>
        <w:rPr>
          <w:color w:val="000000"/>
        </w:rPr>
      </w:pPr>
      <w:r>
        <w:rPr>
          <w:rFonts w:hint="eastAsia" w:ascii="宋体" w:hAnsi="宋体" w:cs="宋体"/>
        </w:rPr>
        <w:t>a)</w:t>
      </w:r>
      <w:r>
        <w:rPr>
          <w:rFonts w:hint="eastAsia"/>
          <w:color w:val="000000"/>
        </w:rPr>
        <w:t>机柜：42U服务器机柜（深度≥1000mm），前后门通风率≥70%，配备PDU电源;</w:t>
      </w:r>
    </w:p>
    <w:p>
      <w:pPr>
        <w:spacing w:line="360" w:lineRule="auto"/>
        <w:ind w:left="480" w:leftChars="200" w:firstLine="480"/>
        <w:rPr>
          <w:rFonts w:ascii="宋体" w:hAnsi="宋体" w:cs="宋体"/>
        </w:rPr>
      </w:pPr>
      <w:r>
        <w:rPr>
          <w:rFonts w:hint="eastAsia" w:ascii="宋体" w:hAnsi="宋体" w:cs="宋体"/>
        </w:rPr>
        <w:t>b)配线架：模块化24口CAT6配线架（带理线器），光缆配线架支持LC接口;</w:t>
      </w:r>
    </w:p>
    <w:p>
      <w:pPr>
        <w:spacing w:line="360" w:lineRule="auto"/>
        <w:ind w:left="480" w:leftChars="200" w:firstLine="480"/>
        <w:rPr>
          <w:rFonts w:ascii="宋体" w:hAnsi="宋体" w:cs="宋体"/>
        </w:rPr>
      </w:pPr>
      <w:r>
        <w:rPr>
          <w:rFonts w:hint="eastAsia" w:ascii="宋体" w:hAnsi="宋体" w:cs="宋体"/>
        </w:rPr>
        <w:t>c)标签管理：采用TIA-606-B标准：光缆标签（橙色）、双绞线标签（蓝色）;</w:t>
      </w:r>
    </w:p>
    <w:p>
      <w:pPr>
        <w:spacing w:line="360" w:lineRule="auto"/>
        <w:ind w:left="480" w:leftChars="200" w:firstLine="480"/>
        <w:rPr>
          <w:rFonts w:ascii="宋体" w:hAnsi="宋体" w:cs="宋体"/>
        </w:rPr>
      </w:pPr>
      <w:r>
        <w:rPr>
          <w:rFonts w:hint="eastAsia" w:ascii="宋体" w:hAnsi="宋体" w:cs="宋体"/>
        </w:rPr>
        <w:t>d)环境控制：独立空调（24℃±2℃/湿度40%~60%），UPS后备电源≥2小时。</w:t>
      </w:r>
    </w:p>
    <w:p>
      <w:pPr>
        <w:spacing w:line="360" w:lineRule="auto"/>
        <w:ind w:firstLine="480"/>
        <w:rPr>
          <w:color w:val="000000"/>
        </w:rPr>
      </w:pPr>
      <w:bookmarkStart w:id="115" w:name="_Toc9617"/>
      <w:r>
        <w:rPr>
          <w:rFonts w:hint="eastAsia"/>
          <w:color w:val="000000"/>
        </w:rPr>
        <w:t>8）性能测试与验收标准</w:t>
      </w:r>
      <w:bookmarkEnd w:id="115"/>
    </w:p>
    <w:p>
      <w:pPr>
        <w:spacing w:line="360" w:lineRule="auto"/>
        <w:ind w:left="480" w:leftChars="200" w:firstLine="480"/>
        <w:rPr>
          <w:color w:val="000000"/>
        </w:rPr>
      </w:pPr>
      <w:r>
        <w:rPr>
          <w:rFonts w:hint="eastAsia" w:ascii="宋体" w:hAnsi="宋体" w:cs="宋体"/>
        </w:rPr>
        <w:t>a)</w:t>
      </w:r>
      <w:r>
        <w:rPr>
          <w:rFonts w:hint="eastAsia"/>
          <w:color w:val="000000"/>
        </w:rPr>
        <w:t>双绞线：通过FLUKE DSX-8000测试仪认证，指标包括：回波损耗（RL）≥20dB，插入损耗（IL）≤21dB/100m，近端串扰（NEXT）≥44dB；</w:t>
      </w:r>
    </w:p>
    <w:p>
      <w:pPr>
        <w:spacing w:line="360" w:lineRule="auto"/>
        <w:ind w:firstLine="960" w:firstLineChars="400"/>
        <w:rPr>
          <w:color w:val="000000"/>
        </w:rPr>
      </w:pPr>
      <w:r>
        <w:rPr>
          <w:rFonts w:hint="eastAsia" w:ascii="宋体" w:hAnsi="宋体" w:cs="宋体"/>
        </w:rPr>
        <w:t>b)</w:t>
      </w:r>
      <w:r>
        <w:rPr>
          <w:rFonts w:hint="eastAsia"/>
          <w:color w:val="000000"/>
        </w:rPr>
        <w:t>光缆：OTDR测试，衰减≤0.4dB/km（1310nm）、≤0.3dB/km（1550nm）;</w:t>
      </w:r>
    </w:p>
    <w:p>
      <w:pPr>
        <w:spacing w:line="360" w:lineRule="auto"/>
        <w:ind w:left="480" w:leftChars="200" w:firstLine="480"/>
        <w:rPr>
          <w:rFonts w:hint="eastAsia" w:ascii="宋体" w:hAnsi="宋体" w:cs="宋体"/>
        </w:rPr>
      </w:pPr>
      <w:r>
        <w:rPr>
          <w:rFonts w:hint="eastAsia" w:ascii="宋体" w:hAnsi="宋体" w:cs="宋体"/>
        </w:rPr>
        <w:t>c)物理安装验收：线缆弯曲半径≥8倍线径（光缆≥10倍），桥架填充率≤40%，信息点接线图100%正确（T568B标准）。</w:t>
      </w:r>
    </w:p>
    <w:p>
      <w:pPr>
        <w:spacing w:line="360" w:lineRule="auto"/>
        <w:ind w:firstLine="480"/>
        <w:rPr>
          <w:rFonts w:hint="eastAsia"/>
          <w:color w:val="000000"/>
          <w:lang w:val="en-US" w:eastAsia="zh-CN"/>
        </w:rPr>
      </w:pPr>
      <w:r>
        <w:rPr>
          <w:rFonts w:hint="eastAsia"/>
          <w:color w:val="000000"/>
          <w:lang w:val="en-US" w:eastAsia="zh-CN"/>
        </w:rPr>
        <w:t>博物馆信息化将人（包括现场观众和线上观众、展品作者以及相关机构和管理部门）与物（包括藏品，各类设备设施，库房、展厅等场地）之间的信息可动态感知，并通过网络汇集，借助物联网和云计算技术，由综合布线系统为博物馆的信息化系统提供双向多元信息交互的通道。实现对博物馆服务、保护和管理的智能化。</w:t>
      </w:r>
    </w:p>
    <w:p>
      <w:pPr>
        <w:spacing w:line="360" w:lineRule="auto"/>
        <w:ind w:firstLine="480"/>
        <w:rPr>
          <w:rFonts w:hint="eastAsia"/>
          <w:color w:val="000000"/>
          <w:lang w:val="en-US" w:eastAsia="zh-CN"/>
        </w:rPr>
      </w:pPr>
      <w:r>
        <w:rPr>
          <w:rFonts w:hint="eastAsia"/>
          <w:color w:val="000000"/>
          <w:lang w:val="en-US" w:eastAsia="zh-CN"/>
        </w:rPr>
        <w:t>博物馆信息化和多网络系统信息化加以融合，并形成一个“博物云”，实现信息资源共享。</w:t>
      </w:r>
    </w:p>
    <w:p>
      <w:pPr>
        <w:spacing w:line="360" w:lineRule="auto"/>
        <w:ind w:firstLine="480"/>
        <w:rPr>
          <w:rFonts w:hint="default"/>
          <w:color w:val="000000"/>
          <w:lang w:val="en-US" w:eastAsia="zh-CN"/>
        </w:rPr>
      </w:pPr>
      <w:r>
        <w:rPr>
          <w:rFonts w:hint="eastAsia"/>
          <w:color w:val="000000"/>
          <w:lang w:val="en-US" w:eastAsia="zh-CN"/>
        </w:rPr>
        <w:t>博物馆信息化在展区主要考虑实物与多媒体形式的展览方式，对展物采集的数据信息和现场的监测信息需要实时传送的智能网。在公共区域、展区、出入口和文物库房等重点区域的安防网。展区观众流动与线上互动的互联网。业务办公区的互联网和业务专网。</w:t>
      </w:r>
    </w:p>
    <w:p>
      <w:pPr>
        <w:spacing w:line="360" w:lineRule="auto"/>
        <w:ind w:left="480" w:leftChars="200" w:firstLine="480"/>
        <w:rPr>
          <w:rFonts w:hint="eastAsia" w:ascii="宋体" w:hAnsi="宋体" w:cs="宋体"/>
        </w:rPr>
      </w:pPr>
    </w:p>
    <w:p>
      <w:pPr>
        <w:pStyle w:val="4"/>
        <w:spacing w:line="360" w:lineRule="auto"/>
        <w:ind w:firstLine="482"/>
        <w:rPr>
          <w:rFonts w:ascii="宋体" w:hAnsi="宋体" w:eastAsia="宋体" w:cs="宋体"/>
          <w:sz w:val="24"/>
          <w:szCs w:val="24"/>
        </w:rPr>
      </w:pPr>
      <w:bookmarkStart w:id="116" w:name="_Toc204328039"/>
      <w:bookmarkStart w:id="117" w:name="_Toc214269592"/>
      <w:r>
        <w:rPr>
          <w:rFonts w:hint="eastAsia" w:ascii="宋体" w:hAnsi="宋体" w:eastAsia="宋体" w:cs="宋体"/>
          <w:sz w:val="24"/>
          <w:szCs w:val="24"/>
        </w:rPr>
        <w:t>6.11、电源子系统</w:t>
      </w:r>
      <w:bookmarkEnd w:id="116"/>
      <w:bookmarkEnd w:id="117"/>
    </w:p>
    <w:p>
      <w:pPr>
        <w:spacing w:line="360" w:lineRule="auto"/>
        <w:ind w:firstLine="480"/>
        <w:rPr>
          <w:color w:val="000000"/>
        </w:rPr>
      </w:pPr>
      <w:r>
        <w:rPr>
          <w:rFonts w:hint="eastAsia"/>
          <w:color w:val="000000"/>
        </w:rPr>
        <w:t>1）高可靠性:（平均无故障时间）≥200,000小时，支持7×24小时连续运行;</w:t>
      </w:r>
    </w:p>
    <w:p>
      <w:pPr>
        <w:spacing w:line="360" w:lineRule="auto"/>
        <w:ind w:firstLine="480"/>
        <w:rPr>
          <w:color w:val="000000"/>
        </w:rPr>
      </w:pPr>
      <w:r>
        <w:rPr>
          <w:rFonts w:hint="eastAsia"/>
          <w:color w:val="000000"/>
        </w:rPr>
        <w:t xml:space="preserve">2）极端环境适应:工作温度范围：-25℃ ~ +55℃（高温降额后仍满足20kVA输出）,防尘等级：IP54（机柜密封防沙尘，过滤网可拆卸清洗）;  </w:t>
      </w:r>
    </w:p>
    <w:p>
      <w:pPr>
        <w:spacing w:line="360" w:lineRule="auto"/>
        <w:ind w:firstLine="480"/>
        <w:rPr>
          <w:color w:val="000000"/>
        </w:rPr>
      </w:pPr>
      <w:bookmarkStart w:id="118" w:name="_Toc9726"/>
      <w:r>
        <w:rPr>
          <w:rFonts w:hint="eastAsia"/>
          <w:color w:val="000000"/>
        </w:rPr>
        <w:t>3）智能化管理:支持SNMP远程监控;</w:t>
      </w:r>
      <w:bookmarkEnd w:id="118"/>
    </w:p>
    <w:p>
      <w:pPr>
        <w:spacing w:line="360" w:lineRule="auto"/>
        <w:ind w:firstLine="480"/>
        <w:rPr>
          <w:color w:val="000000"/>
        </w:rPr>
      </w:pPr>
      <w:r>
        <w:rPr>
          <w:rFonts w:hint="eastAsia"/>
          <w:color w:val="000000"/>
        </w:rPr>
        <w:t>4）额定容量:20kVA/18kW（功率因数≥0.9），支持≤150%峰值负载（10秒）;</w:t>
      </w:r>
    </w:p>
    <w:p>
      <w:pPr>
        <w:spacing w:line="360" w:lineRule="auto"/>
        <w:ind w:firstLine="480"/>
        <w:rPr>
          <w:color w:val="000000"/>
        </w:rPr>
      </w:pPr>
      <w:r>
        <w:rPr>
          <w:rFonts w:hint="eastAsia"/>
          <w:color w:val="000000"/>
        </w:rPr>
        <w:t>5）输入特性:电压范围：304V~478V（三相四线）,频率范围：45Hz~65Hz,输入功率因数＞0.99（满载时）;</w:t>
      </w:r>
    </w:p>
    <w:p>
      <w:pPr>
        <w:spacing w:line="360" w:lineRule="auto"/>
        <w:ind w:firstLine="480"/>
        <w:rPr>
          <w:color w:val="000000"/>
        </w:rPr>
      </w:pPr>
      <w:r>
        <w:rPr>
          <w:rFonts w:hint="eastAsia"/>
          <w:color w:val="000000"/>
        </w:rPr>
        <w:t>6）输出特性:电压稳压精度：±1%,切换时间：0ms（市电/电池模式切换）,波形失真率：≤2%（线性负载）;</w:t>
      </w:r>
    </w:p>
    <w:p>
      <w:pPr>
        <w:spacing w:line="360" w:lineRule="auto"/>
        <w:ind w:firstLine="480"/>
        <w:rPr>
          <w:color w:val="000000"/>
        </w:rPr>
      </w:pPr>
      <w:bookmarkStart w:id="119" w:name="_Toc9121"/>
      <w:r>
        <w:rPr>
          <w:rFonts w:hint="eastAsia"/>
          <w:color w:val="000000"/>
        </w:rPr>
        <w:t>7）后备电池关键要求</w:t>
      </w:r>
      <w:bookmarkEnd w:id="119"/>
    </w:p>
    <w:p>
      <w:pPr>
        <w:spacing w:line="360" w:lineRule="auto"/>
        <w:ind w:left="480" w:leftChars="200" w:firstLine="480"/>
        <w:rPr>
          <w:color w:val="000000"/>
        </w:rPr>
      </w:pPr>
      <w:r>
        <w:rPr>
          <w:rFonts w:hint="eastAsia"/>
          <w:color w:val="000000"/>
        </w:rPr>
        <w:t>a)电池类型:磷酸铁锂电池（高温性能优于铅酸，寿命≥10年，耐55℃环境）。</w:t>
      </w:r>
    </w:p>
    <w:p>
      <w:pPr>
        <w:spacing w:line="360" w:lineRule="auto"/>
        <w:ind w:firstLine="960" w:firstLineChars="400"/>
        <w:rPr>
          <w:color w:val="000000"/>
        </w:rPr>
      </w:pPr>
      <w:r>
        <w:rPr>
          <w:rFonts w:hint="eastAsia"/>
          <w:color w:val="000000"/>
        </w:rPr>
        <w:t>b)后备时间:≥2小时（满载18kW），支持外接电池柜扩展至8小时。</w:t>
      </w:r>
    </w:p>
    <w:p>
      <w:pPr>
        <w:spacing w:line="360" w:lineRule="auto"/>
        <w:ind w:firstLine="960" w:firstLineChars="400"/>
        <w:rPr>
          <w:color w:val="000000"/>
        </w:rPr>
      </w:pPr>
      <w:r>
        <w:rPr>
          <w:rFonts w:hint="eastAsia"/>
          <w:color w:val="000000"/>
        </w:rPr>
        <w:t>c)报警系统后备电池延时时间：8小时；</w:t>
      </w:r>
    </w:p>
    <w:p>
      <w:pPr>
        <w:spacing w:line="360" w:lineRule="auto"/>
        <w:ind w:firstLine="480"/>
        <w:rPr>
          <w:color w:val="000000"/>
        </w:rPr>
      </w:pPr>
      <w:r>
        <w:rPr>
          <w:rFonts w:hint="eastAsia"/>
          <w:color w:val="000000"/>
        </w:rPr>
        <w:t>8）配电箱要求采用符合国家标准的冷轧钢板。箱体大于等于600mm的用2.0mm厚冷轧钢板；小于600mm的用1.5mm厚冷轧钢板制做，二层底板需用2mm厚冷轧板；</w:t>
      </w:r>
    </w:p>
    <w:p>
      <w:pPr>
        <w:spacing w:line="360" w:lineRule="auto"/>
        <w:ind w:firstLine="480"/>
        <w:rPr>
          <w:color w:val="000000"/>
        </w:rPr>
      </w:pPr>
      <w:r>
        <w:rPr>
          <w:rFonts w:hint="eastAsia"/>
          <w:color w:val="000000"/>
        </w:rPr>
        <w:t>9）配电箱内：地排、零排、必须有预留压线位置，接地螺栓不小于M10镀锌螺栓，接地点必须在箱体内左下角；</w:t>
      </w:r>
    </w:p>
    <w:p>
      <w:pPr>
        <w:spacing w:line="360" w:lineRule="auto"/>
        <w:ind w:firstLine="480"/>
        <w:rPr>
          <w:color w:val="000000"/>
        </w:rPr>
      </w:pPr>
      <w:r>
        <w:rPr>
          <w:rFonts w:hint="eastAsia"/>
          <w:color w:val="000000"/>
        </w:rPr>
        <w:t>10）元器件:所有塑壳断路器、空开，双电源断路器需提供与之配套的电缆接线端子。</w:t>
      </w:r>
    </w:p>
    <w:p>
      <w:pPr>
        <w:pStyle w:val="4"/>
        <w:spacing w:line="360" w:lineRule="auto"/>
        <w:ind w:firstLine="482"/>
        <w:rPr>
          <w:rFonts w:ascii="宋体" w:hAnsi="宋体" w:eastAsia="宋体" w:cs="宋体"/>
          <w:sz w:val="24"/>
          <w:szCs w:val="24"/>
        </w:rPr>
      </w:pPr>
      <w:bookmarkStart w:id="120" w:name="_Toc204328040"/>
      <w:bookmarkStart w:id="121" w:name="_Toc214269593"/>
      <w:r>
        <w:rPr>
          <w:rFonts w:hint="eastAsia" w:ascii="宋体" w:hAnsi="宋体" w:eastAsia="宋体" w:cs="宋体"/>
          <w:sz w:val="24"/>
          <w:szCs w:val="24"/>
        </w:rPr>
        <w:t>6.12、传输系统</w:t>
      </w:r>
      <w:bookmarkEnd w:id="120"/>
      <w:bookmarkEnd w:id="121"/>
    </w:p>
    <w:p>
      <w:pPr>
        <w:spacing w:line="360" w:lineRule="auto"/>
        <w:ind w:firstLine="480"/>
        <w:rPr>
          <w:color w:val="000000"/>
        </w:rPr>
      </w:pPr>
      <w:bookmarkStart w:id="122" w:name="_Toc485727908"/>
      <w:bookmarkStart w:id="123" w:name="_Toc482701764"/>
      <w:r>
        <w:rPr>
          <w:rFonts w:hint="eastAsia"/>
          <w:color w:val="000000"/>
        </w:rPr>
        <w:t>1）架构设计：全光网（FTTD）+工业级无线双冗余，核心层万兆冗余，接入层千兆上联;</w:t>
      </w:r>
    </w:p>
    <w:p>
      <w:pPr>
        <w:spacing w:line="360" w:lineRule="auto"/>
        <w:ind w:firstLine="480"/>
        <w:rPr>
          <w:color w:val="000000"/>
        </w:rPr>
      </w:pPr>
      <w:r>
        <w:rPr>
          <w:rFonts w:hint="eastAsia"/>
          <w:color w:val="000000"/>
        </w:rPr>
        <w:t>2）可靠性：关键节点（安防中心、库房）传输链路冗余热备，业务切换时间≤50ms;</w:t>
      </w:r>
    </w:p>
    <w:p>
      <w:pPr>
        <w:spacing w:line="360" w:lineRule="auto"/>
        <w:ind w:firstLine="480"/>
        <w:rPr>
          <w:color w:val="000000"/>
        </w:rPr>
      </w:pPr>
      <w:r>
        <w:rPr>
          <w:rFonts w:hint="eastAsia"/>
          <w:color w:val="000000"/>
        </w:rPr>
        <w:t>3）环境适应性：设备工作温度：-40℃~+75℃，防尘等级IP65（室外）/ IP54（室内）;</w:t>
      </w:r>
    </w:p>
    <w:p>
      <w:pPr>
        <w:spacing w:line="360" w:lineRule="auto"/>
        <w:ind w:firstLine="480"/>
        <w:rPr>
          <w:color w:val="000000"/>
        </w:rPr>
      </w:pPr>
      <w:r>
        <w:rPr>
          <w:rFonts w:hint="eastAsia"/>
          <w:color w:val="000000"/>
        </w:rPr>
        <w:t>4）安全合规：支持国密SM4算法加密传输，符合《信息安全技术网络安全等级保护基本要求》;</w:t>
      </w:r>
    </w:p>
    <w:p>
      <w:pPr>
        <w:spacing w:line="360" w:lineRule="auto"/>
        <w:ind w:firstLine="480"/>
        <w:rPr>
          <w:color w:val="000000"/>
        </w:rPr>
      </w:pPr>
      <w:bookmarkStart w:id="124" w:name="_Toc2586"/>
      <w:r>
        <w:rPr>
          <w:rFonts w:hint="eastAsia"/>
          <w:color w:val="000000"/>
        </w:rPr>
        <w:t>5）核心层（安防中心→各楼层配线间）</w:t>
      </w:r>
      <w:bookmarkEnd w:id="124"/>
    </w:p>
    <w:p>
      <w:pPr>
        <w:spacing w:line="360" w:lineRule="auto"/>
        <w:ind w:left="480" w:leftChars="200" w:firstLine="480"/>
        <w:rPr>
          <w:color w:val="000000"/>
        </w:rPr>
      </w:pPr>
      <w:r>
        <w:rPr>
          <w:rFonts w:hint="eastAsia"/>
          <w:color w:val="000000"/>
        </w:rPr>
        <w:t>a)介质：单模铠装光缆（GYTA-24B1），支持100G波分复用（CWDM），预留4芯冗余；</w:t>
      </w:r>
    </w:p>
    <w:p>
      <w:pPr>
        <w:spacing w:line="360" w:lineRule="auto"/>
        <w:ind w:left="480" w:leftChars="200" w:firstLine="480"/>
        <w:rPr>
          <w:color w:val="000000"/>
        </w:rPr>
      </w:pPr>
      <w:r>
        <w:rPr>
          <w:rFonts w:hint="eastAsia"/>
          <w:color w:val="000000"/>
        </w:rPr>
        <w:t>b)核心交换机：背板带宽≥10Tbps，包转发率≥720Mpps，双电源/双引擎，支持VRRP虚拟化，48口万兆光口+4口40G QSFP+上行 ；</w:t>
      </w:r>
    </w:p>
    <w:p>
      <w:pPr>
        <w:spacing w:line="360" w:lineRule="auto"/>
        <w:ind w:left="480" w:leftChars="200" w:firstLine="480"/>
        <w:rPr>
          <w:color w:val="000000"/>
        </w:rPr>
      </w:pPr>
      <w:r>
        <w:rPr>
          <w:rFonts w:hint="eastAsia"/>
          <w:color w:val="000000"/>
        </w:rPr>
        <w:t>c)传输协议：光纤通道采用 ERPS以太环网协议（自愈时间＜20ms），禁用STP。</w:t>
      </w:r>
    </w:p>
    <w:p>
      <w:pPr>
        <w:spacing w:line="360" w:lineRule="auto"/>
        <w:ind w:firstLine="480"/>
        <w:rPr>
          <w:color w:val="000000"/>
        </w:rPr>
      </w:pPr>
      <w:bookmarkStart w:id="125" w:name="_Toc16435"/>
      <w:r>
        <w:rPr>
          <w:rFonts w:hint="eastAsia"/>
          <w:color w:val="000000"/>
        </w:rPr>
        <w:t>6）接入层（配线间→终端设备）</w:t>
      </w:r>
      <w:bookmarkEnd w:id="125"/>
    </w:p>
    <w:p>
      <w:pPr>
        <w:spacing w:line="360" w:lineRule="auto"/>
        <w:ind w:left="480" w:leftChars="200" w:firstLine="480"/>
        <w:rPr>
          <w:color w:val="000000"/>
        </w:rPr>
      </w:pPr>
      <w:r>
        <w:rPr>
          <w:rFonts w:hint="eastAsia"/>
          <w:color w:val="000000"/>
        </w:rPr>
        <w:t>a)接入交换机：工业级全千兆交换机，支持IEEE 802.3bt/at/af供电标准，MAC地址绑定+端口隔离（防私接）；</w:t>
      </w:r>
    </w:p>
    <w:p>
      <w:pPr>
        <w:spacing w:line="360" w:lineRule="auto"/>
        <w:ind w:firstLine="960" w:firstLineChars="400"/>
        <w:rPr>
          <w:color w:val="000000"/>
        </w:rPr>
      </w:pPr>
      <w:r>
        <w:rPr>
          <w:rFonts w:hint="eastAsia"/>
          <w:color w:val="000000"/>
        </w:rPr>
        <w:t>b)线缆：CAT6 UTP（传输距离≤80m）；</w:t>
      </w:r>
    </w:p>
    <w:p>
      <w:pPr>
        <w:spacing w:line="360" w:lineRule="auto"/>
        <w:ind w:firstLine="960" w:firstLineChars="400"/>
        <w:rPr>
          <w:color w:val="000000"/>
        </w:rPr>
      </w:pPr>
      <w:r>
        <w:rPr>
          <w:rFonts w:hint="eastAsia"/>
          <w:color w:val="000000"/>
        </w:rPr>
        <w:t>c)端口规划：安防设备独享VLAN。</w:t>
      </w:r>
    </w:p>
    <w:p>
      <w:pPr>
        <w:pStyle w:val="4"/>
        <w:spacing w:line="360" w:lineRule="auto"/>
        <w:ind w:firstLine="482"/>
        <w:rPr>
          <w:rFonts w:ascii="宋体" w:hAnsi="宋体" w:eastAsia="宋体" w:cs="宋体"/>
          <w:sz w:val="24"/>
          <w:szCs w:val="24"/>
        </w:rPr>
      </w:pPr>
      <w:bookmarkStart w:id="126" w:name="_Toc214269594"/>
      <w:r>
        <w:rPr>
          <w:rFonts w:hint="eastAsia" w:ascii="宋体" w:hAnsi="宋体" w:eastAsia="宋体" w:cs="宋体"/>
          <w:sz w:val="24"/>
          <w:szCs w:val="24"/>
        </w:rPr>
        <w:t>6.13、监控中心</w:t>
      </w:r>
      <w:bookmarkEnd w:id="126"/>
    </w:p>
    <w:p>
      <w:pPr>
        <w:spacing w:line="360" w:lineRule="auto"/>
        <w:ind w:firstLine="480"/>
        <w:rPr>
          <w:color w:val="000000"/>
        </w:rPr>
      </w:pPr>
      <w:r>
        <w:rPr>
          <w:rFonts w:hint="eastAsia"/>
          <w:color w:val="000000"/>
        </w:rPr>
        <w:t>1）监控中心室内温度宜为16-30℃;</w:t>
      </w:r>
    </w:p>
    <w:p>
      <w:pPr>
        <w:spacing w:line="360" w:lineRule="auto"/>
        <w:ind w:firstLine="480"/>
        <w:rPr>
          <w:color w:val="000000"/>
        </w:rPr>
      </w:pPr>
      <w:r>
        <w:rPr>
          <w:rFonts w:hint="eastAsia"/>
          <w:color w:val="000000"/>
        </w:rPr>
        <w:t>2）监控中心应有良好的照明，照度不低于150Lux;</w:t>
      </w:r>
    </w:p>
    <w:p>
      <w:pPr>
        <w:spacing w:line="360" w:lineRule="auto"/>
        <w:ind w:firstLine="480"/>
        <w:rPr>
          <w:color w:val="000000"/>
        </w:rPr>
      </w:pPr>
      <w:r>
        <w:rPr>
          <w:rFonts w:hint="eastAsia"/>
          <w:color w:val="000000"/>
        </w:rPr>
        <w:t>3）电视墙、机柜的背面和侧面与墙体的净距离不应小于0.8m;</w:t>
      </w:r>
    </w:p>
    <w:p>
      <w:pPr>
        <w:spacing w:line="360" w:lineRule="auto"/>
        <w:ind w:firstLine="480"/>
        <w:rPr>
          <w:color w:val="000000"/>
        </w:rPr>
      </w:pPr>
      <w:r>
        <w:rPr>
          <w:rFonts w:hint="eastAsia"/>
          <w:color w:val="000000"/>
        </w:rPr>
        <w:t>4）控制台正面与墙的净距离不应小于1.2m,侧面与墙或其他设备的净距离，在主要走道不应小于1.5m,在次要走道不应小于0.8m;</w:t>
      </w:r>
    </w:p>
    <w:p>
      <w:pPr>
        <w:spacing w:line="360" w:lineRule="auto"/>
        <w:ind w:firstLine="480"/>
        <w:rPr>
          <w:color w:val="000000"/>
        </w:rPr>
      </w:pPr>
      <w:r>
        <w:rPr>
          <w:rFonts w:hint="eastAsia"/>
          <w:color w:val="000000"/>
        </w:rPr>
        <w:t>5）监控中心室内电缆、控制线敷设要整齐规整，地面敷设时要在防静电地板下部的金属线槽内，垂直敷设时也要敷设在金属线槽内;</w:t>
      </w:r>
    </w:p>
    <w:p>
      <w:pPr>
        <w:spacing w:line="360" w:lineRule="auto"/>
        <w:ind w:firstLine="480"/>
        <w:rPr>
          <w:color w:val="000000"/>
        </w:rPr>
      </w:pPr>
      <w:r>
        <w:rPr>
          <w:rFonts w:hint="eastAsia"/>
          <w:color w:val="000000"/>
        </w:rPr>
        <w:t>6）配置55英寸液晶拼接屏;</w:t>
      </w:r>
    </w:p>
    <w:p>
      <w:pPr>
        <w:spacing w:line="360" w:lineRule="auto"/>
        <w:ind w:firstLine="480"/>
        <w:rPr>
          <w:color w:val="000000"/>
        </w:rPr>
      </w:pPr>
      <w:r>
        <w:rPr>
          <w:rFonts w:hint="eastAsia"/>
          <w:color w:val="000000"/>
        </w:rPr>
        <w:t>7）物防设施</w:t>
      </w:r>
    </w:p>
    <w:p>
      <w:pPr>
        <w:spacing w:line="360" w:lineRule="auto"/>
        <w:ind w:firstLine="960" w:firstLineChars="400"/>
        <w:rPr>
          <w:color w:val="000000"/>
        </w:rPr>
      </w:pPr>
      <w:r>
        <w:rPr>
          <w:rFonts w:hint="eastAsia"/>
          <w:color w:val="000000"/>
        </w:rPr>
        <w:t>a)监控中心的门应为甲级安全防盗门；</w:t>
      </w:r>
    </w:p>
    <w:p>
      <w:pPr>
        <w:spacing w:line="360" w:lineRule="auto"/>
        <w:ind w:firstLine="960" w:firstLineChars="400"/>
        <w:rPr>
          <w:color w:val="000000"/>
        </w:rPr>
      </w:pPr>
      <w:r>
        <w:rPr>
          <w:rFonts w:hint="eastAsia"/>
          <w:color w:val="000000"/>
        </w:rPr>
        <w:t>b)监控中心窗户应加防护设施;</w:t>
      </w:r>
    </w:p>
    <w:p>
      <w:pPr>
        <w:spacing w:line="360" w:lineRule="auto"/>
        <w:ind w:firstLine="480"/>
        <w:rPr>
          <w:color w:val="000000"/>
        </w:rPr>
      </w:pPr>
      <w:bookmarkStart w:id="127" w:name="_Toc29017"/>
      <w:r>
        <w:rPr>
          <w:rFonts w:hint="eastAsia"/>
          <w:color w:val="000000"/>
        </w:rPr>
        <w:t>8）技防设备：</w:t>
      </w:r>
      <w:bookmarkEnd w:id="127"/>
    </w:p>
    <w:p>
      <w:pPr>
        <w:spacing w:line="360" w:lineRule="auto"/>
        <w:ind w:firstLine="960" w:firstLineChars="400"/>
        <w:rPr>
          <w:color w:val="000000"/>
        </w:rPr>
      </w:pPr>
      <w:r>
        <w:rPr>
          <w:rFonts w:hint="eastAsia"/>
          <w:color w:val="000000"/>
        </w:rPr>
        <w:t>a)机房地面敷设防静电地板；</w:t>
      </w:r>
    </w:p>
    <w:p>
      <w:pPr>
        <w:spacing w:line="360" w:lineRule="auto"/>
        <w:ind w:firstLine="960" w:firstLineChars="400"/>
        <w:rPr>
          <w:color w:val="000000"/>
        </w:rPr>
      </w:pPr>
      <w:r>
        <w:rPr>
          <w:rFonts w:hint="eastAsia"/>
          <w:color w:val="000000"/>
        </w:rPr>
        <w:t>b)配置专用的安防操作台；</w:t>
      </w:r>
    </w:p>
    <w:p>
      <w:pPr>
        <w:spacing w:line="360" w:lineRule="auto"/>
        <w:ind w:firstLine="960" w:firstLineChars="400"/>
        <w:rPr>
          <w:color w:val="000000"/>
        </w:rPr>
      </w:pPr>
      <w:r>
        <w:rPr>
          <w:rFonts w:hint="eastAsia"/>
          <w:color w:val="000000"/>
        </w:rPr>
        <w:t>c)外围安装报警探测和视频监控设备；</w:t>
      </w:r>
    </w:p>
    <w:p>
      <w:pPr>
        <w:spacing w:line="360" w:lineRule="auto"/>
        <w:ind w:firstLine="960" w:firstLineChars="400"/>
        <w:rPr>
          <w:color w:val="000000"/>
        </w:rPr>
      </w:pPr>
      <w:r>
        <w:rPr>
          <w:rFonts w:hint="eastAsia"/>
          <w:color w:val="000000"/>
        </w:rPr>
        <w:t>d)室内安装紧急报警按钮和视频监控设备；</w:t>
      </w:r>
    </w:p>
    <w:p>
      <w:pPr>
        <w:spacing w:line="360" w:lineRule="auto"/>
        <w:ind w:firstLine="960" w:firstLineChars="400"/>
        <w:rPr>
          <w:color w:val="000000"/>
        </w:rPr>
      </w:pPr>
      <w:r>
        <w:rPr>
          <w:rFonts w:hint="eastAsia"/>
          <w:color w:val="000000"/>
        </w:rPr>
        <w:t>e)配置警号；</w:t>
      </w:r>
    </w:p>
    <w:p>
      <w:pPr>
        <w:spacing w:line="360" w:lineRule="auto"/>
        <w:ind w:firstLine="960" w:firstLineChars="400"/>
        <w:rPr>
          <w:color w:val="000000"/>
        </w:rPr>
      </w:pPr>
      <w:r>
        <w:rPr>
          <w:rFonts w:hint="eastAsia"/>
          <w:color w:val="000000"/>
        </w:rPr>
        <w:t>f)配置高清拼接显示终端；</w:t>
      </w:r>
    </w:p>
    <w:p>
      <w:pPr>
        <w:spacing w:line="360" w:lineRule="auto"/>
        <w:ind w:firstLine="960" w:firstLineChars="400"/>
        <w:rPr>
          <w:color w:val="000000"/>
        </w:rPr>
      </w:pPr>
      <w:r>
        <w:rPr>
          <w:rFonts w:hint="eastAsia"/>
          <w:color w:val="000000"/>
        </w:rPr>
        <w:t>g)门口设置有线对讲分机、门禁装置;</w:t>
      </w:r>
    </w:p>
    <w:p>
      <w:pPr>
        <w:spacing w:line="360" w:lineRule="auto"/>
        <w:ind w:firstLine="960" w:firstLineChars="400"/>
        <w:rPr>
          <w:color w:val="000000"/>
        </w:rPr>
      </w:pPr>
      <w:r>
        <w:rPr>
          <w:rFonts w:hint="eastAsia"/>
          <w:color w:val="000000"/>
        </w:rPr>
        <w:t>h)配置1套无线对讲设备；</w:t>
      </w:r>
    </w:p>
    <w:p>
      <w:pPr>
        <w:spacing w:line="360" w:lineRule="auto"/>
        <w:ind w:firstLine="960" w:firstLineChars="400"/>
        <w:rPr>
          <w:color w:val="000000"/>
        </w:rPr>
      </w:pPr>
      <w:r>
        <w:rPr>
          <w:rFonts w:hint="eastAsia"/>
          <w:color w:val="000000"/>
        </w:rPr>
        <w:t>i)配置1条有线电话线路。</w:t>
      </w:r>
    </w:p>
    <w:p>
      <w:pPr>
        <w:spacing w:line="360" w:lineRule="auto"/>
        <w:ind w:firstLine="480"/>
        <w:rPr>
          <w:color w:val="000000"/>
        </w:rPr>
      </w:pPr>
      <w:r>
        <w:rPr>
          <w:rFonts w:hint="eastAsia"/>
          <w:color w:val="000000"/>
        </w:rPr>
        <w:t>9）电源：监控中心电源引自管理区总配电箱,为了保证安防系统的稳定运行配置1台20KVA的UPS电源作为后备电源；</w:t>
      </w:r>
    </w:p>
    <w:p>
      <w:pPr>
        <w:spacing w:line="360" w:lineRule="auto"/>
        <w:ind w:firstLine="480"/>
        <w:rPr>
          <w:color w:val="000000"/>
        </w:rPr>
      </w:pPr>
      <w:r>
        <w:rPr>
          <w:rFonts w:hint="eastAsia"/>
          <w:color w:val="000000"/>
        </w:rPr>
        <w:t>10）空调：监控中心设备机房应配置1台精密空调设备；值班室应配置1台柜式空调。</w:t>
      </w:r>
    </w:p>
    <w:p>
      <w:pPr>
        <w:spacing w:line="360" w:lineRule="auto"/>
        <w:ind w:firstLine="480"/>
        <w:rPr>
          <w:color w:val="000000"/>
        </w:rPr>
      </w:pPr>
      <w:bookmarkStart w:id="128" w:name="_Toc2144"/>
      <w:r>
        <w:rPr>
          <w:rFonts w:hint="eastAsia"/>
          <w:color w:val="000000"/>
        </w:rPr>
        <w:t>11）机房接地</w:t>
      </w:r>
      <w:bookmarkEnd w:id="128"/>
    </w:p>
    <w:p>
      <w:pPr>
        <w:spacing w:line="360" w:lineRule="auto"/>
        <w:ind w:firstLine="960" w:firstLineChars="400"/>
        <w:rPr>
          <w:color w:val="000000"/>
        </w:rPr>
      </w:pPr>
      <w:r>
        <w:rPr>
          <w:rFonts w:hint="eastAsia"/>
          <w:color w:val="000000"/>
        </w:rPr>
        <w:t>a)系统接地采用独立接地方式，接地电阻小于4欧姆；</w:t>
      </w:r>
    </w:p>
    <w:p>
      <w:pPr>
        <w:spacing w:line="360" w:lineRule="auto"/>
        <w:ind w:firstLine="960" w:firstLineChars="400"/>
        <w:rPr>
          <w:color w:val="000000"/>
        </w:rPr>
      </w:pPr>
      <w:r>
        <w:rPr>
          <w:rFonts w:hint="eastAsia"/>
          <w:color w:val="000000"/>
        </w:rPr>
        <w:t>b)接地采用连接多个接地模块来实施，具体详见施工工艺及方法</w:t>
      </w:r>
    </w:p>
    <w:p>
      <w:pPr>
        <w:spacing w:line="360" w:lineRule="auto"/>
        <w:ind w:left="480" w:leftChars="200" w:firstLine="480"/>
        <w:rPr>
          <w:color w:val="000000"/>
        </w:rPr>
      </w:pPr>
      <w:r>
        <w:rPr>
          <w:rFonts w:hint="eastAsia"/>
          <w:color w:val="000000"/>
        </w:rPr>
        <w:t>c)若接地阻值未达到设计要求，实测不满足要求时，增设接地模块或增加降阻剂。</w:t>
      </w:r>
    </w:p>
    <w:bookmarkEnd w:id="122"/>
    <w:bookmarkEnd w:id="123"/>
    <w:p>
      <w:pPr>
        <w:pStyle w:val="3"/>
        <w:spacing w:line="360" w:lineRule="auto"/>
        <w:ind w:firstLine="482"/>
        <w:rPr>
          <w:bCs w:val="0"/>
          <w:sz w:val="24"/>
          <w:szCs w:val="24"/>
        </w:rPr>
      </w:pPr>
      <w:r>
        <w:rPr>
          <w:rFonts w:hint="eastAsia"/>
          <w:bCs w:val="0"/>
          <w:sz w:val="24"/>
          <w:szCs w:val="24"/>
        </w:rPr>
        <w:t>七、系统建成后的预期效果</w:t>
      </w:r>
    </w:p>
    <w:p>
      <w:pPr>
        <w:spacing w:line="360" w:lineRule="auto"/>
        <w:ind w:firstLine="480"/>
      </w:pPr>
      <w:r>
        <w:rPr>
          <w:rFonts w:hint="eastAsia"/>
        </w:rPr>
        <w:t>系统建成后符合国家一级博物馆的防护要求和博物馆的实际需求，系统功能达到了防护功能分级“C”级（即较高防护功能）的要求，符合现行规范、标准的要求，系统性能的主要方面都达到了技术要求，即：</w:t>
      </w:r>
    </w:p>
    <w:p>
      <w:pPr>
        <w:spacing w:line="360" w:lineRule="auto"/>
        <w:ind w:firstLine="480"/>
        <w:rPr>
          <w:color w:val="000000"/>
        </w:rPr>
      </w:pPr>
      <w:r>
        <w:rPr>
          <w:rFonts w:hint="eastAsia"/>
          <w:color w:val="000000"/>
        </w:rPr>
        <w:t>1）“系统工程技术性能指标”达到一级文博风险单位的防护要求；</w:t>
      </w:r>
    </w:p>
    <w:p>
      <w:pPr>
        <w:spacing w:line="360" w:lineRule="auto"/>
        <w:ind w:firstLine="480"/>
        <w:rPr>
          <w:color w:val="000000"/>
        </w:rPr>
      </w:pPr>
      <w:r>
        <w:rPr>
          <w:rFonts w:hint="eastAsia"/>
          <w:color w:val="000000"/>
        </w:rPr>
        <w:t>2）系统所用设备达到性能先进，可靠实用、操作简单、维修方便、故障率低、使用寿命长；</w:t>
      </w:r>
    </w:p>
    <w:p>
      <w:pPr>
        <w:spacing w:line="360" w:lineRule="auto"/>
        <w:ind w:firstLine="480"/>
        <w:rPr>
          <w:color w:val="000000"/>
        </w:rPr>
      </w:pPr>
      <w:r>
        <w:rPr>
          <w:rFonts w:hint="eastAsia"/>
          <w:color w:val="000000"/>
        </w:rPr>
        <w:t>3）系统功能达到将技防、物防与人防有机结合，一旦发生入侵、盗窃、破坏等不法行为时，系统能迅速将报警信息发送到监控人员、巡逻人员、相关部门等，使犯罪行为不能得逞，从而确保文物安全；</w:t>
      </w:r>
    </w:p>
    <w:p>
      <w:pPr>
        <w:spacing w:line="360" w:lineRule="auto"/>
        <w:ind w:firstLine="480"/>
        <w:rPr>
          <w:color w:val="000000"/>
        </w:rPr>
      </w:pPr>
      <w:r>
        <w:rPr>
          <w:rFonts w:hint="eastAsia"/>
          <w:color w:val="000000"/>
        </w:rPr>
        <w:t>4）监控严密、处警迅速、无懈可击的防范效果；</w:t>
      </w:r>
    </w:p>
    <w:p>
      <w:pPr>
        <w:spacing w:line="360" w:lineRule="auto"/>
        <w:ind w:firstLine="480"/>
        <w:rPr>
          <w:color w:val="000000"/>
        </w:rPr>
      </w:pPr>
      <w:r>
        <w:rPr>
          <w:rFonts w:hint="eastAsia"/>
          <w:color w:val="000000"/>
        </w:rPr>
        <w:t>5）音视频复核系统实时监控和录音、录像，为打击犯罪提供有力的证据。</w:t>
      </w:r>
    </w:p>
    <w:p>
      <w:pPr>
        <w:spacing w:line="360" w:lineRule="auto"/>
        <w:ind w:firstLine="480"/>
        <w:rPr>
          <w:color w:val="000000"/>
        </w:rPr>
      </w:pPr>
      <w:r>
        <w:rPr>
          <w:rFonts w:hint="eastAsia"/>
          <w:color w:val="000000"/>
        </w:rPr>
        <w:t>6）为文物安全监督管理五级联网打下坚实基础：从文物保护单位-县级局-地市级局-省区局-国家局，对文物安全工作起到监管效能。</w:t>
      </w:r>
    </w:p>
    <w:p>
      <w:pPr>
        <w:spacing w:line="360" w:lineRule="auto"/>
        <w:ind w:firstLine="480"/>
        <w:sectPr>
          <w:headerReference r:id="rId15" w:type="default"/>
          <w:footerReference r:id="rId16" w:type="default"/>
          <w:pgSz w:w="11910" w:h="16840"/>
          <w:pgMar w:top="1460" w:right="1220" w:bottom="1200" w:left="1680" w:header="0" w:footer="1004" w:gutter="0"/>
          <w:cols w:space="720" w:num="1"/>
        </w:sectPr>
      </w:pPr>
      <w:r>
        <w:rPr>
          <w:rFonts w:hint="eastAsia"/>
        </w:rPr>
        <w:t>其最终呈现的技术性能与效果是：从“分散”到“融合”：不再是信息孤岛，而是数据互通、智能联动的有机整体；从“被动”到“主动”：从事后查证变为事前预警、事中快速处置；从“人防”到“技防+人防+协同”技术系统成为安保力量的“倍增器”，使人防、物防、技防紧密结合；从“单一安全”到“综合管理”：系统不仅是安全屏障，更成为提升博物馆整体运营管理和智慧化水平的核心平台，最终目标是构建一个可靠、高效、智能、易用的现代化博物馆信息和安全防护体系，为不可再生的文化遗产提供全方位、无死角的“铜墙铁壁”。</w:t>
      </w:r>
    </w:p>
    <w:bookmarkEnd w:id="53"/>
    <w:bookmarkEnd w:id="54"/>
    <w:p>
      <w:pPr>
        <w:tabs>
          <w:tab w:val="left" w:pos="990"/>
        </w:tabs>
        <w:spacing w:line="360" w:lineRule="auto"/>
        <w:ind w:firstLine="0" w:firstLineChars="0"/>
        <w:jc w:val="center"/>
        <w:rPr>
          <w:rFonts w:ascii="宋体" w:hAnsi="宋体" w:cs="宋体"/>
          <w:sz w:val="32"/>
          <w:szCs w:val="32"/>
        </w:rPr>
      </w:pPr>
      <w:r>
        <w:rPr>
          <w:rFonts w:hint="eastAsia" w:ascii="宋体" w:hAnsi="宋体" w:cs="宋体"/>
          <w:sz w:val="36"/>
          <w:szCs w:val="36"/>
        </w:rPr>
        <w:t>第四部分 政府采购合同</w:t>
      </w:r>
    </w:p>
    <w:p>
      <w:pPr>
        <w:snapToGrid w:val="0"/>
        <w:ind w:firstLine="480"/>
        <w:textAlignment w:val="baseline"/>
        <w:rPr>
          <w:rFonts w:ascii="宋体" w:hAnsi="宋体" w:cs="宋体"/>
          <w:u w:val="single" w:color="000000"/>
        </w:rPr>
      </w:pPr>
    </w:p>
    <w:p>
      <w:pPr>
        <w:pStyle w:val="16"/>
        <w:ind w:firstLine="0" w:firstLineChars="0"/>
        <w:rPr>
          <w:rFonts w:ascii="宋体" w:hAnsi="宋体" w:cs="宋体"/>
          <w:b/>
          <w:bCs/>
          <w:kern w:val="44"/>
          <w:sz w:val="48"/>
          <w:szCs w:val="48"/>
        </w:rPr>
      </w:pPr>
    </w:p>
    <w:p>
      <w:pPr>
        <w:pStyle w:val="16"/>
        <w:ind w:firstLine="0" w:firstLineChars="0"/>
        <w:rPr>
          <w:rFonts w:ascii="宋体" w:hAnsi="宋体" w:cs="宋体"/>
          <w:b/>
          <w:bCs/>
          <w:kern w:val="44"/>
          <w:sz w:val="48"/>
          <w:szCs w:val="48"/>
        </w:rPr>
      </w:pPr>
    </w:p>
    <w:p>
      <w:pPr>
        <w:pStyle w:val="16"/>
        <w:ind w:firstLine="0" w:firstLineChars="0"/>
        <w:rPr>
          <w:rFonts w:ascii="宋体" w:hAnsi="宋体" w:cs="宋体"/>
          <w:b/>
          <w:bCs/>
          <w:kern w:val="44"/>
          <w:sz w:val="40"/>
          <w:szCs w:val="40"/>
        </w:rPr>
      </w:pPr>
      <w:r>
        <w:rPr>
          <w:rFonts w:hint="eastAsia" w:ascii="宋体" w:hAnsi="宋体" w:cs="宋体"/>
          <w:b/>
          <w:bCs/>
          <w:kern w:val="44"/>
          <w:sz w:val="40"/>
          <w:szCs w:val="40"/>
        </w:rPr>
        <w:t>政府采购货物买卖合同（试行）</w:t>
      </w:r>
    </w:p>
    <w:p>
      <w:pPr>
        <w:ind w:firstLine="0" w:firstLineChars="0"/>
        <w:jc w:val="center"/>
        <w:rPr>
          <w:rFonts w:ascii="宋体" w:hAnsi="宋体" w:cs="宋体"/>
          <w:b/>
          <w:bCs/>
          <w:spacing w:val="-20"/>
          <w:kern w:val="44"/>
          <w:sz w:val="32"/>
          <w:szCs w:val="32"/>
        </w:rPr>
      </w:pPr>
      <w:r>
        <w:rPr>
          <w:rFonts w:hint="eastAsia" w:ascii="宋体" w:hAnsi="宋体" w:cs="宋体"/>
          <w:b/>
          <w:bCs/>
          <w:spacing w:val="-20"/>
          <w:kern w:val="44"/>
          <w:sz w:val="32"/>
          <w:szCs w:val="32"/>
        </w:rPr>
        <w:t>（仅供参考）</w:t>
      </w:r>
    </w:p>
    <w:p>
      <w:pPr>
        <w:ind w:firstLine="723"/>
        <w:rPr>
          <w:rFonts w:ascii="宋体" w:hAnsi="宋体" w:cs="宋体"/>
          <w:b/>
          <w:bCs/>
          <w:spacing w:val="-20"/>
          <w:kern w:val="44"/>
          <w:sz w:val="40"/>
          <w:szCs w:val="40"/>
        </w:rPr>
      </w:pPr>
    </w:p>
    <w:p>
      <w:pPr>
        <w:ind w:firstLine="723"/>
        <w:rPr>
          <w:rFonts w:ascii="宋体" w:hAnsi="宋体" w:cs="宋体"/>
          <w:b/>
          <w:bCs/>
          <w:spacing w:val="-20"/>
          <w:kern w:val="44"/>
          <w:sz w:val="40"/>
          <w:szCs w:val="40"/>
        </w:rPr>
      </w:pPr>
    </w:p>
    <w:p>
      <w:pPr>
        <w:spacing w:line="360" w:lineRule="auto"/>
        <w:ind w:left="480" w:leftChars="200" w:firstLine="480"/>
      </w:pPr>
      <w:r>
        <w:rPr>
          <w:rFonts w:hint="eastAsia" w:ascii="宋体" w:hAnsi="宋体" w:cs="宋体"/>
          <w:kern w:val="0"/>
        </w:rPr>
        <w:t>项目名称：</w:t>
      </w:r>
    </w:p>
    <w:p>
      <w:pPr>
        <w:spacing w:line="360" w:lineRule="auto"/>
        <w:ind w:left="480" w:leftChars="200" w:firstLine="480"/>
        <w:rPr>
          <w:u w:val="single"/>
        </w:rPr>
      </w:pPr>
      <w:r>
        <w:rPr>
          <w:rFonts w:hint="eastAsia"/>
        </w:rPr>
        <w:t>合同编号：</w:t>
      </w:r>
    </w:p>
    <w:p>
      <w:pPr>
        <w:spacing w:line="360" w:lineRule="auto"/>
        <w:ind w:left="480" w:leftChars="200" w:firstLine="480"/>
      </w:pPr>
      <w:r>
        <w:rPr>
          <w:rFonts w:hint="eastAsia"/>
        </w:rPr>
        <w:t>甲    方：</w:t>
      </w:r>
    </w:p>
    <w:p>
      <w:pPr>
        <w:spacing w:line="360" w:lineRule="auto"/>
        <w:ind w:left="480" w:leftChars="200" w:firstLine="480"/>
        <w:rPr>
          <w:u w:val="single"/>
        </w:rPr>
      </w:pPr>
      <w:r>
        <w:rPr>
          <w:rFonts w:hint="eastAsia"/>
        </w:rPr>
        <w:t>乙    方：</w:t>
      </w:r>
    </w:p>
    <w:p>
      <w:pPr>
        <w:spacing w:line="360" w:lineRule="auto"/>
        <w:ind w:left="480" w:leftChars="200" w:firstLine="480"/>
        <w:rPr>
          <w:sz w:val="32"/>
          <w:szCs w:val="32"/>
        </w:rPr>
      </w:pPr>
      <w:r>
        <w:rPr>
          <w:rFonts w:hint="eastAsia"/>
        </w:rPr>
        <w:t>签订时间：</w:t>
      </w:r>
    </w:p>
    <w:p>
      <w:pPr>
        <w:ind w:firstLine="480"/>
      </w:pPr>
    </w:p>
    <w:p>
      <w:pPr>
        <w:ind w:firstLine="880"/>
        <w:rPr>
          <w:rFonts w:eastAsia="黑体"/>
          <w:sz w:val="44"/>
          <w:szCs w:val="44"/>
        </w:rPr>
      </w:pPr>
      <w:r>
        <w:rPr>
          <w:rFonts w:eastAsia="黑体"/>
          <w:sz w:val="44"/>
          <w:szCs w:val="44"/>
        </w:rPr>
        <w:br w:type="page"/>
      </w:r>
    </w:p>
    <w:p>
      <w:pPr>
        <w:ind w:firstLine="880"/>
        <w:rPr>
          <w:rFonts w:eastAsia="黑体"/>
          <w:sz w:val="44"/>
          <w:szCs w:val="44"/>
        </w:rPr>
      </w:pPr>
    </w:p>
    <w:p>
      <w:pPr>
        <w:ind w:firstLine="880"/>
        <w:jc w:val="center"/>
        <w:rPr>
          <w:rFonts w:eastAsia="黑体"/>
          <w:sz w:val="44"/>
          <w:szCs w:val="44"/>
        </w:rPr>
      </w:pPr>
      <w:r>
        <w:rPr>
          <w:rFonts w:hint="eastAsia" w:eastAsia="黑体"/>
          <w:sz w:val="44"/>
          <w:szCs w:val="44"/>
        </w:rPr>
        <w:t>使用说明</w:t>
      </w:r>
    </w:p>
    <w:p>
      <w:pPr>
        <w:ind w:firstLine="640"/>
        <w:rPr>
          <w:rFonts w:ascii="仿宋_GB2312" w:hAnsi="仿宋_GB2312" w:eastAsia="仿宋_GB2312" w:cs="仿宋_GB2312"/>
          <w:sz w:val="32"/>
          <w:szCs w:val="32"/>
        </w:rPr>
      </w:pPr>
    </w:p>
    <w:p>
      <w:pPr>
        <w:ind w:firstLine="480"/>
        <w:rPr>
          <w:rFonts w:ascii="仿宋_GB2312" w:hAnsi="仿宋_GB2312" w:eastAsia="仿宋_GB2312" w:cs="仿宋_GB2312"/>
        </w:rPr>
      </w:pPr>
      <w:r>
        <w:rPr>
          <w:rFonts w:hint="eastAsia" w:ascii="仿宋_GB2312" w:hAnsi="仿宋_GB2312" w:eastAsia="仿宋_GB2312" w:cs="仿宋_GB2312"/>
        </w:rPr>
        <w:t>1.本合同标准文本适用于购买现成货物的采购项目，不包括需要供应商定制开发、创新研发的货物采购项目。</w:t>
      </w:r>
    </w:p>
    <w:p>
      <w:pPr>
        <w:ind w:firstLine="480"/>
        <w:rPr>
          <w:rFonts w:ascii="仿宋_GB2312" w:hAnsi="仿宋_GB2312" w:eastAsia="仿宋_GB2312" w:cs="仿宋_GB2312"/>
        </w:rPr>
      </w:pPr>
      <w:r>
        <w:rPr>
          <w:rFonts w:hint="eastAsia" w:ascii="仿宋_GB2312" w:hAnsi="仿宋_GB2312" w:eastAsia="仿宋_GB2312" w:cs="仿宋_GB2312"/>
        </w:rPr>
        <w:t>2.本合同标准文本为政府采购货物买卖合同编制提供参考，可以结合采购项目具体情况，对文本作必要的调整修订后使用。</w:t>
      </w:r>
    </w:p>
    <w:p>
      <w:pPr>
        <w:ind w:firstLine="480"/>
        <w:rPr>
          <w:rFonts w:ascii="仿宋_GB2312" w:hAnsi="仿宋_GB2312" w:eastAsia="仿宋_GB2312" w:cs="仿宋_GB2312"/>
        </w:rPr>
      </w:pPr>
      <w:r>
        <w:rPr>
          <w:rFonts w:hint="eastAsia" w:ascii="仿宋_GB2312" w:hAnsi="仿宋_GB2312" w:eastAsia="仿宋_GB2312" w:cs="仿宋_GB2312"/>
        </w:rPr>
        <w:t>3.本合同标准文本各条款中，如涉及填写多家供应商、制造商，多种采购标的、分包主要内容等信息的，可根据采购项目具体情况添加信息项。</w:t>
      </w:r>
    </w:p>
    <w:p>
      <w:pPr>
        <w:ind w:firstLine="880"/>
        <w:rPr>
          <w:rFonts w:eastAsia="黑体"/>
          <w:sz w:val="44"/>
          <w:szCs w:val="44"/>
        </w:rPr>
        <w:sectPr>
          <w:headerReference r:id="rId17" w:type="default"/>
          <w:footerReference r:id="rId18" w:type="default"/>
          <w:pgSz w:w="11906" w:h="16838"/>
          <w:pgMar w:top="1440" w:right="1800" w:bottom="1440" w:left="1800" w:header="851" w:footer="992" w:gutter="0"/>
          <w:cols w:space="425" w:num="1"/>
          <w:docGrid w:type="lines" w:linePitch="312" w:charSpace="0"/>
        </w:sectPr>
      </w:pPr>
    </w:p>
    <w:p>
      <w:pPr>
        <w:pStyle w:val="4"/>
        <w:adjustRightInd w:val="0"/>
        <w:snapToGrid w:val="0"/>
        <w:spacing w:line="400" w:lineRule="exact"/>
        <w:ind w:firstLine="562"/>
        <w:jc w:val="center"/>
        <w:rPr>
          <w:rFonts w:ascii="黑体" w:hAnsi="黑体"/>
          <w:sz w:val="28"/>
          <w:szCs w:val="28"/>
        </w:rPr>
      </w:pPr>
      <w:bookmarkStart w:id="129" w:name="_Toc22209"/>
    </w:p>
    <w:p>
      <w:pPr>
        <w:pStyle w:val="4"/>
        <w:adjustRightInd w:val="0"/>
        <w:snapToGrid w:val="0"/>
        <w:spacing w:line="400" w:lineRule="exact"/>
        <w:ind w:firstLine="480"/>
        <w:jc w:val="center"/>
        <w:rPr>
          <w:rFonts w:ascii="黑体" w:hAnsi="华文中宋"/>
          <w:b w:val="0"/>
          <w:bCs w:val="0"/>
          <w:sz w:val="24"/>
          <w:szCs w:val="24"/>
        </w:rPr>
      </w:pPr>
      <w:r>
        <w:rPr>
          <w:rFonts w:hint="eastAsia" w:ascii="黑体" w:hAnsi="黑体"/>
          <w:b w:val="0"/>
          <w:bCs w:val="0"/>
          <w:sz w:val="24"/>
          <w:szCs w:val="24"/>
        </w:rPr>
        <w:t xml:space="preserve">第一节 </w:t>
      </w:r>
      <w:r>
        <w:rPr>
          <w:rFonts w:hint="eastAsia" w:ascii="黑体" w:hAnsi="华文中宋"/>
          <w:b w:val="0"/>
          <w:bCs w:val="0"/>
          <w:sz w:val="24"/>
          <w:szCs w:val="24"/>
        </w:rPr>
        <w:t>政府采购合同协议书</w:t>
      </w:r>
      <w:bookmarkEnd w:id="129"/>
    </w:p>
    <w:p>
      <w:pPr>
        <w:pStyle w:val="4"/>
        <w:adjustRightInd w:val="0"/>
        <w:snapToGrid w:val="0"/>
        <w:spacing w:line="400" w:lineRule="exact"/>
        <w:ind w:firstLine="480"/>
        <w:jc w:val="center"/>
        <w:rPr>
          <w:rFonts w:ascii="黑体" w:hAnsi="华文中宋"/>
          <w:b w:val="0"/>
          <w:bCs w:val="0"/>
          <w:sz w:val="24"/>
          <w:szCs w:val="24"/>
        </w:rPr>
      </w:pP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甲方（全称）：（采购人、受采购人委托签订合同的单位或采购</w:t>
      </w:r>
      <w:r>
        <w:rPr>
          <w:rFonts w:hint="eastAsia" w:ascii="国标仿宋-GB/T 2312" w:hAnsi="国标仿宋-GB/T 2312" w:eastAsia="国标仿宋-GB/T 2312" w:cs="国标仿宋-GB/T 2312"/>
          <w:sz w:val="22"/>
          <w:szCs w:val="20"/>
        </w:rPr>
        <w:tab/>
      </w:r>
      <w:r>
        <w:rPr>
          <w:rFonts w:hint="eastAsia" w:ascii="国标仿宋-GB/T 2312" w:hAnsi="国标仿宋-GB/T 2312" w:eastAsia="国标仿宋-GB/T 2312" w:cs="国标仿宋-GB/T 2312"/>
          <w:sz w:val="22"/>
          <w:szCs w:val="20"/>
        </w:rPr>
        <w:t>文件约定的合同甲方）</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乙方1（全称）：（供应商）</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乙方2（全称）：（联合体成员供应商或其他合同主体）（如有）</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2"/>
        </w:rPr>
        <w:t>乙方</w:t>
      </w:r>
      <w:r>
        <w:rPr>
          <w:rFonts w:hint="eastAsia" w:ascii="国标仿宋-GB/T 2312" w:hAnsi="国标仿宋-GB/T 2312" w:eastAsia="国标仿宋-GB/T 2312" w:cs="国标仿宋-GB/T 2312"/>
          <w:sz w:val="22"/>
          <w:szCs w:val="20"/>
        </w:rPr>
        <w:t>3</w:t>
      </w:r>
      <w:r>
        <w:rPr>
          <w:rFonts w:hint="eastAsia" w:ascii="国标仿宋-GB/T 2312" w:hAnsi="国标仿宋-GB/T 2312" w:eastAsia="国标仿宋-GB/T 2312" w:cs="国标仿宋-GB/T 2312"/>
          <w:sz w:val="22"/>
          <w:szCs w:val="22"/>
        </w:rPr>
        <w:t>（全称）</w:t>
      </w:r>
      <w:r>
        <w:rPr>
          <w:rFonts w:hint="eastAsia" w:ascii="国标仿宋-GB/T 2312" w:hAnsi="国标仿宋-GB/T 2312" w:eastAsia="国标仿宋-GB/T 2312" w:cs="国标仿宋-GB/T 2312"/>
          <w:sz w:val="22"/>
          <w:szCs w:val="20"/>
        </w:rPr>
        <w:t>（联合体成员供应商或其他合同主体）（如有）</w:t>
      </w:r>
    </w:p>
    <w:p>
      <w:pPr>
        <w:spacing w:line="400" w:lineRule="exact"/>
        <w:ind w:firstLine="440"/>
        <w:rPr>
          <w:rFonts w:ascii="国标仿宋-GB/T 2312" w:hAnsi="国标仿宋-GB/T 2312" w:eastAsia="国标仿宋-GB/T 2312" w:cs="国标仿宋-GB/T 2312"/>
          <w:sz w:val="22"/>
          <w:szCs w:val="22"/>
        </w:rPr>
      </w:pPr>
    </w:p>
    <w:p>
      <w:pPr>
        <w:pStyle w:val="20"/>
        <w:adjustRightInd w:val="0"/>
        <w:snapToGrid w:val="0"/>
        <w:ind w:firstLine="440"/>
        <w:rPr>
          <w:rFonts w:ascii="宋体" w:hAnsi="宋体"/>
          <w:sz w:val="22"/>
          <w:szCs w:val="20"/>
        </w:rPr>
      </w:pPr>
      <w:r>
        <w:rPr>
          <w:rFonts w:hint="eastAsia" w:ascii="国标仿宋-GB/T 2312" w:hAnsi="国标仿宋-GB/T 2312" w:eastAsia="国标仿宋-GB/T 2312" w:cs="国标仿宋-GB/T 2312"/>
          <w:sz w:val="22"/>
          <w:szCs w:val="20"/>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rPr>
      </w:pPr>
      <w:r>
        <w:rPr>
          <w:rFonts w:hint="eastAsia" w:ascii="国标仿宋-GB/T 2312" w:hAnsi="国标仿宋-GB/T 2312" w:eastAsia="国标仿宋-GB/T 2312" w:cs="国标仿宋-GB/T 2312"/>
          <w:b/>
          <w:sz w:val="22"/>
          <w:szCs w:val="20"/>
        </w:rPr>
        <w:t>项目信息</w:t>
      </w:r>
    </w:p>
    <w:p>
      <w:pPr>
        <w:pStyle w:val="20"/>
        <w:numPr>
          <w:ilvl w:val="0"/>
          <w:numId w:val="4"/>
        </w:numPr>
        <w:adjustRightInd w:val="0"/>
        <w:snapToGrid w:val="0"/>
        <w:ind w:firstLine="44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t>采购项目名称：</w:t>
      </w:r>
    </w:p>
    <w:p>
      <w:pPr>
        <w:pStyle w:val="20"/>
        <w:numPr>
          <w:ilvl w:val="255"/>
          <w:numId w:val="0"/>
        </w:numPr>
        <w:tabs>
          <w:tab w:val="left" w:pos="999"/>
        </w:tabs>
        <w:adjustRightInd w:val="0"/>
        <w:snapToGrid w:val="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 xml:space="preserve">         采购项目编号：</w:t>
      </w:r>
    </w:p>
    <w:p>
      <w:pPr>
        <w:pStyle w:val="20"/>
        <w:adjustRightInd w:val="0"/>
        <w:snapToGrid w:val="0"/>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（2）采购计划编号：</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（3）项目内容：</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采购标的及数量（台/套/个/架/组等）：</w:t>
      </w:r>
    </w:p>
    <w:p>
      <w:pPr>
        <w:numPr>
          <w:ilvl w:val="255"/>
          <w:numId w:val="0"/>
        </w:numPr>
        <w:adjustRightInd w:val="0"/>
        <w:snapToGrid w:val="0"/>
        <w:spacing w:line="400" w:lineRule="exact"/>
        <w:ind w:firstLine="440" w:firstLineChars="2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品牌：规格型号：</w:t>
      </w:r>
    </w:p>
    <w:p>
      <w:pPr>
        <w:adjustRightInd w:val="0"/>
        <w:snapToGrid w:val="0"/>
        <w:spacing w:line="400" w:lineRule="exact"/>
        <w:ind w:firstLine="990" w:firstLineChars="45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t>采购标的的技术要求、商务要求具体见附件。</w:t>
      </w:r>
    </w:p>
    <w:p>
      <w:pPr>
        <w:numPr>
          <w:ilvl w:val="255"/>
          <w:numId w:val="0"/>
        </w:numPr>
        <w:adjustRightInd w:val="0"/>
        <w:snapToGrid w:val="0"/>
        <w:spacing w:line="400" w:lineRule="exact"/>
        <w:ind w:firstLine="990" w:firstLineChars="45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①涉及信息类产品，请填写该产品关键部件的品牌、型号：</w:t>
      </w:r>
    </w:p>
    <w:p>
      <w:pPr>
        <w:numPr>
          <w:ilvl w:val="255"/>
          <w:numId w:val="0"/>
        </w:numPr>
        <w:adjustRightInd w:val="0"/>
        <w:snapToGrid w:val="0"/>
        <w:spacing w:line="400" w:lineRule="exact"/>
        <w:ind w:firstLine="440" w:firstLineChars="200"/>
        <w:rPr>
          <w:rFonts w:ascii="国标仿宋-GB/T 2312" w:hAnsi="国标仿宋-GB/T 2312" w:eastAsia="国标仿宋-GB/T 2312" w:cs="国标仿宋-GB/T 2312"/>
          <w:kern w:val="0"/>
          <w:sz w:val="22"/>
          <w:szCs w:val="20"/>
          <w:u w:val="single"/>
        </w:rPr>
      </w:pPr>
      <w:r>
        <w:rPr>
          <w:rFonts w:hint="eastAsia" w:ascii="国标仿宋-GB/T 2312" w:hAnsi="国标仿宋-GB/T 2312" w:eastAsia="国标仿宋-GB/T 2312" w:cs="国标仿宋-GB/T 2312"/>
          <w:sz w:val="22"/>
          <w:szCs w:val="20"/>
        </w:rPr>
        <w:t xml:space="preserve">     标的名称：</w:t>
      </w:r>
    </w:p>
    <w:p>
      <w:pPr>
        <w:numPr>
          <w:ilvl w:val="255"/>
          <w:numId w:val="0"/>
        </w:numPr>
        <w:adjustRightInd w:val="0"/>
        <w:snapToGrid w:val="0"/>
        <w:spacing w:line="400" w:lineRule="exact"/>
        <w:ind w:firstLine="440" w:firstLineChars="2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 xml:space="preserve">     关键部件：品牌：型号：</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kern w:val="2"/>
          <w:sz w:val="20"/>
          <w:szCs w:val="20"/>
        </w:rPr>
        <w:t>关键部件</w:t>
      </w:r>
      <w:r>
        <w:rPr>
          <w:rFonts w:hint="eastAsia" w:ascii="国标仿宋-GB/T 2312" w:hAnsi="国标仿宋-GB/T 2312" w:eastAsia="国标仿宋-GB/T 2312" w:cs="国标仿宋-GB/T 2312"/>
          <w:sz w:val="20"/>
          <w:szCs w:val="20"/>
        </w:rPr>
        <w:t>：品牌：型号：</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关键部件：品牌：型号：</w:t>
      </w:r>
    </w:p>
    <w:p>
      <w:pPr>
        <w:pStyle w:val="158"/>
        <w:numPr>
          <w:ilvl w:val="255"/>
          <w:numId w:val="0"/>
        </w:numPr>
        <w:snapToGrid w:val="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（注：关键部件是指财政部会同有关部门发布的政府采购需求标准规定的需要通过国家有关部门指定的测评机构开展的安全可靠测评的软硬件，如CPU芯片、操作系统、数据库等。）</w:t>
      </w:r>
    </w:p>
    <w:p>
      <w:pPr>
        <w:pStyle w:val="158"/>
        <w:numPr>
          <w:ilvl w:val="255"/>
          <w:numId w:val="0"/>
        </w:numPr>
        <w:snapToGrid w:val="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②涉及车辆采购，请填写是否属于新能源汽车：</w:t>
      </w:r>
    </w:p>
    <w:p>
      <w:pPr>
        <w:pStyle w:val="158"/>
        <w:numPr>
          <w:ilvl w:val="255"/>
          <w:numId w:val="0"/>
        </w:numPr>
        <w:snapToGrid w:val="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是，《政府采购品目分类目录》底级品目名称： 数量： 金额：</w:t>
      </w:r>
    </w:p>
    <w:p>
      <w:pPr>
        <w:pStyle w:val="158"/>
        <w:numPr>
          <w:ilvl w:val="255"/>
          <w:numId w:val="0"/>
        </w:numPr>
        <w:snapToGrid w:val="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否</w:t>
      </w:r>
    </w:p>
    <w:p>
      <w:pPr>
        <w:pStyle w:val="158"/>
        <w:numPr>
          <w:ilvl w:val="255"/>
          <w:numId w:val="0"/>
        </w:numPr>
        <w:snapToGrid w:val="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（4）政府采购组织形式：</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政府集中采购</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 xml:space="preserve">部门集中采购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分散采购</w:t>
      </w:r>
    </w:p>
    <w:p>
      <w:pPr>
        <w:pStyle w:val="158"/>
        <w:numPr>
          <w:ilvl w:val="255"/>
          <w:numId w:val="0"/>
        </w:numPr>
        <w:snapToGrid w:val="0"/>
        <w:ind w:firstLine="42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（5）政府采购方式：</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公开招标</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邀请招标</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竞争性谈判</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竞争性磋商</w:t>
      </w:r>
    </w:p>
    <w:p>
      <w:pPr>
        <w:pStyle w:val="158"/>
        <w:numPr>
          <w:ilvl w:val="255"/>
          <w:numId w:val="0"/>
        </w:numPr>
        <w:snapToGrid w:val="0"/>
        <w:ind w:firstLine="420"/>
        <w:rPr>
          <w:rFonts w:ascii="国标仿宋-GB/T 2312" w:hAnsi="国标仿宋-GB/T 2312" w:eastAsia="国标仿宋-GB/T 2312" w:cs="国标仿宋-GB/T 2312"/>
          <w:sz w:val="20"/>
          <w:szCs w:val="20"/>
          <w:u w:val="single"/>
        </w:rPr>
      </w:pP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询价</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单一来源</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框架协议</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其他：</w:t>
      </w:r>
    </w:p>
    <w:p>
      <w:pPr>
        <w:pStyle w:val="158"/>
        <w:numPr>
          <w:ilvl w:val="255"/>
          <w:numId w:val="0"/>
        </w:numPr>
        <w:snapToGrid w:val="0"/>
        <w:ind w:firstLine="42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（注：在框架协议采购的第二阶段，可选择使用该合同文本）</w:t>
      </w:r>
    </w:p>
    <w:p>
      <w:pPr>
        <w:pStyle w:val="158"/>
        <w:numPr>
          <w:ilvl w:val="255"/>
          <w:numId w:val="0"/>
        </w:numPr>
        <w:snapToGrid w:val="0"/>
        <w:ind w:firstLine="210" w:firstLineChars="100"/>
        <w:rPr>
          <w:rFonts w:ascii="国标仿宋-GB/T 2312" w:hAnsi="国标仿宋-GB/T 2312" w:eastAsia="国标仿宋-GB/T 2312" w:cs="国标仿宋-GB/T 2312"/>
          <w:kern w:val="2"/>
          <w:sz w:val="20"/>
          <w:szCs w:val="20"/>
        </w:rPr>
      </w:pPr>
      <w:r>
        <w:rPr>
          <w:rFonts w:hint="eastAsia" w:ascii="国标仿宋-GB/T 2312" w:hAnsi="国标仿宋-GB/T 2312" w:eastAsia="国标仿宋-GB/T 2312" w:cs="国标仿宋-GB/T 2312"/>
          <w:sz w:val="21"/>
          <w:szCs w:val="20"/>
        </w:rPr>
        <w:t xml:space="preserve"> （6）</w:t>
      </w:r>
      <w:r>
        <w:rPr>
          <w:rFonts w:hint="eastAsia" w:ascii="国标仿宋-GB/T 2312" w:hAnsi="国标仿宋-GB/T 2312" w:eastAsia="国标仿宋-GB/T 2312" w:cs="国标仿宋-GB/T 2312"/>
          <w:kern w:val="2"/>
          <w:sz w:val="20"/>
          <w:szCs w:val="20"/>
        </w:rPr>
        <w:t>中标（成交）采购标的制造商是否为中小企业：</w:t>
      </w:r>
      <w:r>
        <w:rPr>
          <w:rFonts w:hint="eastAsia" w:ascii="国标仿宋-GB/T 2312" w:hAnsi="国标仿宋-GB/T 2312" w:eastAsia="国标仿宋-GB/T 2312" w:cs="国标仿宋-GB/T 2312"/>
          <w:kern w:val="2"/>
          <w:sz w:val="20"/>
          <w:szCs w:val="20"/>
        </w:rPr>
        <w:sym w:font="Wingdings" w:char="00A8"/>
      </w:r>
      <w:r>
        <w:rPr>
          <w:rFonts w:hint="eastAsia" w:ascii="国标仿宋-GB/T 2312" w:hAnsi="国标仿宋-GB/T 2312" w:eastAsia="国标仿宋-GB/T 2312" w:cs="国标仿宋-GB/T 2312"/>
          <w:kern w:val="2"/>
          <w:sz w:val="20"/>
          <w:szCs w:val="20"/>
        </w:rPr>
        <w:t xml:space="preserve">是      </w:t>
      </w:r>
      <w:r>
        <w:rPr>
          <w:rFonts w:hint="eastAsia" w:ascii="国标仿宋-GB/T 2312" w:hAnsi="国标仿宋-GB/T 2312" w:eastAsia="国标仿宋-GB/T 2312" w:cs="国标仿宋-GB/T 2312"/>
          <w:kern w:val="2"/>
          <w:sz w:val="20"/>
          <w:szCs w:val="20"/>
        </w:rPr>
        <w:sym w:font="Wingdings" w:char="00A8"/>
      </w:r>
      <w:r>
        <w:rPr>
          <w:rFonts w:hint="eastAsia" w:ascii="国标仿宋-GB/T 2312" w:hAnsi="国标仿宋-GB/T 2312" w:eastAsia="国标仿宋-GB/T 2312" w:cs="国标仿宋-GB/T 2312"/>
          <w:kern w:val="2"/>
          <w:sz w:val="20"/>
          <w:szCs w:val="20"/>
        </w:rPr>
        <w:t>否</w:t>
      </w:r>
    </w:p>
    <w:p>
      <w:pPr>
        <w:numPr>
          <w:ilvl w:val="255"/>
          <w:numId w:val="0"/>
        </w:numPr>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sz w:val="22"/>
          <w:szCs w:val="20"/>
        </w:rPr>
        <w:t xml:space="preserve">         本合同是否为专门面向中小企业的采购合同（中小企业预留合同）：</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是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否</w:t>
      </w:r>
    </w:p>
    <w:p>
      <w:pPr>
        <w:numPr>
          <w:ilvl w:val="255"/>
          <w:numId w:val="0"/>
        </w:numPr>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sz w:val="22"/>
          <w:szCs w:val="22"/>
        </w:rPr>
        <w:t xml:space="preserve">         若本项目不专门面向中小企业采购，是否给予小微企业评审优惠：</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是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否</w:t>
      </w:r>
    </w:p>
    <w:p>
      <w:pPr>
        <w:numPr>
          <w:ilvl w:val="255"/>
          <w:numId w:val="0"/>
        </w:numPr>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sz w:val="22"/>
          <w:szCs w:val="22"/>
        </w:rPr>
        <w:t xml:space="preserve">         中标（成交）采购标的制造商是否为残疾人福利性单位：</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是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否</w:t>
      </w:r>
    </w:p>
    <w:p>
      <w:pPr>
        <w:snapToGrid w:val="0"/>
        <w:spacing w:line="400" w:lineRule="exact"/>
        <w:ind w:firstLine="0" w:firstLineChars="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2"/>
        </w:rPr>
        <w:t xml:space="preserve">         中标（成交）采购标的制造商是否为监狱企业：</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是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否</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（7）合同是否分包：</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是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t>分包主要内容：</w:t>
      </w:r>
    </w:p>
    <w:p>
      <w:pPr>
        <w:adjustRightInd w:val="0"/>
        <w:snapToGrid w:val="0"/>
        <w:spacing w:line="400" w:lineRule="exact"/>
        <w:ind w:firstLine="880" w:firstLineChars="4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分包供应商/制造商名称（如供应商和制造商不同，请分别填写）：</w:t>
      </w:r>
    </w:p>
    <w:p>
      <w:pPr>
        <w:adjustRightInd w:val="0"/>
        <w:snapToGrid w:val="0"/>
        <w:spacing w:line="400" w:lineRule="exact"/>
        <w:ind w:firstLine="880" w:firstLineChars="400"/>
        <w:rPr>
          <w:rFonts w:ascii="国标仿宋-GB/T 2312" w:hAnsi="国标仿宋-GB/T 2312" w:eastAsia="国标仿宋-GB/T 2312" w:cs="国标仿宋-GB/T 2312"/>
          <w:sz w:val="22"/>
          <w:szCs w:val="20"/>
          <w:u w:val="single"/>
        </w:rPr>
      </w:pPr>
    </w:p>
    <w:p>
      <w:pPr>
        <w:adjustRightInd w:val="0"/>
        <w:snapToGrid w:val="0"/>
        <w:spacing w:line="400" w:lineRule="exact"/>
        <w:ind w:firstLine="880" w:firstLineChars="4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分包供应商/制造商类型（如果供应商和制造商不同，只填写制造商类型）：</w:t>
      </w:r>
    </w:p>
    <w:p>
      <w:pPr>
        <w:adjustRightInd w:val="0"/>
        <w:snapToGrid w:val="0"/>
        <w:spacing w:line="400" w:lineRule="exact"/>
        <w:ind w:firstLine="880" w:firstLineChars="400"/>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大型企业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中型企业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小微型企业</w:t>
      </w:r>
    </w:p>
    <w:p>
      <w:pPr>
        <w:adjustRightInd w:val="0"/>
        <w:snapToGrid w:val="0"/>
        <w:spacing w:line="400" w:lineRule="exact"/>
        <w:ind w:firstLine="880" w:firstLineChars="40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残疾人福利性单位</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监狱企业</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其他</w:t>
      </w:r>
    </w:p>
    <w:p>
      <w:pPr>
        <w:numPr>
          <w:ilvl w:val="255"/>
          <w:numId w:val="0"/>
        </w:numPr>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sz w:val="22"/>
          <w:szCs w:val="20"/>
        </w:rPr>
        <w:t xml:space="preserve">    （8）中标（成交）供应商是否为外商投资企业：</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是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否</w:t>
      </w:r>
    </w:p>
    <w:p>
      <w:pPr>
        <w:pStyle w:val="158"/>
        <w:tabs>
          <w:tab w:val="left" w:pos="1340"/>
        </w:tabs>
        <w:ind w:firstLine="400"/>
        <w:rPr>
          <w:rFonts w:ascii="国标仿宋-GB/T 2312" w:hAnsi="国标仿宋-GB/T 2312" w:eastAsia="国标仿宋-GB/T 2312" w:cs="国标仿宋-GB/T 2312"/>
          <w:sz w:val="20"/>
          <w:szCs w:val="20"/>
          <w:u w:val="single"/>
        </w:rPr>
      </w:pPr>
      <w:r>
        <w:rPr>
          <w:rFonts w:hint="eastAsia" w:ascii="国标仿宋-GB/T 2312" w:hAnsi="国标仿宋-GB/T 2312" w:eastAsia="国标仿宋-GB/T 2312" w:cs="国标仿宋-GB/T 2312"/>
          <w:sz w:val="20"/>
          <w:szCs w:val="20"/>
        </w:rPr>
        <w:t xml:space="preserve">     外商投资企业类型：</w:t>
      </w:r>
      <w:r>
        <w:rPr>
          <w:rFonts w:hint="eastAsia" w:ascii="国标仿宋-GB/T 2312" w:hAnsi="国标仿宋-GB/T 2312" w:eastAsia="国标仿宋-GB/T 2312" w:cs="国标仿宋-GB/T 2312"/>
          <w:iCs/>
          <w:sz w:val="20"/>
          <w:szCs w:val="20"/>
        </w:rPr>
        <w:sym w:font="Wingdings" w:char="00A8"/>
      </w:r>
      <w:r>
        <w:rPr>
          <w:rFonts w:hint="eastAsia" w:ascii="国标仿宋-GB/T 2312" w:hAnsi="国标仿宋-GB/T 2312" w:eastAsia="国标仿宋-GB/T 2312" w:cs="国标仿宋-GB/T 2312"/>
          <w:sz w:val="20"/>
          <w:szCs w:val="20"/>
        </w:rPr>
        <w:t xml:space="preserve">全部由外国投资者投资  </w:t>
      </w:r>
      <w:r>
        <w:rPr>
          <w:rFonts w:hint="eastAsia" w:ascii="国标仿宋-GB/T 2312" w:hAnsi="国标仿宋-GB/T 2312" w:eastAsia="国标仿宋-GB/T 2312" w:cs="国标仿宋-GB/T 2312"/>
          <w:iCs/>
          <w:sz w:val="20"/>
          <w:szCs w:val="20"/>
        </w:rPr>
        <w:sym w:font="Wingdings" w:char="00A8"/>
      </w:r>
      <w:r>
        <w:rPr>
          <w:rFonts w:hint="eastAsia" w:ascii="国标仿宋-GB/T 2312" w:hAnsi="国标仿宋-GB/T 2312" w:eastAsia="国标仿宋-GB/T 2312" w:cs="国标仿宋-GB/T 2312"/>
          <w:iCs/>
          <w:sz w:val="20"/>
          <w:szCs w:val="20"/>
        </w:rPr>
        <w:t>部分由外国投资者投资</w:t>
      </w:r>
    </w:p>
    <w:p>
      <w:pPr>
        <w:numPr>
          <w:ilvl w:val="255"/>
          <w:numId w:val="0"/>
        </w:numPr>
        <w:adjustRightInd w:val="0"/>
        <w:snapToGrid w:val="0"/>
        <w:spacing w:line="400" w:lineRule="exact"/>
        <w:ind w:firstLine="400" w:firstLineChars="2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（9）是否涉及进口产品：</w:t>
      </w:r>
    </w:p>
    <w:p>
      <w:pPr>
        <w:numPr>
          <w:ilvl w:val="255"/>
          <w:numId w:val="0"/>
        </w:numPr>
        <w:adjustRightInd w:val="0"/>
        <w:snapToGrid w:val="0"/>
        <w:spacing w:line="400" w:lineRule="exact"/>
        <w:ind w:firstLine="880" w:firstLineChars="40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是，《政府采购品目分类目录》底级品目名称： 金额：</w:t>
      </w:r>
    </w:p>
    <w:p>
      <w:pPr>
        <w:numPr>
          <w:ilvl w:val="255"/>
          <w:numId w:val="0"/>
        </w:numPr>
        <w:adjustRightInd w:val="0"/>
        <w:snapToGrid w:val="0"/>
        <w:spacing w:line="400" w:lineRule="exact"/>
        <w:ind w:firstLine="880" w:firstLineChars="4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 xml:space="preserve">        国别： 品牌： 规格型号：</w:t>
      </w:r>
    </w:p>
    <w:p>
      <w:pPr>
        <w:adjustRightInd w:val="0"/>
        <w:snapToGrid w:val="0"/>
        <w:spacing w:line="400" w:lineRule="exact"/>
        <w:ind w:firstLine="880" w:firstLineChars="4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否</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（10）是否涉及节能产品：</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是，《节能产品政府采购品目清单》的底级品目名称：</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强制采购</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优先采购</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否</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是否涉及环境标志产品：</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是，《环境标志产品政府采购品目清单》的底级品目名称：</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强制采购</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优先采购</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否</w:t>
      </w:r>
    </w:p>
    <w:p>
      <w:pPr>
        <w:pStyle w:val="158"/>
        <w:numPr>
          <w:ilvl w:val="255"/>
          <w:numId w:val="0"/>
        </w:numPr>
        <w:snapToGrid w:val="0"/>
        <w:rPr>
          <w:rFonts w:ascii="国标仿宋-GB/T 2312" w:hAnsi="国标仿宋-GB/T 2312" w:eastAsia="国标仿宋-GB/T 2312" w:cs="国标仿宋-GB/T 2312"/>
          <w:kern w:val="2"/>
          <w:sz w:val="20"/>
          <w:szCs w:val="20"/>
        </w:rPr>
      </w:pPr>
      <w:r>
        <w:rPr>
          <w:rFonts w:hint="eastAsia" w:ascii="国标仿宋-GB/T 2312" w:hAnsi="国标仿宋-GB/T 2312" w:eastAsia="国标仿宋-GB/T 2312" w:cs="国标仿宋-GB/T 2312"/>
          <w:kern w:val="2"/>
          <w:sz w:val="20"/>
          <w:szCs w:val="20"/>
        </w:rPr>
        <w:t>是否涉及绿色产品：</w:t>
      </w:r>
    </w:p>
    <w:p>
      <w:pPr>
        <w:pStyle w:val="158"/>
        <w:ind w:firstLine="420" w:firstLineChars="0"/>
        <w:rPr>
          <w:rFonts w:ascii="国标仿宋-GB/T 2312" w:hAnsi="国标仿宋-GB/T 2312" w:eastAsia="国标仿宋-GB/T 2312" w:cs="国标仿宋-GB/T 2312"/>
          <w:sz w:val="21"/>
          <w:szCs w:val="20"/>
          <w:u w:val="single"/>
        </w:rPr>
      </w:pPr>
      <w:r>
        <w:rPr>
          <w:rFonts w:hint="eastAsia" w:ascii="国标仿宋-GB/T 2312" w:hAnsi="国标仿宋-GB/T 2312" w:eastAsia="国标仿宋-GB/T 2312" w:cs="国标仿宋-GB/T 2312"/>
          <w:kern w:val="2"/>
          <w:sz w:val="20"/>
          <w:szCs w:val="20"/>
        </w:rPr>
        <w:sym w:font="Wingdings" w:char="00A8"/>
      </w:r>
      <w:r>
        <w:rPr>
          <w:rFonts w:hint="eastAsia" w:ascii="国标仿宋-GB/T 2312" w:hAnsi="国标仿宋-GB/T 2312" w:eastAsia="国标仿宋-GB/T 2312" w:cs="国标仿宋-GB/T 2312"/>
          <w:kern w:val="2"/>
          <w:sz w:val="20"/>
          <w:szCs w:val="20"/>
        </w:rPr>
        <w:t>是，绿色产品政府采购相关政策确定的底级品目名称：</w:t>
      </w:r>
    </w:p>
    <w:p>
      <w:pPr>
        <w:numPr>
          <w:ilvl w:val="255"/>
          <w:numId w:val="0"/>
        </w:numPr>
        <w:tabs>
          <w:tab w:val="left" w:pos="740"/>
        </w:tabs>
        <w:adjustRightInd w:val="0"/>
        <w:snapToGrid w:val="0"/>
        <w:spacing w:line="400" w:lineRule="exact"/>
        <w:rPr>
          <w:rFonts w:ascii="国标仿宋-GB/T 2312" w:hAnsi="国标仿宋-GB/T 2312" w:eastAsia="国标仿宋-GB/T 2312" w:cs="国标仿宋-GB/T 2312"/>
          <w:iCs/>
          <w:sz w:val="22"/>
          <w:szCs w:val="20"/>
        </w:rPr>
      </w:pP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强制采购</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优先采购</w:t>
      </w:r>
    </w:p>
    <w:p>
      <w:pPr>
        <w:pStyle w:val="158"/>
        <w:ind w:firstLine="420" w:firstLineChars="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kern w:val="2"/>
          <w:sz w:val="20"/>
          <w:szCs w:val="20"/>
        </w:rPr>
        <w:sym w:font="Wingdings" w:char="00A8"/>
      </w:r>
      <w:r>
        <w:rPr>
          <w:rFonts w:hint="eastAsia" w:ascii="国标仿宋-GB/T 2312" w:hAnsi="国标仿宋-GB/T 2312" w:eastAsia="国标仿宋-GB/T 2312" w:cs="国标仿宋-GB/T 2312"/>
          <w:kern w:val="2"/>
          <w:sz w:val="20"/>
          <w:szCs w:val="20"/>
        </w:rPr>
        <w:t>否</w:t>
      </w:r>
    </w:p>
    <w:p>
      <w:pPr>
        <w:numPr>
          <w:ilvl w:val="255"/>
          <w:numId w:val="0"/>
        </w:numPr>
        <w:adjustRightInd w:val="0"/>
        <w:snapToGrid w:val="0"/>
        <w:spacing w:line="400" w:lineRule="exac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 xml:space="preserve">    （11）涉及商品包装和快递包装的，是否参考《商品包装政府采购需求标准（试行）》、《快递包装政府采购需求标准（试行）》明确产品及相关快递服务的具体包装要求：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80" w:firstLineChars="4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 xml:space="preserve">是       </w:t>
      </w: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否</w:t>
      </w: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不涉及</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rPr>
      </w:pPr>
      <w:r>
        <w:rPr>
          <w:rFonts w:hint="eastAsia" w:ascii="国标仿宋-GB/T 2312" w:hAnsi="国标仿宋-GB/T 2312" w:eastAsia="国标仿宋-GB/T 2312" w:cs="国标仿宋-GB/T 2312"/>
          <w:b/>
          <w:sz w:val="22"/>
          <w:szCs w:val="20"/>
        </w:rPr>
        <w:t>合同金额</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（1）合同金额小写：</w:t>
      </w:r>
    </w:p>
    <w:p>
      <w:pPr>
        <w:adjustRightInd w:val="0"/>
        <w:snapToGrid w:val="0"/>
        <w:spacing w:line="400" w:lineRule="exact"/>
        <w:ind w:firstLine="0" w:firstLineChars="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t>大写：</w:t>
      </w:r>
    </w:p>
    <w:p>
      <w:pPr>
        <w:adjustRightInd w:val="0"/>
        <w:snapToGrid w:val="0"/>
        <w:spacing w:line="400" w:lineRule="exact"/>
        <w:ind w:firstLine="0" w:firstLineChars="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分包金额（如有）小写：</w:t>
      </w:r>
    </w:p>
    <w:p>
      <w:pPr>
        <w:adjustRightInd w:val="0"/>
        <w:snapToGrid w:val="0"/>
        <w:spacing w:line="400" w:lineRule="exact"/>
        <w:ind w:firstLine="0" w:firstLineChars="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t>大写：</w:t>
      </w:r>
    </w:p>
    <w:p>
      <w:pPr>
        <w:adjustRightInd w:val="0"/>
        <w:snapToGrid w:val="0"/>
        <w:spacing w:line="400" w:lineRule="exact"/>
        <w:ind w:firstLine="0" w:firstLineChars="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 xml:space="preserve">    （注：固定单价合同应填写单价和最高限价）</w:t>
      </w:r>
    </w:p>
    <w:p>
      <w:pPr>
        <w:numPr>
          <w:ilvl w:val="255"/>
          <w:numId w:val="0"/>
        </w:numPr>
        <w:adjustRightInd w:val="0"/>
        <w:snapToGrid w:val="0"/>
        <w:spacing w:line="400" w:lineRule="exac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（2）合同定价方式（采用组合定价方式的，可以勾选多项）：</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固定总价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固定单价</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固定费率</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 xml:space="preserve">成本补偿 </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绩效激励</w:t>
      </w:r>
      <w:r>
        <w:rPr>
          <w:rFonts w:hint="eastAsia" w:ascii="国标仿宋-GB/T 2312" w:hAnsi="国标仿宋-GB/T 2312" w:eastAsia="国标仿宋-GB/T 2312" w:cs="国标仿宋-GB/T 2312"/>
          <w:iCs/>
          <w:sz w:val="22"/>
          <w:szCs w:val="20"/>
        </w:rPr>
        <w:sym w:font="Wingdings" w:char="00A8"/>
      </w:r>
      <w:r>
        <w:rPr>
          <w:rFonts w:hint="eastAsia" w:ascii="国标仿宋-GB/T 2312" w:hAnsi="国标仿宋-GB/T 2312" w:eastAsia="国标仿宋-GB/T 2312" w:cs="国标仿宋-GB/T 2312"/>
          <w:iCs/>
          <w:sz w:val="22"/>
          <w:szCs w:val="20"/>
        </w:rPr>
        <w:t>其他</w:t>
      </w:r>
    </w:p>
    <w:p>
      <w:pPr>
        <w:pStyle w:val="112"/>
        <w:spacing w:line="400" w:lineRule="exact"/>
        <w:ind w:firstLine="44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2"/>
        </w:rPr>
        <w:t>（3）付款方式（按项目实际勾选填写）：</w:t>
      </w:r>
    </w:p>
    <w:p>
      <w:pPr>
        <w:adjustRightInd w:val="0"/>
        <w:snapToGrid w:val="0"/>
        <w:spacing w:line="400" w:lineRule="exact"/>
        <w:ind w:firstLine="660" w:firstLineChars="30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全额付款：</w:t>
      </w:r>
      <w:r>
        <w:rPr>
          <w:rFonts w:hint="eastAsia" w:ascii="国标仿宋-GB/T 2312" w:hAnsi="国标仿宋-GB/T 2312" w:eastAsia="国标仿宋-GB/T 2312" w:cs="国标仿宋-GB/T 2312"/>
          <w:sz w:val="22"/>
          <w:szCs w:val="20"/>
          <w:u w:val="single"/>
        </w:rPr>
        <w:t xml:space="preserve">     （应明确一次性支付合同款项的条件）                    </w:t>
      </w:r>
    </w:p>
    <w:p>
      <w:pPr>
        <w:snapToGrid w:val="0"/>
        <w:spacing w:line="400" w:lineRule="exact"/>
        <w:ind w:firstLine="660" w:firstLineChars="30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分期付款：</w:t>
      </w:r>
      <w:r>
        <w:rPr>
          <w:rFonts w:hint="eastAsia" w:ascii="国标仿宋-GB/T 2312" w:hAnsi="国标仿宋-GB/T 2312" w:eastAsia="国标仿宋-GB/T 2312" w:cs="国标仿宋-GB/T 2312"/>
          <w:sz w:val="22"/>
          <w:szCs w:val="20"/>
          <w:u w:val="single"/>
        </w:rPr>
        <w:t xml:space="preserve">  （应明确分期支付合同款项的各期比例和支付条件，各期支付条件应与分期履约验收情况挂钩） </w:t>
      </w:r>
      <w:r>
        <w:rPr>
          <w:rFonts w:hint="eastAsia" w:ascii="国标仿宋-GB/T 2312" w:hAnsi="国标仿宋-GB/T 2312" w:eastAsia="国标仿宋-GB/T 2312" w:cs="国标仿宋-GB/T 2312"/>
          <w:sz w:val="22"/>
          <w:szCs w:val="20"/>
        </w:rPr>
        <w:t>，其中涉及预付款的：</w:t>
      </w:r>
      <w:r>
        <w:rPr>
          <w:rFonts w:hint="eastAsia" w:ascii="国标仿宋-GB/T 2312" w:hAnsi="国标仿宋-GB/T 2312" w:eastAsia="国标仿宋-GB/T 2312" w:cs="国标仿宋-GB/T 2312"/>
          <w:sz w:val="22"/>
          <w:szCs w:val="20"/>
          <w:u w:val="single"/>
        </w:rPr>
        <w:t xml:space="preserve"> （应明确预付款的支付比例和支付条件） </w:t>
      </w:r>
    </w:p>
    <w:p>
      <w:pPr>
        <w:adjustRightInd w:val="0"/>
        <w:snapToGrid w:val="0"/>
        <w:spacing w:line="400" w:lineRule="exact"/>
        <w:ind w:firstLine="660" w:firstLineChars="30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成本补偿：</w:t>
      </w:r>
      <w:r>
        <w:rPr>
          <w:rFonts w:hint="eastAsia" w:ascii="国标仿宋-GB/T 2312" w:hAnsi="国标仿宋-GB/T 2312" w:eastAsia="国标仿宋-GB/T 2312" w:cs="国标仿宋-GB/T 2312"/>
          <w:sz w:val="22"/>
          <w:szCs w:val="20"/>
          <w:u w:val="single"/>
        </w:rPr>
        <w:t xml:space="preserve">      （应明确按照成本补偿方式的支付方式和支付条件）   </w:t>
      </w:r>
    </w:p>
    <w:p>
      <w:pPr>
        <w:adjustRightInd w:val="0"/>
        <w:snapToGrid w:val="0"/>
        <w:spacing w:line="400" w:lineRule="exact"/>
        <w:ind w:firstLine="660" w:firstLineChars="30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sym w:font="Wingdings" w:char="00A8"/>
      </w:r>
      <w:r>
        <w:rPr>
          <w:rFonts w:hint="eastAsia" w:ascii="国标仿宋-GB/T 2312" w:hAnsi="国标仿宋-GB/T 2312" w:eastAsia="国标仿宋-GB/T 2312" w:cs="国标仿宋-GB/T 2312"/>
          <w:sz w:val="22"/>
          <w:szCs w:val="20"/>
        </w:rPr>
        <w:t>绩效激励：</w:t>
      </w:r>
      <w:r>
        <w:rPr>
          <w:rFonts w:hint="eastAsia" w:ascii="国标仿宋-GB/T 2312" w:hAnsi="国标仿宋-GB/T 2312" w:eastAsia="国标仿宋-GB/T 2312" w:cs="国标仿宋-GB/T 2312"/>
          <w:sz w:val="22"/>
          <w:szCs w:val="20"/>
          <w:u w:val="single"/>
        </w:rPr>
        <w:t xml:space="preserve">      （应明确按照绩效激励方式的支付方式和支付条件）   </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u w:val="single"/>
        </w:rPr>
      </w:pPr>
      <w:r>
        <w:rPr>
          <w:rFonts w:hint="eastAsia" w:ascii="国标仿宋-GB/T 2312" w:hAnsi="国标仿宋-GB/T 2312" w:eastAsia="国标仿宋-GB/T 2312" w:cs="国标仿宋-GB/T 2312"/>
          <w:b/>
          <w:sz w:val="22"/>
          <w:szCs w:val="20"/>
        </w:rPr>
        <w:t>合同履行</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（1）起始日期：年月日，完成日期：年月日。</w:t>
      </w:r>
    </w:p>
    <w:p>
      <w:pPr>
        <w:adjustRightInd w:val="0"/>
        <w:snapToGrid w:val="0"/>
        <w:spacing w:line="400" w:lineRule="exact"/>
        <w:ind w:firstLine="44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sz w:val="22"/>
          <w:szCs w:val="20"/>
        </w:rPr>
        <w:t>（2）履约地点</w:t>
      </w:r>
      <w:r>
        <w:rPr>
          <w:rFonts w:hint="eastAsia" w:ascii="国标仿宋-GB/T 2312" w:hAnsi="国标仿宋-GB/T 2312" w:eastAsia="国标仿宋-GB/T 2312" w:cs="国标仿宋-GB/T 2312"/>
          <w:bCs/>
          <w:sz w:val="22"/>
          <w:szCs w:val="20"/>
        </w:rPr>
        <w:t>：</w:t>
      </w:r>
    </w:p>
    <w:p>
      <w:pPr>
        <w:adjustRightInd w:val="0"/>
        <w:snapToGrid w:val="0"/>
        <w:spacing w:line="400" w:lineRule="exact"/>
        <w:ind w:firstLine="44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bCs/>
          <w:sz w:val="22"/>
          <w:szCs w:val="20"/>
        </w:rPr>
        <w:t>（3）履约担保：</w:t>
      </w:r>
      <w:r>
        <w:rPr>
          <w:rFonts w:hint="eastAsia" w:ascii="国标仿宋-GB/T 2312" w:hAnsi="国标仿宋-GB/T 2312" w:eastAsia="国标仿宋-GB/T 2312" w:cs="国标仿宋-GB/T 2312"/>
          <w:sz w:val="20"/>
          <w:szCs w:val="22"/>
        </w:rPr>
        <w:t>是否收取履约保证金：</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是</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sz w:val="20"/>
          <w:szCs w:val="20"/>
        </w:rPr>
        <w:t>否</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收取履约保证金形式：</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    收取履约保证金金额：</w:t>
      </w:r>
    </w:p>
    <w:p>
      <w:pPr>
        <w:snapToGrid w:val="0"/>
        <w:spacing w:line="400" w:lineRule="exact"/>
        <w:ind w:firstLine="440"/>
        <w:rPr>
          <w:rFonts w:ascii="国标仿宋-GB/T 2312" w:hAnsi="国标仿宋-GB/T 2312" w:eastAsia="国标仿宋-GB/T 2312" w:cs="国标仿宋-GB/T 2312"/>
          <w:sz w:val="20"/>
          <w:szCs w:val="22"/>
        </w:rPr>
      </w:pPr>
      <w:r>
        <w:rPr>
          <w:rFonts w:hint="eastAsia" w:ascii="国标仿宋-GB/T 2312" w:hAnsi="国标仿宋-GB/T 2312" w:eastAsia="国标仿宋-GB/T 2312" w:cs="国标仿宋-GB/T 2312"/>
          <w:bCs/>
          <w:sz w:val="22"/>
          <w:szCs w:val="20"/>
        </w:rPr>
        <w:t xml:space="preserve">    履约担保期限：</w:t>
      </w:r>
    </w:p>
    <w:p>
      <w:pPr>
        <w:adjustRightInd w:val="0"/>
        <w:snapToGrid w:val="0"/>
        <w:spacing w:line="400" w:lineRule="exact"/>
        <w:ind w:firstLine="44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（4）分期履行要求：</w:t>
      </w:r>
    </w:p>
    <w:p>
      <w:pPr>
        <w:adjustRightInd w:val="0"/>
        <w:snapToGrid w:val="0"/>
        <w:spacing w:line="400" w:lineRule="exact"/>
        <w:ind w:firstLine="440"/>
        <w:rPr>
          <w:rFonts w:ascii="国标仿宋-GB/T 2312" w:hAnsi="国标仿宋-GB/T 2312" w:eastAsia="国标仿宋-GB/T 2312" w:cs="国标仿宋-GB/T 2312"/>
          <w:sz w:val="22"/>
          <w:szCs w:val="20"/>
          <w:u w:val="single"/>
        </w:rPr>
      </w:pPr>
      <w:r>
        <w:rPr>
          <w:rFonts w:hint="eastAsia" w:ascii="国标仿宋-GB/T 2312" w:hAnsi="国标仿宋-GB/T 2312" w:eastAsia="国标仿宋-GB/T 2312" w:cs="国标仿宋-GB/T 2312"/>
          <w:bCs/>
          <w:sz w:val="22"/>
          <w:szCs w:val="20"/>
        </w:rPr>
        <w:t>（5）风险处置措施和替代方案：</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rPr>
      </w:pPr>
      <w:r>
        <w:rPr>
          <w:rFonts w:hint="eastAsia" w:ascii="国标仿宋-GB/T 2312" w:hAnsi="国标仿宋-GB/T 2312" w:eastAsia="国标仿宋-GB/T 2312" w:cs="国标仿宋-GB/T 2312"/>
          <w:b/>
          <w:sz w:val="22"/>
          <w:szCs w:val="20"/>
        </w:rPr>
        <w:t>合同验收</w:t>
      </w:r>
    </w:p>
    <w:p>
      <w:pPr>
        <w:numPr>
          <w:ilvl w:val="0"/>
          <w:numId w:val="5"/>
        </w:numPr>
        <w:adjustRightInd w:val="0"/>
        <w:snapToGrid w:val="0"/>
        <w:spacing w:line="400" w:lineRule="exact"/>
        <w:ind w:firstLine="44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验收组织方式：</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 xml:space="preserve">自行组织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委托第三方组织</w:t>
      </w:r>
    </w:p>
    <w:p>
      <w:pPr>
        <w:adjustRightInd w:val="0"/>
        <w:snapToGrid w:val="0"/>
        <w:spacing w:line="400" w:lineRule="exact"/>
        <w:ind w:firstLine="0" w:firstLineChars="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验收主体：</w:t>
      </w:r>
    </w:p>
    <w:p>
      <w:pPr>
        <w:adjustRightInd w:val="0"/>
        <w:snapToGrid w:val="0"/>
        <w:spacing w:line="400" w:lineRule="exact"/>
        <w:ind w:firstLine="0" w:firstLineChars="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是否邀请本项目的其他供应商参加验收：</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 xml:space="preserve">是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是否邀请专家参加验收：</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 xml:space="preserve">是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是否邀请服务对象参加验收：</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 xml:space="preserve">是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是否邀请第三方检测机构参加验收：</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 xml:space="preserve">是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是否进行抽查检测：</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是，抽查比例：</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bCs/>
          <w:sz w:val="22"/>
          <w:szCs w:val="20"/>
          <w:u w:val="single"/>
        </w:rPr>
      </w:pPr>
      <w:r>
        <w:rPr>
          <w:rFonts w:hint="eastAsia" w:ascii="国标仿宋-GB/T 2312" w:hAnsi="国标仿宋-GB/T 2312" w:eastAsia="国标仿宋-GB/T 2312" w:cs="国标仿宋-GB/T 2312"/>
          <w:bCs/>
          <w:sz w:val="22"/>
          <w:szCs w:val="20"/>
        </w:rPr>
        <w:t>是否存在破坏性检测：</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是，</w:t>
      </w:r>
      <w:r>
        <w:rPr>
          <w:rFonts w:hint="eastAsia" w:ascii="国标仿宋-GB/T 2312" w:hAnsi="国标仿宋-GB/T 2312" w:eastAsia="国标仿宋-GB/T 2312" w:cs="国标仿宋-GB/T 2312"/>
          <w:bCs/>
          <w:sz w:val="22"/>
          <w:szCs w:val="20"/>
          <w:u w:val="single"/>
        </w:rPr>
        <w:t>（应明确对被破坏的检测产品的处理方式）</w:t>
      </w:r>
    </w:p>
    <w:p>
      <w:pPr>
        <w:adjustRightInd w:val="0"/>
        <w:snapToGrid w:val="0"/>
        <w:spacing w:line="400" w:lineRule="exact"/>
        <w:ind w:firstLine="800" w:firstLineChars="40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否</w:t>
      </w:r>
    </w:p>
    <w:p>
      <w:pPr>
        <w:adjustRightInd w:val="0"/>
        <w:snapToGrid w:val="0"/>
        <w:spacing w:line="400" w:lineRule="exact"/>
        <w:ind w:firstLine="880" w:firstLineChars="400"/>
        <w:rPr>
          <w:rFonts w:ascii="国标仿宋-GB/T 2312" w:hAnsi="国标仿宋-GB/T 2312" w:eastAsia="国标仿宋-GB/T 2312" w:cs="国标仿宋-GB/T 2312"/>
          <w:bCs/>
          <w:sz w:val="22"/>
          <w:szCs w:val="20"/>
          <w:u w:val="single"/>
        </w:rPr>
      </w:pPr>
      <w:r>
        <w:rPr>
          <w:rFonts w:hint="eastAsia" w:ascii="国标仿宋-GB/T 2312" w:hAnsi="国标仿宋-GB/T 2312" w:eastAsia="国标仿宋-GB/T 2312" w:cs="国标仿宋-GB/T 2312"/>
          <w:bCs/>
          <w:sz w:val="22"/>
          <w:szCs w:val="20"/>
        </w:rPr>
        <w:t>验收组织的其他事项：</w:t>
      </w:r>
    </w:p>
    <w:p>
      <w:pPr>
        <w:adjustRightInd w:val="0"/>
        <w:snapToGrid w:val="0"/>
        <w:spacing w:line="400" w:lineRule="exact"/>
        <w:ind w:firstLine="440"/>
        <w:rPr>
          <w:rFonts w:ascii="国标仿宋-GB/T 2312" w:hAnsi="国标仿宋-GB/T 2312" w:eastAsia="国标仿宋-GB/T 2312" w:cs="国标仿宋-GB/T 2312"/>
          <w:bCs/>
          <w:sz w:val="22"/>
          <w:szCs w:val="20"/>
          <w:u w:val="single"/>
        </w:rPr>
      </w:pPr>
      <w:r>
        <w:rPr>
          <w:rFonts w:hint="eastAsia" w:ascii="国标仿宋-GB/T 2312" w:hAnsi="国标仿宋-GB/T 2312" w:eastAsia="国标仿宋-GB/T 2312" w:cs="国标仿宋-GB/T 2312"/>
          <w:bCs/>
          <w:sz w:val="22"/>
          <w:szCs w:val="20"/>
        </w:rPr>
        <w:t>（2）履约验收时间：</w:t>
      </w:r>
      <w:r>
        <w:rPr>
          <w:rFonts w:hint="eastAsia" w:ascii="国标仿宋-GB/T 2312" w:hAnsi="国标仿宋-GB/T 2312" w:eastAsia="国标仿宋-GB/T 2312" w:cs="国标仿宋-GB/T 2312"/>
          <w:bCs/>
          <w:sz w:val="22"/>
          <w:szCs w:val="20"/>
          <w:u w:val="single"/>
        </w:rPr>
        <w:t>（计划于何时验收/供应商提出验收申请之日起   日内组织验收）</w:t>
      </w:r>
    </w:p>
    <w:p>
      <w:pPr>
        <w:adjustRightInd w:val="0"/>
        <w:snapToGrid w:val="0"/>
        <w:spacing w:line="400" w:lineRule="exact"/>
        <w:ind w:firstLine="44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（3）履约验收方式：</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 xml:space="preserve">一次性验收         </w:t>
      </w:r>
    </w:p>
    <w:p>
      <w:pPr>
        <w:adjustRightInd w:val="0"/>
        <w:snapToGrid w:val="0"/>
        <w:spacing w:line="400" w:lineRule="exact"/>
        <w:ind w:firstLine="0" w:firstLineChars="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2"/>
          <w:szCs w:val="20"/>
        </w:rPr>
        <w:t>分期/分项验收：</w:t>
      </w:r>
      <w:r>
        <w:rPr>
          <w:rFonts w:hint="eastAsia" w:ascii="国标仿宋-GB/T 2312" w:hAnsi="国标仿宋-GB/T 2312" w:eastAsia="国标仿宋-GB/T 2312" w:cs="国标仿宋-GB/T 2312"/>
          <w:bCs/>
          <w:sz w:val="22"/>
          <w:szCs w:val="20"/>
          <w:u w:val="single"/>
        </w:rPr>
        <w:t>（应明确分期/分项验收的工作安排）</w:t>
      </w:r>
    </w:p>
    <w:p>
      <w:pPr>
        <w:adjustRightInd w:val="0"/>
        <w:snapToGrid w:val="0"/>
        <w:spacing w:line="400" w:lineRule="exact"/>
        <w:ind w:firstLine="440"/>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（4）履约验收程序：</w:t>
      </w:r>
    </w:p>
    <w:p>
      <w:pPr>
        <w:adjustRightInd w:val="0"/>
        <w:snapToGrid w:val="0"/>
        <w:spacing w:line="400" w:lineRule="exact"/>
        <w:ind w:firstLine="440"/>
        <w:rPr>
          <w:rFonts w:ascii="国标仿宋-GB/T 2312" w:hAnsi="国标仿宋-GB/T 2312" w:eastAsia="国标仿宋-GB/T 2312" w:cs="国标仿宋-GB/T 2312"/>
          <w:bCs/>
          <w:sz w:val="22"/>
          <w:szCs w:val="20"/>
          <w:u w:val="single"/>
        </w:rPr>
      </w:pPr>
      <w:r>
        <w:rPr>
          <w:rFonts w:hint="eastAsia" w:ascii="国标仿宋-GB/T 2312" w:hAnsi="国标仿宋-GB/T 2312" w:eastAsia="国标仿宋-GB/T 2312" w:cs="国标仿宋-GB/T 2312"/>
          <w:bCs/>
          <w:sz w:val="22"/>
          <w:szCs w:val="20"/>
        </w:rPr>
        <w:t>（5）履约验收的内容：</w:t>
      </w:r>
      <w:r>
        <w:rPr>
          <w:rFonts w:hint="eastAsia" w:ascii="国标仿宋-GB/T 2312" w:hAnsi="国标仿宋-GB/T 2312" w:eastAsia="国标仿宋-GB/T 2312" w:cs="国标仿宋-GB/T 2312"/>
          <w:bCs/>
          <w:sz w:val="22"/>
          <w:szCs w:val="20"/>
          <w:u w:val="single"/>
        </w:rPr>
        <w:t>（应当包括每一项技术和商务要求的履约情况，特别是落实政府采购扶持中小企业，支持绿色发展和乡村振兴等政策情况）</w:t>
      </w:r>
    </w:p>
    <w:p>
      <w:pPr>
        <w:adjustRightInd w:val="0"/>
        <w:snapToGrid w:val="0"/>
        <w:spacing w:line="400" w:lineRule="exact"/>
        <w:ind w:firstLine="440"/>
        <w:rPr>
          <w:rFonts w:ascii="国标仿宋-GB/T 2312" w:hAnsi="国标仿宋-GB/T 2312" w:eastAsia="国标仿宋-GB/T 2312" w:cs="国标仿宋-GB/T 2312"/>
          <w:bCs/>
          <w:sz w:val="22"/>
          <w:szCs w:val="20"/>
          <w:u w:val="single"/>
        </w:rPr>
      </w:pPr>
      <w:r>
        <w:rPr>
          <w:rFonts w:hint="eastAsia" w:ascii="国标仿宋-GB/T 2312" w:hAnsi="国标仿宋-GB/T 2312" w:eastAsia="国标仿宋-GB/T 2312" w:cs="国标仿宋-GB/T 2312"/>
          <w:bCs/>
          <w:sz w:val="22"/>
          <w:szCs w:val="20"/>
        </w:rPr>
        <w:t>（6）履约验收标准：</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bCs/>
          <w:sz w:val="20"/>
          <w:szCs w:val="20"/>
        </w:rPr>
        <w:t>（7）是否以采购活动中供应商提供的样品作为参考：</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0"/>
          <w:szCs w:val="20"/>
        </w:rPr>
        <w:t xml:space="preserve">是  </w:t>
      </w:r>
      <w:r>
        <w:rPr>
          <w:rFonts w:hint="eastAsia" w:ascii="国标仿宋-GB/T 2312" w:hAnsi="国标仿宋-GB/T 2312" w:eastAsia="国标仿宋-GB/T 2312" w:cs="国标仿宋-GB/T 2312"/>
          <w:sz w:val="20"/>
          <w:szCs w:val="20"/>
        </w:rPr>
        <w:sym w:font="Wingdings" w:char="00A8"/>
      </w:r>
      <w:r>
        <w:rPr>
          <w:rFonts w:hint="eastAsia" w:ascii="国标仿宋-GB/T 2312" w:hAnsi="国标仿宋-GB/T 2312" w:eastAsia="国标仿宋-GB/T 2312" w:cs="国标仿宋-GB/T 2312"/>
          <w:bCs/>
          <w:sz w:val="20"/>
          <w:szCs w:val="20"/>
        </w:rPr>
        <w:t>否</w:t>
      </w:r>
    </w:p>
    <w:p>
      <w:pPr>
        <w:adjustRightInd w:val="0"/>
        <w:snapToGrid w:val="0"/>
        <w:spacing w:line="400" w:lineRule="exact"/>
        <w:ind w:firstLine="440"/>
        <w:rPr>
          <w:rFonts w:ascii="国标仿宋-GB/T 2312" w:hAnsi="国标仿宋-GB/T 2312" w:eastAsia="国标仿宋-GB/T 2312" w:cs="国标仿宋-GB/T 2312"/>
          <w:bCs/>
          <w:sz w:val="22"/>
          <w:szCs w:val="20"/>
          <w:u w:val="single"/>
        </w:rPr>
      </w:pPr>
      <w:r>
        <w:rPr>
          <w:rFonts w:hint="eastAsia" w:ascii="国标仿宋-GB/T 2312" w:hAnsi="国标仿宋-GB/T 2312" w:eastAsia="国标仿宋-GB/T 2312" w:cs="国标仿宋-GB/T 2312"/>
          <w:bCs/>
          <w:sz w:val="22"/>
          <w:szCs w:val="20"/>
        </w:rPr>
        <w:t>（8）履约验收其他事项：</w:t>
      </w:r>
      <w:r>
        <w:rPr>
          <w:rFonts w:hint="eastAsia" w:ascii="国标仿宋-GB/T 2312" w:hAnsi="国标仿宋-GB/T 2312" w:eastAsia="国标仿宋-GB/T 2312" w:cs="国标仿宋-GB/T 2312"/>
          <w:bCs/>
          <w:sz w:val="22"/>
          <w:szCs w:val="20"/>
          <w:u w:val="single"/>
        </w:rPr>
        <w:t>（产权过户登记等）</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rPr>
      </w:pPr>
      <w:r>
        <w:rPr>
          <w:rFonts w:hint="eastAsia" w:ascii="国标仿宋-GB/T 2312" w:hAnsi="国标仿宋-GB/T 2312" w:eastAsia="国标仿宋-GB/T 2312" w:cs="国标仿宋-GB/T 2312"/>
          <w:b/>
          <w:sz w:val="22"/>
          <w:szCs w:val="20"/>
        </w:rPr>
        <w:t>组成合同的文件</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本协议书与下列文件一起构成合同文件，如下述文件之间有任何抵触、矛盾或歧义，应按以下顺序解释：</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（1）政府采购合同协议书及其变更、补充协议</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（2）政府采购合同专用条款</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（3）政府采购合同通用条款</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（4）中标（成交）通知书</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（5）投标（响应）文件</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（6）采购文件</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（7）有关技术文件，图纸</w:t>
      </w:r>
    </w:p>
    <w:p>
      <w:pPr>
        <w:pStyle w:val="158"/>
        <w:ind w:firstLine="400"/>
        <w:rPr>
          <w:rFonts w:ascii="国标仿宋-GB/T 2312" w:hAnsi="国标仿宋-GB/T 2312" w:eastAsia="国标仿宋-GB/T 2312" w:cs="国标仿宋-GB/T 2312"/>
          <w:kern w:val="2"/>
          <w:sz w:val="20"/>
          <w:szCs w:val="20"/>
        </w:rPr>
      </w:pPr>
      <w:r>
        <w:rPr>
          <w:rFonts w:hint="eastAsia" w:ascii="国标仿宋-GB/T 2312" w:hAnsi="国标仿宋-GB/T 2312" w:eastAsia="国标仿宋-GB/T 2312" w:cs="国标仿宋-GB/T 2312"/>
          <w:sz w:val="20"/>
          <w:szCs w:val="20"/>
        </w:rPr>
        <w:t>（8）</w:t>
      </w:r>
      <w:r>
        <w:rPr>
          <w:rFonts w:hint="eastAsia" w:ascii="国标仿宋-GB/T 2312" w:hAnsi="国标仿宋-GB/T 2312" w:eastAsia="国标仿宋-GB/T 2312" w:cs="国标仿宋-GB/T 2312"/>
          <w:color w:val="000000" w:themeColor="text1"/>
          <w:kern w:val="2"/>
          <w:sz w:val="20"/>
          <w:szCs w:val="20"/>
          <w14:textFill>
            <w14:solidFill>
              <w14:schemeClr w14:val="tx1"/>
            </w14:solidFill>
          </w14:textFill>
        </w:rPr>
        <w:t>国家法律、行政法规和规章制度规定或合同约定的作为合同组成部分的其他文件</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rPr>
      </w:pPr>
      <w:r>
        <w:rPr>
          <w:rFonts w:hint="eastAsia" w:ascii="国标仿宋-GB/T 2312" w:hAnsi="国标仿宋-GB/T 2312" w:eastAsia="国标仿宋-GB/T 2312" w:cs="国标仿宋-GB/T 2312"/>
          <w:b/>
          <w:sz w:val="22"/>
          <w:szCs w:val="20"/>
        </w:rPr>
        <w:t>合同生效</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本合同自生效。</w:t>
      </w:r>
    </w:p>
    <w:p>
      <w:pPr>
        <w:numPr>
          <w:ilvl w:val="0"/>
          <w:numId w:val="3"/>
        </w:numPr>
        <w:adjustRightInd w:val="0"/>
        <w:snapToGrid w:val="0"/>
        <w:spacing w:line="400" w:lineRule="exact"/>
        <w:ind w:firstLine="440"/>
        <w:rPr>
          <w:rFonts w:ascii="国标仿宋-GB/T 2312" w:hAnsi="国标仿宋-GB/T 2312" w:eastAsia="国标仿宋-GB/T 2312" w:cs="国标仿宋-GB/T 2312"/>
          <w:b/>
          <w:sz w:val="22"/>
          <w:szCs w:val="20"/>
        </w:rPr>
      </w:pPr>
      <w:r>
        <w:rPr>
          <w:rFonts w:hint="eastAsia" w:ascii="国标仿宋-GB/T 2312" w:hAnsi="国标仿宋-GB/T 2312" w:eastAsia="国标仿宋-GB/T 2312" w:cs="国标仿宋-GB/T 2312"/>
          <w:b/>
          <w:sz w:val="22"/>
          <w:szCs w:val="20"/>
        </w:rPr>
        <w:t>合同份数</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本合同一式份，甲方执份，乙方执份，均具有同等法律效力。</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合同订立时间：年月日</w:t>
      </w:r>
    </w:p>
    <w:p>
      <w:pPr>
        <w:adjustRightInd w:val="0"/>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合同订立地点：</w:t>
      </w:r>
    </w:p>
    <w:p>
      <w:pPr>
        <w:adjustRightInd w:val="0"/>
        <w:snapToGrid w:val="0"/>
        <w:spacing w:line="400" w:lineRule="exact"/>
        <w:ind w:firstLine="44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0"/>
        </w:rPr>
        <w:t>附件：具体标的及其技术要求和商务要求、联合协议、分包意向协议等。</w:t>
      </w:r>
    </w:p>
    <w:p>
      <w:pPr>
        <w:pStyle w:val="112"/>
        <w:spacing w:line="400" w:lineRule="exact"/>
        <w:ind w:firstLine="440"/>
        <w:rPr>
          <w:rFonts w:ascii="国标仿宋-GB/T 2312" w:hAnsi="国标仿宋-GB/T 2312" w:eastAsia="国标仿宋-GB/T 2312" w:cs="国标仿宋-GB/T 2312"/>
          <w:sz w:val="22"/>
          <w:szCs w:val="22"/>
        </w:rPr>
      </w:pPr>
    </w:p>
    <w:p>
      <w:pPr>
        <w:pStyle w:val="4"/>
        <w:spacing w:line="400" w:lineRule="exact"/>
        <w:ind w:firstLine="400"/>
        <w:rPr>
          <w:rFonts w:ascii="国标仿宋-GB/T 2312" w:hAnsi="国标仿宋-GB/T 2312" w:eastAsia="国标仿宋-GB/T 2312" w:cs="国标仿宋-GB/T 2312"/>
          <w:b w:val="0"/>
          <w:bCs w:val="0"/>
          <w:sz w:val="20"/>
          <w:szCs w:val="20"/>
        </w:rPr>
      </w:pPr>
    </w:p>
    <w:p>
      <w:pPr>
        <w:ind w:firstLine="44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2"/>
        </w:rPr>
        <w:br w:type="page"/>
      </w:r>
    </w:p>
    <w:p>
      <w:pPr>
        <w:pStyle w:val="112"/>
        <w:ind w:firstLine="440"/>
        <w:rPr>
          <w:rFonts w:ascii="国标仿宋-GB/T 2312" w:hAnsi="国标仿宋-GB/T 2312" w:eastAsia="国标仿宋-GB/T 2312" w:cs="国标仿宋-GB/T 2312"/>
          <w:sz w:val="22"/>
          <w:szCs w:val="22"/>
        </w:rPr>
      </w:pPr>
    </w:p>
    <w:tbl>
      <w:tblPr>
        <w:tblStyle w:val="4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3"/>
        <w:gridCol w:w="247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0"/>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0"/>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单位名称（公章或合同章）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法定代表人</w:t>
            </w:r>
          </w:p>
          <w:p>
            <w:pPr>
              <w:adjustRightInd w:val="0"/>
              <w:snapToGrid w:val="0"/>
              <w:spacing w:line="300" w:lineRule="exact"/>
              <w:ind w:firstLine="105" w:firstLineChars="48"/>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法定代表人</w:t>
            </w:r>
          </w:p>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住所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住所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40"/>
              <w:jc w:val="center"/>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ind w:firstLine="520"/>
              <w:jc w:val="center"/>
              <w:rPr>
                <w:rFonts w:ascii="国标仿宋-GB/T 2312" w:hAnsi="国标仿宋-GB/T 2312" w:eastAsia="国标仿宋-GB/T 2312" w:cs="国标仿宋-GB/T 2312"/>
                <w:spacing w:val="20"/>
                <w:sz w:val="22"/>
                <w:szCs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20"/>
              <w:adjustRightInd w:val="0"/>
              <w:snapToGrid w:val="0"/>
              <w:spacing w:beforeLines="50" w:line="360" w:lineRule="auto"/>
              <w:ind w:firstLine="440"/>
              <w:jc w:val="left"/>
              <w:rPr>
                <w:rFonts w:ascii="国标仿宋-GB/T 2312" w:hAnsi="国标仿宋-GB/T 2312" w:eastAsia="国标仿宋-GB/T 2312" w:cs="国标仿宋-GB/T 2312"/>
                <w:spacing w:val="20"/>
                <w:sz w:val="22"/>
                <w:szCs w:val="20"/>
              </w:rPr>
            </w:pPr>
            <w:r>
              <w:rPr>
                <w:rFonts w:hint="eastAsia" w:ascii="国标仿宋-GB/T 2312" w:hAnsi="国标仿宋-GB/T 2312" w:eastAsia="国标仿宋-GB/T 2312" w:cs="国标仿宋-GB/T 2312"/>
                <w:sz w:val="22"/>
                <w:szCs w:val="20"/>
              </w:rPr>
              <w:t>注：涉及联合体或其他合同主体的信息应按上表格式加列。</w:t>
            </w:r>
          </w:p>
        </w:tc>
      </w:tr>
    </w:tbl>
    <w:p>
      <w:pPr>
        <w:pStyle w:val="4"/>
        <w:adjustRightInd w:val="0"/>
        <w:snapToGrid w:val="0"/>
        <w:spacing w:beforeLines="50"/>
        <w:ind w:firstLine="400"/>
        <w:jc w:val="center"/>
        <w:rPr>
          <w:rFonts w:ascii="国标仿宋-GB/T 2312" w:hAnsi="国标仿宋-GB/T 2312" w:eastAsia="国标仿宋-GB/T 2312" w:cs="国标仿宋-GB/T 2312"/>
          <w:sz w:val="24"/>
          <w:szCs w:val="24"/>
        </w:rPr>
      </w:pPr>
      <w:r>
        <w:rPr>
          <w:rFonts w:hint="eastAsia" w:ascii="国标仿宋-GB/T 2312" w:hAnsi="国标仿宋-GB/T 2312" w:eastAsia="国标仿宋-GB/T 2312" w:cs="国标仿宋-GB/T 2312"/>
          <w:sz w:val="20"/>
          <w:szCs w:val="20"/>
          <w:u w:val="single"/>
        </w:rPr>
        <w:br w:type="page"/>
      </w:r>
      <w:bookmarkStart w:id="130" w:name="_Toc27624"/>
      <w:r>
        <w:rPr>
          <w:rFonts w:hint="eastAsia" w:ascii="国标仿宋-GB/T 2312" w:hAnsi="国标仿宋-GB/T 2312" w:eastAsia="国标仿宋-GB/T 2312" w:cs="国标仿宋-GB/T 2312"/>
          <w:b w:val="0"/>
          <w:bCs w:val="0"/>
          <w:sz w:val="24"/>
          <w:szCs w:val="24"/>
        </w:rPr>
        <w:t>第二节 政府采购合同通用条款</w:t>
      </w:r>
      <w:bookmarkEnd w:id="130"/>
    </w:p>
    <w:p>
      <w:pPr>
        <w:tabs>
          <w:tab w:val="left" w:pos="8820"/>
          <w:tab w:val="left" w:pos="9345"/>
          <w:tab w:val="left" w:pos="9765"/>
        </w:tabs>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sz w:val="22"/>
          <w:szCs w:val="22"/>
        </w:rPr>
        <w:t>1.</w:t>
      </w:r>
      <w:r>
        <w:rPr>
          <w:rFonts w:hint="eastAsia" w:ascii="国标仿宋-GB/T 2312" w:hAnsi="国标仿宋-GB/T 2312" w:eastAsia="国标仿宋-GB/T 2312" w:cs="国标仿宋-GB/T 2312"/>
          <w:b/>
          <w:bCs/>
          <w:sz w:val="22"/>
          <w:szCs w:val="22"/>
        </w:rPr>
        <w:t>定义</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1.1合同当事人</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（3）其他合同主体是指除采购人和供应商以外，</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依法参与合同缔结或履行，享有权利、承担义务的合同当事人</w:t>
      </w:r>
      <w:r>
        <w:rPr>
          <w:rFonts w:hint="eastAsia" w:ascii="国标仿宋-GB/T 2312" w:hAnsi="国标仿宋-GB/T 2312" w:eastAsia="国标仿宋-GB/T 2312" w:cs="国标仿宋-GB/T 2312"/>
          <w:sz w:val="22"/>
          <w:szCs w:val="20"/>
        </w:rPr>
        <w:t>。</w:t>
      </w:r>
    </w:p>
    <w:p>
      <w:pPr>
        <w:tabs>
          <w:tab w:val="left" w:pos="570"/>
          <w:tab w:val="left" w:pos="9240"/>
          <w:tab w:val="left" w:pos="9555"/>
        </w:tabs>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1.2本合同下列术语应解释为：</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（1）“合同”系指</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合同当事人意思表示达成一致的任何协议，包括签署的</w:t>
      </w:r>
      <w:r>
        <w:rPr>
          <w:rFonts w:hint="eastAsia" w:ascii="国标仿宋-GB/T 2312" w:hAnsi="国标仿宋-GB/T 2312" w:eastAsia="国标仿宋-GB/T 2312" w:cs="国标仿宋-GB/T 2312"/>
          <w:sz w:val="22"/>
          <w:szCs w:val="20"/>
        </w:rPr>
        <w:t>政府采购合同协议书及其变更、补充协议，政府采购合同专用条款，政府采购合同通用条款，中标（成交）通知书，投标（响应）文件，采购文件，有关技术文件和图纸，以及</w:t>
      </w:r>
      <w:r>
        <w:rPr>
          <w:rFonts w:hint="eastAsia" w:ascii="国标仿宋-GB/T 2312" w:hAnsi="国标仿宋-GB/T 2312" w:eastAsia="国标仿宋-GB/T 2312" w:cs="国标仿宋-GB/T 2312"/>
          <w:color w:val="000000" w:themeColor="text1"/>
          <w:sz w:val="20"/>
          <w:szCs w:val="20"/>
          <w14:textFill>
            <w14:solidFill>
              <w14:schemeClr w14:val="tx1"/>
            </w14:solidFill>
          </w14:textFill>
        </w:rPr>
        <w:t>国家法律、行政法规和规章制度规定或合同约定的作为合同组成部分的其他文件</w:t>
      </w:r>
      <w:r>
        <w:rPr>
          <w:rFonts w:hint="eastAsia" w:ascii="国标仿宋-GB/T 2312" w:hAnsi="国标仿宋-GB/T 2312" w:eastAsia="国标仿宋-GB/T 2312" w:cs="国标仿宋-GB/T 2312"/>
          <w:sz w:val="22"/>
          <w:szCs w:val="20"/>
        </w:rPr>
        <w:t>。</w:t>
      </w:r>
    </w:p>
    <w:p>
      <w:pPr>
        <w:tabs>
          <w:tab w:val="left" w:pos="570"/>
          <w:tab w:val="left" w:pos="9240"/>
          <w:tab w:val="left" w:pos="9555"/>
        </w:tabs>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sz w:val="22"/>
          <w:szCs w:val="20"/>
        </w:rPr>
        <w:t>（3）“货物”系指乙方根据本合同规定须向甲方提供的各种形态和种类的物品，包括原材料、设备、产品（</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包括软件）及相关的其备品备件、工具、手册及其他技术资料和材料等。</w:t>
      </w:r>
    </w:p>
    <w:p>
      <w:pPr>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highlight w:val="yellow"/>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w:t>
      </w:r>
      <w:r>
        <w:rPr>
          <w:rFonts w:hint="eastAsia" w:ascii="国标仿宋-GB/T 2312" w:hAnsi="国标仿宋-GB/T 2312" w:eastAsia="国标仿宋-GB/T 2312" w:cs="国标仿宋-GB/T 2312"/>
          <w:sz w:val="22"/>
          <w:szCs w:val="20"/>
        </w:rPr>
        <w:t>相关</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highlight w:val="yellow"/>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（6）</w:t>
      </w:r>
      <w:r>
        <w:rPr>
          <w:rFonts w:hint="eastAsia" w:ascii="国标仿宋-GB/T 2312" w:hAnsi="国标仿宋-GB/T 2312" w:eastAsia="国标仿宋-GB/T 2312" w:cs="国标仿宋-GB/T 2312"/>
          <w:sz w:val="22"/>
          <w:szCs w:val="20"/>
        </w:rPr>
        <w:t>“联合体”系指由两个以上的自然人、法人或者非法人组织组成，以一个供应商的身份共同参加政府采购的主体</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国标仿宋-GB/T 2312" w:hAnsi="国标仿宋-GB/T 2312" w:eastAsia="国标仿宋-GB/T 2312" w:cs="国标仿宋-GB/T 2312"/>
          <w:b/>
          <w:bCs/>
          <w:color w:val="000000" w:themeColor="text1"/>
          <w:sz w:val="22"/>
          <w:szCs w:val="20"/>
          <w14:textFill>
            <w14:solidFill>
              <w14:schemeClr w14:val="tx1"/>
            </w14:solidFill>
          </w14:textFill>
        </w:rPr>
        <w:t>政府采购合同专用条款</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w:t>
      </w:r>
    </w:p>
    <w:p>
      <w:pPr>
        <w:tabs>
          <w:tab w:val="left" w:pos="570"/>
          <w:tab w:val="left" w:pos="9240"/>
          <w:tab w:val="left" w:pos="9555"/>
        </w:tabs>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（7）其他术语解释，见【</w:t>
      </w:r>
      <w:r>
        <w:rPr>
          <w:rFonts w:hint="eastAsia" w:ascii="国标仿宋-GB/T 2312" w:hAnsi="国标仿宋-GB/T 2312" w:eastAsia="国标仿宋-GB/T 2312" w:cs="国标仿宋-GB/T 2312"/>
          <w:b/>
          <w:bCs/>
          <w:color w:val="000000" w:themeColor="text1"/>
          <w:sz w:val="22"/>
          <w:szCs w:val="20"/>
          <w14:textFill>
            <w14:solidFill>
              <w14:schemeClr w14:val="tx1"/>
            </w14:solidFill>
          </w14:textFill>
        </w:rPr>
        <w:t>政府采购合同专用条款</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w:t>
      </w:r>
    </w:p>
    <w:p>
      <w:pPr>
        <w:numPr>
          <w:ilvl w:val="0"/>
          <w:numId w:val="6"/>
        </w:numPr>
        <w:autoSpaceDE w:val="0"/>
        <w:autoSpaceDN w:val="0"/>
        <w:adjustRightInd w:val="0"/>
        <w:snapToGrid w:val="0"/>
        <w:spacing w:line="400" w:lineRule="exact"/>
        <w:ind w:firstLine="440"/>
        <w:jc w:val="left"/>
        <w:rPr>
          <w:rFonts w:ascii="国标仿宋-GB/T 2312" w:hAnsi="国标仿宋-GB/T 2312" w:eastAsia="国标仿宋-GB/T 2312" w:cs="国标仿宋-GB/T 2312"/>
          <w:b/>
          <w:bCs/>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color w:val="000000" w:themeColor="text1"/>
          <w:sz w:val="22"/>
          <w:szCs w:val="22"/>
          <w14:textFill>
            <w14:solidFill>
              <w14:schemeClr w14:val="tx1"/>
            </w14:solidFill>
          </w14:textFill>
        </w:rPr>
        <w:t>合同标的及金额</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i/>
          <w:iCs/>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2.1 合同标的及金额应与中标（成交）结果一致。乙方为履行本合同而发生的所有费用均应包含在合同价款中，甲方不再另行支付其他任何费用。</w:t>
      </w:r>
    </w:p>
    <w:p>
      <w:pPr>
        <w:adjustRightInd w:val="0"/>
        <w:snapToGrid w:val="0"/>
        <w:spacing w:line="400" w:lineRule="exact"/>
        <w:ind w:firstLine="440"/>
        <w:jc w:val="left"/>
        <w:rPr>
          <w:rFonts w:ascii="国标仿宋-GB/T 2312" w:hAnsi="国标仿宋-GB/T 2312" w:eastAsia="国标仿宋-GB/T 2312" w:cs="国标仿宋-GB/T 2312"/>
          <w:b/>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color w:val="000000" w:themeColor="text1"/>
          <w:sz w:val="22"/>
          <w:szCs w:val="22"/>
          <w14:textFill>
            <w14:solidFill>
              <w14:schemeClr w14:val="tx1"/>
            </w14:solidFill>
          </w14:textFill>
        </w:rPr>
        <w:t>3. 履行合同的时间、地点和方式</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 xml:space="preserve">3.1 </w:t>
      </w:r>
      <w:r>
        <w:rPr>
          <w:rFonts w:hint="eastAsia" w:ascii="国标仿宋-GB/T 2312" w:hAnsi="国标仿宋-GB/T 2312" w:eastAsia="国标仿宋-GB/T 2312" w:cs="国标仿宋-GB/T 2312"/>
          <w:sz w:val="22"/>
          <w:szCs w:val="20"/>
        </w:rPr>
        <w:t>乙方应当在约定的时间、地点，按照约定方式履行合同。</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bCs/>
          <w:color w:val="000000" w:themeColor="text1"/>
          <w:sz w:val="22"/>
          <w:szCs w:val="22"/>
          <w14:textFill>
            <w14:solidFill>
              <w14:schemeClr w14:val="tx1"/>
            </w14:solidFill>
          </w14:textFill>
        </w:rPr>
        <w:t>4. 甲方的权利和义务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4.3 甲方有权要求乙方对缺陷部分予以修复，并按合同约定享有货物保修及其他合同约定的权利。</w:t>
      </w:r>
    </w:p>
    <w:p>
      <w:pPr>
        <w:snapToGrid w:val="0"/>
        <w:spacing w:line="400" w:lineRule="exact"/>
        <w:ind w:firstLine="44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4.4 甲方应当按照合同约定及时对交付的货物进行验收，</w:t>
      </w:r>
      <w:r>
        <w:rPr>
          <w:rFonts w:hint="eastAsia" w:ascii="国标仿宋-GB/T 2312" w:hAnsi="国标仿宋-GB/T 2312" w:eastAsia="国标仿宋-GB/T 2312" w:cs="国标仿宋-GB/T 2312"/>
          <w:sz w:val="22"/>
          <w:szCs w:val="20"/>
        </w:rPr>
        <w:t>未</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在</w:t>
      </w:r>
      <w:r>
        <w:rPr>
          <w:rFonts w:hint="eastAsia" w:ascii="国标仿宋-GB/T 2312" w:hAnsi="国标仿宋-GB/T 2312" w:eastAsia="国标仿宋-GB/T 2312" w:cs="国标仿宋-GB/T 2312"/>
          <w:b/>
          <w:bCs/>
          <w:sz w:val="22"/>
          <w:szCs w:val="20"/>
        </w:rPr>
        <w:t>【政府采购合同专用条款】</w:t>
      </w:r>
      <w:r>
        <w:rPr>
          <w:rFonts w:hint="eastAsia" w:ascii="国标仿宋-GB/T 2312" w:hAnsi="国标仿宋-GB/T 2312" w:eastAsia="国标仿宋-GB/T 2312" w:cs="国标仿宋-GB/T 2312"/>
          <w:sz w:val="22"/>
          <w:szCs w:val="20"/>
        </w:rPr>
        <w:t>约定的期限内对乙方履约提出任何异议或者向乙方作出任何说明的，</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视为验收通过。</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4.6 国家法律法规规定及</w:t>
      </w:r>
      <w:r>
        <w:rPr>
          <w:rFonts w:hint="eastAsia" w:ascii="国标仿宋-GB/T 2312" w:hAnsi="国标仿宋-GB/T 2312" w:eastAsia="国标仿宋-GB/T 2312" w:cs="国标仿宋-GB/T 2312"/>
          <w:b/>
          <w:bCs/>
          <w:sz w:val="22"/>
          <w:szCs w:val="20"/>
        </w:rPr>
        <w:t>【政府采购合同专用条款】</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约定应由甲方承担的其他义务和责任。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bCs/>
          <w:color w:val="000000" w:themeColor="text1"/>
          <w:sz w:val="22"/>
          <w:szCs w:val="22"/>
          <w14:textFill>
            <w14:solidFill>
              <w14:schemeClr w14:val="tx1"/>
            </w14:solidFill>
          </w14:textFill>
        </w:rPr>
        <w:t>5. 乙方的权利和义务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5.1 签署合同后，乙方应确定项目负责人（或项目联系人），负责与本合同有关的事务。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6"/>
        <w:spacing w:line="400" w:lineRule="exact"/>
        <w:ind w:firstLine="316" w:firstLineChars="176"/>
        <w:jc w:val="both"/>
        <w:rPr>
          <w:rFonts w:ascii="国标仿宋-GB/T 2312" w:hAnsi="国标仿宋-GB/T 2312" w:eastAsia="国标仿宋-GB/T 2312" w:cs="国标仿宋-GB/T 2312"/>
          <w:color w:val="000000" w:themeColor="text1"/>
          <w:sz w:val="22"/>
          <w14:textFill>
            <w14:solidFill>
              <w14:schemeClr w14:val="tx1"/>
            </w14:solidFill>
          </w14:textFill>
        </w:rPr>
      </w:pPr>
      <w:r>
        <w:rPr>
          <w:rFonts w:hint="eastAsia" w:ascii="国标仿宋-GB/T 2312" w:hAnsi="国标仿宋-GB/T 2312" w:eastAsia="国标仿宋-GB/T 2312" w:cs="国标仿宋-GB/T 2312"/>
          <w:color w:val="000000" w:themeColor="text1"/>
          <w:sz w:val="22"/>
          <w14:textFill>
            <w14:solidFill>
              <w14:schemeClr w14:val="tx1"/>
            </w14:solidFill>
          </w14:textFill>
        </w:rPr>
        <w:t>5.3乙方有权根据合同约定向甲方收取合同价款。</w:t>
      </w:r>
    </w:p>
    <w:p>
      <w:pPr>
        <w:pStyle w:val="16"/>
        <w:spacing w:line="400" w:lineRule="exact"/>
        <w:ind w:firstLine="316" w:firstLineChars="176"/>
        <w:jc w:val="both"/>
        <w:rPr>
          <w:rFonts w:ascii="国标仿宋-GB/T 2312" w:hAnsi="国标仿宋-GB/T 2312" w:eastAsia="国标仿宋-GB/T 2312" w:cs="国标仿宋-GB/T 2312"/>
          <w:color w:val="000000" w:themeColor="text1"/>
          <w:sz w:val="22"/>
          <w14:textFill>
            <w14:solidFill>
              <w14:schemeClr w14:val="tx1"/>
            </w14:solidFill>
          </w14:textFill>
        </w:rPr>
      </w:pPr>
      <w:r>
        <w:rPr>
          <w:rFonts w:hint="eastAsia" w:ascii="国标仿宋-GB/T 2312" w:hAnsi="国标仿宋-GB/T 2312" w:eastAsia="国标仿宋-GB/T 2312" w:cs="国标仿宋-GB/T 2312"/>
          <w:color w:val="000000" w:themeColor="text1"/>
          <w:sz w:val="22"/>
          <w14:textFill>
            <w14:solidFill>
              <w14:schemeClr w14:val="tx1"/>
            </w14:solidFill>
          </w14:textFill>
        </w:rPr>
        <w:t>5.4国家法律法规规定及</w:t>
      </w:r>
      <w:r>
        <w:rPr>
          <w:rFonts w:hint="eastAsia" w:ascii="国标仿宋-GB/T 2312" w:hAnsi="国标仿宋-GB/T 2312" w:eastAsia="国标仿宋-GB/T 2312" w:cs="国标仿宋-GB/T 2312"/>
          <w:b/>
          <w:bCs/>
          <w:sz w:val="22"/>
        </w:rPr>
        <w:t>【政府采购合同专用条款】</w:t>
      </w:r>
      <w:r>
        <w:rPr>
          <w:rFonts w:hint="eastAsia" w:ascii="国标仿宋-GB/T 2312" w:hAnsi="国标仿宋-GB/T 2312" w:eastAsia="国标仿宋-GB/T 2312" w:cs="国标仿宋-GB/T 2312"/>
          <w:sz w:val="22"/>
        </w:rPr>
        <w:t>约定应</w:t>
      </w:r>
      <w:r>
        <w:rPr>
          <w:rFonts w:hint="eastAsia" w:ascii="国标仿宋-GB/T 2312" w:hAnsi="国标仿宋-GB/T 2312" w:eastAsia="国标仿宋-GB/T 2312" w:cs="国标仿宋-GB/T 2312"/>
          <w:color w:val="000000" w:themeColor="text1"/>
          <w:sz w:val="22"/>
          <w14:textFill>
            <w14:solidFill>
              <w14:schemeClr w14:val="tx1"/>
            </w14:solidFill>
          </w14:textFill>
        </w:rPr>
        <w:t>由乙方承担的其他义务和责任。</w:t>
      </w:r>
    </w:p>
    <w:p>
      <w:pPr>
        <w:numPr>
          <w:ilvl w:val="0"/>
          <w:numId w:val="7"/>
        </w:numPr>
        <w:autoSpaceDE w:val="0"/>
        <w:autoSpaceDN w:val="0"/>
        <w:adjustRightInd w:val="0"/>
        <w:snapToGrid w:val="0"/>
        <w:spacing w:line="400" w:lineRule="exact"/>
        <w:ind w:firstLine="440"/>
        <w:jc w:val="left"/>
        <w:rPr>
          <w:rFonts w:ascii="国标仿宋-GB/T 2312" w:hAnsi="国标仿宋-GB/T 2312" w:eastAsia="国标仿宋-GB/T 2312" w:cs="国标仿宋-GB/T 2312"/>
          <w:b/>
          <w:bCs/>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bCs/>
          <w:color w:val="000000" w:themeColor="text1"/>
          <w:sz w:val="22"/>
          <w:szCs w:val="22"/>
          <w14:textFill>
            <w14:solidFill>
              <w14:schemeClr w14:val="tx1"/>
            </w14:solidFill>
          </w14:textFill>
        </w:rPr>
        <w:t>合同履行</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6.1 甲乙双方应当按照</w:t>
      </w:r>
      <w:r>
        <w:rPr>
          <w:rFonts w:hint="eastAsia" w:ascii="国标仿宋-GB/T 2312" w:hAnsi="国标仿宋-GB/T 2312" w:eastAsia="国标仿宋-GB/T 2312" w:cs="国标仿宋-GB/T 2312"/>
          <w:b/>
          <w:bCs/>
          <w:sz w:val="22"/>
          <w:szCs w:val="20"/>
        </w:rPr>
        <w:t>【政府采购合同专用条款】</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约定顺序履行合同义务；如果没有先后顺序的，应当同时履行。</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ind w:firstLine="440"/>
        <w:jc w:val="left"/>
        <w:rPr>
          <w:rFonts w:ascii="国标仿宋-GB/T 2312" w:hAnsi="国标仿宋-GB/T 2312" w:eastAsia="国标仿宋-GB/T 2312" w:cs="国标仿宋-GB/T 2312"/>
          <w:b/>
          <w:bCs/>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bCs/>
          <w:color w:val="000000" w:themeColor="text1"/>
          <w:sz w:val="22"/>
          <w:szCs w:val="22"/>
          <w14:textFill>
            <w14:solidFill>
              <w14:schemeClr w14:val="tx1"/>
            </w14:solidFill>
          </w14:textFill>
        </w:rPr>
        <w:t>7. 货物包装、运输、保险和交付要求</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7.1 本合同</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涉及商品包装、快递包装的，</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除</w:t>
      </w:r>
      <w:r>
        <w:rPr>
          <w:rFonts w:hint="eastAsia" w:ascii="国标仿宋-GB/T 2312" w:hAnsi="国标仿宋-GB/T 2312" w:eastAsia="国标仿宋-GB/T 2312" w:cs="国标仿宋-GB/T 2312"/>
          <w:b/>
          <w:color w:val="000000" w:themeColor="text1"/>
          <w:sz w:val="22"/>
          <w:szCs w:val="20"/>
          <w14:textFill>
            <w14:solidFill>
              <w14:schemeClr w14:val="tx1"/>
            </w14:solidFill>
          </w14:textFill>
        </w:rPr>
        <w:t>【政府采购合同专用条款】</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另有约定外，</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包装应适应远距离运输、防潮、防震、防锈和防野蛮装卸等要求，确保货物安全无损地运抵</w:t>
      </w:r>
      <w:r>
        <w:rPr>
          <w:rFonts w:hint="eastAsia" w:ascii="国标仿宋-GB/T 2312" w:hAnsi="国标仿宋-GB/T 2312" w:eastAsia="国标仿宋-GB/T 2312" w:cs="国标仿宋-GB/T 2312"/>
          <w:b/>
          <w:color w:val="000000" w:themeColor="text1"/>
          <w:sz w:val="22"/>
          <w:szCs w:val="20"/>
          <w14:textFill>
            <w14:solidFill>
              <w14:schemeClr w14:val="tx1"/>
            </w14:solidFill>
          </w14:textFill>
        </w:rPr>
        <w:t>【政府采购合同专用条款】</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约定的</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指定现场。</w:t>
      </w:r>
    </w:p>
    <w:p>
      <w:pPr>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7.2 除</w:t>
      </w:r>
      <w:r>
        <w:rPr>
          <w:rFonts w:hint="eastAsia" w:ascii="国标仿宋-GB/T 2312" w:hAnsi="国标仿宋-GB/T 2312" w:eastAsia="国标仿宋-GB/T 2312" w:cs="国标仿宋-GB/T 2312"/>
          <w:b/>
          <w:color w:val="000000" w:themeColor="text1"/>
          <w:sz w:val="22"/>
          <w:szCs w:val="20"/>
          <w14:textFill>
            <w14:solidFill>
              <w14:schemeClr w14:val="tx1"/>
            </w14:solidFill>
          </w14:textFill>
        </w:rPr>
        <w:t>【政府采购合同专用条款】</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另有约定外，</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7.3 货物保险要求按</w:t>
      </w:r>
      <w:r>
        <w:rPr>
          <w:rFonts w:hint="eastAsia" w:ascii="国标仿宋-GB/T 2312" w:hAnsi="国标仿宋-GB/T 2312" w:eastAsia="国标仿宋-GB/T 2312" w:cs="国标仿宋-GB/T 2312"/>
          <w:b/>
          <w:color w:val="000000" w:themeColor="text1"/>
          <w:sz w:val="22"/>
          <w:szCs w:val="20"/>
          <w14:textFill>
            <w14:solidFill>
              <w14:schemeClr w14:val="tx1"/>
            </w14:solidFill>
          </w14:textFill>
        </w:rPr>
        <w:t>【政府采购合同专用条款】</w:t>
      </w:r>
      <w:r>
        <w:rPr>
          <w:rFonts w:hint="eastAsia" w:ascii="国标仿宋-GB/T 2312" w:hAnsi="国标仿宋-GB/T 2312" w:eastAsia="国标仿宋-GB/T 2312" w:cs="国标仿宋-GB/T 2312"/>
          <w:bCs/>
          <w:color w:val="000000" w:themeColor="text1"/>
          <w:sz w:val="22"/>
          <w:szCs w:val="20"/>
          <w14:textFill>
            <w14:solidFill>
              <w14:schemeClr w14:val="tx1"/>
            </w14:solidFill>
          </w14:textFill>
        </w:rPr>
        <w:t>规定执行</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 xml:space="preserve">7.5 </w:t>
      </w:r>
      <w:r>
        <w:rPr>
          <w:rFonts w:hint="eastAsia" w:ascii="国标仿宋-GB/T 2312" w:hAnsi="国标仿宋-GB/T 2312" w:eastAsia="国标仿宋-GB/T 2312" w:cs="国标仿宋-GB/T 2312"/>
          <w:color w:val="000000"/>
          <w:sz w:val="22"/>
          <w:szCs w:val="20"/>
        </w:rPr>
        <w:t>乙方在运输到达之前应提前通知甲方，并提示货物运输装卸的注意事项，甲方配合乙方做好货物的接收工作。</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color w:val="000000" w:themeColor="text1"/>
          <w:kern w:val="2"/>
          <w:sz w:val="20"/>
          <w:szCs w:val="20"/>
          <w14:textFill>
            <w14:solidFill>
              <w14:schemeClr w14:val="tx1"/>
            </w14:solidFill>
          </w14:textFill>
        </w:rPr>
        <w:t xml:space="preserve">7.6 </w:t>
      </w:r>
      <w:r>
        <w:rPr>
          <w:rFonts w:hint="eastAsia" w:ascii="国标仿宋-GB/T 2312" w:hAnsi="国标仿宋-GB/T 2312" w:eastAsia="国标仿宋-GB/T 2312" w:cs="国标仿宋-GB/T 2312"/>
          <w:color w:val="000000"/>
          <w:kern w:val="2"/>
          <w:sz w:val="20"/>
          <w:szCs w:val="20"/>
        </w:rPr>
        <w:t>如因包装、运输问题导致货物</w:t>
      </w:r>
      <w:r>
        <w:rPr>
          <w:rFonts w:hint="eastAsia" w:ascii="国标仿宋-GB/T 2312" w:hAnsi="国标仿宋-GB/T 2312" w:eastAsia="国标仿宋-GB/T 2312" w:cs="国标仿宋-GB/T 2312"/>
          <w:color w:val="000000" w:themeColor="text1"/>
          <w:kern w:val="2"/>
          <w:sz w:val="20"/>
          <w:szCs w:val="20"/>
          <w14:textFill>
            <w14:solidFill>
              <w14:schemeClr w14:val="tx1"/>
            </w14:solidFill>
          </w14:textFill>
        </w:rPr>
        <w:t>损毁、丢失</w:t>
      </w:r>
      <w:r>
        <w:rPr>
          <w:rFonts w:hint="eastAsia" w:ascii="国标仿宋-GB/T 2312" w:hAnsi="国标仿宋-GB/T 2312" w:eastAsia="国标仿宋-GB/T 2312" w:cs="国标仿宋-GB/T 2312"/>
          <w:color w:val="000000"/>
          <w:kern w:val="2"/>
          <w:sz w:val="20"/>
          <w:szCs w:val="20"/>
        </w:rPr>
        <w:t>或者品质下降，甲方有权要求降价、换货、拒收部分或整批货物，由此产生的费用和损失，均由乙方承担。</w:t>
      </w:r>
    </w:p>
    <w:p>
      <w:pPr>
        <w:adjustRightInd w:val="0"/>
        <w:snapToGrid w:val="0"/>
        <w:spacing w:line="400" w:lineRule="exact"/>
        <w:ind w:firstLine="440"/>
        <w:jc w:val="left"/>
        <w:rPr>
          <w:rFonts w:ascii="国标仿宋-GB/T 2312" w:hAnsi="国标仿宋-GB/T 2312" w:eastAsia="国标仿宋-GB/T 2312" w:cs="国标仿宋-GB/T 2312"/>
          <w:b/>
          <w:sz w:val="22"/>
          <w:szCs w:val="22"/>
        </w:rPr>
      </w:pPr>
      <w:r>
        <w:rPr>
          <w:rFonts w:hint="eastAsia" w:ascii="国标仿宋-GB/T 2312" w:hAnsi="国标仿宋-GB/T 2312" w:eastAsia="国标仿宋-GB/T 2312" w:cs="国标仿宋-GB/T 2312"/>
          <w:b/>
          <w:color w:val="000000" w:themeColor="text1"/>
          <w:sz w:val="22"/>
          <w:szCs w:val="22"/>
          <w14:textFill>
            <w14:solidFill>
              <w14:schemeClr w14:val="tx1"/>
            </w14:solidFill>
          </w14:textFill>
        </w:rPr>
        <w:t xml:space="preserve">8. </w:t>
      </w:r>
      <w:r>
        <w:rPr>
          <w:rFonts w:hint="eastAsia" w:ascii="国标仿宋-GB/T 2312" w:hAnsi="国标仿宋-GB/T 2312" w:eastAsia="国标仿宋-GB/T 2312" w:cs="国标仿宋-GB/T 2312"/>
          <w:b/>
          <w:sz w:val="22"/>
          <w:szCs w:val="22"/>
        </w:rPr>
        <w:t>质量标准和保证</w:t>
      </w:r>
    </w:p>
    <w:p>
      <w:pPr>
        <w:pStyle w:val="24"/>
        <w:adjustRightInd w:val="0"/>
        <w:snapToGrid w:val="0"/>
        <w:spacing w:line="400" w:lineRule="exact"/>
        <w:ind w:firstLine="480"/>
        <w:jc w:val="left"/>
        <w:rPr>
          <w:rFonts w:ascii="国标仿宋-GB/T 2312" w:hAnsi="国标仿宋-GB/T 2312" w:eastAsia="国标仿宋-GB/T 2312" w:cs="国标仿宋-GB/T 2312"/>
          <w:b/>
          <w:sz w:val="24"/>
          <w:szCs w:val="18"/>
        </w:rPr>
      </w:pPr>
      <w:r>
        <w:rPr>
          <w:rFonts w:hint="eastAsia" w:ascii="国标仿宋-GB/T 2312" w:hAnsi="国标仿宋-GB/T 2312" w:eastAsia="国标仿宋-GB/T 2312" w:cs="国标仿宋-GB/T 2312"/>
          <w:sz w:val="24"/>
          <w:szCs w:val="18"/>
        </w:rPr>
        <w:t>8.1 质量标准</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（1）本合同下提供的货物应符合合同</w:t>
      </w:r>
      <w:r>
        <w:rPr>
          <w:rFonts w:hint="eastAsia" w:ascii="国标仿宋-GB/T 2312" w:hAnsi="国标仿宋-GB/T 2312" w:eastAsia="国标仿宋-GB/T 2312" w:cs="国标仿宋-GB/T 2312"/>
          <w:color w:val="000000"/>
          <w:sz w:val="22"/>
          <w:szCs w:val="20"/>
        </w:rPr>
        <w:t>约定的</w:t>
      </w:r>
      <w:r>
        <w:rPr>
          <w:rFonts w:hint="eastAsia" w:ascii="国标仿宋-GB/T 2312" w:hAnsi="国标仿宋-GB/T 2312" w:eastAsia="国标仿宋-GB/T 2312" w:cs="国标仿宋-GB/T 2312"/>
          <w:sz w:val="22"/>
          <w:szCs w:val="20"/>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4"/>
        <w:adjustRightInd w:val="0"/>
        <w:snapToGrid w:val="0"/>
        <w:spacing w:line="400" w:lineRule="exact"/>
        <w:ind w:firstLine="480"/>
        <w:jc w:val="left"/>
        <w:rPr>
          <w:rFonts w:ascii="国标仿宋-GB/T 2312" w:hAnsi="国标仿宋-GB/T 2312" w:eastAsia="国标仿宋-GB/T 2312" w:cs="国标仿宋-GB/T 2312"/>
          <w:sz w:val="24"/>
          <w:szCs w:val="18"/>
        </w:rPr>
      </w:pPr>
      <w:r>
        <w:rPr>
          <w:rFonts w:hint="eastAsia" w:ascii="国标仿宋-GB/T 2312" w:hAnsi="国标仿宋-GB/T 2312" w:eastAsia="国标仿宋-GB/T 2312" w:cs="国标仿宋-GB/T 2312"/>
          <w:sz w:val="24"/>
          <w:szCs w:val="18"/>
        </w:rPr>
        <w:t>（2）采用中华人民共和国法定计量单位。</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（3）乙方所提供的货物应符合国家有关安全、环保、卫生的规定。</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8.2 保证</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sz w:val="22"/>
          <w:szCs w:val="20"/>
        </w:rPr>
        <w:t>规定或乙方书面承诺（两者以较长的为准）的质量保证期内，本保证保持有效。</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（2）在质量保证期内所发现的缺陷，甲方应尽快以书面形式通知乙方。</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（3）乙方收到通知后，应在</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sz w:val="22"/>
          <w:szCs w:val="20"/>
        </w:rPr>
        <w:t>规定的响应时间内以合理的速度免费维修或更换有缺陷的货物或部件。</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（4）在质量保证期内，如果货物的质量或规格与合同不符，或证实货物是有缺陷的，包括潜在的缺陷或使用不符合要求的材料等，甲方可以根据本合同第1</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5</w:t>
      </w:r>
      <w:r>
        <w:rPr>
          <w:rFonts w:hint="eastAsia" w:ascii="国标仿宋-GB/T 2312" w:hAnsi="国标仿宋-GB/T 2312" w:eastAsia="国标仿宋-GB/T 2312" w:cs="国标仿宋-GB/T 2312"/>
          <w:sz w:val="22"/>
          <w:szCs w:val="20"/>
        </w:rPr>
        <w:t>.1条规定以书面形式</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追究</w:t>
      </w:r>
      <w:r>
        <w:rPr>
          <w:rFonts w:hint="eastAsia" w:ascii="国标仿宋-GB/T 2312" w:hAnsi="国标仿宋-GB/T 2312" w:eastAsia="国标仿宋-GB/T 2312" w:cs="国标仿宋-GB/T 2312"/>
          <w:sz w:val="22"/>
          <w:szCs w:val="20"/>
        </w:rPr>
        <w:t>乙方</w:t>
      </w:r>
      <w:r>
        <w:rPr>
          <w:rFonts w:hint="eastAsia" w:ascii="国标仿宋-GB/T 2312" w:hAnsi="国标仿宋-GB/T 2312" w:eastAsia="国标仿宋-GB/T 2312" w:cs="国标仿宋-GB/T 2312"/>
          <w:color w:val="000000" w:themeColor="text1"/>
          <w:sz w:val="22"/>
          <w:szCs w:val="20"/>
          <w14:textFill>
            <w14:solidFill>
              <w14:schemeClr w14:val="tx1"/>
            </w14:solidFill>
          </w14:textFill>
        </w:rPr>
        <w:t>的违约责任</w:t>
      </w:r>
      <w:r>
        <w:rPr>
          <w:rFonts w:hint="eastAsia" w:ascii="国标仿宋-GB/T 2312" w:hAnsi="国标仿宋-GB/T 2312" w:eastAsia="国标仿宋-GB/T 2312" w:cs="国标仿宋-GB/T 2312"/>
          <w:sz w:val="22"/>
          <w:szCs w:val="20"/>
        </w:rPr>
        <w:t>。</w:t>
      </w:r>
    </w:p>
    <w:p>
      <w:pPr>
        <w:adjustRightInd w:val="0"/>
        <w:snapToGrid w:val="0"/>
        <w:spacing w:line="400" w:lineRule="exact"/>
        <w:ind w:firstLine="440"/>
        <w:jc w:val="left"/>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0"/>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color w:val="000000" w:themeColor="text1"/>
          <w:sz w:val="22"/>
          <w:szCs w:val="22"/>
          <w14:textFill>
            <w14:solidFill>
              <w14:schemeClr w14:val="tx1"/>
            </w14:solidFill>
          </w14:textFill>
        </w:rPr>
        <w:t>9</w:t>
      </w:r>
      <w:r>
        <w:rPr>
          <w:rFonts w:hint="eastAsia" w:ascii="国标仿宋-GB/T 2312" w:hAnsi="国标仿宋-GB/T 2312" w:eastAsia="国标仿宋-GB/T 2312" w:cs="国标仿宋-GB/T 2312"/>
          <w:b/>
          <w:bCs/>
          <w:sz w:val="22"/>
          <w:szCs w:val="22"/>
        </w:rPr>
        <w:t>.权利瑕疵担保</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9.1 乙方保证对其出售的货物享有合法的权利。</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 xml:space="preserve">9.2 </w:t>
      </w:r>
      <w:r>
        <w:rPr>
          <w:rFonts w:hint="eastAsia" w:ascii="国标仿宋-GB/T 2312" w:hAnsi="国标仿宋-GB/T 2312" w:eastAsia="国标仿宋-GB/T 2312" w:cs="国标仿宋-GB/T 2312"/>
          <w:sz w:val="22"/>
          <w:szCs w:val="13"/>
        </w:rPr>
        <w:t>乙方保证在交付的货物上不存在抵押权等担保物权。</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color w:val="000000" w:themeColor="text1"/>
          <w:sz w:val="22"/>
          <w:szCs w:val="20"/>
          <w14:textFill>
            <w14:solidFill>
              <w14:schemeClr w14:val="tx1"/>
            </w14:solidFill>
          </w14:textFill>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9.3 如甲方使用上述货物构成对第三人侵权的，则由乙方承担全部责任。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color w:val="000000" w:themeColor="text1"/>
          <w:sz w:val="22"/>
          <w:szCs w:val="22"/>
          <w14:textFill>
            <w14:solidFill>
              <w14:schemeClr w14:val="tx1"/>
            </w14:solidFill>
          </w14:textFill>
        </w:rPr>
      </w:pPr>
      <w:r>
        <w:rPr>
          <w:rFonts w:hint="eastAsia" w:ascii="国标仿宋-GB/T 2312" w:hAnsi="国标仿宋-GB/T 2312" w:eastAsia="国标仿宋-GB/T 2312" w:cs="国标仿宋-GB/T 2312"/>
          <w:b/>
          <w:bCs/>
          <w:color w:val="000000" w:themeColor="text1"/>
          <w:sz w:val="22"/>
          <w:szCs w:val="22"/>
          <w14:textFill>
            <w14:solidFill>
              <w14:schemeClr w14:val="tx1"/>
            </w14:solidFill>
          </w14:textFill>
        </w:rPr>
        <w:t>10.知识产权保护</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color w:val="000000" w:themeColor="text1"/>
          <w:sz w:val="22"/>
          <w:szCs w:val="20"/>
          <w14:textFill>
            <w14:solidFill>
              <w14:schemeClr w14:val="tx1"/>
            </w14:solidFill>
          </w14:textFill>
        </w:rPr>
        <w:t>10.1 乙方对其所销售的货物应当享有知识产权或经权利人合法授权，保证没有侵犯任</w:t>
      </w:r>
      <w:r>
        <w:rPr>
          <w:rFonts w:hint="eastAsia" w:ascii="国标仿宋-GB/T 2312" w:hAnsi="国标仿宋-GB/T 2312" w:eastAsia="国标仿宋-GB/T 2312" w:cs="国标仿宋-GB/T 2312"/>
          <w:sz w:val="22"/>
          <w:szCs w:val="20"/>
        </w:rPr>
        <w:t>何第三人的知识产权等权利。</w:t>
      </w:r>
      <w:bookmarkStart w:id="131" w:name="_Hlk163047038"/>
      <w:r>
        <w:rPr>
          <w:rFonts w:hint="eastAsia" w:ascii="国标仿宋-GB/T 2312" w:hAnsi="国标仿宋-GB/T 2312" w:eastAsia="国标仿宋-GB/T 2312" w:cs="国标仿宋-GB/T 2312"/>
          <w:sz w:val="22"/>
          <w:szCs w:val="13"/>
        </w:rPr>
        <w:t>因违反前述约定对第三人构成侵权的，应当由乙方向第三人承担法律责任；甲方依法向第三人赔偿后，有权向乙方追偿。甲方有其他损失的，乙方应当赔偿</w:t>
      </w:r>
      <w:bookmarkEnd w:id="131"/>
      <w:r>
        <w:rPr>
          <w:rFonts w:hint="eastAsia" w:ascii="国标仿宋-GB/T 2312" w:hAnsi="国标仿宋-GB/T 2312" w:eastAsia="国标仿宋-GB/T 2312" w:cs="国标仿宋-GB/T 2312"/>
          <w:sz w:val="22"/>
          <w:szCs w:val="20"/>
        </w:rPr>
        <w:t>。</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11.保密义务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13"/>
        </w:rPr>
      </w:pPr>
      <w:r>
        <w:rPr>
          <w:rFonts w:hint="eastAsia" w:ascii="国标仿宋-GB/T 2312" w:hAnsi="国标仿宋-GB/T 2312" w:eastAsia="国标仿宋-GB/T 2312" w:cs="国标仿宋-GB/T 2312"/>
          <w:sz w:val="22"/>
          <w:szCs w:val="13"/>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国标仿宋-GB/T 2312" w:hAnsi="国标仿宋-GB/T 2312" w:eastAsia="国标仿宋-GB/T 2312" w:cs="国标仿宋-GB/T 2312"/>
          <w:b/>
          <w:bCs/>
          <w:sz w:val="22"/>
          <w:szCs w:val="13"/>
        </w:rPr>
        <w:t>【政府采购合同专用条款】</w:t>
      </w:r>
      <w:r>
        <w:rPr>
          <w:rFonts w:hint="eastAsia" w:ascii="国标仿宋-GB/T 2312" w:hAnsi="国标仿宋-GB/T 2312" w:eastAsia="国标仿宋-GB/T 2312" w:cs="国标仿宋-GB/T 2312"/>
          <w:sz w:val="22"/>
          <w:szCs w:val="13"/>
        </w:rPr>
        <w:t>中约定。</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12.合同价款支付</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12.1 合同价款支付按照国库集中支付制度及财政管理相关规定执行。</w:t>
      </w:r>
    </w:p>
    <w:p>
      <w:pPr>
        <w:pStyle w:val="4"/>
        <w:spacing w:line="400" w:lineRule="exact"/>
        <w:ind w:firstLine="400"/>
        <w:rPr>
          <w:rFonts w:ascii="国标仿宋-GB/T 2312" w:hAnsi="国标仿宋-GB/T 2312" w:eastAsia="国标仿宋-GB/T 2312" w:cs="国标仿宋-GB/T 2312"/>
          <w:sz w:val="28"/>
          <w:szCs w:val="28"/>
        </w:rPr>
      </w:pPr>
      <w:r>
        <w:rPr>
          <w:rFonts w:hint="eastAsia" w:ascii="国标仿宋-GB/T 2312" w:hAnsi="国标仿宋-GB/T 2312" w:eastAsia="国标仿宋-GB/T 2312" w:cs="国标仿宋-GB/T 2312"/>
          <w:b w:val="0"/>
          <w:bCs w:val="0"/>
          <w:sz w:val="20"/>
          <w:szCs w:val="20"/>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国标仿宋-GB/T 2312" w:hAnsi="国标仿宋-GB/T 2312" w:eastAsia="国标仿宋-GB/T 2312" w:cs="国标仿宋-GB/T 2312"/>
          <w:sz w:val="20"/>
          <w:szCs w:val="20"/>
        </w:rPr>
        <w:t>政府采购合同专用条款</w:t>
      </w:r>
      <w:r>
        <w:rPr>
          <w:rFonts w:hint="eastAsia" w:ascii="国标仿宋-GB/T 2312" w:hAnsi="国标仿宋-GB/T 2312" w:eastAsia="国标仿宋-GB/T 2312" w:cs="国标仿宋-GB/T 2312"/>
          <w:b w:val="0"/>
          <w:bCs w:val="0"/>
          <w:sz w:val="20"/>
          <w:szCs w:val="20"/>
        </w:rPr>
        <w:t>】中约定。</w:t>
      </w:r>
    </w:p>
    <w:p>
      <w:pPr>
        <w:pStyle w:val="16"/>
        <w:spacing w:line="400" w:lineRule="exact"/>
        <w:ind w:firstLine="360"/>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13.履约保证金</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 xml:space="preserve">13.1 </w:t>
      </w:r>
      <w:r>
        <w:rPr>
          <w:rFonts w:hint="eastAsia" w:ascii="国标仿宋-GB/T 2312" w:hAnsi="国标仿宋-GB/T 2312" w:eastAsia="国标仿宋-GB/T 2312" w:cs="国标仿宋-GB/T 2312"/>
          <w:sz w:val="22"/>
          <w:szCs w:val="13"/>
        </w:rPr>
        <w:t>乙方应当以支票、汇票、本票或者金融机构、担保机构出具的保函等非现金形式提交。</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13.2 如果乙方出现</w:t>
      </w:r>
      <w:r>
        <w:rPr>
          <w:rFonts w:hint="eastAsia" w:ascii="国标仿宋-GB/T 2312" w:hAnsi="国标仿宋-GB/T 2312" w:eastAsia="国标仿宋-GB/T 2312" w:cs="国标仿宋-GB/T 2312"/>
          <w:b/>
          <w:bCs/>
          <w:sz w:val="22"/>
          <w:szCs w:val="13"/>
        </w:rPr>
        <w:t>【政府采购合同专用条款】</w:t>
      </w:r>
      <w:r>
        <w:rPr>
          <w:rFonts w:hint="eastAsia" w:ascii="国标仿宋-GB/T 2312" w:hAnsi="国标仿宋-GB/T 2312" w:eastAsia="国标仿宋-GB/T 2312" w:cs="国标仿宋-GB/T 2312"/>
          <w:sz w:val="22"/>
          <w:szCs w:val="13"/>
        </w:rPr>
        <w:t>约定情形的</w:t>
      </w:r>
      <w:r>
        <w:rPr>
          <w:rFonts w:hint="eastAsia" w:ascii="国标仿宋-GB/T 2312" w:hAnsi="国标仿宋-GB/T 2312" w:eastAsia="国标仿宋-GB/T 2312" w:cs="国标仿宋-GB/T 2312"/>
          <w:sz w:val="22"/>
          <w:szCs w:val="20"/>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40"/>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sz w:val="22"/>
          <w:szCs w:val="20"/>
        </w:rPr>
        <w:t>13.3 甲方在项目通过验收后按照</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sz w:val="22"/>
          <w:szCs w:val="20"/>
        </w:rPr>
        <w:t>规定的时间内将履约保证金退还乙方；逾期退还的，乙方可要求甲方支付违约金，违约金按照</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sz w:val="22"/>
          <w:szCs w:val="20"/>
        </w:rPr>
        <w:t>规定支付。</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sz w:val="22"/>
          <w:szCs w:val="22"/>
        </w:rPr>
      </w:pPr>
      <w:r>
        <w:rPr>
          <w:rFonts w:hint="eastAsia" w:ascii="国标仿宋-GB/T 2312" w:hAnsi="国标仿宋-GB/T 2312" w:eastAsia="国标仿宋-GB/T 2312" w:cs="国标仿宋-GB/T 2312"/>
          <w:b/>
          <w:bCs/>
          <w:sz w:val="22"/>
          <w:szCs w:val="22"/>
        </w:rPr>
        <w:t>14.</w:t>
      </w:r>
      <w:r>
        <w:rPr>
          <w:rFonts w:hint="eastAsia" w:ascii="国标仿宋-GB/T 2312" w:hAnsi="国标仿宋-GB/T 2312" w:eastAsia="国标仿宋-GB/T 2312" w:cs="国标仿宋-GB/T 2312"/>
          <w:b/>
          <w:sz w:val="22"/>
          <w:szCs w:val="22"/>
        </w:rPr>
        <w:t>售后服务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14.1 除项目不涉及或采购活动中明确约定无须承担外，乙方还应提供下列服务：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（1）货物的现场移动、安装、调试、启动监督及技术支持；</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（2）提供货物组装和维修所需的专用工具和辅助材料；</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（3）在</w:t>
      </w:r>
      <w:r>
        <w:rPr>
          <w:rFonts w:hint="eastAsia" w:ascii="国标仿宋-GB/T 2312" w:hAnsi="国标仿宋-GB/T 2312" w:eastAsia="国标仿宋-GB/T 2312" w:cs="国标仿宋-GB/T 2312"/>
          <w:b/>
          <w:bCs/>
          <w:sz w:val="22"/>
          <w:szCs w:val="13"/>
        </w:rPr>
        <w:t>【政府采购合同专用条款】</w:t>
      </w:r>
      <w:r>
        <w:rPr>
          <w:rFonts w:hint="eastAsia" w:ascii="国标仿宋-GB/T 2312" w:hAnsi="国标仿宋-GB/T 2312" w:eastAsia="国标仿宋-GB/T 2312" w:cs="国标仿宋-GB/T 2312"/>
          <w:sz w:val="22"/>
          <w:szCs w:val="20"/>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（4）在制造商所在地或指定现场就货物的安装、启动、运营、维护、废弃处置等对甲方操作人员进行培训</w:t>
      </w:r>
      <w:r>
        <w:rPr>
          <w:rFonts w:hint="eastAsia" w:ascii="国标仿宋-GB/T 2312" w:hAnsi="国标仿宋-GB/T 2312" w:eastAsia="国标仿宋-GB/T 2312" w:cs="国标仿宋-GB/T 2312"/>
          <w:sz w:val="22"/>
          <w:szCs w:val="13"/>
        </w:rPr>
        <w:t>；</w:t>
      </w:r>
    </w:p>
    <w:p>
      <w:pPr>
        <w:pStyle w:val="158"/>
        <w:ind w:firstLine="400"/>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（5）依照法律、行政法规的规定或者按照</w:t>
      </w:r>
      <w:r>
        <w:rPr>
          <w:rFonts w:hint="eastAsia" w:ascii="国标仿宋-GB/T 2312" w:hAnsi="国标仿宋-GB/T 2312" w:eastAsia="国标仿宋-GB/T 2312" w:cs="国标仿宋-GB/T 2312"/>
          <w:b/>
          <w:bCs/>
          <w:sz w:val="20"/>
          <w:szCs w:val="20"/>
        </w:rPr>
        <w:t>【政府采购合同专用条款】</w:t>
      </w:r>
      <w:r>
        <w:rPr>
          <w:rFonts w:hint="eastAsia" w:ascii="国标仿宋-GB/T 2312" w:hAnsi="国标仿宋-GB/T 2312" w:eastAsia="国标仿宋-GB/T 2312" w:cs="国标仿宋-GB/T 2312"/>
          <w:sz w:val="20"/>
          <w:szCs w:val="20"/>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（6）</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sz w:val="22"/>
          <w:szCs w:val="20"/>
        </w:rPr>
        <w:t>规定由乙方提供的其他服务。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14.2 乙方提供的售后服务的费用已包含在合同价款中，甲方不再另行支付。</w:t>
      </w:r>
    </w:p>
    <w:p>
      <w:pPr>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15.违约责任</w:t>
      </w:r>
    </w:p>
    <w:p>
      <w:pPr>
        <w:adjustRightInd w:val="0"/>
        <w:snapToGrid w:val="0"/>
        <w:spacing w:line="400" w:lineRule="exact"/>
        <w:ind w:firstLine="440"/>
        <w:jc w:val="left"/>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15.1质量瑕疵的违约责任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乙方提供的产品不符合合同约定的质量标准或存在产品质量缺陷，甲方有权要求乙方根据</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bCs/>
          <w:sz w:val="22"/>
          <w:szCs w:val="20"/>
        </w:rPr>
        <w:t>要求</w:t>
      </w:r>
      <w:r>
        <w:rPr>
          <w:rFonts w:hint="eastAsia" w:ascii="国标仿宋-GB/T 2312" w:hAnsi="国标仿宋-GB/T 2312" w:eastAsia="国标仿宋-GB/T 2312" w:cs="国标仿宋-GB/T 2312"/>
          <w:sz w:val="22"/>
          <w:szCs w:val="20"/>
        </w:rPr>
        <w:t>及时修理、重作、更换，并承担由此给甲方造成的损失。</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15.2 迟延交货的违约责任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（2）如果乙方没有按照合同规定的时间交货和提供相关服务，甲方有权从货款中扣除误期赔偿费而不影响合同项下的其他补救方法，赔偿费按</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sz w:val="22"/>
          <w:szCs w:val="20"/>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15.3 迟延支付的违约责任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甲方存在迟延支付乙方合同款项的，应当承担</w:t>
      </w:r>
      <w:r>
        <w:rPr>
          <w:rFonts w:hint="eastAsia" w:ascii="国标仿宋-GB/T 2312" w:hAnsi="国标仿宋-GB/T 2312" w:eastAsia="国标仿宋-GB/T 2312" w:cs="国标仿宋-GB/T 2312"/>
          <w:b/>
          <w:bCs/>
          <w:sz w:val="22"/>
          <w:szCs w:val="20"/>
        </w:rPr>
        <w:t>【政府采购合同专用条款】</w:t>
      </w:r>
      <w:r>
        <w:rPr>
          <w:rFonts w:hint="eastAsia" w:ascii="国标仿宋-GB/T 2312" w:hAnsi="国标仿宋-GB/T 2312" w:eastAsia="国标仿宋-GB/T 2312" w:cs="国标仿宋-GB/T 2312"/>
          <w:sz w:val="22"/>
          <w:szCs w:val="20"/>
        </w:rPr>
        <w:t>规定的逾期付款利息。</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bCs/>
          <w:sz w:val="22"/>
          <w:szCs w:val="20"/>
        </w:rPr>
        <w:t>15.4其他违约责任根据项目实际需要按</w:t>
      </w:r>
      <w:r>
        <w:rPr>
          <w:rFonts w:hint="eastAsia" w:ascii="国标仿宋-GB/T 2312" w:hAnsi="国标仿宋-GB/T 2312" w:eastAsia="国标仿宋-GB/T 2312" w:cs="国标仿宋-GB/T 2312"/>
          <w:b/>
          <w:bCs/>
          <w:sz w:val="22"/>
          <w:szCs w:val="20"/>
        </w:rPr>
        <w:t>【政府采购合同专用条款】</w:t>
      </w:r>
      <w:r>
        <w:rPr>
          <w:rFonts w:hint="eastAsia" w:ascii="国标仿宋-GB/T 2312" w:hAnsi="国标仿宋-GB/T 2312" w:eastAsia="国标仿宋-GB/T 2312" w:cs="国标仿宋-GB/T 2312"/>
          <w:sz w:val="22"/>
          <w:szCs w:val="20"/>
        </w:rPr>
        <w:t>规定执行。</w:t>
      </w:r>
    </w:p>
    <w:p>
      <w:pPr>
        <w:numPr>
          <w:ilvl w:val="0"/>
          <w:numId w:val="8"/>
        </w:numPr>
        <w:autoSpaceDE w:val="0"/>
        <w:autoSpaceDN w:val="0"/>
        <w:adjustRightInd w:val="0"/>
        <w:snapToGrid w:val="0"/>
        <w:spacing w:line="400" w:lineRule="exact"/>
        <w:ind w:firstLine="440"/>
        <w:jc w:val="left"/>
        <w:rPr>
          <w:rFonts w:ascii="国标仿宋-GB/T 2312" w:hAnsi="国标仿宋-GB/T 2312" w:eastAsia="国标仿宋-GB/T 2312" w:cs="国标仿宋-GB/T 2312"/>
          <w:b/>
          <w:sz w:val="22"/>
          <w:szCs w:val="22"/>
        </w:rPr>
      </w:pPr>
      <w:r>
        <w:rPr>
          <w:rFonts w:hint="eastAsia" w:ascii="国标仿宋-GB/T 2312" w:hAnsi="国标仿宋-GB/T 2312" w:eastAsia="国标仿宋-GB/T 2312" w:cs="国标仿宋-GB/T 2312"/>
          <w:b/>
          <w:sz w:val="22"/>
          <w:szCs w:val="22"/>
        </w:rPr>
        <w:t>合同变更、中止与终止</w:t>
      </w:r>
    </w:p>
    <w:p>
      <w:pPr>
        <w:adjustRightInd w:val="0"/>
        <w:snapToGrid w:val="0"/>
        <w:spacing w:line="400" w:lineRule="exact"/>
        <w:ind w:firstLine="0" w:firstLineChars="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16.1合同的变更</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16.2合同的中止</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jc w:val="left"/>
        <w:rPr>
          <w:rFonts w:ascii="国标仿宋-GB/T 2312" w:hAnsi="国标仿宋-GB/T 2312" w:eastAsia="国标仿宋-GB/T 2312" w:cs="国标仿宋-GB/T 2312"/>
          <w:sz w:val="20"/>
          <w:szCs w:val="22"/>
        </w:rPr>
      </w:pPr>
      <w:r>
        <w:rPr>
          <w:rFonts w:hint="eastAsia" w:ascii="国标仿宋-GB/T 2312" w:hAnsi="国标仿宋-GB/T 2312" w:eastAsia="国标仿宋-GB/T 2312" w:cs="国标仿宋-GB/T 2312"/>
          <w:sz w:val="22"/>
          <w:szCs w:val="20"/>
        </w:rPr>
        <w:t>（4）甲方不得以行政区划调整、政府换届、机构或者职能调整以及相关责任人更替为由中止合同。</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16.3合同的终止</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（1）合同因有效期限届满而终止；</w:t>
      </w:r>
    </w:p>
    <w:p>
      <w:pPr>
        <w:snapToGrid w:val="0"/>
        <w:spacing w:line="400" w:lineRule="exact"/>
        <w:ind w:firstLine="440"/>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（2）乙方未按合同约定履行，构成根本性违约的，甲方有权终止合同，并追究乙方的违约责任。</w:t>
      </w:r>
    </w:p>
    <w:p>
      <w:pPr>
        <w:pStyle w:val="158"/>
        <w:ind w:firstLine="420"/>
        <w:rPr>
          <w:rFonts w:ascii="国标仿宋-GB/T 2312" w:hAnsi="国标仿宋-GB/T 2312" w:eastAsia="国标仿宋-GB/T 2312" w:cs="国标仿宋-GB/T 2312"/>
          <w:sz w:val="21"/>
          <w:szCs w:val="20"/>
        </w:rPr>
      </w:pPr>
      <w:r>
        <w:rPr>
          <w:rFonts w:hint="eastAsia" w:ascii="国标仿宋-GB/T 2312" w:hAnsi="国标仿宋-GB/T 2312" w:eastAsia="国标仿宋-GB/T 2312" w:cs="国标仿宋-GB/T 2312"/>
          <w:sz w:val="21"/>
          <w:szCs w:val="20"/>
        </w:rPr>
        <w:t xml:space="preserve">16.4 </w:t>
      </w:r>
      <w:r>
        <w:rPr>
          <w:rFonts w:hint="eastAsia" w:ascii="国标仿宋-GB/T 2312" w:hAnsi="国标仿宋-GB/T 2312" w:eastAsia="国标仿宋-GB/T 2312" w:cs="国标仿宋-GB/T 2312"/>
          <w:kern w:val="2"/>
          <w:sz w:val="20"/>
          <w:szCs w:val="20"/>
        </w:rPr>
        <w:t>涉及国家利益、社会公共利益的情形</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17.合同分包</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18.不可抗力</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18.1 不可抗力是指合同双方不能预见、不能避免且不能克服的客观情况。</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19.解决争议的方法</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19.1 因本合同及合同有关事项发生的争议，由甲乙双方友好协商解决。协商不成时，可以向有关组织申请调解。合同一方或双方不愿调解或调解不成的，可以通过仲裁或诉讼的方式解决争议。</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19.2 选择仲裁的，应在</w:t>
      </w:r>
      <w:r>
        <w:rPr>
          <w:rFonts w:hint="eastAsia" w:ascii="国标仿宋-GB/T 2312" w:hAnsi="国标仿宋-GB/T 2312" w:eastAsia="国标仿宋-GB/T 2312" w:cs="国标仿宋-GB/T 2312"/>
          <w:b/>
          <w:bCs/>
          <w:sz w:val="20"/>
          <w:szCs w:val="20"/>
        </w:rPr>
        <w:t>【政府采购合同专用条款】</w:t>
      </w:r>
      <w:r>
        <w:rPr>
          <w:rFonts w:hint="eastAsia" w:ascii="国标仿宋-GB/T 2312" w:hAnsi="国标仿宋-GB/T 2312" w:eastAsia="国标仿宋-GB/T 2312" w:cs="国标仿宋-GB/T 2312"/>
          <w:sz w:val="20"/>
          <w:szCs w:val="20"/>
        </w:rPr>
        <w:t>中明确仲裁机构及仲裁地；通过诉讼方式解决的，可以在</w:t>
      </w:r>
      <w:r>
        <w:rPr>
          <w:rFonts w:hint="eastAsia" w:ascii="国标仿宋-GB/T 2312" w:hAnsi="国标仿宋-GB/T 2312" w:eastAsia="国标仿宋-GB/T 2312" w:cs="国标仿宋-GB/T 2312"/>
          <w:b/>
          <w:bCs/>
          <w:sz w:val="20"/>
          <w:szCs w:val="20"/>
        </w:rPr>
        <w:t>【政府采购合同专用条款】</w:t>
      </w:r>
      <w:r>
        <w:rPr>
          <w:rFonts w:hint="eastAsia" w:ascii="国标仿宋-GB/T 2312" w:hAnsi="国标仿宋-GB/T 2312" w:eastAsia="国标仿宋-GB/T 2312" w:cs="国标仿宋-GB/T 2312"/>
          <w:sz w:val="20"/>
          <w:szCs w:val="20"/>
        </w:rPr>
        <w:t>中进一步约定选择与争议有实际联系的地点的人民法院管辖，但管辖法院的约定不得违反级别管辖和专属管辖的规定。</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19.3 如甲乙双方有争议的事项不影响合同其他部分的履行，在争议解决期间，合同其他部分应当继续履行。</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sz w:val="22"/>
          <w:szCs w:val="22"/>
        </w:rPr>
      </w:pPr>
      <w:r>
        <w:rPr>
          <w:rFonts w:hint="eastAsia" w:ascii="国标仿宋-GB/T 2312" w:hAnsi="国标仿宋-GB/T 2312" w:eastAsia="国标仿宋-GB/T 2312" w:cs="国标仿宋-GB/T 2312"/>
          <w:b/>
          <w:sz w:val="22"/>
          <w:szCs w:val="22"/>
        </w:rPr>
        <w:t>20.政府采购政策</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 xml:space="preserve">20.1 </w:t>
      </w:r>
      <w:r>
        <w:rPr>
          <w:rFonts w:hint="eastAsia" w:ascii="国标仿宋-GB/T 2312" w:hAnsi="国标仿宋-GB/T 2312" w:eastAsia="国标仿宋-GB/T 2312" w:cs="国标仿宋-GB/T 2312"/>
          <w:sz w:val="20"/>
          <w:szCs w:val="20"/>
          <w:lang w:val="en-GB"/>
        </w:rPr>
        <w:t>本合同应当按照规定执行政府采购政策。</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20.2 本合同依法执行政府采购政策的方式和内容，属于合同履约验收的范围。甲乙双方</w:t>
      </w:r>
      <w:r>
        <w:rPr>
          <w:rFonts w:hint="eastAsia" w:ascii="国标仿宋-GB/T 2312" w:hAnsi="国标仿宋-GB/T 2312" w:eastAsia="国标仿宋-GB/T 2312" w:cs="国标仿宋-GB/T 2312"/>
          <w:sz w:val="20"/>
          <w:szCs w:val="20"/>
          <w:lang w:val="en-GB"/>
        </w:rPr>
        <w:t>未按规定要求执行政府采购政策造成损失的</w:t>
      </w:r>
      <w:r>
        <w:rPr>
          <w:rFonts w:hint="eastAsia" w:ascii="国标仿宋-GB/T 2312" w:hAnsi="国标仿宋-GB/T 2312" w:eastAsia="国标仿宋-GB/T 2312" w:cs="国标仿宋-GB/T 2312"/>
          <w:sz w:val="20"/>
          <w:szCs w:val="20"/>
        </w:rPr>
        <w:t>，有过错的一方应当承担赔偿责任，双方都有过错的，各自承担相应的责任。</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ind w:firstLine="440"/>
        <w:jc w:val="left"/>
        <w:rPr>
          <w:rFonts w:ascii="国标仿宋-GB/T 2312" w:hAnsi="国标仿宋-GB/T 2312" w:eastAsia="国标仿宋-GB/T 2312" w:cs="国标仿宋-GB/T 2312"/>
          <w:b/>
          <w:sz w:val="22"/>
          <w:szCs w:val="22"/>
        </w:rPr>
      </w:pPr>
      <w:r>
        <w:rPr>
          <w:rFonts w:hint="eastAsia" w:ascii="国标仿宋-GB/T 2312" w:hAnsi="国标仿宋-GB/T 2312" w:eastAsia="国标仿宋-GB/T 2312" w:cs="国标仿宋-GB/T 2312"/>
          <w:b/>
          <w:sz w:val="22"/>
          <w:szCs w:val="22"/>
        </w:rPr>
        <w:t>21.法律适用</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21.1 本合同的订立、生效、解释、履行及与本合同有关的争议解决，均适用法律、行政法规。</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ind w:firstLine="440" w:firstLineChars="200"/>
        <w:jc w:val="left"/>
        <w:rPr>
          <w:rFonts w:ascii="国标仿宋-GB/T 2312" w:hAnsi="国标仿宋-GB/T 2312" w:eastAsia="国标仿宋-GB/T 2312" w:cs="国标仿宋-GB/T 2312"/>
          <w:b/>
          <w:sz w:val="22"/>
          <w:szCs w:val="22"/>
        </w:rPr>
      </w:pPr>
      <w:r>
        <w:rPr>
          <w:rFonts w:hint="eastAsia" w:ascii="国标仿宋-GB/T 2312" w:hAnsi="国标仿宋-GB/T 2312" w:eastAsia="国标仿宋-GB/T 2312" w:cs="国标仿宋-GB/T 2312"/>
          <w:b/>
          <w:sz w:val="22"/>
          <w:szCs w:val="22"/>
        </w:rPr>
        <w:t>22. 通知</w:t>
      </w:r>
    </w:p>
    <w:p>
      <w:pPr>
        <w:pStyle w:val="158"/>
        <w:ind w:firstLine="40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22.1本合同任何一方向对方发出的通知、信件、数据电文等，应当发送至本合同第一部分《政府采购合同协议书》所约定的通讯地址、联系人、联系电话或电子邮箱。</w:t>
      </w:r>
    </w:p>
    <w:p>
      <w:pPr>
        <w:pStyle w:val="158"/>
        <w:ind w:firstLine="0" w:firstLineChars="0"/>
        <w:jc w:val="both"/>
        <w:rPr>
          <w:rFonts w:ascii="国标仿宋-GB/T 2312" w:hAnsi="国标仿宋-GB/T 2312" w:eastAsia="国标仿宋-GB/T 2312" w:cs="国标仿宋-GB/T 2312"/>
          <w:sz w:val="20"/>
          <w:szCs w:val="20"/>
        </w:rPr>
      </w:pPr>
      <w:r>
        <w:rPr>
          <w:rFonts w:hint="eastAsia" w:ascii="国标仿宋-GB/T 2312" w:hAnsi="国标仿宋-GB/T 2312" w:eastAsia="国标仿宋-GB/T 2312" w:cs="国标仿宋-GB/T 2312"/>
          <w:sz w:val="20"/>
          <w:szCs w:val="20"/>
        </w:rPr>
        <w:t>22.2一方当事人变更名称、住所、联系人、联系电话或电子邮箱等信息的，应当在变更后3日内及时书面通知对方，对方实际收到变更通知前的送达仍为有效送达。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22.3本合同一方给另一方的通知均应采用书面形式，传真或快递送到本合同中规定的对方的地址和办理签收手续。</w:t>
      </w:r>
    </w:p>
    <w:p>
      <w:pPr>
        <w:adjustRightInd w:val="0"/>
        <w:snapToGrid w:val="0"/>
        <w:spacing w:line="400" w:lineRule="exact"/>
        <w:ind w:firstLine="440"/>
        <w:jc w:val="left"/>
        <w:rPr>
          <w:rFonts w:ascii="国标仿宋-GB/T 2312" w:hAnsi="国标仿宋-GB/T 2312" w:eastAsia="国标仿宋-GB/T 2312" w:cs="国标仿宋-GB/T 2312"/>
          <w:sz w:val="22"/>
          <w:szCs w:val="20"/>
        </w:rPr>
      </w:pPr>
      <w:r>
        <w:rPr>
          <w:rFonts w:hint="eastAsia" w:ascii="国标仿宋-GB/T 2312" w:hAnsi="国标仿宋-GB/T 2312" w:eastAsia="国标仿宋-GB/T 2312" w:cs="国标仿宋-GB/T 2312"/>
          <w:sz w:val="22"/>
          <w:szCs w:val="20"/>
        </w:rPr>
        <w:t>22.4通知以送达之日或通知书中规定的生效之日起生效，两者中以较迟之日为准。</w:t>
      </w:r>
    </w:p>
    <w:p>
      <w:pPr>
        <w:numPr>
          <w:ilvl w:val="0"/>
          <w:numId w:val="9"/>
        </w:numPr>
        <w:adjustRightInd w:val="0"/>
        <w:snapToGrid w:val="0"/>
        <w:spacing w:line="400" w:lineRule="exact"/>
        <w:ind w:firstLine="440"/>
        <w:jc w:val="left"/>
        <w:rPr>
          <w:rFonts w:ascii="国标仿宋-GB/T 2312" w:hAnsi="国标仿宋-GB/T 2312" w:eastAsia="国标仿宋-GB/T 2312" w:cs="国标仿宋-GB/T 2312"/>
          <w:b/>
          <w:bCs/>
          <w:sz w:val="22"/>
          <w:szCs w:val="22"/>
        </w:rPr>
      </w:pPr>
      <w:r>
        <w:rPr>
          <w:rFonts w:hint="eastAsia" w:ascii="国标仿宋-GB/T 2312" w:hAnsi="国标仿宋-GB/T 2312" w:eastAsia="国标仿宋-GB/T 2312" w:cs="国标仿宋-GB/T 2312"/>
          <w:b/>
          <w:bCs/>
          <w:sz w:val="22"/>
          <w:szCs w:val="22"/>
        </w:rPr>
        <w:t>合同未尽事项</w:t>
      </w:r>
    </w:p>
    <w:p>
      <w:pPr>
        <w:adjustRightInd w:val="0"/>
        <w:snapToGrid w:val="0"/>
        <w:spacing w:line="400" w:lineRule="exact"/>
        <w:ind w:firstLine="440"/>
        <w:jc w:val="left"/>
        <w:rPr>
          <w:rFonts w:ascii="国标仿宋-GB/T 2312" w:hAnsi="国标仿宋-GB/T 2312" w:eastAsia="国标仿宋-GB/T 2312" w:cs="国标仿宋-GB/T 2312"/>
          <w:bCs/>
          <w:sz w:val="22"/>
          <w:szCs w:val="20"/>
        </w:rPr>
      </w:pPr>
      <w:r>
        <w:rPr>
          <w:rFonts w:hint="eastAsia" w:ascii="国标仿宋-GB/T 2312" w:hAnsi="国标仿宋-GB/T 2312" w:eastAsia="国标仿宋-GB/T 2312" w:cs="国标仿宋-GB/T 2312"/>
          <w:bCs/>
          <w:sz w:val="22"/>
          <w:szCs w:val="20"/>
        </w:rPr>
        <w:t>23.1合同未尽事项见</w:t>
      </w:r>
      <w:r>
        <w:rPr>
          <w:rFonts w:hint="eastAsia" w:ascii="国标仿宋-GB/T 2312" w:hAnsi="国标仿宋-GB/T 2312" w:eastAsia="国标仿宋-GB/T 2312" w:cs="国标仿宋-GB/T 2312"/>
          <w:b/>
          <w:sz w:val="22"/>
          <w:szCs w:val="20"/>
        </w:rPr>
        <w:t>【政府采购合同专用条款】</w:t>
      </w:r>
      <w:r>
        <w:rPr>
          <w:rFonts w:hint="eastAsia" w:ascii="国标仿宋-GB/T 2312" w:hAnsi="国标仿宋-GB/T 2312" w:eastAsia="国标仿宋-GB/T 2312" w:cs="国标仿宋-GB/T 2312"/>
          <w:bCs/>
          <w:sz w:val="22"/>
          <w:szCs w:val="20"/>
        </w:rPr>
        <w:t>。</w:t>
      </w:r>
    </w:p>
    <w:p>
      <w:pPr>
        <w:adjustRightInd w:val="0"/>
        <w:snapToGrid w:val="0"/>
        <w:spacing w:line="400" w:lineRule="exact"/>
        <w:ind w:firstLine="0" w:firstLineChars="0"/>
        <w:jc w:val="left"/>
        <w:rPr>
          <w:rFonts w:ascii="黑体" w:hAnsi="华文中宋" w:eastAsia="黑体"/>
        </w:rPr>
      </w:pPr>
      <w:r>
        <w:rPr>
          <w:rFonts w:hint="eastAsia" w:ascii="国标仿宋-GB/T 2312" w:hAnsi="国标仿宋-GB/T 2312" w:eastAsia="国标仿宋-GB/T 2312" w:cs="国标仿宋-GB/T 2312"/>
          <w:bCs/>
          <w:sz w:val="22"/>
          <w:szCs w:val="20"/>
        </w:rPr>
        <w:t xml:space="preserve">    23.2 合同附件与合同正文具有同等的法律效力。</w:t>
      </w:r>
      <w:bookmarkStart w:id="132" w:name="_Toc20313"/>
    </w:p>
    <w:p>
      <w:pPr>
        <w:adjustRightInd w:val="0"/>
        <w:snapToGrid w:val="0"/>
        <w:ind w:firstLine="480"/>
        <w:jc w:val="center"/>
        <w:rPr>
          <w:rFonts w:ascii="黑体" w:hAnsi="华文中宋" w:eastAsia="黑体"/>
        </w:rPr>
      </w:pPr>
      <w:r>
        <w:rPr>
          <w:rFonts w:hint="eastAsia" w:ascii="黑体" w:hAnsi="华文中宋" w:eastAsia="黑体"/>
        </w:rPr>
        <w:br w:type="page"/>
      </w:r>
    </w:p>
    <w:p>
      <w:pPr>
        <w:pStyle w:val="4"/>
        <w:adjustRightInd w:val="0"/>
        <w:snapToGrid w:val="0"/>
        <w:ind w:firstLine="480"/>
        <w:jc w:val="center"/>
        <w:rPr>
          <w:rFonts w:ascii="黑体" w:hAnsi="华文中宋"/>
          <w:b w:val="0"/>
          <w:bCs w:val="0"/>
          <w:sz w:val="24"/>
          <w:szCs w:val="24"/>
        </w:rPr>
      </w:pPr>
      <w:r>
        <w:rPr>
          <w:rFonts w:hint="eastAsia" w:ascii="黑体" w:hAnsi="华文中宋"/>
          <w:b w:val="0"/>
          <w:bCs w:val="0"/>
          <w:sz w:val="24"/>
          <w:szCs w:val="24"/>
        </w:rPr>
        <w:t>第三节 政府采购合同专用条款</w:t>
      </w:r>
      <w:bookmarkEnd w:id="132"/>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第1.2（6）项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联合体具体要求</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0"/>
                <w:szCs w:val="20"/>
              </w:rPr>
            </w:pPr>
            <w:r>
              <w:rPr>
                <w:rFonts w:hint="eastAsia" w:ascii="宋体" w:hAnsi="宋体"/>
                <w:sz w:val="22"/>
                <w:szCs w:val="20"/>
              </w:rPr>
              <w:t>第1.2（7）项</w:t>
            </w:r>
          </w:p>
        </w:tc>
        <w:tc>
          <w:tcPr>
            <w:tcW w:w="1742" w:type="dxa"/>
            <w:vAlign w:val="center"/>
          </w:tcPr>
          <w:p>
            <w:pPr>
              <w:adjustRightInd w:val="0"/>
              <w:snapToGrid w:val="0"/>
              <w:ind w:firstLine="0" w:firstLineChars="0"/>
              <w:jc w:val="center"/>
              <w:rPr>
                <w:rFonts w:ascii="宋体" w:hAnsi="宋体"/>
                <w:sz w:val="20"/>
                <w:szCs w:val="20"/>
              </w:rPr>
            </w:pPr>
            <w:r>
              <w:rPr>
                <w:rFonts w:hint="eastAsia" w:ascii="宋体" w:hAnsi="宋体"/>
                <w:sz w:val="22"/>
                <w:szCs w:val="20"/>
              </w:rPr>
              <w:t>其他术语解释</w:t>
            </w:r>
          </w:p>
        </w:tc>
        <w:tc>
          <w:tcPr>
            <w:tcW w:w="5170" w:type="dxa"/>
            <w:vAlign w:val="center"/>
          </w:tcPr>
          <w:p>
            <w:pPr>
              <w:adjustRightInd w:val="0"/>
              <w:snapToGrid w:val="0"/>
              <w:ind w:firstLine="400"/>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第4.4款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履约验收中甲方提出异议或作出说明的期限</w:t>
            </w:r>
          </w:p>
        </w:tc>
        <w:tc>
          <w:tcPr>
            <w:tcW w:w="5170" w:type="dxa"/>
            <w:vAlign w:val="center"/>
          </w:tcPr>
          <w:p>
            <w:pPr>
              <w:adjustRightInd w:val="0"/>
              <w:snapToGrid w:val="0"/>
              <w:ind w:firstLine="400"/>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第4.6款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约定甲方承担的其他义务和责任</w:t>
            </w:r>
          </w:p>
        </w:tc>
        <w:tc>
          <w:tcPr>
            <w:tcW w:w="5170" w:type="dxa"/>
            <w:vAlign w:val="center"/>
          </w:tcPr>
          <w:p>
            <w:pPr>
              <w:adjustRightInd w:val="0"/>
              <w:snapToGrid w:val="0"/>
              <w:ind w:firstLine="400"/>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snapToGrid w:val="0"/>
              <w:ind w:firstLine="440"/>
              <w:jc w:val="center"/>
              <w:rPr>
                <w:sz w:val="22"/>
                <w:szCs w:val="22"/>
              </w:rPr>
            </w:pPr>
            <w:r>
              <w:rPr>
                <w:rFonts w:hint="eastAsia" w:ascii="宋体" w:hAnsi="宋体"/>
                <w:sz w:val="22"/>
                <w:szCs w:val="20"/>
              </w:rPr>
              <w:t>第5.4款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约定乙方承担的其他义务和责任</w:t>
            </w:r>
          </w:p>
        </w:tc>
        <w:tc>
          <w:tcPr>
            <w:tcW w:w="5170" w:type="dxa"/>
            <w:vAlign w:val="center"/>
          </w:tcPr>
          <w:p>
            <w:pPr>
              <w:adjustRightInd w:val="0"/>
              <w:snapToGrid w:val="0"/>
              <w:ind w:firstLine="400"/>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snapToGrid w:val="0"/>
              <w:ind w:firstLine="440"/>
              <w:jc w:val="center"/>
              <w:rPr>
                <w:rFonts w:ascii="宋体" w:hAnsi="宋体"/>
                <w:sz w:val="22"/>
                <w:szCs w:val="20"/>
              </w:rPr>
            </w:pPr>
            <w:r>
              <w:rPr>
                <w:rFonts w:hint="eastAsia" w:ascii="宋体" w:hAnsi="宋体"/>
                <w:sz w:val="22"/>
                <w:szCs w:val="20"/>
              </w:rPr>
              <w:t>第6.1款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履行合同义务的顺序</w:t>
            </w:r>
          </w:p>
        </w:tc>
        <w:tc>
          <w:tcPr>
            <w:tcW w:w="5170" w:type="dxa"/>
            <w:vAlign w:val="center"/>
          </w:tcPr>
          <w:p>
            <w:pPr>
              <w:adjustRightInd w:val="0"/>
              <w:snapToGrid w:val="0"/>
              <w:ind w:firstLine="400"/>
              <w:jc w:val="left"/>
              <w:rPr>
                <w:rFonts w:ascii="宋体" w:hAnsi="宋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第7.1款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包装特殊要求</w:t>
            </w:r>
          </w:p>
        </w:tc>
        <w:tc>
          <w:tcPr>
            <w:tcW w:w="5170" w:type="dxa"/>
            <w:vAlign w:val="center"/>
          </w:tcPr>
          <w:p>
            <w:pPr>
              <w:ind w:firstLine="440"/>
              <w:rPr>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ind w:firstLine="440"/>
              <w:jc w:val="center"/>
              <w:rPr>
                <w:rFonts w:ascii="宋体" w:hAnsi="宋体"/>
                <w:sz w:val="22"/>
                <w:szCs w:val="20"/>
              </w:rPr>
            </w:pP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指定现场</w:t>
            </w:r>
          </w:p>
        </w:tc>
        <w:tc>
          <w:tcPr>
            <w:tcW w:w="5170" w:type="dxa"/>
            <w:vAlign w:val="center"/>
          </w:tcPr>
          <w:p>
            <w:pPr>
              <w:ind w:firstLine="440"/>
              <w:rPr>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第7.2款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运输特殊要求</w:t>
            </w:r>
          </w:p>
        </w:tc>
        <w:tc>
          <w:tcPr>
            <w:tcW w:w="5170" w:type="dxa"/>
            <w:vAlign w:val="center"/>
          </w:tcPr>
          <w:p>
            <w:pPr>
              <w:ind w:firstLine="440"/>
              <w:rPr>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第7.3款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保险要求</w:t>
            </w:r>
          </w:p>
        </w:tc>
        <w:tc>
          <w:tcPr>
            <w:tcW w:w="5170" w:type="dxa"/>
            <w:vAlign w:val="center"/>
          </w:tcPr>
          <w:p>
            <w:pPr>
              <w:ind w:firstLine="440"/>
              <w:rPr>
                <w:sz w:val="22"/>
                <w:szCs w:val="2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第8.2（1）项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质量保证期</w:t>
            </w:r>
          </w:p>
        </w:tc>
        <w:tc>
          <w:tcPr>
            <w:tcW w:w="5170" w:type="dxa"/>
            <w:vAlign w:val="center"/>
          </w:tcPr>
          <w:p>
            <w:pPr>
              <w:autoSpaceDE w:val="0"/>
              <w:autoSpaceDN w:val="0"/>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第8.2（3）项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货物质量缺陷</w:t>
            </w:r>
          </w:p>
          <w:p>
            <w:pPr>
              <w:adjustRightInd w:val="0"/>
              <w:snapToGrid w:val="0"/>
              <w:ind w:firstLine="0" w:firstLineChars="0"/>
              <w:jc w:val="center"/>
              <w:rPr>
                <w:rFonts w:ascii="宋体" w:hAnsi="宋体"/>
                <w:sz w:val="22"/>
                <w:szCs w:val="20"/>
              </w:rPr>
            </w:pPr>
            <w:r>
              <w:rPr>
                <w:rFonts w:hint="eastAsia" w:ascii="宋体" w:hAnsi="宋体"/>
                <w:sz w:val="22"/>
                <w:szCs w:val="20"/>
              </w:rPr>
              <w:t>响应时间</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ind w:firstLine="440"/>
              <w:jc w:val="center"/>
              <w:rPr>
                <w:rFonts w:ascii="宋体" w:hAnsi="宋体" w:cs="宋体"/>
                <w:sz w:val="22"/>
                <w:szCs w:val="20"/>
              </w:rPr>
            </w:pPr>
            <w:r>
              <w:rPr>
                <w:rFonts w:hint="eastAsia" w:ascii="宋体" w:hAnsi="宋体" w:cs="宋体"/>
                <w:sz w:val="22"/>
                <w:szCs w:val="20"/>
              </w:rPr>
              <w:t>第二节</w:t>
            </w:r>
          </w:p>
          <w:p>
            <w:pPr>
              <w:pStyle w:val="158"/>
              <w:ind w:firstLine="0" w:firstLineChars="0"/>
              <w:jc w:val="center"/>
              <w:rPr>
                <w:sz w:val="21"/>
                <w:szCs w:val="20"/>
              </w:rPr>
            </w:pPr>
            <w:r>
              <w:rPr>
                <w:rFonts w:hint="eastAsia" w:ascii="宋体" w:hAnsi="宋体" w:eastAsia="宋体" w:cs="宋体"/>
                <w:sz w:val="21"/>
                <w:szCs w:val="20"/>
              </w:rPr>
              <w:t>第11.1款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其他应当保密的信息</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第12.2款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合同价款支付时间</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第13.2款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履约保证金不予退还的情形</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第13.3款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履约保证金退还时间及逾期退还的违约金</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第14.1（3）项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运行监督、维修期限</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第14.1（5）项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货物回收的约定</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第14.1（6）项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乙方提供的其他服务</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第15.1款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修理、重作、更换相关具体规定</w:t>
            </w:r>
          </w:p>
        </w:tc>
        <w:tc>
          <w:tcPr>
            <w:tcW w:w="5170" w:type="dxa"/>
            <w:vAlign w:val="center"/>
          </w:tcPr>
          <w:p>
            <w:pPr>
              <w:adjustRightInd w:val="0"/>
              <w:snapToGrid w:val="0"/>
              <w:ind w:firstLine="440"/>
              <w:jc w:val="left"/>
              <w:rPr>
                <w:rFonts w:ascii="宋体" w:hAnsi="宋体"/>
                <w:sz w:val="22"/>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第15.2（2）项</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迟延交货赔偿费</w:t>
            </w:r>
          </w:p>
        </w:tc>
        <w:tc>
          <w:tcPr>
            <w:tcW w:w="5170" w:type="dxa"/>
            <w:vAlign w:val="center"/>
          </w:tcPr>
          <w:p>
            <w:pPr>
              <w:adjustRightInd w:val="0"/>
              <w:snapToGrid w:val="0"/>
              <w:ind w:firstLine="440"/>
              <w:jc w:val="left"/>
              <w:rPr>
                <w:rFonts w:ascii="宋体" w:hAnsi="宋体"/>
                <w:sz w:val="22"/>
                <w:szCs w:val="20"/>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第15.3款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逾期付款利息</w:t>
            </w:r>
          </w:p>
        </w:tc>
        <w:tc>
          <w:tcPr>
            <w:tcW w:w="5170" w:type="dxa"/>
            <w:vAlign w:val="center"/>
          </w:tcPr>
          <w:p>
            <w:pPr>
              <w:adjustRightInd w:val="0"/>
              <w:snapToGrid w:val="0"/>
              <w:ind w:firstLine="440"/>
              <w:jc w:val="left"/>
              <w:rPr>
                <w:rFonts w:ascii="宋体" w:hAnsi="宋体"/>
                <w:sz w:val="22"/>
                <w:szCs w:val="20"/>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其他违约责任</w:t>
            </w:r>
          </w:p>
        </w:tc>
        <w:tc>
          <w:tcPr>
            <w:tcW w:w="5170" w:type="dxa"/>
            <w:tcBorders>
              <w:left w:val="single" w:color="auto" w:sz="2" w:space="0"/>
              <w:bottom w:val="single" w:color="auto" w:sz="2" w:space="0"/>
            </w:tcBorders>
            <w:vAlign w:val="center"/>
          </w:tcPr>
          <w:p>
            <w:pPr>
              <w:adjustRightInd w:val="0"/>
              <w:snapToGrid w:val="0"/>
              <w:ind w:firstLine="440"/>
              <w:jc w:val="left"/>
              <w:rPr>
                <w:rFonts w:ascii="宋体" w:hAnsi="宋体"/>
                <w:sz w:val="22"/>
                <w:szCs w:val="20"/>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ind w:firstLine="0" w:firstLineChars="0"/>
              <w:jc w:val="center"/>
              <w:rPr>
                <w:rFonts w:ascii="宋体" w:hAnsi="宋体"/>
                <w:sz w:val="22"/>
                <w:szCs w:val="20"/>
              </w:rPr>
            </w:pPr>
            <w:r>
              <w:rPr>
                <w:rFonts w:hint="eastAsia" w:ascii="宋体" w:hAnsi="宋体"/>
                <w:sz w:val="22"/>
                <w:szCs w:val="20"/>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ind w:firstLine="440"/>
              <w:jc w:val="left"/>
              <w:rPr>
                <w:rFonts w:ascii="宋体" w:hAnsi="宋体" w:cs="宋体"/>
                <w:iCs/>
                <w:sz w:val="22"/>
                <w:szCs w:val="20"/>
              </w:rPr>
            </w:pPr>
            <w:r>
              <w:rPr>
                <w:rFonts w:hint="eastAsia" w:ascii="宋体" w:hAnsi="宋体" w:cs="宋体"/>
                <w:iCs/>
                <w:sz w:val="22"/>
                <w:szCs w:val="20"/>
              </w:rPr>
              <w:t>因本合同及合同有关事项发生的争议，按下列第种方式解决：</w:t>
            </w:r>
          </w:p>
          <w:p>
            <w:pPr>
              <w:autoSpaceDE w:val="0"/>
              <w:autoSpaceDN w:val="0"/>
              <w:adjustRightInd w:val="0"/>
              <w:snapToGrid w:val="0"/>
              <w:spacing w:line="400" w:lineRule="exact"/>
              <w:ind w:firstLine="440"/>
              <w:jc w:val="left"/>
              <w:rPr>
                <w:rFonts w:ascii="宋体" w:hAnsi="宋体" w:cs="宋体"/>
                <w:iCs/>
                <w:sz w:val="22"/>
                <w:szCs w:val="20"/>
              </w:rPr>
            </w:pPr>
            <w:r>
              <w:rPr>
                <w:rFonts w:hint="eastAsia" w:ascii="宋体" w:hAnsi="宋体" w:cs="宋体"/>
                <w:iCs/>
                <w:sz w:val="22"/>
                <w:szCs w:val="20"/>
              </w:rPr>
              <w:t>（1）向仲裁委员会申请仲裁，仲裁地点为；</w:t>
            </w:r>
          </w:p>
          <w:p>
            <w:pPr>
              <w:adjustRightInd w:val="0"/>
              <w:snapToGrid w:val="0"/>
              <w:ind w:firstLine="0" w:firstLineChars="0"/>
              <w:jc w:val="left"/>
              <w:rPr>
                <w:rFonts w:ascii="宋体" w:hAnsi="宋体"/>
                <w:sz w:val="22"/>
                <w:szCs w:val="20"/>
                <w:u w:val="single"/>
              </w:rPr>
            </w:pPr>
            <w:r>
              <w:rPr>
                <w:rFonts w:hint="eastAsia" w:ascii="宋体" w:hAnsi="宋体" w:cs="宋体"/>
                <w:iCs/>
                <w:sz w:val="22"/>
                <w:szCs w:val="20"/>
              </w:rPr>
              <w:t>（2）向人民法院起诉。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ind w:firstLine="440"/>
              <w:jc w:val="center"/>
              <w:rPr>
                <w:rFonts w:ascii="宋体" w:hAnsi="宋体"/>
                <w:sz w:val="22"/>
                <w:szCs w:val="20"/>
              </w:rPr>
            </w:pPr>
            <w:r>
              <w:rPr>
                <w:rFonts w:hint="eastAsia" w:ascii="宋体" w:hAnsi="宋体"/>
                <w:sz w:val="22"/>
                <w:szCs w:val="20"/>
              </w:rPr>
              <w:t>第二节</w:t>
            </w:r>
          </w:p>
          <w:p>
            <w:pPr>
              <w:adjustRightInd w:val="0"/>
              <w:snapToGrid w:val="0"/>
              <w:ind w:firstLine="440"/>
              <w:jc w:val="center"/>
              <w:rPr>
                <w:rFonts w:ascii="宋体" w:hAnsi="宋体"/>
                <w:sz w:val="22"/>
                <w:szCs w:val="20"/>
              </w:rPr>
            </w:pPr>
            <w:r>
              <w:rPr>
                <w:rFonts w:hint="eastAsia" w:ascii="宋体" w:hAnsi="宋体"/>
                <w:sz w:val="22"/>
                <w:szCs w:val="20"/>
              </w:rPr>
              <w:t>第23.1款</w:t>
            </w:r>
          </w:p>
        </w:tc>
        <w:tc>
          <w:tcPr>
            <w:tcW w:w="1742" w:type="dxa"/>
            <w:vAlign w:val="center"/>
          </w:tcPr>
          <w:p>
            <w:pPr>
              <w:adjustRightInd w:val="0"/>
              <w:snapToGrid w:val="0"/>
              <w:ind w:firstLine="0" w:firstLineChars="0"/>
              <w:jc w:val="center"/>
              <w:rPr>
                <w:rFonts w:ascii="宋体" w:hAnsi="宋体"/>
                <w:sz w:val="22"/>
                <w:szCs w:val="20"/>
              </w:rPr>
            </w:pPr>
            <w:r>
              <w:rPr>
                <w:rFonts w:hint="eastAsia" w:ascii="宋体" w:hAnsi="宋体"/>
                <w:bCs/>
                <w:sz w:val="22"/>
                <w:szCs w:val="20"/>
              </w:rPr>
              <w:t>其他专用条款</w:t>
            </w:r>
          </w:p>
        </w:tc>
        <w:tc>
          <w:tcPr>
            <w:tcW w:w="5170" w:type="dxa"/>
            <w:vAlign w:val="center"/>
          </w:tcPr>
          <w:p>
            <w:pPr>
              <w:adjustRightInd w:val="0"/>
              <w:snapToGrid w:val="0"/>
              <w:ind w:firstLine="440"/>
              <w:jc w:val="left"/>
              <w:rPr>
                <w:rFonts w:ascii="宋体" w:hAnsi="宋体"/>
                <w:sz w:val="22"/>
                <w:szCs w:val="20"/>
              </w:rPr>
            </w:pPr>
          </w:p>
        </w:tc>
      </w:tr>
    </w:tbl>
    <w:p>
      <w:pPr>
        <w:pStyle w:val="158"/>
        <w:ind w:firstLine="482"/>
        <w:rPr>
          <w:rFonts w:ascii="宋体" w:hAnsi="宋体" w:eastAsia="宋体" w:cs="宋体"/>
          <w:b/>
          <w:sz w:val="24"/>
          <w:szCs w:val="24"/>
        </w:rPr>
      </w:pPr>
    </w:p>
    <w:p>
      <w:pPr>
        <w:spacing w:line="440" w:lineRule="exact"/>
        <w:ind w:firstLine="602"/>
        <w:jc w:val="center"/>
        <w:rPr>
          <w:rFonts w:ascii="仿宋" w:hAnsi="仿宋" w:eastAsia="仿宋" w:cs="仿宋"/>
          <w:b/>
          <w:bCs/>
          <w:sz w:val="30"/>
          <w:szCs w:val="30"/>
        </w:rPr>
      </w:pPr>
    </w:p>
    <w:p>
      <w:pPr>
        <w:spacing w:line="440" w:lineRule="exact"/>
        <w:ind w:firstLine="602"/>
        <w:jc w:val="center"/>
        <w:rPr>
          <w:rFonts w:ascii="仿宋" w:hAnsi="仿宋" w:eastAsia="仿宋" w:cs="仿宋"/>
          <w:b/>
          <w:bCs/>
          <w:sz w:val="30"/>
          <w:szCs w:val="30"/>
        </w:rPr>
      </w:pPr>
    </w:p>
    <w:p>
      <w:pPr>
        <w:spacing w:line="440" w:lineRule="exact"/>
        <w:ind w:firstLine="602"/>
        <w:jc w:val="center"/>
        <w:rPr>
          <w:rFonts w:ascii="仿宋" w:hAnsi="仿宋" w:eastAsia="仿宋" w:cs="仿宋"/>
          <w:b/>
          <w:bCs/>
          <w:sz w:val="30"/>
          <w:szCs w:val="30"/>
        </w:rPr>
      </w:pPr>
    </w:p>
    <w:p>
      <w:pPr>
        <w:spacing w:line="440" w:lineRule="exact"/>
        <w:ind w:firstLine="602"/>
        <w:jc w:val="center"/>
        <w:rPr>
          <w:rFonts w:ascii="仿宋" w:hAnsi="仿宋" w:eastAsia="仿宋" w:cs="仿宋"/>
          <w:b/>
          <w:bCs/>
          <w:sz w:val="30"/>
          <w:szCs w:val="30"/>
        </w:rPr>
      </w:pPr>
    </w:p>
    <w:p>
      <w:pPr>
        <w:pStyle w:val="16"/>
        <w:ind w:firstLine="522"/>
        <w:rPr>
          <w:rFonts w:ascii="仿宋" w:hAnsi="仿宋" w:eastAsia="仿宋" w:cs="仿宋"/>
          <w:b/>
          <w:bCs/>
          <w:sz w:val="30"/>
          <w:szCs w:val="30"/>
        </w:rPr>
      </w:pPr>
    </w:p>
    <w:p>
      <w:pPr>
        <w:spacing w:line="440" w:lineRule="exact"/>
        <w:ind w:firstLine="0" w:firstLineChars="0"/>
        <w:rPr>
          <w:rFonts w:ascii="仿宋" w:hAnsi="仿宋" w:eastAsia="仿宋" w:cs="仿宋"/>
          <w:b/>
          <w:bCs/>
          <w:sz w:val="30"/>
          <w:szCs w:val="30"/>
        </w:rPr>
      </w:pPr>
    </w:p>
    <w:p>
      <w:pPr>
        <w:spacing w:line="440" w:lineRule="exact"/>
        <w:ind w:firstLine="0" w:firstLineChars="0"/>
        <w:jc w:val="both"/>
        <w:rPr>
          <w:rFonts w:ascii="仿宋" w:hAnsi="仿宋" w:eastAsia="仿宋" w:cs="仿宋"/>
          <w:b/>
          <w:bCs/>
          <w:sz w:val="30"/>
          <w:szCs w:val="30"/>
        </w:rPr>
      </w:pPr>
    </w:p>
    <w:p>
      <w:pPr>
        <w:spacing w:line="440" w:lineRule="exact"/>
        <w:ind w:firstLine="602"/>
        <w:jc w:val="center"/>
        <w:rPr>
          <w:rFonts w:ascii="仿宋" w:hAnsi="仿宋" w:eastAsia="仿宋" w:cs="仿宋"/>
          <w:b/>
          <w:bCs/>
          <w:sz w:val="30"/>
          <w:szCs w:val="30"/>
        </w:rPr>
      </w:pPr>
      <w:r>
        <w:rPr>
          <w:rFonts w:hint="eastAsia" w:ascii="仿宋" w:hAnsi="仿宋" w:eastAsia="仿宋" w:cs="仿宋"/>
          <w:b/>
          <w:bCs/>
          <w:sz w:val="30"/>
          <w:szCs w:val="30"/>
        </w:rPr>
        <w:t>政府采购供应商质疑函范本</w:t>
      </w:r>
    </w:p>
    <w:p>
      <w:pPr>
        <w:pStyle w:val="16"/>
        <w:ind w:firstLine="400"/>
      </w:pPr>
    </w:p>
    <w:p>
      <w:pPr>
        <w:pStyle w:val="19"/>
        <w:spacing w:line="240" w:lineRule="auto"/>
        <w:ind w:left="480" w:firstLine="0" w:firstLineChars="0"/>
        <w:jc w:val="center"/>
        <w:rPr>
          <w:rFonts w:ascii="方正小标宋_GBK" w:hAnsi="方正小标宋_GBK" w:eastAsia="方正小标宋_GBK" w:cs="方正小标宋_GBK"/>
          <w:bCs/>
          <w:sz w:val="28"/>
          <w:szCs w:val="28"/>
        </w:rPr>
      </w:pPr>
      <w:r>
        <w:rPr>
          <w:rFonts w:hint="eastAsia" w:ascii="方正小标宋_GBK" w:hAnsi="方正小标宋_GBK" w:eastAsia="方正小标宋_GBK" w:cs="方正小标宋_GBK"/>
          <w:bCs/>
          <w:sz w:val="28"/>
          <w:szCs w:val="28"/>
        </w:rPr>
        <w:t>质疑函</w:t>
      </w:r>
    </w:p>
    <w:p>
      <w:pPr>
        <w:ind w:firstLine="480"/>
      </w:pPr>
    </w:p>
    <w:p>
      <w:pPr>
        <w:spacing w:line="440" w:lineRule="exact"/>
        <w:ind w:firstLine="440"/>
        <w:rPr>
          <w:rFonts w:ascii="仿宋" w:hAnsi="仿宋" w:eastAsia="仿宋" w:cs="仿宋"/>
          <w:sz w:val="22"/>
        </w:rPr>
      </w:pPr>
      <w:r>
        <w:rPr>
          <w:rFonts w:hint="eastAsia" w:ascii="仿宋" w:hAnsi="仿宋" w:eastAsia="仿宋" w:cs="仿宋"/>
          <w:sz w:val="22"/>
        </w:rPr>
        <w:t xml:space="preserve"> （采购人）： </w:t>
      </w:r>
    </w:p>
    <w:p>
      <w:pPr>
        <w:widowControl/>
        <w:ind w:firstLine="440"/>
        <w:jc w:val="left"/>
        <w:rPr>
          <w:rFonts w:ascii="仿宋" w:hAnsi="仿宋" w:eastAsia="仿宋" w:cs="仿宋"/>
          <w:sz w:val="22"/>
        </w:rPr>
      </w:pPr>
      <w:r>
        <w:rPr>
          <w:rFonts w:hint="eastAsia" w:ascii="仿宋" w:hAnsi="仿宋" w:eastAsia="仿宋" w:cs="仿宋"/>
          <w:sz w:val="22"/>
        </w:rPr>
        <w:t>鉴于（以下简称“供应商”）（拟）参加</w:t>
      </w:r>
      <w:r>
        <w:rPr>
          <w:rFonts w:hint="eastAsia" w:ascii="仿宋" w:hAnsi="仿宋" w:eastAsia="仿宋" w:cs="仿宋"/>
          <w:sz w:val="22"/>
          <w:u w:val="single"/>
        </w:rPr>
        <w:t xml:space="preserve">            （采购项目名称）、（采购项目编号）</w:t>
      </w:r>
      <w:r>
        <w:rPr>
          <w:rFonts w:hint="eastAsia" w:ascii="仿宋" w:hAnsi="仿宋" w:eastAsia="仿宋" w:cs="仿宋"/>
          <w:sz w:val="22"/>
        </w:rPr>
        <w:t>（以下简称“本项目”）投标，于年月日获取本项目的采购文件，根据《中华人民共和国政府采购法》《政府采购质疑和投诉办法》等规定，我公司认为本项目的采购活动中，</w:t>
      </w:r>
      <w:r>
        <w:rPr>
          <w:rFonts w:hint="eastAsia" w:ascii="仿宋" w:hAnsi="仿宋" w:eastAsia="仿宋" w:cs="仿宋"/>
          <w:sz w:val="22"/>
          <w:u w:val="single"/>
        </w:rPr>
        <w:t>（</w:t>
      </w:r>
      <w:r>
        <w:rPr>
          <w:rFonts w:hint="eastAsia" w:ascii="仿宋" w:hAnsi="仿宋" w:eastAsia="仿宋" w:cs="仿宋"/>
          <w:sz w:val="22"/>
          <w:u w:val="single"/>
        </w:rPr>
        <w:sym w:font="Wingdings" w:char="00A8"/>
      </w:r>
      <w:r>
        <w:rPr>
          <w:rFonts w:hint="eastAsia" w:ascii="仿宋" w:hAnsi="仿宋" w:eastAsia="仿宋" w:cs="仿宋"/>
          <w:sz w:val="22"/>
          <w:u w:val="single"/>
        </w:rPr>
        <w:t>采购文件、</w:t>
      </w:r>
      <w:r>
        <w:rPr>
          <w:rFonts w:hint="eastAsia" w:ascii="仿宋" w:hAnsi="仿宋" w:eastAsia="仿宋" w:cs="仿宋"/>
          <w:sz w:val="22"/>
          <w:u w:val="single"/>
        </w:rPr>
        <w:sym w:font="Wingdings" w:char="00A8"/>
      </w:r>
      <w:r>
        <w:rPr>
          <w:rFonts w:hint="eastAsia" w:ascii="仿宋" w:hAnsi="仿宋" w:eastAsia="仿宋" w:cs="仿宋"/>
          <w:sz w:val="22"/>
          <w:u w:val="single"/>
        </w:rPr>
        <w:t>采购过程、</w:t>
      </w:r>
      <w:r>
        <w:rPr>
          <w:rFonts w:hint="eastAsia" w:ascii="仿宋" w:hAnsi="仿宋" w:eastAsia="仿宋" w:cs="仿宋"/>
          <w:sz w:val="22"/>
          <w:u w:val="single"/>
        </w:rPr>
        <w:sym w:font="Wingdings" w:char="00A8"/>
      </w:r>
      <w:r>
        <w:rPr>
          <w:rFonts w:hint="eastAsia" w:ascii="仿宋" w:hAnsi="仿宋" w:eastAsia="仿宋" w:cs="仿宋"/>
          <w:sz w:val="22"/>
          <w:u w:val="single"/>
        </w:rPr>
        <w:t>中标/成交结果）</w:t>
      </w:r>
      <w:r>
        <w:rPr>
          <w:rFonts w:hint="eastAsia" w:ascii="仿宋" w:hAnsi="仿宋" w:eastAsia="仿宋" w:cs="仿宋"/>
          <w:sz w:val="22"/>
        </w:rPr>
        <w:t xml:space="preserve">损害了我公司合法权益，特依法提出质疑。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 xml:space="preserve">一、质疑供应商基本信息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质疑供应商：</w:t>
      </w:r>
    </w:p>
    <w:p>
      <w:pPr>
        <w:autoSpaceDE w:val="0"/>
        <w:autoSpaceDN w:val="0"/>
        <w:spacing w:line="440" w:lineRule="exact"/>
        <w:ind w:firstLine="440"/>
        <w:rPr>
          <w:rFonts w:ascii="仿宋" w:hAnsi="仿宋" w:eastAsia="仿宋" w:cs="仿宋"/>
          <w:sz w:val="22"/>
          <w:u w:val="single"/>
        </w:rPr>
      </w:pPr>
      <w:r>
        <w:rPr>
          <w:rFonts w:hint="eastAsia" w:ascii="仿宋" w:hAnsi="仿宋" w:eastAsia="仿宋" w:cs="仿宋"/>
          <w:sz w:val="22"/>
        </w:rPr>
        <w:t>联 系 人 ： 联 系 电 话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授 权 代 表 ： 身 份 证 号 码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地址：</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邮编：</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 xml:space="preserve">二、质疑事项具体内容 </w:t>
      </w:r>
    </w:p>
    <w:p>
      <w:pPr>
        <w:autoSpaceDE w:val="0"/>
        <w:autoSpaceDN w:val="0"/>
        <w:spacing w:line="440" w:lineRule="exact"/>
        <w:ind w:firstLine="440"/>
        <w:rPr>
          <w:rFonts w:ascii="仿宋" w:hAnsi="仿宋" w:eastAsia="仿宋" w:cs="仿宋"/>
          <w:sz w:val="22"/>
          <w:u w:val="single"/>
        </w:rPr>
      </w:pPr>
      <w:r>
        <w:rPr>
          <w:rFonts w:hint="eastAsia" w:ascii="仿宋" w:hAnsi="仿宋" w:eastAsia="仿宋" w:cs="仿宋"/>
          <w:sz w:val="22"/>
        </w:rPr>
        <w:t>质 疑 事 项1：</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事实依据：</w:t>
      </w:r>
    </w:p>
    <w:p>
      <w:pPr>
        <w:autoSpaceDE w:val="0"/>
        <w:autoSpaceDN w:val="0"/>
        <w:spacing w:line="440" w:lineRule="exact"/>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法律依据：</w:t>
      </w:r>
    </w:p>
    <w:p>
      <w:pPr>
        <w:autoSpaceDE w:val="0"/>
        <w:autoSpaceDN w:val="0"/>
        <w:spacing w:line="440" w:lineRule="exact"/>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质疑事项 2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事实依据：</w:t>
      </w:r>
    </w:p>
    <w:p>
      <w:pPr>
        <w:autoSpaceDE w:val="0"/>
        <w:autoSpaceDN w:val="0"/>
        <w:spacing w:line="440" w:lineRule="exact"/>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法律依据：</w:t>
      </w:r>
    </w:p>
    <w:p>
      <w:pPr>
        <w:autoSpaceDE w:val="0"/>
        <w:autoSpaceDN w:val="0"/>
        <w:spacing w:line="440" w:lineRule="exact"/>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r>
        <w:rPr>
          <w:rFonts w:ascii="Arial" w:hAnsi="Arial" w:eastAsia="仿宋" w:cs="Arial"/>
          <w:sz w:val="22"/>
        </w:rPr>
        <w:t>…</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（可依此类推增加质疑事项）</w:t>
      </w:r>
    </w:p>
    <w:p>
      <w:pPr>
        <w:autoSpaceDE w:val="0"/>
        <w:autoSpaceDN w:val="0"/>
        <w:spacing w:line="440" w:lineRule="exact"/>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 xml:space="preserve">三、与质疑事项相关的质疑请求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请求：</w:t>
      </w:r>
    </w:p>
    <w:p>
      <w:pPr>
        <w:autoSpaceDE w:val="0"/>
        <w:autoSpaceDN w:val="0"/>
        <w:ind w:firstLine="440"/>
        <w:rPr>
          <w:rFonts w:ascii="仿宋" w:hAnsi="仿宋" w:eastAsia="仿宋" w:cs="仿宋"/>
          <w:sz w:val="22"/>
        </w:rPr>
      </w:pP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 xml:space="preserve">质 疑 供 应 商 名 称 ：（ 公 章 ） </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法定代表人（或</w:t>
      </w:r>
      <w:r>
        <w:rPr>
          <w:rFonts w:hint="eastAsia" w:ascii="仿宋" w:hAnsi="仿宋" w:eastAsia="仿宋" w:cs="仿宋"/>
          <w:sz w:val="22"/>
          <w:lang w:val="en-US" w:eastAsia="zh-CN"/>
        </w:rPr>
        <w:t>授权代表</w:t>
      </w:r>
      <w:r>
        <w:rPr>
          <w:rFonts w:hint="eastAsia" w:ascii="仿宋" w:hAnsi="仿宋" w:eastAsia="仿宋" w:cs="仿宋"/>
          <w:sz w:val="22"/>
        </w:rPr>
        <w:t xml:space="preserve">）：（签署）    </w:t>
      </w:r>
    </w:p>
    <w:p>
      <w:pPr>
        <w:autoSpaceDE w:val="0"/>
        <w:autoSpaceDN w:val="0"/>
        <w:spacing w:line="440" w:lineRule="exact"/>
        <w:ind w:firstLine="440"/>
        <w:rPr>
          <w:rFonts w:ascii="宋体" w:hAnsi="宋体" w:cs="宋体"/>
          <w:sz w:val="22"/>
        </w:rPr>
      </w:pPr>
      <w:r>
        <w:rPr>
          <w:rFonts w:hint="eastAsia" w:ascii="仿宋" w:hAnsi="仿宋" w:eastAsia="仿宋" w:cs="仿宋"/>
          <w:sz w:val="22"/>
        </w:rPr>
        <w:t xml:space="preserve">提出质疑日期： 年月日   </w:t>
      </w:r>
    </w:p>
    <w:p>
      <w:pPr>
        <w:spacing w:line="560" w:lineRule="exact"/>
        <w:ind w:firstLine="440"/>
        <w:rPr>
          <w:rFonts w:ascii="宋体" w:hAnsi="宋体" w:cs="宋体"/>
          <w:sz w:val="22"/>
        </w:rPr>
      </w:pPr>
    </w:p>
    <w:p>
      <w:pPr>
        <w:autoSpaceDE w:val="0"/>
        <w:autoSpaceDN w:val="0"/>
        <w:spacing w:line="440" w:lineRule="exact"/>
        <w:ind w:firstLine="440"/>
        <w:rPr>
          <w:rFonts w:ascii="宋体" w:hAnsi="宋体" w:cs="宋体"/>
          <w:sz w:val="22"/>
        </w:rPr>
      </w:pPr>
    </w:p>
    <w:p>
      <w:pPr>
        <w:autoSpaceDE w:val="0"/>
        <w:autoSpaceDN w:val="0"/>
        <w:spacing w:line="440" w:lineRule="exact"/>
        <w:ind w:firstLine="440"/>
        <w:rPr>
          <w:rFonts w:ascii="宋体" w:hAnsi="宋体" w:cs="宋体"/>
          <w:sz w:val="22"/>
        </w:rPr>
      </w:pPr>
    </w:p>
    <w:p>
      <w:pPr>
        <w:autoSpaceDE w:val="0"/>
        <w:autoSpaceDN w:val="0"/>
        <w:spacing w:line="440" w:lineRule="exact"/>
        <w:ind w:firstLine="440"/>
        <w:rPr>
          <w:rFonts w:ascii="宋体" w:hAnsi="宋体" w:cs="宋体"/>
          <w:sz w:val="22"/>
        </w:rPr>
      </w:pPr>
    </w:p>
    <w:p>
      <w:pPr>
        <w:spacing w:line="440" w:lineRule="exact"/>
        <w:ind w:firstLine="442"/>
        <w:rPr>
          <w:rFonts w:ascii="宋体" w:hAnsi="宋体" w:cs="宋体"/>
          <w:sz w:val="22"/>
        </w:rPr>
      </w:pPr>
      <w:r>
        <w:rPr>
          <w:rFonts w:hint="eastAsia" w:ascii="宋体" w:hAnsi="宋体" w:cs="宋体"/>
          <w:b/>
          <w:sz w:val="22"/>
        </w:rPr>
        <w:t>质疑函制作说明：</w:t>
      </w:r>
    </w:p>
    <w:p>
      <w:pPr>
        <w:autoSpaceDE w:val="0"/>
        <w:autoSpaceDN w:val="0"/>
        <w:spacing w:line="440" w:lineRule="exact"/>
        <w:ind w:firstLine="440"/>
        <w:rPr>
          <w:rFonts w:ascii="仿宋" w:hAnsi="仿宋" w:eastAsia="仿宋" w:cs="仿宋"/>
          <w:sz w:val="22"/>
        </w:rPr>
      </w:pPr>
      <w:r>
        <w:rPr>
          <w:rFonts w:hint="eastAsia" w:ascii="仿宋" w:hAnsi="仿宋" w:eastAsia="仿宋" w:cs="仿宋"/>
          <w:sz w:val="22"/>
        </w:rPr>
        <w:t xml:space="preserve">1.供应商提出质疑时，应提交质疑函和必要的证明材料。 </w:t>
      </w:r>
    </w:p>
    <w:p>
      <w:pPr>
        <w:widowControl/>
        <w:autoSpaceDE w:val="0"/>
        <w:autoSpaceDN w:val="0"/>
        <w:spacing w:line="440" w:lineRule="exact"/>
        <w:ind w:firstLine="440"/>
        <w:jc w:val="left"/>
        <w:rPr>
          <w:rFonts w:ascii="仿宋" w:hAnsi="仿宋" w:eastAsia="仿宋" w:cs="仿宋"/>
          <w:sz w:val="22"/>
        </w:rPr>
      </w:pPr>
      <w:r>
        <w:rPr>
          <w:rFonts w:hint="eastAsia" w:ascii="仿宋" w:hAnsi="仿宋" w:eastAsia="仿宋" w:cs="仿宋"/>
          <w:sz w:val="22"/>
        </w:rPr>
        <w:t>2.</w:t>
      </w:r>
      <w:r>
        <w:rPr>
          <w:rFonts w:hint="eastAsia" w:ascii="仿宋" w:hAnsi="仿宋" w:eastAsia="仿宋" w:cs="仿宋"/>
          <w:sz w:val="22"/>
          <w:szCs w:val="22"/>
        </w:rPr>
        <w:t>若委托代理人进行质疑，应在附件中提供由法定代表人签署的授权委托书，载明代理人姓名、代理事项、权限、期限及相关事项。</w:t>
      </w:r>
    </w:p>
    <w:p>
      <w:pPr>
        <w:widowControl/>
        <w:autoSpaceDE w:val="0"/>
        <w:autoSpaceDN w:val="0"/>
        <w:spacing w:line="440" w:lineRule="exact"/>
        <w:ind w:firstLine="440"/>
        <w:jc w:val="left"/>
        <w:rPr>
          <w:rFonts w:ascii="仿宋" w:hAnsi="仿宋" w:eastAsia="仿宋" w:cs="仿宋"/>
          <w:sz w:val="22"/>
        </w:rPr>
      </w:pPr>
      <w:r>
        <w:rPr>
          <w:rFonts w:hint="eastAsia" w:ascii="仿宋" w:hAnsi="仿宋" w:eastAsia="仿宋" w:cs="仿宋"/>
          <w:sz w:val="22"/>
        </w:rPr>
        <w:t>3.</w:t>
      </w:r>
      <w:r>
        <w:rPr>
          <w:rFonts w:hint="eastAsia" w:ascii="仿宋" w:hAnsi="仿宋" w:eastAsia="仿宋" w:cs="仿宋"/>
          <w:sz w:val="22"/>
          <w:szCs w:val="22"/>
        </w:rPr>
        <w:t>若对某一标项或分包提出质疑，应在函中明确标注具体分包号。</w:t>
      </w:r>
    </w:p>
    <w:p>
      <w:pPr>
        <w:widowControl/>
        <w:autoSpaceDE w:val="0"/>
        <w:autoSpaceDN w:val="0"/>
        <w:spacing w:line="440" w:lineRule="exact"/>
        <w:ind w:firstLine="440"/>
        <w:jc w:val="left"/>
        <w:rPr>
          <w:rFonts w:ascii="仿宋" w:hAnsi="仿宋" w:eastAsia="仿宋" w:cs="仿宋"/>
          <w:sz w:val="22"/>
        </w:rPr>
      </w:pPr>
      <w:r>
        <w:rPr>
          <w:rFonts w:hint="eastAsia" w:ascii="仿宋" w:hAnsi="仿宋" w:eastAsia="仿宋" w:cs="仿宋"/>
          <w:sz w:val="22"/>
        </w:rPr>
        <w:t>4.</w:t>
      </w:r>
      <w:r>
        <w:rPr>
          <w:rFonts w:hint="eastAsia" w:ascii="仿宋" w:hAnsi="仿宋" w:eastAsia="仿宋" w:cs="仿宋"/>
          <w:sz w:val="22"/>
          <w:szCs w:val="22"/>
        </w:rPr>
        <w:t>质疑事项必须具体、明确，并附有充分的事实依据和法律依据。</w:t>
      </w:r>
    </w:p>
    <w:p>
      <w:pPr>
        <w:widowControl/>
        <w:autoSpaceDE w:val="0"/>
        <w:autoSpaceDN w:val="0"/>
        <w:spacing w:line="440" w:lineRule="exact"/>
        <w:ind w:firstLine="440"/>
        <w:jc w:val="left"/>
        <w:rPr>
          <w:rFonts w:ascii="仿宋" w:hAnsi="仿宋" w:eastAsia="仿宋" w:cs="仿宋"/>
          <w:sz w:val="22"/>
        </w:rPr>
      </w:pPr>
      <w:r>
        <w:rPr>
          <w:rFonts w:hint="eastAsia" w:ascii="仿宋" w:hAnsi="仿宋" w:eastAsia="仿宋" w:cs="仿宋"/>
          <w:sz w:val="22"/>
          <w:szCs w:val="22"/>
        </w:rPr>
        <w:t>5.质疑请求应与所列质疑事项直接相关，不得超出质疑范围。</w:t>
      </w:r>
    </w:p>
    <w:p>
      <w:pPr>
        <w:widowControl/>
        <w:autoSpaceDE w:val="0"/>
        <w:autoSpaceDN w:val="0"/>
        <w:spacing w:line="440" w:lineRule="exact"/>
        <w:ind w:firstLine="440"/>
        <w:rPr>
          <w:rFonts w:ascii="仿宋" w:hAnsi="仿宋" w:eastAsia="仿宋" w:cs="仿宋"/>
          <w:sz w:val="22"/>
          <w:szCs w:val="22"/>
        </w:rPr>
      </w:pPr>
      <w:r>
        <w:rPr>
          <w:rFonts w:hint="eastAsia" w:ascii="仿宋" w:hAnsi="仿宋" w:eastAsia="仿宋" w:cs="仿宋"/>
          <w:sz w:val="22"/>
          <w:szCs w:val="22"/>
        </w:rPr>
        <w:t>6.质疑供应商为法人或其他组织的，质疑函须由法定代表人、主要负责人或其授权代表签字或盖章，并加盖单位公章；自然人供应商应由本人签字。授权代表签署的，须同时提交授权委托书及身份证复印件。</w:t>
      </w:r>
    </w:p>
    <w:p>
      <w:pPr>
        <w:pStyle w:val="10"/>
        <w:snapToGrid w:val="0"/>
        <w:ind w:firstLine="883"/>
        <w:textAlignment w:val="baseline"/>
        <w:rPr>
          <w:rStyle w:val="59"/>
          <w:rFonts w:ascii="宋体" w:hAnsi="宋体" w:cs="宋体"/>
        </w:rPr>
      </w:pPr>
    </w:p>
    <w:p>
      <w:pPr>
        <w:snapToGrid w:val="0"/>
        <w:ind w:firstLine="883"/>
        <w:textAlignment w:val="baseline"/>
        <w:rPr>
          <w:rStyle w:val="59"/>
          <w:rFonts w:ascii="宋体" w:hAnsi="宋体" w:cs="宋体"/>
        </w:rPr>
      </w:pPr>
    </w:p>
    <w:p>
      <w:pPr>
        <w:pStyle w:val="10"/>
        <w:snapToGrid w:val="0"/>
        <w:ind w:firstLine="883"/>
        <w:textAlignment w:val="baseline"/>
        <w:rPr>
          <w:rStyle w:val="59"/>
          <w:rFonts w:ascii="宋体" w:hAnsi="宋体" w:cs="宋体"/>
        </w:rPr>
      </w:pPr>
    </w:p>
    <w:p>
      <w:pPr>
        <w:pStyle w:val="43"/>
        <w:snapToGrid w:val="0"/>
        <w:spacing w:line="480" w:lineRule="exact"/>
        <w:jc w:val="center"/>
        <w:rPr>
          <w:rFonts w:ascii="宋体" w:hAnsi="宋体" w:cs="宋体"/>
          <w:b/>
          <w:bCs/>
          <w:kern w:val="2"/>
          <w:sz w:val="32"/>
          <w:szCs w:val="32"/>
        </w:rPr>
      </w:pPr>
      <w:r>
        <w:rPr>
          <w:rFonts w:hint="eastAsia" w:ascii="宋体" w:hAnsi="宋体" w:cs="宋体"/>
          <w:sz w:val="36"/>
          <w:szCs w:val="36"/>
        </w:rPr>
        <w:br w:type="page"/>
      </w:r>
      <w:bookmarkStart w:id="133" w:name="_Toc31586"/>
      <w:bookmarkStart w:id="134" w:name="_Toc4955"/>
      <w:bookmarkStart w:id="135" w:name="_Toc18068"/>
      <w:bookmarkStart w:id="136" w:name="_Toc16148"/>
      <w:r>
        <w:rPr>
          <w:rFonts w:hint="eastAsia" w:ascii="宋体" w:hAnsi="宋体" w:cs="宋体"/>
          <w:b/>
          <w:bCs/>
          <w:sz w:val="32"/>
          <w:szCs w:val="32"/>
        </w:rPr>
        <w:t xml:space="preserve">第五部分 </w:t>
      </w:r>
      <w:r>
        <w:rPr>
          <w:rFonts w:hint="eastAsia" w:ascii="宋体" w:hAnsi="宋体" w:cs="宋体"/>
          <w:b/>
          <w:bCs/>
          <w:kern w:val="2"/>
          <w:sz w:val="32"/>
          <w:szCs w:val="32"/>
        </w:rPr>
        <w:t>评审标准</w:t>
      </w:r>
      <w:bookmarkEnd w:id="133"/>
      <w:bookmarkEnd w:id="134"/>
      <w:bookmarkEnd w:id="135"/>
      <w:bookmarkEnd w:id="136"/>
    </w:p>
    <w:p>
      <w:pPr>
        <w:pStyle w:val="43"/>
        <w:spacing w:beforeAutospacing="0" w:afterAutospacing="0" w:line="360" w:lineRule="auto"/>
        <w:jc w:val="both"/>
        <w:rPr>
          <w:rFonts w:ascii="国标仿宋-GB/T 2312" w:hAnsi="国标仿宋-GB/T 2312" w:eastAsia="国标仿宋-GB/T 2312" w:cs="国标仿宋-GB/T 2312"/>
          <w:b/>
          <w:bCs/>
          <w:kern w:val="2"/>
          <w:sz w:val="28"/>
          <w:szCs w:val="28"/>
        </w:rPr>
      </w:pPr>
      <w:r>
        <w:rPr>
          <w:rFonts w:hint="eastAsia" w:ascii="国标仿宋-GB/T 2312" w:hAnsi="国标仿宋-GB/T 2312" w:eastAsia="国标仿宋-GB/T 2312" w:cs="国标仿宋-GB/T 2312"/>
          <w:b/>
          <w:bCs/>
          <w:kern w:val="2"/>
          <w:sz w:val="28"/>
          <w:szCs w:val="28"/>
        </w:rPr>
        <w:t>一、评审</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2、谈判小组所有成员应当集中与单一供应商分别进行谈判，并给予所有参加谈判的供应商平等的谈判机会。</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3、在谈判过程中，谈判小组可以根据谈判文件和谈判情况实质性变动采购需求中的技术、服务要求以及合同草案条款，但不得变动谈判文件中的其他内容。实质性变动的内容，须经采购人代表确认。</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4、对谈判文件作出的实质性变动是谈判文件的有效组成部分，谈判小组应当及时以书面形式同时通知所有参加谈判的供应商。</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6、谈判文件能够详细列明采购标的的技术、服务要求的，谈判结束后，谈判小组应当要求所有继续参加谈判的供应商在规定时间内提交最后报价，提交最后报价的供应商不得少于3家。</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7、谈判文件不能详细列明采购标的的技术、服务要求，需经谈判由供应商提供最终供货方案或解决方案的，谈判结束后，谈判小组应当按照少数服从多数的原则投票推荐3家以上供应商的供货方案或者解决方案，并要求其在规定时间内提交最后报价。</w:t>
      </w:r>
    </w:p>
    <w:p>
      <w:pPr>
        <w:pStyle w:val="43"/>
        <w:spacing w:beforeAutospacing="0" w:afterAutospacing="0" w:line="360" w:lineRule="auto"/>
        <w:jc w:val="both"/>
        <w:rPr>
          <w:rFonts w:ascii="国标仿宋-GB/T 2312" w:hAnsi="国标仿宋-GB/T 2312" w:eastAsia="国标仿宋-GB/T 2312" w:cs="国标仿宋-GB/T 2312"/>
          <w:kern w:val="2"/>
        </w:rPr>
      </w:pPr>
      <w:r>
        <w:rPr>
          <w:rFonts w:hint="eastAsia" w:ascii="国标仿宋-GB/T 2312" w:hAnsi="国标仿宋-GB/T 2312" w:eastAsia="国标仿宋-GB/T 2312" w:cs="国标仿宋-GB/T 2312"/>
          <w:kern w:val="2"/>
        </w:rPr>
        <w:t>最后报价是供应商响应文件的有效组成部分。</w:t>
      </w:r>
    </w:p>
    <w:p>
      <w:pPr>
        <w:pStyle w:val="43"/>
        <w:spacing w:beforeAutospacing="0" w:afterAutospacing="0" w:line="360" w:lineRule="auto"/>
        <w:jc w:val="both"/>
        <w:rPr>
          <w:rFonts w:ascii="国标仿宋-GB/T 2312" w:hAnsi="国标仿宋-GB/T 2312" w:eastAsia="国标仿宋-GB/T 2312" w:cs="国标仿宋-GB/T 2312"/>
          <w:b/>
          <w:bCs/>
          <w:kern w:val="2"/>
          <w:sz w:val="28"/>
          <w:szCs w:val="28"/>
        </w:rPr>
      </w:pPr>
      <w:r>
        <w:rPr>
          <w:rFonts w:hint="eastAsia" w:ascii="国标仿宋-GB/T 2312" w:hAnsi="国标仿宋-GB/T 2312" w:eastAsia="国标仿宋-GB/T 2312" w:cs="国标仿宋-GB/T 2312"/>
          <w:b/>
          <w:bCs/>
          <w:kern w:val="2"/>
          <w:sz w:val="28"/>
          <w:szCs w:val="28"/>
        </w:rPr>
        <w:t>二、评标标准</w:t>
      </w:r>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bookmarkStart w:id="137" w:name="_Toc8526"/>
      <w:r>
        <w:rPr>
          <w:rFonts w:hint="eastAsia" w:ascii="国标仿宋-GB/T 2312" w:hAnsi="国标仿宋-GB/T 2312" w:eastAsia="国标仿宋-GB/T 2312" w:cs="国标仿宋-GB/T 2312"/>
          <w:kern w:val="2"/>
        </w:rPr>
        <w:t>附表1、   供应商资格审查</w:t>
      </w:r>
      <w:bookmarkEnd w:id="137"/>
    </w:p>
    <w:p>
      <w:pPr>
        <w:pStyle w:val="43"/>
        <w:spacing w:beforeAutospacing="0" w:afterAutospacing="0" w:line="360" w:lineRule="auto"/>
        <w:ind w:firstLine="480" w:firstLineChars="200"/>
        <w:jc w:val="both"/>
        <w:rPr>
          <w:rFonts w:ascii="国标仿宋-GB/T 2312" w:hAnsi="国标仿宋-GB/T 2312" w:eastAsia="国标仿宋-GB/T 2312" w:cs="国标仿宋-GB/T 2312"/>
          <w:kern w:val="2"/>
        </w:rPr>
      </w:pPr>
      <w:bookmarkStart w:id="138" w:name="_Toc30213"/>
      <w:r>
        <w:rPr>
          <w:rFonts w:hint="eastAsia" w:ascii="国标仿宋-GB/T 2312" w:hAnsi="国标仿宋-GB/T 2312" w:eastAsia="国标仿宋-GB/T 2312" w:cs="国标仿宋-GB/T 2312"/>
          <w:kern w:val="2"/>
        </w:rPr>
        <w:t>附表2、   谈判响应文件评审表</w:t>
      </w:r>
      <w:bookmarkEnd w:id="138"/>
    </w:p>
    <w:p>
      <w:pPr>
        <w:pStyle w:val="36"/>
        <w:spacing w:before="120" w:line="360" w:lineRule="auto"/>
        <w:ind w:firstLine="0" w:firstLineChars="0"/>
        <w:jc w:val="both"/>
        <w:outlineLvl w:val="0"/>
        <w:rPr>
          <w:rFonts w:ascii="宋体" w:hAnsi="宋体" w:cs="宋体"/>
          <w:sz w:val="24"/>
        </w:rPr>
      </w:pPr>
      <w:bookmarkStart w:id="139" w:name="_Toc5595"/>
      <w:r>
        <w:rPr>
          <w:rFonts w:hint="eastAsia" w:ascii="宋体" w:hAnsi="宋体" w:cs="宋体"/>
          <w:sz w:val="24"/>
        </w:rPr>
        <w:br w:type="page"/>
      </w:r>
      <w:r>
        <w:rPr>
          <w:rFonts w:hint="eastAsia" w:ascii="宋体" w:hAnsi="宋体" w:cs="宋体"/>
          <w:sz w:val="24"/>
        </w:rPr>
        <w:t>附表1</w:t>
      </w:r>
      <w:bookmarkEnd w:id="139"/>
    </w:p>
    <w:p>
      <w:pPr>
        <w:pStyle w:val="5"/>
        <w:spacing w:line="360" w:lineRule="auto"/>
        <w:ind w:firstLine="0" w:firstLineChars="0"/>
        <w:jc w:val="center"/>
        <w:rPr>
          <w:rFonts w:ascii="宋体" w:hAnsi="宋体" w:eastAsia="宋体" w:cs="宋体"/>
          <w:b/>
          <w:sz w:val="32"/>
        </w:rPr>
      </w:pPr>
      <w:bookmarkStart w:id="140" w:name="_Toc4899"/>
      <w:r>
        <w:rPr>
          <w:rFonts w:hint="eastAsia" w:ascii="宋体" w:hAnsi="宋体" w:eastAsia="宋体" w:cs="宋体"/>
          <w:b/>
          <w:sz w:val="32"/>
        </w:rPr>
        <w:t>资格审查表</w:t>
      </w:r>
      <w:bookmarkEnd w:id="140"/>
    </w:p>
    <w:tbl>
      <w:tblPr>
        <w:tblStyle w:val="47"/>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92"/>
        <w:gridCol w:w="6882"/>
        <w:gridCol w:w="543"/>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7" w:hRule="atLeast"/>
          <w:jc w:val="center"/>
        </w:trPr>
        <w:tc>
          <w:tcPr>
            <w:tcW w:w="1392" w:type="dxa"/>
            <w:vMerge w:val="restart"/>
            <w:noWrap/>
            <w:vAlign w:val="center"/>
          </w:tcPr>
          <w:p>
            <w:pPr>
              <w:pStyle w:val="156"/>
              <w:spacing w:line="360" w:lineRule="auto"/>
              <w:jc w:val="center"/>
              <w:rPr>
                <w:rFonts w:ascii="宋体" w:hAnsi="宋体" w:eastAsia="宋体" w:cs="宋体"/>
              </w:rPr>
            </w:pPr>
            <w:r>
              <w:rPr>
                <w:rFonts w:hint="eastAsia" w:ascii="宋体" w:hAnsi="宋体" w:eastAsia="宋体" w:cs="宋体"/>
                <w:b/>
              </w:rPr>
              <w:t>类别</w:t>
            </w:r>
          </w:p>
        </w:tc>
        <w:tc>
          <w:tcPr>
            <w:tcW w:w="6882" w:type="dxa"/>
            <w:vMerge w:val="restart"/>
            <w:noWrap/>
            <w:vAlign w:val="center"/>
          </w:tcPr>
          <w:p>
            <w:pPr>
              <w:pStyle w:val="156"/>
              <w:spacing w:line="360" w:lineRule="auto"/>
              <w:jc w:val="center"/>
              <w:rPr>
                <w:rFonts w:ascii="宋体" w:hAnsi="宋体" w:eastAsia="宋体" w:cs="宋体"/>
              </w:rPr>
            </w:pPr>
            <w:r>
              <w:rPr>
                <w:rFonts w:hint="eastAsia" w:ascii="宋体" w:hAnsi="宋体" w:eastAsia="宋体" w:cs="宋体"/>
              </w:rPr>
              <w:t>评审标准</w:t>
            </w:r>
          </w:p>
        </w:tc>
        <w:tc>
          <w:tcPr>
            <w:tcW w:w="1131" w:type="dxa"/>
            <w:gridSpan w:val="2"/>
            <w:noWrap/>
            <w:vAlign w:val="center"/>
          </w:tcPr>
          <w:p>
            <w:pPr>
              <w:pStyle w:val="156"/>
              <w:spacing w:line="360" w:lineRule="auto"/>
              <w:jc w:val="center"/>
              <w:rPr>
                <w:rFonts w:ascii="宋体" w:hAnsi="宋体" w:eastAsia="宋体" w:cs="宋体"/>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7" w:hRule="atLeas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vMerge w:val="continue"/>
            <w:noWrap/>
            <w:vAlign w:val="center"/>
          </w:tcPr>
          <w:p>
            <w:pPr>
              <w:pStyle w:val="156"/>
              <w:spacing w:line="360" w:lineRule="auto"/>
              <w:jc w:val="center"/>
              <w:rPr>
                <w:rFonts w:ascii="宋体" w:hAnsi="宋体" w:eastAsia="宋体" w:cs="宋体"/>
              </w:rPr>
            </w:pPr>
          </w:p>
        </w:tc>
        <w:tc>
          <w:tcPr>
            <w:tcW w:w="543" w:type="dxa"/>
            <w:noWrap/>
            <w:vAlign w:val="center"/>
          </w:tcPr>
          <w:p>
            <w:pPr>
              <w:pStyle w:val="156"/>
              <w:spacing w:line="360" w:lineRule="auto"/>
              <w:jc w:val="center"/>
              <w:rPr>
                <w:rFonts w:ascii="宋体" w:hAnsi="宋体" w:eastAsia="宋体" w:cs="宋体"/>
                <w:sz w:val="21"/>
                <w:szCs w:val="21"/>
              </w:rPr>
            </w:pPr>
            <w:r>
              <w:rPr>
                <w:rFonts w:hint="eastAsia" w:ascii="宋体" w:hAnsi="宋体" w:eastAsia="宋体" w:cs="宋体"/>
                <w:b/>
                <w:sz w:val="21"/>
                <w:szCs w:val="21"/>
              </w:rPr>
              <w:t>是</w:t>
            </w:r>
          </w:p>
        </w:tc>
        <w:tc>
          <w:tcPr>
            <w:tcW w:w="588" w:type="dxa"/>
            <w:noWrap/>
            <w:vAlign w:val="center"/>
          </w:tcPr>
          <w:p>
            <w:pPr>
              <w:pStyle w:val="156"/>
              <w:spacing w:line="360" w:lineRule="auto"/>
              <w:jc w:val="center"/>
              <w:rPr>
                <w:rFonts w:ascii="宋体" w:hAnsi="宋体" w:eastAsia="宋体" w:cs="宋体"/>
                <w:sz w:val="21"/>
                <w:szCs w:val="21"/>
              </w:rPr>
            </w:pPr>
            <w:r>
              <w:rPr>
                <w:rFonts w:hint="eastAsia" w:ascii="宋体" w:hAnsi="宋体" w:eastAsia="宋体" w:cs="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48" w:hRule="atLeast"/>
          <w:jc w:val="center"/>
        </w:trPr>
        <w:tc>
          <w:tcPr>
            <w:tcW w:w="1392" w:type="dxa"/>
            <w:vMerge w:val="restart"/>
            <w:noWrap/>
            <w:vAlign w:val="center"/>
          </w:tcPr>
          <w:p>
            <w:pPr>
              <w:pStyle w:val="156"/>
              <w:spacing w:line="360" w:lineRule="auto"/>
              <w:jc w:val="center"/>
              <w:rPr>
                <w:rFonts w:ascii="宋体" w:hAnsi="宋体" w:eastAsia="宋体" w:cs="宋体"/>
              </w:rPr>
            </w:pPr>
            <w:r>
              <w:rPr>
                <w:rFonts w:hint="eastAsia" w:ascii="宋体" w:hAnsi="宋体" w:eastAsia="宋体" w:cs="宋体"/>
              </w:rPr>
              <w:t>资格检查</w:t>
            </w: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具备有效的营业执照。</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64" w:hRule="atLeas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tabs>
                <w:tab w:val="left" w:pos="1407"/>
              </w:tabs>
              <w:spacing w:line="360" w:lineRule="exact"/>
              <w:ind w:firstLine="15" w:firstLineChars="7"/>
              <w:rPr>
                <w:rFonts w:ascii="宋体" w:hAnsi="宋体" w:cs="宋体"/>
                <w:sz w:val="22"/>
              </w:rPr>
            </w:pPr>
            <w:r>
              <w:rPr>
                <w:rFonts w:hint="eastAsia" w:ascii="宋体" w:hAnsi="宋体" w:cs="宋体"/>
                <w:sz w:val="22"/>
              </w:rPr>
              <w:t>法定代表人授权委托书及被授权人身份证，或</w:t>
            </w:r>
            <w:r>
              <w:rPr>
                <w:rFonts w:hint="eastAsia" w:ascii="宋体" w:hAnsi="宋体" w:cs="宋体"/>
                <w:sz w:val="22"/>
                <w:lang w:eastAsia="zh-CN"/>
              </w:rPr>
              <w:t>法定代表人</w:t>
            </w:r>
            <w:r>
              <w:rPr>
                <w:rFonts w:hint="eastAsia" w:ascii="宋体" w:hAnsi="宋体" w:cs="宋体"/>
                <w:sz w:val="22"/>
              </w:rPr>
              <w:t>身份证明及</w:t>
            </w:r>
            <w:r>
              <w:rPr>
                <w:rFonts w:hint="eastAsia" w:ascii="宋体" w:hAnsi="宋体" w:cs="宋体"/>
                <w:sz w:val="22"/>
                <w:lang w:eastAsia="zh-CN"/>
              </w:rPr>
              <w:t>法定代表人</w:t>
            </w:r>
            <w:r>
              <w:rPr>
                <w:rFonts w:hint="eastAsia" w:ascii="宋体" w:hAnsi="宋体" w:cs="宋体"/>
                <w:sz w:val="22"/>
              </w:rPr>
              <w:t>身份证。</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13"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tabs>
                <w:tab w:val="left" w:pos="1407"/>
              </w:tabs>
              <w:spacing w:line="360" w:lineRule="exact"/>
              <w:ind w:firstLine="15" w:firstLineChars="7"/>
              <w:rPr>
                <w:rFonts w:ascii="宋体" w:hAnsi="宋体" w:cs="宋体"/>
                <w:sz w:val="22"/>
              </w:rPr>
            </w:pPr>
            <w:r>
              <w:rPr>
                <w:rFonts w:hint="eastAsia" w:ascii="宋体" w:hAnsi="宋体" w:cs="宋体"/>
                <w:sz w:val="22"/>
              </w:rPr>
              <w:t>谈判保证金缴纳凭证或保函。</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48" w:hRule="atLeas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tabs>
                <w:tab w:val="left" w:pos="1407"/>
              </w:tabs>
              <w:spacing w:line="360" w:lineRule="exact"/>
              <w:ind w:firstLine="15" w:firstLineChars="7"/>
              <w:rPr>
                <w:rFonts w:hint="eastAsia" w:ascii="宋体" w:hAnsi="宋体" w:eastAsia="宋体" w:cs="宋体"/>
                <w:sz w:val="22"/>
                <w:lang w:eastAsia="zh-CN"/>
              </w:rPr>
            </w:pPr>
            <w:r>
              <w:rPr>
                <w:rFonts w:hint="eastAsia" w:ascii="宋体" w:hAnsi="宋体" w:cs="宋体"/>
                <w:sz w:val="22"/>
                <w:highlight w:val="none"/>
              </w:rPr>
              <w:t>提供</w:t>
            </w:r>
            <w:r>
              <w:rPr>
                <w:rFonts w:hint="eastAsia" w:ascii="宋体" w:hAnsi="宋体" w:cs="宋体"/>
                <w:sz w:val="22"/>
                <w:highlight w:val="none"/>
                <w:lang w:val="en-US" w:eastAsia="zh-CN"/>
              </w:rPr>
              <w:t>2024年度或</w:t>
            </w:r>
            <w:r>
              <w:rPr>
                <w:rFonts w:hint="eastAsia" w:ascii="宋体" w:hAnsi="宋体" w:cs="宋体"/>
                <w:sz w:val="22"/>
                <w:highlight w:val="none"/>
              </w:rPr>
              <w:t>202</w:t>
            </w:r>
            <w:r>
              <w:rPr>
                <w:rFonts w:hint="eastAsia" w:ascii="宋体" w:hAnsi="宋体" w:cs="宋体"/>
                <w:sz w:val="22"/>
                <w:highlight w:val="none"/>
                <w:lang w:val="en-US" w:eastAsia="zh-CN"/>
              </w:rPr>
              <w:t>5</w:t>
            </w:r>
            <w:r>
              <w:rPr>
                <w:rFonts w:hint="eastAsia" w:ascii="宋体" w:hAnsi="宋体" w:cs="宋体"/>
                <w:sz w:val="22"/>
                <w:highlight w:val="none"/>
              </w:rPr>
              <w:t>年度财务</w:t>
            </w:r>
            <w:r>
              <w:rPr>
                <w:rFonts w:hint="eastAsia" w:ascii="宋体" w:hAnsi="宋体" w:cs="宋体"/>
                <w:sz w:val="22"/>
                <w:highlight w:val="none"/>
                <w:lang w:val="en-US" w:eastAsia="zh-CN"/>
              </w:rPr>
              <w:t>审计报告或财务审计</w:t>
            </w:r>
            <w:r>
              <w:rPr>
                <w:rFonts w:hint="eastAsia" w:ascii="宋体" w:hAnsi="宋体" w:cs="宋体"/>
                <w:sz w:val="22"/>
                <w:highlight w:val="none"/>
              </w:rPr>
              <w:t>报表</w:t>
            </w:r>
            <w:r>
              <w:rPr>
                <w:rFonts w:hint="eastAsia" w:ascii="宋体" w:hAnsi="宋体" w:cs="宋体"/>
                <w:sz w:val="22"/>
                <w:highlight w:val="none"/>
                <w:lang w:eastAsia="zh-CN"/>
              </w:rPr>
              <w:t>，</w:t>
            </w:r>
            <w:r>
              <w:rPr>
                <w:rFonts w:hint="eastAsia" w:ascii="宋体" w:hAnsi="宋体" w:cs="宋体"/>
                <w:sz w:val="22"/>
                <w:highlight w:val="none"/>
              </w:rPr>
              <w:t>成立不满一年</w:t>
            </w:r>
            <w:r>
              <w:rPr>
                <w:rFonts w:hint="eastAsia" w:ascii="宋体" w:hAnsi="宋体" w:cs="宋体"/>
                <w:sz w:val="22"/>
                <w:highlight w:val="none"/>
                <w:lang w:eastAsia="zh-CN"/>
              </w:rPr>
              <w:t>的提供</w:t>
            </w:r>
            <w:r>
              <w:rPr>
                <w:rFonts w:hint="eastAsia" w:ascii="宋体" w:hAnsi="宋体" w:cs="宋体"/>
                <w:sz w:val="22"/>
                <w:highlight w:val="none"/>
              </w:rPr>
              <w:t>银行资信证明</w:t>
            </w:r>
            <w:r>
              <w:rPr>
                <w:rFonts w:hint="eastAsia" w:ascii="宋体" w:hAnsi="宋体" w:cs="宋体"/>
                <w:sz w:val="22"/>
                <w:highlight w:val="none"/>
                <w:lang w:eastAsia="zh-CN"/>
              </w:rPr>
              <w:t>。</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45"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具有履行合同所必需的设备和专业技术能力（自行承诺）。</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32"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提供</w:t>
            </w:r>
            <w:r>
              <w:rPr>
                <w:rFonts w:hint="eastAsia" w:ascii="宋体" w:hAnsi="宋体" w:cs="宋体"/>
                <w:sz w:val="22"/>
                <w:lang w:val="zh-CN"/>
              </w:rPr>
              <w:t>202</w:t>
            </w:r>
            <w:r>
              <w:rPr>
                <w:rFonts w:hint="eastAsia" w:ascii="宋体" w:hAnsi="宋体" w:cs="宋体"/>
                <w:sz w:val="22"/>
              </w:rPr>
              <w:t>5</w:t>
            </w:r>
            <w:r>
              <w:rPr>
                <w:rFonts w:hint="eastAsia" w:ascii="宋体" w:hAnsi="宋体" w:cs="宋体"/>
                <w:sz w:val="22"/>
                <w:lang w:val="zh-CN"/>
              </w:rPr>
              <w:t>年</w:t>
            </w:r>
            <w:r>
              <w:rPr>
                <w:rFonts w:hint="eastAsia" w:ascii="宋体" w:hAnsi="宋体" w:cs="宋体"/>
                <w:sz w:val="22"/>
                <w:lang w:val="en-US" w:eastAsia="zh-CN"/>
              </w:rPr>
              <w:t>3</w:t>
            </w:r>
            <w:r>
              <w:rPr>
                <w:rFonts w:hint="eastAsia" w:ascii="宋体" w:hAnsi="宋体" w:cs="宋体"/>
                <w:sz w:val="22"/>
                <w:lang w:val="zh-CN"/>
              </w:rPr>
              <w:t>月</w:t>
            </w:r>
            <w:r>
              <w:rPr>
                <w:rFonts w:hint="eastAsia" w:ascii="宋体" w:hAnsi="宋体" w:cs="宋体"/>
                <w:sz w:val="22"/>
              </w:rPr>
              <w:t>至今税务机关出具的税收完税证明及中国社会保险出具的社保证明</w:t>
            </w:r>
            <w:r>
              <w:rPr>
                <w:rFonts w:hint="eastAsia" w:ascii="宋体" w:hAnsi="宋体" w:cs="宋体"/>
                <w:sz w:val="22"/>
                <w:lang w:val="zh-CN"/>
              </w:rPr>
              <w:t>（</w:t>
            </w:r>
            <w:r>
              <w:rPr>
                <w:rFonts w:hint="eastAsia" w:ascii="宋体" w:hAnsi="宋体" w:cs="宋体"/>
                <w:sz w:val="22"/>
              </w:rPr>
              <w:t>至少提供1个月证明材料</w:t>
            </w:r>
            <w:r>
              <w:rPr>
                <w:rFonts w:hint="eastAsia" w:ascii="宋体" w:hAnsi="宋体" w:cs="宋体"/>
                <w:sz w:val="22"/>
                <w:lang w:val="zh-CN"/>
              </w:rPr>
              <w:t>）。</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71"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提供</w:t>
            </w:r>
            <w:r>
              <w:rPr>
                <w:rFonts w:hint="eastAsia" w:ascii="宋体" w:hAnsi="宋体" w:cs="宋体"/>
                <w:sz w:val="22"/>
                <w:lang w:val="zh-CN"/>
              </w:rPr>
              <w:t>参加政府采购活动近三年内（20</w:t>
            </w:r>
            <w:r>
              <w:rPr>
                <w:rFonts w:hint="eastAsia" w:ascii="宋体" w:hAnsi="宋体" w:cs="宋体"/>
                <w:sz w:val="22"/>
              </w:rPr>
              <w:t>2</w:t>
            </w:r>
            <w:r>
              <w:rPr>
                <w:rFonts w:hint="eastAsia" w:ascii="宋体" w:hAnsi="宋体" w:cs="宋体"/>
                <w:sz w:val="22"/>
                <w:lang w:val="en-US" w:eastAsia="zh-CN"/>
              </w:rPr>
              <w:t>3</w:t>
            </w:r>
            <w:r>
              <w:rPr>
                <w:rFonts w:hint="eastAsia" w:ascii="宋体" w:hAnsi="宋体" w:cs="宋体"/>
                <w:sz w:val="22"/>
                <w:lang w:val="zh-CN"/>
              </w:rPr>
              <w:t>年</w:t>
            </w:r>
            <w:r>
              <w:rPr>
                <w:rFonts w:hint="eastAsia" w:ascii="宋体" w:hAnsi="宋体" w:cs="宋体"/>
                <w:sz w:val="22"/>
                <w:lang w:val="en-US" w:eastAsia="zh-CN"/>
              </w:rPr>
              <w:t>4</w:t>
            </w:r>
            <w:r>
              <w:rPr>
                <w:rFonts w:hint="eastAsia" w:ascii="宋体" w:hAnsi="宋体" w:cs="宋体"/>
                <w:sz w:val="22"/>
                <w:lang w:val="zh-CN"/>
              </w:rPr>
              <w:t>月-至今），在经营活动中没有重大违法记录</w:t>
            </w:r>
            <w:r>
              <w:rPr>
                <w:rFonts w:hint="eastAsia" w:ascii="宋体" w:hAnsi="宋体" w:cs="宋体"/>
                <w:sz w:val="22"/>
              </w:rPr>
              <w:t>书面声明。</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12"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本项目预留采购项目预算总额的30%专门面向中小企业采购，其中预留给小微企业的比例不低于60%，分包应满足金额要求，</w:t>
            </w:r>
            <w:r>
              <w:rPr>
                <w:rFonts w:hint="eastAsia" w:ascii="宋体" w:hAnsi="宋体" w:cs="宋体"/>
                <w:b/>
                <w:bCs/>
                <w:sz w:val="22"/>
              </w:rPr>
              <w:t>提供分包意向协议及中小企业声明函。</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39"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提供不参与围标串标承诺书。</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8"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ascii="宋体" w:hAnsi="宋体" w:cs="宋体"/>
                <w:sz w:val="22"/>
              </w:rPr>
            </w:pPr>
            <w:r>
              <w:rPr>
                <w:rFonts w:hint="eastAsia" w:ascii="宋体" w:hAnsi="宋体" w:cs="宋体"/>
                <w:sz w:val="22"/>
              </w:rPr>
              <w:t>提供政府采购诚信承诺书。</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48"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spacing w:line="360" w:lineRule="exact"/>
              <w:ind w:firstLine="15" w:firstLineChars="7"/>
              <w:rPr>
                <w:rFonts w:hint="eastAsia" w:ascii="宋体" w:hAnsi="宋体" w:cs="宋体"/>
                <w:sz w:val="22"/>
              </w:rPr>
            </w:pPr>
            <w:r>
              <w:rPr>
                <w:rFonts w:hint="eastAsia" w:ascii="宋体" w:hAnsi="宋体" w:cs="宋体"/>
                <w:sz w:val="22"/>
                <w:highlight w:val="none"/>
                <w:lang w:val="en-US" w:eastAsia="zh-CN"/>
              </w:rPr>
              <w:t>未被列入严重失信主体名单、</w:t>
            </w:r>
            <w:r>
              <w:rPr>
                <w:rFonts w:hint="eastAsia" w:ascii="宋体" w:hAnsi="宋体" w:cs="宋体"/>
                <w:sz w:val="22"/>
                <w:highlight w:val="none"/>
              </w:rPr>
              <w:t>未被列入失信被执行人、重大税收违法案件当事人名单，未被列入政府采购严重违法失信行为记录名单。以采购人查询为准。</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89" w:hRule="exact"/>
          <w:jc w:val="center"/>
        </w:trPr>
        <w:tc>
          <w:tcPr>
            <w:tcW w:w="1392" w:type="dxa"/>
            <w:vMerge w:val="continue"/>
            <w:noWrap/>
            <w:vAlign w:val="center"/>
          </w:tcPr>
          <w:p>
            <w:pPr>
              <w:pStyle w:val="156"/>
              <w:spacing w:line="360" w:lineRule="auto"/>
              <w:jc w:val="center"/>
              <w:rPr>
                <w:rFonts w:ascii="宋体" w:hAnsi="宋体" w:eastAsia="宋体" w:cs="宋体"/>
              </w:rPr>
            </w:pPr>
          </w:p>
        </w:tc>
        <w:tc>
          <w:tcPr>
            <w:tcW w:w="6882" w:type="dxa"/>
            <w:noWrap/>
            <w:vAlign w:val="center"/>
          </w:tcPr>
          <w:p>
            <w:pPr>
              <w:widowControl/>
              <w:spacing w:line="360" w:lineRule="exact"/>
              <w:ind w:firstLine="15" w:firstLineChars="7"/>
              <w:rPr>
                <w:rFonts w:hint="eastAsia" w:ascii="宋体" w:hAnsi="宋体" w:cs="宋体"/>
                <w:sz w:val="22"/>
              </w:rPr>
            </w:pPr>
            <w:r>
              <w:rPr>
                <w:rFonts w:hint="eastAsia" w:ascii="宋体" w:hAnsi="宋体" w:eastAsia="宋体" w:cs="宋体"/>
                <w:b w:val="0"/>
                <w:bCs w:val="0"/>
                <w:color w:val="auto"/>
                <w:kern w:val="2"/>
                <w:sz w:val="22"/>
                <w:lang w:val="en-US" w:eastAsia="zh-CN"/>
              </w:rPr>
              <w:t>具备有效期内的电子与智能化工程专业承包（二级及以上）资质及安全生产许可证、拟派项目负责人具有二级及以上建造师注册证书（机电工程专业）及安考证。</w:t>
            </w:r>
          </w:p>
        </w:tc>
        <w:tc>
          <w:tcPr>
            <w:tcW w:w="543" w:type="dxa"/>
            <w:noWrap/>
            <w:vAlign w:val="center"/>
          </w:tcPr>
          <w:p>
            <w:pPr>
              <w:pStyle w:val="156"/>
              <w:spacing w:line="360" w:lineRule="auto"/>
              <w:rPr>
                <w:rFonts w:ascii="宋体" w:hAnsi="宋体" w:eastAsia="宋体" w:cs="宋体"/>
              </w:rPr>
            </w:pPr>
          </w:p>
        </w:tc>
        <w:tc>
          <w:tcPr>
            <w:tcW w:w="588" w:type="dxa"/>
            <w:noWrap/>
            <w:vAlign w:val="center"/>
          </w:tcPr>
          <w:p>
            <w:pPr>
              <w:pStyle w:val="156"/>
              <w:spacing w:line="360" w:lineRule="auto"/>
              <w:rPr>
                <w:rFonts w:ascii="宋体" w:hAnsi="宋体" w:eastAsia="宋体" w:cs="宋体"/>
              </w:rPr>
            </w:pPr>
          </w:p>
        </w:tc>
      </w:tr>
    </w:tbl>
    <w:p>
      <w:pPr>
        <w:widowControl/>
        <w:snapToGrid w:val="0"/>
        <w:spacing w:line="360" w:lineRule="auto"/>
        <w:ind w:firstLine="482"/>
        <w:jc w:val="left"/>
        <w:textAlignment w:val="center"/>
        <w:rPr>
          <w:rFonts w:ascii="宋体" w:hAnsi="宋体" w:cs="宋体"/>
        </w:rPr>
      </w:pPr>
      <w:r>
        <w:rPr>
          <w:rFonts w:hint="eastAsia" w:ascii="宋体" w:hAnsi="宋体" w:cs="宋体"/>
          <w:b/>
          <w:bCs/>
          <w:kern w:val="0"/>
        </w:rPr>
        <w:t>注：供应商有一项未通过不得参与下阶段评审，视为</w:t>
      </w:r>
      <w:r>
        <w:rPr>
          <w:rFonts w:hint="eastAsia" w:ascii="宋体" w:hAnsi="宋体" w:cs="宋体"/>
          <w:b/>
          <w:bCs/>
          <w:kern w:val="0"/>
          <w:lang w:val="en-US" w:eastAsia="zh-CN"/>
        </w:rPr>
        <w:t>响应</w:t>
      </w:r>
      <w:r>
        <w:rPr>
          <w:rFonts w:hint="eastAsia" w:ascii="宋体" w:hAnsi="宋体" w:cs="宋体"/>
          <w:b/>
          <w:bCs/>
          <w:kern w:val="0"/>
          <w:lang w:eastAsia="zh-CN"/>
        </w:rPr>
        <w:t>无效</w:t>
      </w:r>
      <w:r>
        <w:rPr>
          <w:rFonts w:hint="eastAsia" w:ascii="宋体" w:hAnsi="宋体" w:cs="宋体"/>
          <w:b/>
          <w:bCs/>
          <w:kern w:val="0"/>
        </w:rPr>
        <w:t>。</w:t>
      </w:r>
    </w:p>
    <w:p>
      <w:pPr>
        <w:pStyle w:val="10"/>
        <w:snapToGrid w:val="0"/>
        <w:spacing w:line="360" w:lineRule="auto"/>
        <w:ind w:firstLine="482"/>
        <w:rPr>
          <w:rFonts w:ascii="宋体" w:hAnsi="宋体" w:cs="宋体"/>
          <w:b/>
          <w:bCs/>
          <w:sz w:val="24"/>
          <w:szCs w:val="24"/>
        </w:rPr>
      </w:pPr>
      <w:r>
        <w:rPr>
          <w:rFonts w:hint="eastAsia" w:ascii="宋体" w:hAnsi="宋体" w:cs="宋体"/>
          <w:b/>
          <w:bCs/>
          <w:sz w:val="24"/>
          <w:szCs w:val="24"/>
        </w:rPr>
        <w:t>说明：以上证件除特殊标注外均须为原件的扫描件并加盖公章；未通过资格审查的</w:t>
      </w:r>
      <w:r>
        <w:rPr>
          <w:rFonts w:hint="eastAsia" w:ascii="宋体" w:hAnsi="宋体" w:cs="宋体"/>
          <w:b/>
          <w:bCs/>
          <w:sz w:val="24"/>
          <w:szCs w:val="24"/>
          <w:lang w:eastAsia="zh-CN"/>
        </w:rPr>
        <w:t>供应商</w:t>
      </w:r>
      <w:r>
        <w:rPr>
          <w:rFonts w:hint="eastAsia" w:ascii="宋体" w:hAnsi="宋体" w:cs="宋体"/>
          <w:b/>
          <w:bCs/>
          <w:sz w:val="24"/>
          <w:szCs w:val="24"/>
        </w:rPr>
        <w:t>将拒绝进行下一阶段评审！请供应商特别注意！</w:t>
      </w:r>
    </w:p>
    <w:p>
      <w:pPr>
        <w:pStyle w:val="36"/>
        <w:spacing w:before="120" w:line="360" w:lineRule="auto"/>
        <w:ind w:firstLine="0" w:firstLineChars="0"/>
        <w:jc w:val="both"/>
        <w:outlineLvl w:val="0"/>
        <w:rPr>
          <w:rFonts w:ascii="宋体" w:hAnsi="宋体" w:cs="宋体"/>
          <w:sz w:val="24"/>
        </w:rPr>
      </w:pPr>
      <w:bookmarkStart w:id="141" w:name="_Toc27603"/>
      <w:r>
        <w:rPr>
          <w:rFonts w:hint="eastAsia" w:ascii="宋体" w:hAnsi="宋体" w:cs="宋体"/>
          <w:sz w:val="24"/>
        </w:rPr>
        <w:br w:type="page"/>
      </w:r>
      <w:r>
        <w:rPr>
          <w:rFonts w:hint="eastAsia" w:ascii="宋体" w:hAnsi="宋体" w:cs="宋体"/>
          <w:sz w:val="24"/>
        </w:rPr>
        <w:t>附表2</w:t>
      </w:r>
      <w:bookmarkEnd w:id="141"/>
    </w:p>
    <w:p>
      <w:pPr>
        <w:pStyle w:val="10"/>
        <w:ind w:firstLine="643"/>
        <w:jc w:val="center"/>
        <w:rPr>
          <w:rFonts w:ascii="宋体" w:hAnsi="宋体" w:cs="宋体"/>
          <w:b/>
          <w:bCs/>
          <w:sz w:val="32"/>
          <w:szCs w:val="32"/>
        </w:rPr>
      </w:pPr>
      <w:r>
        <w:rPr>
          <w:rFonts w:hint="eastAsia" w:ascii="宋体" w:hAnsi="宋体" w:cs="宋体"/>
          <w:b/>
          <w:bCs/>
          <w:sz w:val="32"/>
          <w:szCs w:val="32"/>
        </w:rPr>
        <w:t>谈判响应文件评审表-符合性审查</w:t>
      </w:r>
    </w:p>
    <w:p>
      <w:pPr>
        <w:ind w:firstLine="480"/>
      </w:pPr>
    </w:p>
    <w:tbl>
      <w:tblPr>
        <w:tblStyle w:val="47"/>
        <w:tblW w:w="9441" w:type="dxa"/>
        <w:jc w:val="center"/>
        <w:tblLayout w:type="fixed"/>
        <w:tblCellMar>
          <w:top w:w="15" w:type="dxa"/>
          <w:left w:w="15" w:type="dxa"/>
          <w:bottom w:w="15" w:type="dxa"/>
          <w:right w:w="15" w:type="dxa"/>
        </w:tblCellMar>
      </w:tblPr>
      <w:tblGrid>
        <w:gridCol w:w="740"/>
        <w:gridCol w:w="6261"/>
        <w:gridCol w:w="1212"/>
        <w:gridCol w:w="1228"/>
      </w:tblGrid>
      <w:tr>
        <w:tblPrEx>
          <w:tblCellMar>
            <w:top w:w="15" w:type="dxa"/>
            <w:left w:w="15" w:type="dxa"/>
            <w:bottom w:w="15" w:type="dxa"/>
            <w:right w:w="15" w:type="dxa"/>
          </w:tblCellMar>
        </w:tblPrEx>
        <w:trPr>
          <w:trHeight w:val="492" w:hRule="atLeast"/>
          <w:jc w:val="center"/>
        </w:trPr>
        <w:tc>
          <w:tcPr>
            <w:tcW w:w="740" w:type="dxa"/>
            <w:vMerge w:val="restart"/>
            <w:tcBorders>
              <w:top w:val="single" w:color="auto" w:sz="4" w:space="0"/>
              <w:left w:val="single" w:color="auto" w:sz="4" w:space="0"/>
              <w:right w:val="single" w:color="auto" w:sz="4" w:space="0"/>
            </w:tcBorders>
            <w:noWrap/>
            <w:vAlign w:val="center"/>
          </w:tcPr>
          <w:p>
            <w:pPr>
              <w:autoSpaceDE w:val="0"/>
              <w:autoSpaceDN w:val="0"/>
              <w:ind w:left="120" w:right="62" w:hanging="120" w:hangingChars="50"/>
              <w:jc w:val="center"/>
              <w:rPr>
                <w:rFonts w:ascii="宋体" w:hAnsi="宋体" w:cs="宋体"/>
              </w:rPr>
            </w:pPr>
            <w:r>
              <w:rPr>
                <w:rFonts w:hint="eastAsia" w:ascii="宋体" w:hAnsi="宋体" w:cs="宋体"/>
              </w:rPr>
              <w:t>序号</w:t>
            </w:r>
          </w:p>
        </w:tc>
        <w:tc>
          <w:tcPr>
            <w:tcW w:w="6261" w:type="dxa"/>
            <w:vMerge w:val="restart"/>
            <w:tcBorders>
              <w:top w:val="single" w:color="auto" w:sz="4" w:space="0"/>
              <w:left w:val="single" w:color="auto" w:sz="4" w:space="0"/>
              <w:right w:val="single" w:color="auto" w:sz="4" w:space="0"/>
            </w:tcBorders>
            <w:noWrap/>
            <w:vAlign w:val="center"/>
          </w:tcPr>
          <w:p>
            <w:pPr>
              <w:autoSpaceDE w:val="0"/>
              <w:autoSpaceDN w:val="0"/>
              <w:ind w:left="120" w:right="62" w:hanging="120" w:hangingChars="50"/>
              <w:jc w:val="center"/>
              <w:rPr>
                <w:rFonts w:ascii="宋体" w:hAnsi="宋体" w:cs="宋体"/>
              </w:rPr>
            </w:pPr>
            <w:r>
              <w:rPr>
                <w:rFonts w:hint="eastAsia" w:ascii="宋体" w:hAnsi="宋体" w:cs="宋体"/>
              </w:rPr>
              <w:t>评审内容</w:t>
            </w:r>
          </w:p>
        </w:tc>
        <w:tc>
          <w:tcPr>
            <w:tcW w:w="2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6"/>
              <w:spacing w:line="360" w:lineRule="auto"/>
              <w:jc w:val="center"/>
              <w:rPr>
                <w:rFonts w:ascii="宋体" w:hAnsi="宋体" w:eastAsia="宋体" w:cs="宋体"/>
                <w:b/>
                <w:sz w:val="21"/>
                <w:szCs w:val="21"/>
              </w:rPr>
            </w:pPr>
            <w:r>
              <w:rPr>
                <w:rFonts w:hint="eastAsia" w:ascii="宋体" w:hAnsi="宋体" w:eastAsia="宋体" w:cs="宋体"/>
                <w:b/>
                <w:sz w:val="21"/>
                <w:szCs w:val="21"/>
              </w:rPr>
              <w:t>评审意见</w:t>
            </w:r>
          </w:p>
        </w:tc>
      </w:tr>
      <w:tr>
        <w:tblPrEx>
          <w:tblCellMar>
            <w:top w:w="15" w:type="dxa"/>
            <w:left w:w="15" w:type="dxa"/>
            <w:bottom w:w="15" w:type="dxa"/>
            <w:right w:w="15" w:type="dxa"/>
          </w:tblCellMar>
        </w:tblPrEx>
        <w:trPr>
          <w:trHeight w:val="458" w:hRule="atLeast"/>
          <w:jc w:val="center"/>
        </w:trPr>
        <w:tc>
          <w:tcPr>
            <w:tcW w:w="740" w:type="dxa"/>
            <w:vMerge w:val="continue"/>
            <w:tcBorders>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p>
        </w:tc>
        <w:tc>
          <w:tcPr>
            <w:tcW w:w="6261" w:type="dxa"/>
            <w:vMerge w:val="continue"/>
            <w:tcBorders>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6"/>
              <w:spacing w:line="360" w:lineRule="auto"/>
              <w:jc w:val="center"/>
              <w:rPr>
                <w:rFonts w:ascii="宋体" w:hAnsi="宋体" w:eastAsia="宋体" w:cs="宋体"/>
                <w:sz w:val="21"/>
                <w:szCs w:val="21"/>
              </w:rPr>
            </w:pPr>
            <w:r>
              <w:rPr>
                <w:rFonts w:hint="eastAsia" w:ascii="宋体" w:hAnsi="宋体" w:eastAsia="宋体" w:cs="宋体"/>
                <w:b/>
                <w:sz w:val="21"/>
                <w:szCs w:val="21"/>
              </w:rPr>
              <w:t>是</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6"/>
              <w:spacing w:line="360" w:lineRule="auto"/>
              <w:jc w:val="center"/>
              <w:rPr>
                <w:rFonts w:ascii="宋体" w:hAnsi="宋体" w:eastAsia="宋体" w:cs="宋体"/>
                <w:b/>
                <w:sz w:val="21"/>
                <w:szCs w:val="21"/>
              </w:rPr>
            </w:pPr>
            <w:r>
              <w:rPr>
                <w:rFonts w:hint="eastAsia" w:ascii="宋体" w:hAnsi="宋体" w:eastAsia="宋体" w:cs="宋体"/>
                <w:b/>
                <w:sz w:val="21"/>
                <w:szCs w:val="21"/>
              </w:rPr>
              <w:t>否</w:t>
            </w:r>
          </w:p>
        </w:tc>
      </w:tr>
      <w:tr>
        <w:tblPrEx>
          <w:tblCellMar>
            <w:top w:w="15" w:type="dxa"/>
            <w:left w:w="15" w:type="dxa"/>
            <w:bottom w:w="15" w:type="dxa"/>
            <w:right w:w="15" w:type="dxa"/>
          </w:tblCellMar>
        </w:tblPrEx>
        <w:trPr>
          <w:trHeight w:val="776"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15" w:firstLineChars="7"/>
              <w:jc w:val="center"/>
              <w:rPr>
                <w:rFonts w:ascii="宋体" w:hAnsi="宋体" w:cs="宋体"/>
                <w:sz w:val="22"/>
              </w:rPr>
            </w:pPr>
            <w:r>
              <w:rPr>
                <w:rFonts w:hint="eastAsia" w:ascii="宋体" w:hAnsi="宋体" w:cs="宋体"/>
                <w:sz w:val="22"/>
              </w:rPr>
              <w:t>1</w:t>
            </w:r>
          </w:p>
        </w:tc>
        <w:tc>
          <w:tcPr>
            <w:tcW w:w="62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15" w:firstLineChars="7"/>
              <w:rPr>
                <w:rFonts w:ascii="宋体" w:hAnsi="宋体" w:cs="宋体"/>
                <w:sz w:val="22"/>
              </w:rPr>
            </w:pPr>
            <w:r>
              <w:rPr>
                <w:rFonts w:hint="eastAsia" w:ascii="宋体" w:hAnsi="宋体" w:cs="宋体"/>
                <w:sz w:val="22"/>
              </w:rPr>
              <w:t>谈判响应文件签字或盖章是否满足谈判文件要求。</w:t>
            </w: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6"/>
              <w:spacing w:line="360" w:lineRule="auto"/>
              <w:jc w:val="center"/>
              <w:rPr>
                <w:rFonts w:ascii="宋体" w:hAnsi="宋体" w:eastAsia="宋体" w:cs="宋体"/>
                <w:b/>
                <w:sz w:val="21"/>
                <w:szCs w:val="21"/>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6"/>
              <w:spacing w:line="360" w:lineRule="auto"/>
              <w:jc w:val="center"/>
              <w:rPr>
                <w:rFonts w:ascii="宋体" w:hAnsi="宋体" w:eastAsia="宋体" w:cs="宋体"/>
                <w:b/>
                <w:sz w:val="21"/>
                <w:szCs w:val="21"/>
              </w:rPr>
            </w:pPr>
          </w:p>
        </w:tc>
      </w:tr>
      <w:tr>
        <w:tblPrEx>
          <w:tblCellMar>
            <w:top w:w="15" w:type="dxa"/>
            <w:left w:w="15" w:type="dxa"/>
            <w:bottom w:w="15" w:type="dxa"/>
            <w:right w:w="15" w:type="dxa"/>
          </w:tblCellMar>
        </w:tblPrEx>
        <w:trPr>
          <w:trHeight w:val="77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2</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谈判响应文件是否按谈判文件要求编制，内容是否全面或字迹是否模糊、辨认不清的。</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71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3</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谈判响应文件是否齐全或者内容无虚假的。</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7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4</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谈判响应文件记载的采购项目供货期是否满足谈判文件规定的供货期。</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5</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谈判有效期是否满足谈判文件要求的。</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52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6</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有效报价且未超过政府采购预算金额。</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638"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color w:val="auto"/>
                <w:sz w:val="22"/>
              </w:rPr>
            </w:pPr>
            <w:r>
              <w:rPr>
                <w:rFonts w:hint="eastAsia" w:ascii="宋体" w:hAnsi="宋体" w:cs="宋体"/>
                <w:color w:val="auto"/>
                <w:sz w:val="22"/>
              </w:rPr>
              <w:t>7</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hint="default" w:ascii="宋体" w:hAnsi="宋体" w:eastAsia="宋体" w:cs="宋体"/>
                <w:color w:val="auto"/>
                <w:sz w:val="22"/>
                <w:lang w:val="en-US" w:eastAsia="zh-CN"/>
              </w:rPr>
            </w:pPr>
            <w:r>
              <w:rPr>
                <w:rFonts w:hint="eastAsia" w:ascii="宋体" w:hAnsi="宋体" w:cs="宋体"/>
                <w:color w:val="auto"/>
                <w:sz w:val="22"/>
                <w:lang w:val="en-US" w:eastAsia="zh-CN"/>
              </w:rPr>
              <w:t>报价是否存在低于成本或异常低价情形。</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79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8</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技术条款是否满足参数要求、质量指标和服务要求。</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69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9</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商务条款是否有偏离情况的。</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66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ascii="宋体" w:hAnsi="宋体" w:cs="宋体"/>
                <w:sz w:val="22"/>
              </w:rPr>
            </w:pPr>
            <w:r>
              <w:rPr>
                <w:rFonts w:hint="eastAsia" w:ascii="宋体" w:hAnsi="宋体" w:cs="宋体"/>
                <w:sz w:val="22"/>
              </w:rPr>
              <w:t>10</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谈判响应文件是否附有</w:t>
            </w:r>
            <w:r>
              <w:rPr>
                <w:rFonts w:hint="eastAsia" w:ascii="宋体" w:hAnsi="宋体" w:cs="宋体"/>
                <w:sz w:val="22"/>
                <w:lang w:eastAsia="zh-CN"/>
              </w:rPr>
              <w:t>采购人</w:t>
            </w:r>
            <w:r>
              <w:rPr>
                <w:rFonts w:hint="eastAsia" w:ascii="宋体" w:hAnsi="宋体" w:cs="宋体"/>
                <w:sz w:val="22"/>
              </w:rPr>
              <w:t>不能接受条件的。</w:t>
            </w:r>
          </w:p>
        </w:tc>
        <w:tc>
          <w:tcPr>
            <w:tcW w:w="12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p>
            <w:pPr>
              <w:ind w:firstLine="480"/>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103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hint="default" w:ascii="宋体" w:hAnsi="宋体" w:eastAsia="宋体" w:cs="宋体"/>
                <w:sz w:val="22"/>
                <w:lang w:val="en-US" w:eastAsia="zh-CN"/>
              </w:rPr>
            </w:pPr>
            <w:r>
              <w:rPr>
                <w:rFonts w:hint="eastAsia" w:ascii="宋体" w:hAnsi="宋体" w:cs="宋体"/>
                <w:sz w:val="22"/>
                <w:lang w:val="en-US" w:eastAsia="zh-CN"/>
              </w:rPr>
              <w:t>11</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hint="eastAsia" w:ascii="宋体" w:hAnsi="宋体" w:cs="宋体"/>
                <w:sz w:val="22"/>
              </w:rPr>
            </w:pPr>
            <w:r>
              <w:rPr>
                <w:rFonts w:hint="eastAsia" w:ascii="宋体" w:hAnsi="宋体" w:cs="宋体"/>
                <w:sz w:val="22"/>
              </w:rPr>
              <w:t>是否满足谈判文件实质性要求的其他情形。</w:t>
            </w:r>
          </w:p>
        </w:tc>
        <w:tc>
          <w:tcPr>
            <w:tcW w:w="1212" w:type="dxa"/>
            <w:tcBorders>
              <w:top w:val="single" w:color="auto" w:sz="4" w:space="0"/>
              <w:left w:val="single" w:color="auto" w:sz="4" w:space="0"/>
              <w:bottom w:val="single" w:color="auto" w:sz="4" w:space="0"/>
              <w:right w:val="single" w:color="auto" w:sz="4" w:space="0"/>
            </w:tcBorders>
            <w:noWrap/>
            <w:vAlign w:val="center"/>
          </w:tcPr>
          <w:p>
            <w:pPr>
              <w:ind w:firstLine="480"/>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r>
        <w:tblPrEx>
          <w:tblCellMar>
            <w:top w:w="15" w:type="dxa"/>
            <w:left w:w="15" w:type="dxa"/>
            <w:bottom w:w="15" w:type="dxa"/>
            <w:right w:w="15" w:type="dxa"/>
          </w:tblCellMar>
        </w:tblPrEx>
        <w:trPr>
          <w:trHeight w:val="1036"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jc w:val="center"/>
              <w:rPr>
                <w:rFonts w:hint="eastAsia" w:ascii="宋体" w:hAnsi="宋体" w:eastAsia="宋体" w:cs="宋体"/>
                <w:sz w:val="22"/>
                <w:lang w:eastAsia="zh-CN"/>
              </w:rPr>
            </w:pPr>
            <w:r>
              <w:rPr>
                <w:rFonts w:hint="eastAsia" w:ascii="宋体" w:hAnsi="宋体" w:cs="宋体"/>
                <w:sz w:val="22"/>
              </w:rPr>
              <w:t>1</w:t>
            </w:r>
            <w:r>
              <w:rPr>
                <w:rFonts w:hint="eastAsia" w:ascii="宋体" w:hAnsi="宋体" w:cs="宋体"/>
                <w:sz w:val="22"/>
                <w:lang w:val="en-US" w:eastAsia="zh-CN"/>
              </w:rPr>
              <w:t>2</w:t>
            </w:r>
          </w:p>
        </w:tc>
        <w:tc>
          <w:tcPr>
            <w:tcW w:w="6261"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15" w:firstLineChars="7"/>
              <w:rPr>
                <w:rFonts w:ascii="宋体" w:hAnsi="宋体" w:cs="宋体"/>
                <w:sz w:val="22"/>
              </w:rPr>
            </w:pPr>
            <w:r>
              <w:rPr>
                <w:rFonts w:hint="eastAsia" w:ascii="宋体" w:hAnsi="宋体" w:cs="宋体"/>
                <w:sz w:val="22"/>
              </w:rPr>
              <w:t>提供所投产品强制性产品认证证书（属于强制性产品认证范围内必须提供）及属于强制采购的节能产品认证证书（必须达到一级或二级能耗）。</w:t>
            </w:r>
          </w:p>
        </w:tc>
        <w:tc>
          <w:tcPr>
            <w:tcW w:w="1212" w:type="dxa"/>
            <w:tcBorders>
              <w:top w:val="single" w:color="auto" w:sz="4" w:space="0"/>
              <w:left w:val="single" w:color="auto" w:sz="4" w:space="0"/>
              <w:bottom w:val="single" w:color="auto" w:sz="4" w:space="0"/>
              <w:right w:val="single" w:color="auto" w:sz="4" w:space="0"/>
            </w:tcBorders>
            <w:noWrap/>
            <w:vAlign w:val="center"/>
          </w:tcPr>
          <w:p>
            <w:pPr>
              <w:ind w:firstLine="480"/>
            </w:pPr>
          </w:p>
        </w:tc>
        <w:tc>
          <w:tcPr>
            <w:tcW w:w="1228" w:type="dxa"/>
            <w:tcBorders>
              <w:top w:val="single" w:color="auto" w:sz="4" w:space="0"/>
              <w:left w:val="single" w:color="auto" w:sz="4" w:space="0"/>
              <w:bottom w:val="single" w:color="auto" w:sz="4" w:space="0"/>
              <w:right w:val="single" w:color="auto" w:sz="4" w:space="0"/>
            </w:tcBorders>
            <w:noWrap/>
            <w:vAlign w:val="center"/>
          </w:tcPr>
          <w:p>
            <w:pPr>
              <w:autoSpaceDE w:val="0"/>
              <w:autoSpaceDN w:val="0"/>
              <w:ind w:left="120" w:right="62" w:hanging="120" w:hangingChars="50"/>
              <w:rPr>
                <w:rFonts w:ascii="宋体" w:hAnsi="宋体" w:cs="宋体"/>
              </w:rPr>
            </w:pPr>
          </w:p>
        </w:tc>
      </w:tr>
    </w:tbl>
    <w:p>
      <w:pPr>
        <w:ind w:firstLine="482"/>
        <w:rPr>
          <w:rFonts w:ascii="宋体" w:hAnsi="宋体" w:cs="宋体"/>
          <w:b/>
          <w:bCs/>
        </w:rPr>
      </w:pPr>
      <w:r>
        <w:rPr>
          <w:rFonts w:hint="eastAsia" w:ascii="宋体" w:hAnsi="宋体" w:cs="宋体"/>
          <w:b/>
          <w:bCs/>
        </w:rPr>
        <w:t>注：供应商有一项未通过不得参与下阶段评审，视为</w:t>
      </w:r>
      <w:r>
        <w:rPr>
          <w:rFonts w:hint="eastAsia" w:ascii="宋体" w:hAnsi="宋体" w:cs="宋体"/>
          <w:b/>
          <w:bCs/>
          <w:lang w:val="en-US" w:eastAsia="zh-CN"/>
        </w:rPr>
        <w:t>响应</w:t>
      </w:r>
      <w:r>
        <w:rPr>
          <w:rFonts w:hint="eastAsia" w:ascii="宋体" w:hAnsi="宋体" w:cs="宋体"/>
          <w:b/>
          <w:bCs/>
        </w:rPr>
        <w:t>无效。</w:t>
      </w:r>
    </w:p>
    <w:p>
      <w:pPr>
        <w:ind w:firstLine="0" w:firstLineChars="0"/>
        <w:rPr>
          <w:rFonts w:ascii="宋体" w:hAnsi="宋体" w:cs="宋体"/>
          <w:b/>
          <w:bCs/>
        </w:rPr>
      </w:pPr>
      <w:r>
        <w:rPr>
          <w:rFonts w:hint="eastAsia" w:ascii="宋体" w:hAnsi="宋体" w:cs="宋体"/>
          <w:b/>
          <w:bCs/>
        </w:rPr>
        <w:br w:type="page"/>
      </w:r>
    </w:p>
    <w:p>
      <w:pPr>
        <w:pStyle w:val="43"/>
        <w:snapToGrid w:val="0"/>
        <w:spacing w:line="480" w:lineRule="exact"/>
        <w:jc w:val="center"/>
        <w:rPr>
          <w:rFonts w:ascii="宋体" w:hAnsi="宋体" w:cs="宋体"/>
          <w:sz w:val="52"/>
          <w:szCs w:val="52"/>
        </w:rPr>
      </w:pPr>
      <w:r>
        <w:rPr>
          <w:rFonts w:hint="eastAsia" w:ascii="宋体" w:hAnsi="宋体" w:cs="宋体"/>
          <w:b/>
          <w:bCs/>
          <w:kern w:val="2"/>
          <w:sz w:val="32"/>
          <w:szCs w:val="32"/>
        </w:rPr>
        <w:t>第六部分 谈判响应文件格式</w:t>
      </w:r>
      <w:bookmarkEnd w:id="51"/>
      <w:bookmarkEnd w:id="52"/>
    </w:p>
    <w:p>
      <w:pPr>
        <w:adjustRightInd w:val="0"/>
        <w:snapToGrid w:val="0"/>
        <w:spacing w:line="500" w:lineRule="atLeast"/>
        <w:ind w:firstLine="480"/>
        <w:rPr>
          <w:rFonts w:ascii="宋体" w:hAnsi="宋体" w:cs="宋体"/>
          <w:u w:val="single"/>
        </w:rPr>
      </w:pPr>
    </w:p>
    <w:p>
      <w:pPr>
        <w:adjustRightInd w:val="0"/>
        <w:snapToGrid w:val="0"/>
        <w:spacing w:line="500" w:lineRule="atLeast"/>
        <w:ind w:firstLine="480"/>
        <w:rPr>
          <w:rFonts w:ascii="宋体" w:hAnsi="宋体" w:cs="宋体"/>
          <w:u w:val="single"/>
        </w:rPr>
      </w:pPr>
    </w:p>
    <w:p>
      <w:pPr>
        <w:adjustRightInd w:val="0"/>
        <w:snapToGrid w:val="0"/>
        <w:spacing w:line="500" w:lineRule="atLeast"/>
        <w:ind w:firstLine="480"/>
        <w:rPr>
          <w:rFonts w:ascii="宋体" w:hAnsi="宋体" w:cs="宋体"/>
          <w:u w:val="single"/>
        </w:rPr>
      </w:pPr>
    </w:p>
    <w:p>
      <w:pPr>
        <w:adjustRightInd w:val="0"/>
        <w:snapToGrid w:val="0"/>
        <w:spacing w:line="500" w:lineRule="atLeast"/>
        <w:ind w:firstLine="640"/>
        <w:jc w:val="center"/>
        <w:outlineLvl w:val="0"/>
        <w:rPr>
          <w:rFonts w:ascii="宋体" w:hAnsi="宋体" w:cs="宋体"/>
          <w:sz w:val="32"/>
        </w:rPr>
      </w:pPr>
      <w:bookmarkStart w:id="142" w:name="_Toc28533"/>
      <w:r>
        <w:rPr>
          <w:rFonts w:hint="eastAsia" w:ascii="宋体" w:hAnsi="宋体" w:cs="宋体"/>
          <w:sz w:val="32"/>
        </w:rPr>
        <w:t>项目</w:t>
      </w:r>
      <w:bookmarkEnd w:id="142"/>
    </w:p>
    <w:p>
      <w:pPr>
        <w:adjustRightInd w:val="0"/>
        <w:snapToGrid w:val="0"/>
        <w:spacing w:line="500" w:lineRule="atLeast"/>
        <w:ind w:firstLine="482"/>
        <w:jc w:val="center"/>
        <w:rPr>
          <w:rFonts w:ascii="宋体" w:hAnsi="宋体" w:cs="宋体"/>
          <w:b/>
          <w:bCs/>
        </w:rPr>
      </w:pPr>
    </w:p>
    <w:p>
      <w:pPr>
        <w:adjustRightInd w:val="0"/>
        <w:snapToGrid w:val="0"/>
        <w:spacing w:line="500" w:lineRule="atLeast"/>
        <w:ind w:firstLine="0" w:firstLineChars="0"/>
        <w:jc w:val="center"/>
        <w:rPr>
          <w:rFonts w:ascii="宋体" w:hAnsi="宋体" w:cs="宋体"/>
          <w:b/>
          <w:bCs/>
          <w:sz w:val="60"/>
          <w:szCs w:val="60"/>
        </w:rPr>
      </w:pPr>
      <w:r>
        <w:rPr>
          <w:rFonts w:hint="eastAsia" w:ascii="宋体" w:hAnsi="宋体" w:cs="宋体"/>
          <w:b/>
          <w:bCs/>
          <w:sz w:val="60"/>
          <w:szCs w:val="60"/>
        </w:rPr>
        <w:t>谈判响应文件</w:t>
      </w:r>
    </w:p>
    <w:p>
      <w:pPr>
        <w:adjustRightInd w:val="0"/>
        <w:snapToGrid w:val="0"/>
        <w:spacing w:line="500" w:lineRule="atLeast"/>
        <w:ind w:firstLine="640"/>
        <w:jc w:val="center"/>
        <w:outlineLvl w:val="0"/>
        <w:rPr>
          <w:rFonts w:ascii="宋体" w:hAnsi="宋体" w:cs="宋体"/>
          <w:sz w:val="32"/>
          <w:szCs w:val="32"/>
        </w:rPr>
      </w:pPr>
      <w:bookmarkStart w:id="143" w:name="_Toc30813"/>
      <w:r>
        <w:rPr>
          <w:rFonts w:hint="eastAsia" w:ascii="宋体" w:hAnsi="宋体" w:cs="宋体"/>
          <w:sz w:val="32"/>
          <w:szCs w:val="32"/>
        </w:rPr>
        <w:t>（采购编号：         ）</w:t>
      </w:r>
      <w:bookmarkEnd w:id="143"/>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480"/>
        <w:rPr>
          <w:rFonts w:ascii="宋体" w:hAnsi="宋体" w:cs="宋体"/>
        </w:rPr>
      </w:pPr>
    </w:p>
    <w:p>
      <w:pPr>
        <w:adjustRightInd w:val="0"/>
        <w:snapToGrid w:val="0"/>
        <w:spacing w:line="500" w:lineRule="atLeast"/>
        <w:ind w:firstLine="480"/>
        <w:jc w:val="center"/>
        <w:rPr>
          <w:rFonts w:ascii="宋体" w:hAnsi="宋体" w:cs="宋体"/>
        </w:rPr>
      </w:pPr>
    </w:p>
    <w:p>
      <w:pPr>
        <w:adjustRightInd w:val="0"/>
        <w:snapToGrid w:val="0"/>
        <w:spacing w:line="500" w:lineRule="atLeast"/>
        <w:ind w:firstLine="1065" w:firstLineChars="444"/>
        <w:rPr>
          <w:rFonts w:ascii="宋体" w:hAnsi="宋体" w:cs="宋体"/>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adjustRightInd w:val="0"/>
        <w:snapToGrid w:val="0"/>
        <w:spacing w:line="480" w:lineRule="atLeast"/>
        <w:ind w:firstLine="480"/>
        <w:jc w:val="center"/>
        <w:rPr>
          <w:rFonts w:ascii="宋体" w:hAnsi="宋体" w:cs="宋体"/>
        </w:rPr>
      </w:pPr>
    </w:p>
    <w:p>
      <w:pPr>
        <w:adjustRightInd w:val="0"/>
        <w:snapToGrid w:val="0"/>
        <w:spacing w:line="480" w:lineRule="atLeast"/>
        <w:ind w:firstLine="480"/>
        <w:rPr>
          <w:rFonts w:ascii="宋体" w:hAnsi="宋体" w:cs="宋体"/>
        </w:rPr>
      </w:pPr>
    </w:p>
    <w:p>
      <w:pPr>
        <w:adjustRightInd w:val="0"/>
        <w:snapToGrid w:val="0"/>
        <w:spacing w:line="480" w:lineRule="atLeast"/>
        <w:ind w:firstLine="480"/>
        <w:jc w:val="center"/>
        <w:rPr>
          <w:rFonts w:ascii="宋体" w:hAnsi="宋体" w:cs="宋体"/>
        </w:rPr>
      </w:pPr>
    </w:p>
    <w:p>
      <w:pPr>
        <w:adjustRightInd w:val="0"/>
        <w:snapToGrid w:val="0"/>
        <w:spacing w:line="480" w:lineRule="atLeast"/>
        <w:ind w:firstLine="480"/>
        <w:jc w:val="center"/>
        <w:rPr>
          <w:rFonts w:ascii="宋体" w:hAnsi="宋体" w:cs="宋体"/>
        </w:rPr>
      </w:pPr>
    </w:p>
    <w:p>
      <w:pPr>
        <w:adjustRightInd w:val="0"/>
        <w:snapToGrid w:val="0"/>
        <w:spacing w:line="480" w:lineRule="atLeast"/>
        <w:ind w:firstLine="0" w:firstLineChars="0"/>
        <w:jc w:val="center"/>
        <w:outlineLvl w:val="0"/>
        <w:rPr>
          <w:rFonts w:ascii="宋体" w:hAnsi="宋体" w:cs="宋体"/>
          <w:b/>
          <w:spacing w:val="40"/>
          <w:sz w:val="44"/>
        </w:rPr>
      </w:pPr>
      <w:r>
        <w:rPr>
          <w:rFonts w:hint="eastAsia" w:ascii="宋体" w:hAnsi="宋体" w:cs="宋体"/>
          <w:b/>
          <w:spacing w:val="40"/>
          <w:sz w:val="44"/>
        </w:rPr>
        <w:br w:type="page"/>
      </w:r>
      <w:bookmarkStart w:id="144" w:name="_Toc16899"/>
      <w:r>
        <w:rPr>
          <w:rFonts w:hint="eastAsia" w:ascii="宋体" w:hAnsi="宋体" w:cs="宋体"/>
          <w:b/>
          <w:spacing w:val="40"/>
          <w:sz w:val="32"/>
          <w:szCs w:val="32"/>
        </w:rPr>
        <w:t>谈判响应文件目录</w:t>
      </w:r>
      <w:bookmarkEnd w:id="144"/>
    </w:p>
    <w:p>
      <w:pPr>
        <w:pStyle w:val="19"/>
        <w:ind w:left="0" w:leftChars="0" w:firstLine="0" w:firstLineChars="0"/>
        <w:rPr>
          <w:rFonts w:ascii="宋体" w:hAnsi="宋体" w:cs="宋体"/>
          <w:sz w:val="28"/>
          <w:szCs w:val="28"/>
        </w:rPr>
      </w:pPr>
    </w:p>
    <w:p>
      <w:pPr>
        <w:spacing w:after="120" w:line="440" w:lineRule="exact"/>
        <w:ind w:firstLine="240" w:firstLineChars="100"/>
        <w:rPr>
          <w:rFonts w:ascii="宋体" w:hAnsi="宋体" w:cs="宋体"/>
          <w:b/>
          <w:bCs/>
          <w:kern w:val="0"/>
        </w:rPr>
      </w:pPr>
      <w:r>
        <w:rPr>
          <w:rFonts w:hint="eastAsia" w:ascii="宋体" w:hAnsi="宋体" w:cs="宋体"/>
          <w:b/>
          <w:bCs/>
          <w:kern w:val="0"/>
        </w:rPr>
        <w:t>一、封面</w:t>
      </w:r>
    </w:p>
    <w:p>
      <w:pPr>
        <w:spacing w:after="120" w:line="440" w:lineRule="exact"/>
        <w:ind w:firstLine="240" w:firstLineChars="100"/>
        <w:rPr>
          <w:rFonts w:ascii="宋体" w:hAnsi="宋体" w:cs="宋体"/>
          <w:b/>
          <w:bCs/>
          <w:kern w:val="0"/>
        </w:rPr>
      </w:pPr>
      <w:r>
        <w:rPr>
          <w:rFonts w:hint="eastAsia" w:ascii="宋体" w:hAnsi="宋体" w:cs="宋体"/>
          <w:b/>
          <w:bCs/>
          <w:kern w:val="0"/>
        </w:rPr>
        <w:t>二、☆资格审查材料</w:t>
      </w:r>
    </w:p>
    <w:p>
      <w:pPr>
        <w:spacing w:after="120" w:line="440" w:lineRule="exact"/>
        <w:ind w:firstLine="240" w:firstLineChars="100"/>
        <w:rPr>
          <w:rFonts w:ascii="宋体" w:hAnsi="宋体" w:cs="宋体"/>
          <w:kern w:val="0"/>
        </w:rPr>
      </w:pPr>
      <w:r>
        <w:rPr>
          <w:rFonts w:hint="eastAsia" w:ascii="宋体" w:hAnsi="宋体" w:cs="宋体"/>
          <w:kern w:val="0"/>
        </w:rPr>
        <w:t>☆（一）供应商营业执照</w:t>
      </w:r>
    </w:p>
    <w:p>
      <w:pPr>
        <w:spacing w:after="120" w:line="440" w:lineRule="exact"/>
        <w:ind w:firstLine="240" w:firstLineChars="100"/>
        <w:rPr>
          <w:rFonts w:ascii="宋体" w:hAnsi="宋体" w:cs="宋体"/>
          <w:kern w:val="0"/>
        </w:rPr>
      </w:pPr>
      <w:r>
        <w:rPr>
          <w:rFonts w:hint="eastAsia" w:ascii="宋体" w:hAnsi="宋体" w:cs="宋体"/>
          <w:kern w:val="0"/>
        </w:rPr>
        <w:t>☆（二）法定代表人身份证明及法定代表人授权委托书</w:t>
      </w:r>
    </w:p>
    <w:p>
      <w:pPr>
        <w:spacing w:after="120" w:line="440" w:lineRule="exact"/>
        <w:ind w:firstLine="240" w:firstLineChars="100"/>
        <w:rPr>
          <w:rFonts w:ascii="宋体" w:hAnsi="宋体" w:cs="宋体"/>
          <w:kern w:val="0"/>
        </w:rPr>
      </w:pPr>
      <w:r>
        <w:rPr>
          <w:rFonts w:hint="eastAsia" w:ascii="宋体" w:hAnsi="宋体" w:cs="宋体"/>
          <w:kern w:val="0"/>
        </w:rPr>
        <w:t>☆（三）谈判</w:t>
      </w:r>
      <w:r>
        <w:rPr>
          <w:rFonts w:hint="eastAsia" w:ascii="宋体" w:hAnsi="宋体" w:eastAsia="宋体" w:cs="宋体"/>
          <w:kern w:val="0"/>
        </w:rPr>
        <w:t>保证金</w:t>
      </w:r>
      <w:r>
        <w:rPr>
          <w:rFonts w:hint="eastAsia" w:ascii="宋体" w:hAnsi="宋体" w:eastAsia="宋体" w:cs="宋体"/>
          <w:kern w:val="0"/>
          <w:sz w:val="24"/>
        </w:rPr>
        <w:t>缴纳凭证或保函</w:t>
      </w:r>
    </w:p>
    <w:p>
      <w:pPr>
        <w:spacing w:after="120" w:line="440" w:lineRule="exact"/>
        <w:ind w:firstLine="240" w:firstLineChars="100"/>
        <w:rPr>
          <w:rFonts w:hint="eastAsia" w:ascii="宋体" w:hAnsi="宋体" w:eastAsia="宋体" w:cs="宋体"/>
          <w:kern w:val="0"/>
          <w:lang w:eastAsia="zh-CN"/>
        </w:rPr>
      </w:pPr>
      <w:r>
        <w:rPr>
          <w:rFonts w:hint="eastAsia" w:ascii="宋体" w:hAnsi="宋体" w:cs="宋体"/>
          <w:kern w:val="0"/>
        </w:rPr>
        <w:t>☆（四）中小企业声明函、分包</w:t>
      </w:r>
      <w:r>
        <w:rPr>
          <w:rFonts w:hint="eastAsia" w:ascii="宋体" w:hAnsi="宋体" w:cs="宋体"/>
          <w:kern w:val="0"/>
          <w:lang w:eastAsia="zh-CN"/>
        </w:rPr>
        <w:t>意向</w:t>
      </w:r>
      <w:r>
        <w:rPr>
          <w:rFonts w:hint="eastAsia" w:ascii="宋体" w:hAnsi="宋体" w:eastAsia="宋体" w:cs="宋体"/>
          <w:kern w:val="0"/>
        </w:rPr>
        <w:t>协议</w:t>
      </w:r>
      <w:r>
        <w:rPr>
          <w:rFonts w:hint="eastAsia" w:ascii="宋体" w:hAnsi="宋体" w:eastAsia="宋体" w:cs="宋体"/>
          <w:kern w:val="0"/>
          <w:lang w:eastAsia="zh-CN"/>
        </w:rPr>
        <w:t>（</w:t>
      </w:r>
      <w:r>
        <w:rPr>
          <w:rFonts w:hint="eastAsia" w:ascii="宋体" w:hAnsi="宋体" w:eastAsia="宋体" w:cs="宋体"/>
          <w:kern w:val="0"/>
          <w:sz w:val="24"/>
        </w:rPr>
        <w:t>本项目预留采购项目预算总额的30%专门面向中小企业采购，其中预留给小微企业的比例不低于60%，分包应满足金额要求。</w:t>
      </w:r>
      <w:r>
        <w:rPr>
          <w:rFonts w:hint="eastAsia" w:ascii="宋体" w:hAnsi="宋体" w:eastAsia="宋体" w:cs="宋体"/>
          <w:kern w:val="0"/>
          <w:lang w:eastAsia="zh-CN"/>
        </w:rPr>
        <w:t>）</w:t>
      </w:r>
    </w:p>
    <w:p>
      <w:pPr>
        <w:spacing w:after="120" w:line="440" w:lineRule="exact"/>
        <w:ind w:firstLine="240" w:firstLineChars="100"/>
        <w:rPr>
          <w:rFonts w:ascii="宋体" w:hAnsi="宋体" w:cs="宋体"/>
          <w:kern w:val="0"/>
        </w:rPr>
      </w:pPr>
      <w:r>
        <w:rPr>
          <w:rFonts w:hint="eastAsia" w:ascii="宋体" w:hAnsi="宋体" w:cs="宋体"/>
          <w:kern w:val="0"/>
        </w:rPr>
        <w:t>☆（五）供应商认为有必要提供的声明及文件资料</w:t>
      </w:r>
    </w:p>
    <w:p>
      <w:pPr>
        <w:spacing w:after="120" w:line="440" w:lineRule="exact"/>
        <w:ind w:firstLine="480"/>
        <w:jc w:val="left"/>
        <w:rPr>
          <w:rFonts w:ascii="宋体" w:hAnsi="宋体" w:cs="宋体"/>
          <w:kern w:val="0"/>
        </w:rPr>
      </w:pPr>
      <w:r>
        <w:rPr>
          <w:rFonts w:hint="eastAsia" w:ascii="宋体" w:hAnsi="宋体" w:cs="宋体"/>
          <w:kern w:val="0"/>
        </w:rPr>
        <w:t>①</w:t>
      </w:r>
      <w:r>
        <w:rPr>
          <w:rFonts w:hint="eastAsia" w:ascii="宋体" w:hAnsi="宋体" w:cs="宋体"/>
          <w:kern w:val="0"/>
          <w:sz w:val="24"/>
        </w:rPr>
        <w:t>提供</w:t>
      </w:r>
      <w:r>
        <w:rPr>
          <w:rFonts w:hint="eastAsia" w:ascii="宋体" w:hAnsi="宋体" w:cs="宋体"/>
          <w:kern w:val="0"/>
          <w:sz w:val="24"/>
          <w:lang w:val="en-US" w:eastAsia="zh-CN"/>
        </w:rPr>
        <w:t>2024年度或</w:t>
      </w: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年度财务</w:t>
      </w:r>
      <w:r>
        <w:rPr>
          <w:rFonts w:hint="eastAsia" w:ascii="宋体" w:hAnsi="宋体" w:cs="宋体"/>
          <w:kern w:val="0"/>
          <w:sz w:val="24"/>
          <w:lang w:val="en-US" w:eastAsia="zh-CN"/>
        </w:rPr>
        <w:t>审计报告或财务审计</w:t>
      </w:r>
      <w:r>
        <w:rPr>
          <w:rFonts w:hint="eastAsia" w:ascii="宋体" w:hAnsi="宋体" w:cs="宋体"/>
          <w:kern w:val="0"/>
          <w:sz w:val="24"/>
        </w:rPr>
        <w:t>报表</w:t>
      </w:r>
      <w:r>
        <w:rPr>
          <w:rFonts w:hint="eastAsia" w:ascii="宋体" w:hAnsi="宋体" w:cs="宋体"/>
          <w:kern w:val="0"/>
          <w:sz w:val="24"/>
          <w:lang w:eastAsia="zh-CN"/>
        </w:rPr>
        <w:t>，</w:t>
      </w:r>
      <w:r>
        <w:rPr>
          <w:rFonts w:hint="eastAsia" w:ascii="宋体" w:hAnsi="宋体" w:cs="宋体"/>
          <w:kern w:val="0"/>
          <w:sz w:val="24"/>
        </w:rPr>
        <w:t>成立不满一年</w:t>
      </w:r>
      <w:r>
        <w:rPr>
          <w:rFonts w:hint="eastAsia" w:ascii="宋体" w:hAnsi="宋体" w:cs="宋体"/>
          <w:kern w:val="0"/>
          <w:sz w:val="24"/>
          <w:lang w:eastAsia="zh-CN"/>
        </w:rPr>
        <w:t>提供</w:t>
      </w:r>
      <w:r>
        <w:rPr>
          <w:rFonts w:hint="eastAsia" w:ascii="宋体" w:hAnsi="宋体" w:cs="宋体"/>
          <w:kern w:val="0"/>
          <w:sz w:val="24"/>
        </w:rPr>
        <w:t>银行资信证明</w:t>
      </w:r>
      <w:r>
        <w:rPr>
          <w:rFonts w:hint="eastAsia" w:ascii="宋体" w:hAnsi="宋体" w:cs="宋体"/>
          <w:kern w:val="0"/>
        </w:rPr>
        <w:t>；</w:t>
      </w:r>
    </w:p>
    <w:p>
      <w:pPr>
        <w:spacing w:after="120" w:line="440" w:lineRule="exact"/>
        <w:ind w:firstLine="480"/>
        <w:jc w:val="left"/>
        <w:rPr>
          <w:rFonts w:ascii="宋体" w:hAnsi="宋体" w:cs="宋体"/>
          <w:kern w:val="0"/>
        </w:rPr>
      </w:pPr>
      <w:r>
        <w:rPr>
          <w:rFonts w:hint="eastAsia" w:ascii="宋体" w:hAnsi="宋体" w:cs="宋体"/>
          <w:kern w:val="0"/>
        </w:rPr>
        <w:t>②具有履行合同所必需的设备和专业技术能力（自行承诺）；</w:t>
      </w:r>
    </w:p>
    <w:p>
      <w:pPr>
        <w:spacing w:after="120" w:line="440" w:lineRule="exact"/>
        <w:ind w:firstLine="480"/>
        <w:jc w:val="left"/>
        <w:rPr>
          <w:rFonts w:ascii="宋体" w:hAnsi="宋体" w:cs="宋体"/>
          <w:kern w:val="0"/>
        </w:rPr>
      </w:pPr>
      <w:r>
        <w:rPr>
          <w:rFonts w:hint="eastAsia" w:ascii="宋体" w:hAnsi="宋体" w:cs="宋体"/>
          <w:kern w:val="0"/>
        </w:rPr>
        <w:t>③有依法缴纳税收和社会保障资金的良好记录（提供</w:t>
      </w:r>
      <w:r>
        <w:rPr>
          <w:rFonts w:hint="eastAsia" w:ascii="宋体" w:hAnsi="宋体" w:cs="宋体"/>
          <w:kern w:val="0"/>
          <w:lang w:val="zh-CN"/>
        </w:rPr>
        <w:t>202</w:t>
      </w:r>
      <w:r>
        <w:rPr>
          <w:rFonts w:hint="eastAsia" w:ascii="宋体" w:hAnsi="宋体" w:cs="宋体"/>
          <w:kern w:val="0"/>
        </w:rPr>
        <w:t>5</w:t>
      </w:r>
      <w:r>
        <w:rPr>
          <w:rFonts w:hint="eastAsia" w:ascii="宋体" w:hAnsi="宋体" w:cs="宋体"/>
          <w:kern w:val="0"/>
          <w:lang w:val="zh-CN"/>
        </w:rPr>
        <w:t>年</w:t>
      </w:r>
      <w:r>
        <w:rPr>
          <w:rFonts w:hint="eastAsia" w:ascii="宋体" w:hAnsi="宋体" w:cs="宋体"/>
          <w:kern w:val="0"/>
          <w:lang w:val="en-US" w:eastAsia="zh-CN"/>
        </w:rPr>
        <w:t>3</w:t>
      </w:r>
      <w:r>
        <w:rPr>
          <w:rFonts w:hint="eastAsia" w:ascii="宋体" w:hAnsi="宋体" w:cs="宋体"/>
          <w:kern w:val="0"/>
          <w:lang w:val="zh-CN"/>
        </w:rPr>
        <w:t>月</w:t>
      </w:r>
      <w:r>
        <w:rPr>
          <w:rFonts w:hint="eastAsia" w:ascii="宋体" w:hAnsi="宋体" w:cs="宋体"/>
          <w:kern w:val="0"/>
        </w:rPr>
        <w:t>至今税务机关出具的税收完税证明及中国社会保险出具的社保证明，至少提供1个月证明材料）；</w:t>
      </w:r>
    </w:p>
    <w:p>
      <w:pPr>
        <w:spacing w:after="120" w:line="440" w:lineRule="exact"/>
        <w:ind w:firstLine="480"/>
        <w:rPr>
          <w:rFonts w:ascii="宋体" w:hAnsi="宋体" w:cs="宋体"/>
          <w:kern w:val="0"/>
        </w:rPr>
      </w:pPr>
      <w:r>
        <w:rPr>
          <w:rFonts w:hint="eastAsia" w:ascii="宋体" w:hAnsi="宋体" w:cs="宋体"/>
          <w:kern w:val="0"/>
        </w:rPr>
        <w:t>④参加政府采购活动近三年内（202</w:t>
      </w:r>
      <w:r>
        <w:rPr>
          <w:rFonts w:hint="eastAsia" w:ascii="宋体" w:hAnsi="宋体" w:cs="宋体"/>
          <w:kern w:val="0"/>
          <w:lang w:val="en-US" w:eastAsia="zh-CN"/>
        </w:rPr>
        <w:t>3</w:t>
      </w:r>
      <w:r>
        <w:rPr>
          <w:rFonts w:hint="eastAsia" w:ascii="宋体" w:hAnsi="宋体" w:cs="宋体"/>
          <w:kern w:val="0"/>
        </w:rPr>
        <w:t>年</w:t>
      </w:r>
      <w:r>
        <w:rPr>
          <w:rFonts w:hint="eastAsia" w:ascii="宋体" w:hAnsi="宋体" w:cs="宋体"/>
          <w:kern w:val="0"/>
          <w:lang w:val="en-US" w:eastAsia="zh-CN"/>
        </w:rPr>
        <w:t>4</w:t>
      </w:r>
      <w:r>
        <w:rPr>
          <w:rFonts w:hint="eastAsia" w:ascii="宋体" w:hAnsi="宋体" w:cs="宋体"/>
          <w:kern w:val="0"/>
        </w:rPr>
        <w:t>月-至今），在经营活动中没有重大违法记录（提供书面声明）；</w:t>
      </w:r>
    </w:p>
    <w:p>
      <w:pPr>
        <w:spacing w:after="120" w:line="440" w:lineRule="exact"/>
        <w:ind w:firstLine="240" w:firstLineChars="100"/>
        <w:rPr>
          <w:rFonts w:ascii="宋体" w:hAnsi="宋体" w:cs="宋体"/>
          <w:kern w:val="0"/>
        </w:rPr>
      </w:pPr>
      <w:r>
        <w:rPr>
          <w:rFonts w:hint="eastAsia" w:ascii="宋体" w:hAnsi="宋体" w:cs="宋体"/>
          <w:kern w:val="0"/>
        </w:rPr>
        <w:t>☆（六）不参与围标串标承诺书</w:t>
      </w:r>
    </w:p>
    <w:p>
      <w:pPr>
        <w:spacing w:after="120" w:line="440" w:lineRule="exact"/>
        <w:ind w:firstLine="240" w:firstLineChars="100"/>
        <w:rPr>
          <w:rFonts w:hint="eastAsia" w:ascii="宋体" w:hAnsi="宋体" w:cs="宋体"/>
          <w:kern w:val="0"/>
        </w:rPr>
      </w:pPr>
      <w:r>
        <w:rPr>
          <w:rFonts w:hint="eastAsia" w:ascii="宋体" w:hAnsi="宋体" w:cs="宋体"/>
          <w:kern w:val="0"/>
        </w:rPr>
        <w:t>☆（七）政府采购诚信承诺书</w:t>
      </w:r>
    </w:p>
    <w:p>
      <w:pPr>
        <w:pStyle w:val="2"/>
        <w:ind w:firstLine="240" w:firstLineChars="100"/>
        <w:rPr>
          <w:rFonts w:hint="eastAsia" w:ascii="宋体" w:hAnsi="宋体" w:eastAsia="宋体" w:cs="宋体"/>
          <w:b w:val="0"/>
          <w:bCs w:val="0"/>
          <w:kern w:val="0"/>
          <w:sz w:val="24"/>
          <w:lang w:val="en-US" w:eastAsia="zh-CN"/>
        </w:rPr>
      </w:pPr>
      <w:r>
        <w:rPr>
          <w:rFonts w:hint="eastAsia" w:ascii="宋体" w:hAnsi="宋体" w:eastAsia="宋体" w:cs="宋体"/>
          <w:kern w:val="0"/>
          <w:sz w:val="24"/>
        </w:rPr>
        <w:t>☆</w:t>
      </w:r>
      <w:r>
        <w:rPr>
          <w:rFonts w:hint="eastAsia" w:ascii="宋体" w:hAnsi="宋体" w:eastAsia="宋体" w:cs="宋体"/>
          <w:kern w:val="0"/>
          <w:sz w:val="24"/>
          <w:lang w:eastAsia="zh-CN"/>
        </w:rPr>
        <w:t>（八）</w:t>
      </w:r>
      <w:r>
        <w:rPr>
          <w:rFonts w:hint="eastAsia" w:ascii="宋体" w:hAnsi="宋体" w:eastAsia="宋体" w:cs="宋体"/>
          <w:b w:val="0"/>
          <w:bCs w:val="0"/>
          <w:kern w:val="0"/>
          <w:sz w:val="24"/>
          <w:lang w:val="en-US" w:eastAsia="zh-CN"/>
        </w:rPr>
        <w:t>具备有效期内的电子与智能化工程专业承包（二级及以上）资质及安全生产许可证、拟派项目负责人具有二级及以上建造师注册证书（机电工程专业）及安考证。</w:t>
      </w:r>
    </w:p>
    <w:p>
      <w:pPr>
        <w:spacing w:after="120" w:line="440" w:lineRule="exact"/>
        <w:ind w:firstLine="240" w:firstLineChars="100"/>
        <w:rPr>
          <w:rFonts w:ascii="宋体" w:hAnsi="宋体" w:cs="宋体"/>
          <w:b/>
          <w:bCs/>
          <w:kern w:val="0"/>
        </w:rPr>
      </w:pPr>
      <w:r>
        <w:rPr>
          <w:rFonts w:hint="eastAsia" w:ascii="宋体" w:hAnsi="宋体" w:cs="宋体"/>
          <w:b/>
          <w:bCs/>
          <w:kern w:val="0"/>
        </w:rPr>
        <w:t>三、报价文件</w:t>
      </w:r>
    </w:p>
    <w:p>
      <w:pPr>
        <w:spacing w:after="120" w:line="440" w:lineRule="exact"/>
        <w:ind w:firstLine="240" w:firstLineChars="100"/>
        <w:rPr>
          <w:rFonts w:ascii="宋体" w:hAnsi="宋体" w:cs="宋体"/>
          <w:kern w:val="0"/>
        </w:rPr>
      </w:pPr>
      <w:r>
        <w:rPr>
          <w:rFonts w:hint="eastAsia" w:ascii="宋体" w:hAnsi="宋体" w:cs="宋体"/>
          <w:kern w:val="0"/>
        </w:rPr>
        <w:t>（一）谈判函</w:t>
      </w:r>
    </w:p>
    <w:p>
      <w:pPr>
        <w:spacing w:after="120" w:line="440" w:lineRule="exact"/>
        <w:ind w:firstLine="240" w:firstLineChars="100"/>
        <w:rPr>
          <w:rFonts w:ascii="宋体" w:hAnsi="宋体" w:cs="宋体"/>
          <w:kern w:val="0"/>
        </w:rPr>
      </w:pPr>
      <w:r>
        <w:rPr>
          <w:rFonts w:hint="eastAsia" w:ascii="宋体" w:hAnsi="宋体" w:cs="宋体"/>
          <w:kern w:val="0"/>
        </w:rPr>
        <w:t>（二）报价一览表</w:t>
      </w:r>
    </w:p>
    <w:p>
      <w:pPr>
        <w:spacing w:after="120" w:line="440" w:lineRule="exact"/>
        <w:ind w:firstLine="240" w:firstLineChars="100"/>
        <w:rPr>
          <w:rFonts w:ascii="宋体" w:hAnsi="宋体" w:cs="宋体"/>
          <w:kern w:val="0"/>
        </w:rPr>
      </w:pPr>
      <w:r>
        <w:rPr>
          <w:rFonts w:hint="eastAsia" w:ascii="宋体" w:hAnsi="宋体" w:cs="宋体"/>
          <w:kern w:val="0"/>
        </w:rPr>
        <w:t>（三）报价明细表</w:t>
      </w:r>
    </w:p>
    <w:p>
      <w:pPr>
        <w:spacing w:after="120" w:line="440" w:lineRule="exact"/>
        <w:ind w:firstLine="240" w:firstLineChars="100"/>
        <w:jc w:val="both"/>
        <w:rPr>
          <w:rFonts w:hint="eastAsia" w:ascii="宋体" w:hAnsi="宋体" w:eastAsia="宋体" w:cs="宋体"/>
          <w:kern w:val="0"/>
          <w:szCs w:val="24"/>
          <w:lang w:eastAsia="zh-CN"/>
        </w:rPr>
      </w:pPr>
      <w:r>
        <w:rPr>
          <w:rFonts w:hint="eastAsia" w:ascii="宋体" w:hAnsi="宋体" w:cs="宋体"/>
          <w:kern w:val="0"/>
          <w:szCs w:val="24"/>
        </w:rPr>
        <w:t>（四）中小企业声明函</w:t>
      </w:r>
      <w:r>
        <w:rPr>
          <w:rFonts w:hint="eastAsia" w:ascii="宋体" w:hAnsi="宋体" w:cs="宋体"/>
          <w:kern w:val="0"/>
          <w:szCs w:val="24"/>
          <w:lang w:eastAsia="zh-CN"/>
        </w:rPr>
        <w:t>及分包意向协议</w:t>
      </w:r>
    </w:p>
    <w:p>
      <w:pPr>
        <w:spacing w:after="120" w:line="440" w:lineRule="exact"/>
        <w:ind w:firstLine="240" w:firstLineChars="100"/>
        <w:jc w:val="both"/>
        <w:rPr>
          <w:rFonts w:hint="eastAsia" w:ascii="宋体" w:hAnsi="宋体" w:eastAsia="宋体" w:cs="宋体"/>
          <w:kern w:val="0"/>
          <w:highlight w:val="none"/>
          <w:lang w:val="en-US" w:eastAsia="zh-CN"/>
        </w:rPr>
      </w:pPr>
      <w:r>
        <w:rPr>
          <w:rFonts w:hint="eastAsia" w:ascii="宋体" w:hAnsi="宋体" w:cs="宋体"/>
          <w:kern w:val="0"/>
          <w:szCs w:val="24"/>
          <w:highlight w:val="none"/>
          <w:lang w:eastAsia="zh-CN"/>
        </w:rPr>
        <w:t>（</w:t>
      </w:r>
      <w:r>
        <w:rPr>
          <w:rFonts w:hint="eastAsia" w:ascii="宋体" w:hAnsi="宋体" w:cs="宋体"/>
          <w:kern w:val="0"/>
          <w:szCs w:val="24"/>
          <w:highlight w:val="none"/>
          <w:lang w:val="en-US" w:eastAsia="zh-CN"/>
        </w:rPr>
        <w:t>五</w:t>
      </w:r>
      <w:r>
        <w:rPr>
          <w:rFonts w:hint="eastAsia" w:ascii="宋体" w:hAnsi="宋体" w:cs="宋体"/>
          <w:kern w:val="0"/>
          <w:szCs w:val="24"/>
          <w:highlight w:val="none"/>
          <w:lang w:eastAsia="zh-CN"/>
        </w:rPr>
        <w:t>）</w:t>
      </w:r>
      <w:r>
        <w:rPr>
          <w:rFonts w:hint="eastAsia" w:ascii="宋体" w:hAnsi="宋体" w:cs="宋体"/>
          <w:kern w:val="0"/>
          <w:szCs w:val="24"/>
          <w:highlight w:val="none"/>
          <w:lang w:val="en-US" w:eastAsia="zh-CN"/>
        </w:rPr>
        <w:t>关于符合本国产品标准的声明函（格式附后）</w:t>
      </w:r>
    </w:p>
    <w:p>
      <w:pPr>
        <w:spacing w:after="120" w:line="440" w:lineRule="exact"/>
        <w:ind w:firstLine="240" w:firstLineChars="100"/>
        <w:rPr>
          <w:rFonts w:ascii="宋体" w:hAnsi="宋体" w:cs="宋体"/>
          <w:kern w:val="0"/>
        </w:rPr>
      </w:pPr>
      <w:r>
        <w:rPr>
          <w:rFonts w:hint="eastAsia" w:ascii="宋体" w:hAnsi="宋体" w:cs="宋体"/>
          <w:b/>
          <w:bCs/>
          <w:kern w:val="0"/>
        </w:rPr>
        <w:t>四、商务技术文件</w:t>
      </w:r>
    </w:p>
    <w:p>
      <w:pPr>
        <w:spacing w:after="120" w:line="440" w:lineRule="exact"/>
        <w:ind w:firstLine="240" w:firstLineChars="100"/>
        <w:rPr>
          <w:rFonts w:ascii="宋体" w:hAnsi="宋体" w:cs="宋体"/>
          <w:kern w:val="0"/>
        </w:rPr>
      </w:pPr>
      <w:r>
        <w:rPr>
          <w:rFonts w:hint="eastAsia" w:ascii="宋体" w:hAnsi="宋体" w:cs="宋体"/>
          <w:kern w:val="0"/>
        </w:rPr>
        <w:t>（</w:t>
      </w:r>
      <w:r>
        <w:rPr>
          <w:rFonts w:hint="eastAsia" w:ascii="宋体" w:hAnsi="宋体" w:cs="宋体"/>
          <w:kern w:val="0"/>
          <w:lang w:eastAsia="zh-CN"/>
        </w:rPr>
        <w:t>一</w:t>
      </w:r>
      <w:r>
        <w:rPr>
          <w:rFonts w:hint="eastAsia" w:ascii="宋体" w:hAnsi="宋体" w:cs="宋体"/>
          <w:kern w:val="0"/>
        </w:rPr>
        <w:t>）商务偏离表</w:t>
      </w:r>
    </w:p>
    <w:p>
      <w:pPr>
        <w:spacing w:after="120" w:line="440" w:lineRule="exact"/>
        <w:ind w:firstLine="240" w:firstLineChars="100"/>
        <w:rPr>
          <w:rFonts w:hint="eastAsia" w:ascii="宋体" w:hAnsi="宋体" w:cs="宋体"/>
          <w:kern w:val="0"/>
        </w:rPr>
      </w:pPr>
      <w:r>
        <w:rPr>
          <w:rFonts w:hint="eastAsia" w:ascii="宋体" w:hAnsi="宋体" w:cs="宋体"/>
          <w:kern w:val="0"/>
        </w:rPr>
        <w:t>（</w:t>
      </w:r>
      <w:r>
        <w:rPr>
          <w:rFonts w:hint="eastAsia" w:ascii="宋体" w:hAnsi="宋体" w:cs="宋体"/>
          <w:kern w:val="0"/>
          <w:lang w:eastAsia="zh-CN"/>
        </w:rPr>
        <w:t>二</w:t>
      </w:r>
      <w:r>
        <w:rPr>
          <w:rFonts w:hint="eastAsia" w:ascii="宋体" w:hAnsi="宋体" w:cs="宋体"/>
          <w:kern w:val="0"/>
        </w:rPr>
        <w:t>）</w:t>
      </w:r>
      <w:r>
        <w:rPr>
          <w:rFonts w:hint="eastAsia" w:ascii="宋体" w:hAnsi="宋体" w:cs="宋体"/>
          <w:kern w:val="0"/>
          <w:lang w:eastAsia="zh-CN"/>
        </w:rPr>
        <w:t>技术</w:t>
      </w:r>
      <w:r>
        <w:rPr>
          <w:rFonts w:hint="eastAsia" w:ascii="宋体" w:hAnsi="宋体" w:cs="宋体"/>
          <w:kern w:val="0"/>
        </w:rPr>
        <w:t>偏离表</w:t>
      </w:r>
    </w:p>
    <w:p>
      <w:pPr>
        <w:spacing w:after="120" w:line="440" w:lineRule="exact"/>
        <w:ind w:firstLine="240" w:firstLineChars="100"/>
        <w:rPr>
          <w:rFonts w:hint="eastAsia" w:ascii="宋体" w:hAnsi="宋体" w:cs="宋体"/>
          <w:kern w:val="0"/>
        </w:rPr>
      </w:pPr>
      <w:r>
        <w:rPr>
          <w:rFonts w:hint="eastAsia" w:ascii="宋体" w:hAnsi="宋体" w:cs="宋体"/>
          <w:kern w:val="0"/>
        </w:rPr>
        <w:t>（</w:t>
      </w:r>
      <w:r>
        <w:rPr>
          <w:rFonts w:hint="eastAsia" w:ascii="宋体" w:hAnsi="宋体" w:cs="宋体"/>
          <w:kern w:val="0"/>
          <w:lang w:eastAsia="zh-CN"/>
        </w:rPr>
        <w:t>三</w:t>
      </w:r>
      <w:r>
        <w:rPr>
          <w:rFonts w:hint="eastAsia" w:ascii="宋体" w:hAnsi="宋体" w:cs="宋体"/>
          <w:kern w:val="0"/>
        </w:rPr>
        <w:t>）商务要求响应承诺函</w:t>
      </w:r>
    </w:p>
    <w:p>
      <w:pPr>
        <w:spacing w:after="120" w:line="440" w:lineRule="exact"/>
        <w:ind w:firstLine="240" w:firstLineChars="100"/>
        <w:rPr>
          <w:rFonts w:ascii="宋体" w:hAnsi="宋体" w:cs="宋体"/>
          <w:kern w:val="0"/>
        </w:rPr>
      </w:pPr>
      <w:r>
        <w:rPr>
          <w:rFonts w:hint="eastAsia" w:ascii="宋体" w:hAnsi="宋体" w:cs="宋体"/>
          <w:kern w:val="0"/>
        </w:rPr>
        <w:t>（四）节能、环境标志产品明细表</w:t>
      </w:r>
    </w:p>
    <w:p>
      <w:pPr>
        <w:spacing w:after="120" w:line="440" w:lineRule="exact"/>
        <w:ind w:firstLine="240" w:firstLineChars="100"/>
        <w:rPr>
          <w:rFonts w:ascii="宋体" w:hAnsi="宋体" w:cs="宋体"/>
          <w:kern w:val="0"/>
        </w:rPr>
      </w:pPr>
      <w:r>
        <w:rPr>
          <w:rFonts w:hint="eastAsia" w:ascii="宋体" w:hAnsi="宋体" w:cs="宋体"/>
          <w:kern w:val="0"/>
        </w:rPr>
        <w:t>（五）供货承诺函</w:t>
      </w:r>
    </w:p>
    <w:p>
      <w:pPr>
        <w:spacing w:after="120" w:line="440" w:lineRule="exact"/>
        <w:ind w:firstLine="240" w:firstLineChars="100"/>
        <w:rPr>
          <w:rFonts w:ascii="宋体" w:hAnsi="宋体" w:cs="宋体"/>
          <w:kern w:val="0"/>
        </w:rPr>
      </w:pPr>
      <w:r>
        <w:rPr>
          <w:rFonts w:hint="eastAsia" w:ascii="宋体" w:hAnsi="宋体" w:cs="宋体"/>
          <w:kern w:val="0"/>
        </w:rPr>
        <w:t>（六）售后服务承诺书</w:t>
      </w:r>
    </w:p>
    <w:p>
      <w:pPr>
        <w:spacing w:after="120" w:line="440" w:lineRule="exact"/>
        <w:ind w:firstLine="240" w:firstLineChars="100"/>
        <w:rPr>
          <w:rFonts w:ascii="宋体" w:hAnsi="宋体" w:cs="宋体"/>
          <w:kern w:val="0"/>
        </w:rPr>
      </w:pPr>
      <w:r>
        <w:rPr>
          <w:rFonts w:hint="eastAsia" w:ascii="宋体" w:hAnsi="宋体" w:cs="宋体"/>
          <w:kern w:val="0"/>
        </w:rPr>
        <w:t>（七）质量保证书</w:t>
      </w:r>
    </w:p>
    <w:p>
      <w:pPr>
        <w:spacing w:after="120" w:line="440" w:lineRule="exact"/>
        <w:ind w:firstLine="240" w:firstLineChars="100"/>
        <w:rPr>
          <w:rFonts w:ascii="宋体" w:hAnsi="宋体" w:cs="宋体"/>
          <w:kern w:val="0"/>
        </w:rPr>
      </w:pPr>
      <w:r>
        <w:rPr>
          <w:rFonts w:hint="eastAsia" w:ascii="宋体" w:hAnsi="宋体" w:cs="宋体"/>
          <w:kern w:val="0"/>
        </w:rPr>
        <w:t>（八）反商业贿赂承诺书</w:t>
      </w:r>
    </w:p>
    <w:p>
      <w:pPr>
        <w:spacing w:after="120" w:line="440" w:lineRule="exact"/>
        <w:ind w:firstLine="240" w:firstLineChars="100"/>
      </w:pPr>
      <w:r>
        <w:rPr>
          <w:rFonts w:hint="eastAsia" w:ascii="宋体" w:hAnsi="宋体" w:cs="宋体"/>
          <w:kern w:val="0"/>
        </w:rPr>
        <w:t>（九）谈判</w:t>
      </w:r>
      <w:r>
        <w:rPr>
          <w:rFonts w:hint="eastAsia" w:ascii="宋体" w:hAnsi="宋体" w:cs="宋体"/>
          <w:kern w:val="0"/>
          <w:lang w:eastAsia="zh-CN"/>
        </w:rPr>
        <w:t>供应商</w:t>
      </w:r>
      <w:r>
        <w:rPr>
          <w:rFonts w:hint="eastAsia" w:ascii="宋体" w:hAnsi="宋体" w:cs="宋体"/>
          <w:kern w:val="0"/>
        </w:rPr>
        <w:t>认为有必要提供的声明及文件资料</w:t>
      </w:r>
    </w:p>
    <w:p>
      <w:pPr>
        <w:pStyle w:val="159"/>
        <w:spacing w:line="240" w:lineRule="auto"/>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p>
    <w:p>
      <w:pPr>
        <w:pStyle w:val="159"/>
        <w:spacing w:line="240" w:lineRule="auto"/>
        <w:jc w:val="both"/>
        <w:rPr>
          <w:rStyle w:val="161"/>
          <w:rFonts w:ascii="仿宋" w:hAnsi="仿宋" w:eastAsia="仿宋" w:cs="仿宋"/>
          <w:b/>
          <w:bCs/>
          <w:sz w:val="36"/>
          <w:szCs w:val="36"/>
        </w:rPr>
      </w:pPr>
    </w:p>
    <w:p>
      <w:pPr>
        <w:pStyle w:val="159"/>
        <w:spacing w:line="240" w:lineRule="auto"/>
        <w:rPr>
          <w:rStyle w:val="161"/>
          <w:rFonts w:ascii="仿宋" w:hAnsi="仿宋" w:eastAsia="仿宋" w:cs="仿宋"/>
          <w:b/>
          <w:bCs/>
          <w:sz w:val="36"/>
          <w:szCs w:val="36"/>
        </w:rPr>
      </w:pPr>
      <w:r>
        <w:rPr>
          <w:rStyle w:val="161"/>
          <w:rFonts w:hint="eastAsia" w:ascii="仿宋" w:hAnsi="仿宋" w:eastAsia="仿宋" w:cs="仿宋"/>
          <w:b/>
          <w:bCs/>
          <w:sz w:val="36"/>
          <w:szCs w:val="36"/>
        </w:rPr>
        <w:t>一、响应文件封面</w:t>
      </w:r>
    </w:p>
    <w:p>
      <w:pPr>
        <w:pStyle w:val="162"/>
        <w:spacing w:line="360" w:lineRule="auto"/>
        <w:rPr>
          <w:rFonts w:ascii="仿宋" w:hAnsi="仿宋" w:eastAsia="仿宋" w:cs="仿宋"/>
          <w:b/>
          <w:color w:val="000000"/>
          <w:sz w:val="24"/>
          <w:szCs w:val="24"/>
        </w:rPr>
      </w:pPr>
    </w:p>
    <w:p>
      <w:pPr>
        <w:pStyle w:val="162"/>
        <w:spacing w:line="360" w:lineRule="auto"/>
        <w:jc w:val="center"/>
        <w:rPr>
          <w:rFonts w:ascii="仿宋" w:hAnsi="仿宋" w:eastAsia="仿宋" w:cs="仿宋"/>
          <w:color w:val="000000"/>
          <w:sz w:val="24"/>
          <w:szCs w:val="24"/>
        </w:rPr>
      </w:pPr>
    </w:p>
    <w:p>
      <w:pPr>
        <w:pStyle w:val="162"/>
        <w:spacing w:line="360" w:lineRule="auto"/>
        <w:ind w:firstLine="2100" w:firstLineChars="875"/>
        <w:rPr>
          <w:rFonts w:ascii="仿宋" w:hAnsi="仿宋" w:eastAsia="仿宋" w:cs="仿宋"/>
          <w:color w:val="000000"/>
          <w:sz w:val="24"/>
          <w:szCs w:val="24"/>
        </w:rPr>
      </w:pPr>
      <w:r>
        <w:rPr>
          <w:rFonts w:hint="eastAsia" w:ascii="仿宋" w:hAnsi="仿宋" w:eastAsia="仿宋" w:cs="仿宋"/>
          <w:color w:val="000000"/>
          <w:sz w:val="24"/>
          <w:szCs w:val="24"/>
        </w:rPr>
        <w:t>（项目名称）</w:t>
      </w:r>
    </w:p>
    <w:p>
      <w:pPr>
        <w:pStyle w:val="162"/>
        <w:spacing w:line="360" w:lineRule="auto"/>
        <w:ind w:firstLine="2100" w:firstLineChars="875"/>
        <w:jc w:val="center"/>
        <w:rPr>
          <w:rFonts w:ascii="仿宋" w:hAnsi="仿宋" w:eastAsia="仿宋" w:cs="仿宋"/>
          <w:color w:val="000000"/>
          <w:sz w:val="24"/>
          <w:szCs w:val="24"/>
        </w:rPr>
      </w:pPr>
    </w:p>
    <w:p>
      <w:pPr>
        <w:pStyle w:val="162"/>
        <w:spacing w:line="360" w:lineRule="auto"/>
        <w:ind w:firstLine="2100" w:firstLineChars="875"/>
        <w:rPr>
          <w:rFonts w:ascii="仿宋" w:hAnsi="仿宋" w:eastAsia="仿宋" w:cs="仿宋"/>
          <w:color w:val="000000"/>
          <w:sz w:val="24"/>
          <w:szCs w:val="24"/>
        </w:rPr>
      </w:pPr>
      <w:r>
        <w:rPr>
          <w:rFonts w:hint="eastAsia" w:ascii="仿宋" w:hAnsi="仿宋" w:eastAsia="仿宋" w:cs="仿宋"/>
          <w:color w:val="000000"/>
          <w:sz w:val="24"/>
          <w:szCs w:val="24"/>
        </w:rPr>
        <w:t>（项目编号）</w:t>
      </w:r>
    </w:p>
    <w:p>
      <w:pPr>
        <w:pStyle w:val="162"/>
        <w:spacing w:line="360" w:lineRule="auto"/>
        <w:jc w:val="center"/>
        <w:rPr>
          <w:rFonts w:ascii="仿宋" w:hAnsi="仿宋" w:eastAsia="仿宋" w:cs="仿宋"/>
          <w:color w:val="000000"/>
          <w:sz w:val="24"/>
          <w:szCs w:val="24"/>
        </w:rPr>
      </w:pPr>
    </w:p>
    <w:p>
      <w:pPr>
        <w:pStyle w:val="162"/>
        <w:spacing w:line="360" w:lineRule="auto"/>
        <w:jc w:val="center"/>
        <w:rPr>
          <w:rFonts w:ascii="仿宋" w:hAnsi="仿宋" w:eastAsia="仿宋" w:cs="仿宋"/>
          <w:b/>
          <w:sz w:val="24"/>
          <w:szCs w:val="24"/>
        </w:rPr>
      </w:pPr>
    </w:p>
    <w:p>
      <w:pPr>
        <w:pStyle w:val="162"/>
        <w:spacing w:line="360" w:lineRule="auto"/>
        <w:jc w:val="center"/>
        <w:rPr>
          <w:rFonts w:ascii="仿宋" w:hAnsi="仿宋" w:eastAsia="仿宋" w:cs="仿宋"/>
          <w:b/>
          <w:sz w:val="24"/>
          <w:szCs w:val="24"/>
        </w:rPr>
      </w:pPr>
    </w:p>
    <w:p>
      <w:pPr>
        <w:pStyle w:val="159"/>
        <w:spacing w:line="240" w:lineRule="auto"/>
        <w:rPr>
          <w:rStyle w:val="161"/>
          <w:rFonts w:ascii="仿宋" w:hAnsi="仿宋" w:eastAsia="仿宋" w:cs="仿宋"/>
          <w:b/>
          <w:bCs/>
          <w:sz w:val="36"/>
          <w:szCs w:val="36"/>
        </w:rPr>
      </w:pPr>
      <w:r>
        <w:rPr>
          <w:rStyle w:val="161"/>
          <w:rFonts w:hint="eastAsia" w:ascii="仿宋" w:hAnsi="仿宋" w:eastAsia="仿宋" w:cs="仿宋"/>
          <w:b/>
          <w:bCs/>
          <w:sz w:val="36"/>
          <w:szCs w:val="36"/>
        </w:rPr>
        <w:t>响应文件</w:t>
      </w:r>
    </w:p>
    <w:p>
      <w:pPr>
        <w:pStyle w:val="162"/>
        <w:spacing w:line="360" w:lineRule="auto"/>
        <w:jc w:val="center"/>
        <w:rPr>
          <w:rFonts w:ascii="仿宋" w:hAnsi="仿宋" w:eastAsia="仿宋" w:cs="仿宋"/>
          <w:color w:val="000000"/>
          <w:sz w:val="24"/>
          <w:szCs w:val="24"/>
        </w:rPr>
      </w:pPr>
    </w:p>
    <w:p>
      <w:pPr>
        <w:pStyle w:val="162"/>
        <w:spacing w:line="360" w:lineRule="auto"/>
        <w:jc w:val="center"/>
        <w:rPr>
          <w:rFonts w:ascii="仿宋" w:hAnsi="仿宋" w:eastAsia="仿宋" w:cs="仿宋"/>
          <w:color w:val="000000"/>
          <w:sz w:val="24"/>
          <w:szCs w:val="24"/>
        </w:rPr>
      </w:pPr>
    </w:p>
    <w:p>
      <w:pPr>
        <w:pStyle w:val="162"/>
        <w:spacing w:line="360" w:lineRule="auto"/>
        <w:jc w:val="center"/>
        <w:rPr>
          <w:rFonts w:ascii="仿宋" w:hAnsi="仿宋" w:eastAsia="仿宋" w:cs="仿宋"/>
          <w:b/>
          <w:color w:val="000000"/>
          <w:sz w:val="24"/>
          <w:szCs w:val="24"/>
        </w:rPr>
      </w:pPr>
    </w:p>
    <w:p>
      <w:pPr>
        <w:pStyle w:val="162"/>
        <w:spacing w:line="360" w:lineRule="auto"/>
        <w:jc w:val="center"/>
        <w:rPr>
          <w:rFonts w:ascii="仿宋" w:hAnsi="仿宋" w:eastAsia="仿宋" w:cs="仿宋"/>
          <w:b/>
          <w:color w:val="000000"/>
          <w:sz w:val="24"/>
          <w:szCs w:val="24"/>
        </w:rPr>
      </w:pPr>
    </w:p>
    <w:p>
      <w:pPr>
        <w:pStyle w:val="162"/>
        <w:spacing w:line="360" w:lineRule="auto"/>
        <w:jc w:val="center"/>
        <w:rPr>
          <w:rFonts w:ascii="仿宋" w:hAnsi="仿宋" w:eastAsia="仿宋" w:cs="仿宋"/>
          <w:b/>
          <w:color w:val="000000"/>
          <w:sz w:val="24"/>
          <w:szCs w:val="24"/>
        </w:rPr>
      </w:pPr>
    </w:p>
    <w:p>
      <w:pPr>
        <w:pStyle w:val="162"/>
        <w:spacing w:line="360" w:lineRule="auto"/>
        <w:jc w:val="center"/>
        <w:rPr>
          <w:rFonts w:ascii="仿宋" w:hAnsi="仿宋" w:eastAsia="仿宋" w:cs="仿宋"/>
          <w:b/>
          <w:color w:val="000000"/>
          <w:sz w:val="24"/>
          <w:szCs w:val="24"/>
        </w:rPr>
      </w:pPr>
    </w:p>
    <w:p>
      <w:pPr>
        <w:pStyle w:val="162"/>
        <w:spacing w:line="360" w:lineRule="auto"/>
        <w:jc w:val="center"/>
        <w:rPr>
          <w:rFonts w:ascii="仿宋" w:hAnsi="仿宋" w:eastAsia="仿宋" w:cs="仿宋"/>
          <w:b/>
          <w:color w:val="000000"/>
          <w:sz w:val="24"/>
          <w:szCs w:val="24"/>
        </w:rPr>
      </w:pPr>
    </w:p>
    <w:p>
      <w:pPr>
        <w:pStyle w:val="162"/>
        <w:spacing w:line="360" w:lineRule="auto"/>
        <w:ind w:firstLine="2100" w:firstLineChars="875"/>
        <w:rPr>
          <w:rFonts w:ascii="仿宋" w:hAnsi="仿宋" w:eastAsia="仿宋" w:cs="仿宋"/>
          <w:color w:val="000000"/>
          <w:sz w:val="24"/>
          <w:szCs w:val="24"/>
          <w:u w:val="single"/>
        </w:rPr>
      </w:pPr>
      <w:r>
        <w:rPr>
          <w:rFonts w:hint="eastAsia" w:ascii="仿宋" w:hAnsi="仿宋" w:eastAsia="仿宋" w:cs="仿宋"/>
          <w:color w:val="000000"/>
          <w:sz w:val="24"/>
          <w:szCs w:val="24"/>
        </w:rPr>
        <w:t>供应商（电子签章）</w:t>
      </w:r>
    </w:p>
    <w:p>
      <w:pPr>
        <w:pStyle w:val="162"/>
        <w:spacing w:line="360" w:lineRule="auto"/>
        <w:ind w:firstLine="2100" w:firstLineChars="875"/>
        <w:rPr>
          <w:rFonts w:ascii="仿宋" w:hAnsi="仿宋" w:eastAsia="仿宋" w:cs="仿宋"/>
          <w:color w:val="000000"/>
          <w:sz w:val="24"/>
          <w:szCs w:val="24"/>
        </w:rPr>
      </w:pPr>
      <w:r>
        <w:rPr>
          <w:rFonts w:hint="eastAsia" w:ascii="国标仿宋-GB/T 2312" w:hAnsi="国标仿宋-GB/T 2312" w:eastAsia="国标仿宋-GB/T 2312" w:cs="国标仿宋-GB/T 2312"/>
          <w:sz w:val="24"/>
        </w:rPr>
        <w:t>法定代表人或</w:t>
      </w:r>
      <w:r>
        <w:rPr>
          <w:rFonts w:hint="eastAsia" w:ascii="国标仿宋-GB/T 2312" w:hAnsi="国标仿宋-GB/T 2312" w:eastAsia="国标仿宋-GB/T 2312" w:cs="国标仿宋-GB/T 2312"/>
          <w:sz w:val="24"/>
          <w:lang w:val="en-US" w:eastAsia="zh-CN"/>
        </w:rPr>
        <w:t>授权代表</w:t>
      </w:r>
      <w:r>
        <w:rPr>
          <w:rFonts w:hint="eastAsia" w:ascii="国标仿宋-GB/T 2312" w:hAnsi="国标仿宋-GB/T 2312" w:eastAsia="国标仿宋-GB/T 2312" w:cs="国标仿宋-GB/T 2312"/>
          <w:sz w:val="24"/>
        </w:rPr>
        <w:t>：</w:t>
      </w:r>
      <w:r>
        <w:rPr>
          <w:rFonts w:hint="eastAsia" w:ascii="仿宋" w:hAnsi="仿宋" w:eastAsia="仿宋" w:cs="仿宋"/>
          <w:color w:val="000000"/>
          <w:sz w:val="24"/>
          <w:szCs w:val="24"/>
        </w:rPr>
        <w:t>（电子签名）</w:t>
      </w:r>
    </w:p>
    <w:p>
      <w:pPr>
        <w:pStyle w:val="162"/>
        <w:spacing w:line="360" w:lineRule="auto"/>
        <w:ind w:firstLine="2100" w:firstLineChars="875"/>
        <w:rPr>
          <w:rFonts w:ascii="仿宋" w:hAnsi="仿宋" w:eastAsia="仿宋" w:cs="仿宋"/>
          <w:color w:val="000000"/>
          <w:sz w:val="24"/>
          <w:szCs w:val="24"/>
          <w:u w:val="single"/>
        </w:rPr>
      </w:pPr>
      <w:r>
        <w:rPr>
          <w:rFonts w:hint="eastAsia" w:ascii="仿宋" w:hAnsi="仿宋" w:eastAsia="仿宋" w:cs="仿宋"/>
          <w:color w:val="000000"/>
          <w:sz w:val="24"/>
          <w:szCs w:val="24"/>
        </w:rPr>
        <w:t>日期（年/月/日）</w:t>
      </w:r>
    </w:p>
    <w:p>
      <w:pPr>
        <w:spacing w:line="240" w:lineRule="auto"/>
        <w:ind w:firstLine="0" w:firstLineChars="0"/>
        <w:jc w:val="center"/>
        <w:rPr>
          <w:rStyle w:val="161"/>
          <w:rFonts w:hint="eastAsia" w:ascii="仿宋" w:hAnsi="仿宋" w:eastAsia="仿宋" w:cs="仿宋"/>
          <w:b/>
          <w:bCs/>
          <w:sz w:val="36"/>
          <w:szCs w:val="36"/>
        </w:rPr>
      </w:pPr>
    </w:p>
    <w:p>
      <w:pPr>
        <w:spacing w:line="240" w:lineRule="auto"/>
        <w:ind w:firstLine="0" w:firstLineChars="0"/>
        <w:jc w:val="center"/>
        <w:rPr>
          <w:rStyle w:val="161"/>
          <w:rFonts w:ascii="仿宋" w:hAnsi="仿宋" w:eastAsia="仿宋" w:cs="仿宋"/>
          <w:b/>
          <w:bCs/>
          <w:sz w:val="36"/>
          <w:szCs w:val="36"/>
        </w:rPr>
      </w:pPr>
      <w:r>
        <w:rPr>
          <w:rStyle w:val="161"/>
          <w:rFonts w:hint="eastAsia" w:ascii="仿宋" w:hAnsi="仿宋" w:eastAsia="仿宋" w:cs="仿宋"/>
          <w:b/>
          <w:bCs/>
          <w:sz w:val="36"/>
          <w:szCs w:val="36"/>
        </w:rPr>
        <w:t>二、资格审查材料</w:t>
      </w:r>
    </w:p>
    <w:p>
      <w:pPr>
        <w:pStyle w:val="159"/>
        <w:rPr>
          <w:rStyle w:val="161"/>
          <w:rFonts w:ascii="仿宋" w:hAnsi="仿宋" w:eastAsia="仿宋" w:cs="仿宋"/>
          <w:b/>
          <w:bCs/>
        </w:rPr>
      </w:pPr>
      <w:r>
        <w:rPr>
          <w:rFonts w:hint="eastAsia" w:ascii="仿宋" w:hAnsi="仿宋" w:eastAsia="仿宋" w:cs="仿宋"/>
        </w:rPr>
        <w:t>（</w:t>
      </w:r>
      <w:r>
        <w:rPr>
          <w:rFonts w:hint="eastAsia" w:ascii="仿宋" w:hAnsi="仿宋" w:eastAsia="仿宋" w:cs="仿宋"/>
          <w:lang w:eastAsia="zh-CN"/>
        </w:rPr>
        <w:t>一</w:t>
      </w:r>
      <w:r>
        <w:rPr>
          <w:rFonts w:hint="eastAsia" w:ascii="仿宋" w:hAnsi="仿宋" w:eastAsia="仿宋" w:cs="仿宋"/>
        </w:rPr>
        <w:t>）供应商营业执照</w:t>
      </w:r>
      <w:r>
        <w:rPr>
          <w:rFonts w:hint="eastAsia" w:ascii="仿宋" w:hAnsi="仿宋" w:eastAsia="仿宋" w:cs="仿宋"/>
        </w:rPr>
        <w:br w:type="page"/>
      </w:r>
      <w:r>
        <w:rPr>
          <w:rStyle w:val="161"/>
          <w:rFonts w:hint="eastAsia" w:ascii="仿宋" w:hAnsi="仿宋" w:eastAsia="仿宋" w:cs="仿宋"/>
          <w:b/>
          <w:bCs/>
        </w:rPr>
        <w:t>（二）法定代表人身份证明及法定代表人授权委托书</w:t>
      </w:r>
    </w:p>
    <w:p>
      <w:pPr>
        <w:spacing w:before="100" w:beforeAutospacing="1" w:after="100" w:afterAutospacing="1" w:line="360" w:lineRule="auto"/>
        <w:ind w:firstLine="0" w:firstLineChars="0"/>
        <w:jc w:val="center"/>
        <w:rPr>
          <w:rFonts w:ascii="仿宋" w:hAnsi="仿宋" w:eastAsia="仿宋" w:cs="仿宋"/>
          <w:b/>
          <w:bCs/>
          <w:lang w:val="zh-CN"/>
        </w:rPr>
      </w:pPr>
      <w:bookmarkStart w:id="145" w:name="_Toc4012"/>
      <w:r>
        <w:rPr>
          <w:rFonts w:hint="eastAsia" w:ascii="仿宋" w:hAnsi="仿宋" w:eastAsia="仿宋" w:cs="仿宋"/>
          <w:b/>
          <w:bCs/>
          <w:kern w:val="0"/>
          <w:lang w:val="zh-CN"/>
        </w:rPr>
        <w:t>法定代表人身份证明</w:t>
      </w:r>
      <w:bookmarkEnd w:id="145"/>
    </w:p>
    <w:p>
      <w:pPr>
        <w:spacing w:line="360" w:lineRule="auto"/>
        <w:ind w:firstLine="480"/>
        <w:rPr>
          <w:rFonts w:ascii="仿宋" w:hAnsi="仿宋" w:eastAsia="仿宋" w:cs="仿宋"/>
        </w:rPr>
      </w:pPr>
      <w:r>
        <w:rPr>
          <w:rFonts w:hint="eastAsia" w:ascii="仿宋" w:hAnsi="仿宋" w:eastAsia="仿宋" w:cs="仿宋"/>
        </w:rPr>
        <w:t>供应商名称：</w:t>
      </w:r>
    </w:p>
    <w:p>
      <w:pPr>
        <w:spacing w:line="360" w:lineRule="auto"/>
        <w:ind w:firstLine="480"/>
        <w:rPr>
          <w:rFonts w:ascii="仿宋" w:hAnsi="仿宋" w:eastAsia="仿宋" w:cs="仿宋"/>
        </w:rPr>
      </w:pPr>
      <w:r>
        <w:rPr>
          <w:rFonts w:hint="eastAsia" w:ascii="仿宋" w:hAnsi="仿宋" w:eastAsia="仿宋" w:cs="仿宋"/>
        </w:rPr>
        <w:t>单位性质：</w:t>
      </w:r>
    </w:p>
    <w:p>
      <w:pPr>
        <w:spacing w:line="360" w:lineRule="auto"/>
        <w:ind w:firstLine="480"/>
        <w:rPr>
          <w:rFonts w:ascii="仿宋" w:hAnsi="仿宋" w:eastAsia="仿宋" w:cs="仿宋"/>
        </w:rPr>
      </w:pPr>
      <w:r>
        <w:rPr>
          <w:rFonts w:hint="eastAsia" w:ascii="仿宋" w:hAnsi="仿宋" w:eastAsia="仿宋" w:cs="仿宋"/>
        </w:rPr>
        <w:t>地址：</w:t>
      </w:r>
    </w:p>
    <w:p>
      <w:pPr>
        <w:spacing w:line="360" w:lineRule="auto"/>
        <w:ind w:firstLine="480"/>
        <w:rPr>
          <w:rFonts w:ascii="仿宋" w:hAnsi="仿宋" w:eastAsia="仿宋" w:cs="仿宋"/>
        </w:rPr>
      </w:pPr>
      <w:r>
        <w:rPr>
          <w:rFonts w:hint="eastAsia" w:ascii="仿宋" w:hAnsi="仿宋" w:eastAsia="仿宋" w:cs="仿宋"/>
        </w:rPr>
        <w:t>成立时间：年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ind w:firstLine="480"/>
        <w:rPr>
          <w:rFonts w:ascii="仿宋" w:hAnsi="仿宋" w:eastAsia="仿宋" w:cs="仿宋"/>
        </w:rPr>
      </w:pPr>
      <w:r>
        <w:rPr>
          <w:rFonts w:hint="eastAsia" w:ascii="仿宋" w:hAnsi="仿宋" w:eastAsia="仿宋" w:cs="仿宋"/>
        </w:rPr>
        <w:t>经营期限：</w:t>
      </w:r>
    </w:p>
    <w:p>
      <w:pPr>
        <w:spacing w:line="360" w:lineRule="auto"/>
        <w:ind w:firstLine="480"/>
        <w:rPr>
          <w:rFonts w:ascii="仿宋" w:hAnsi="仿宋" w:eastAsia="仿宋" w:cs="仿宋"/>
        </w:rPr>
      </w:pPr>
    </w:p>
    <w:p>
      <w:pPr>
        <w:spacing w:line="360" w:lineRule="auto"/>
        <w:ind w:firstLine="480"/>
        <w:rPr>
          <w:rFonts w:ascii="仿宋" w:hAnsi="仿宋" w:eastAsia="仿宋" w:cs="仿宋"/>
        </w:rPr>
      </w:pPr>
      <w:r>
        <w:rPr>
          <w:rFonts w:hint="eastAsia" w:ascii="仿宋" w:hAnsi="仿宋" w:eastAsia="仿宋" w:cs="仿宋"/>
        </w:rPr>
        <w:t>姓名： 性别： 年龄：职务：</w:t>
      </w:r>
    </w:p>
    <w:p>
      <w:pPr>
        <w:spacing w:line="360" w:lineRule="auto"/>
        <w:ind w:firstLine="480"/>
        <w:rPr>
          <w:rFonts w:ascii="仿宋" w:hAnsi="仿宋" w:eastAsia="仿宋" w:cs="仿宋"/>
        </w:rPr>
      </w:pPr>
      <w:r>
        <w:rPr>
          <w:rFonts w:hint="eastAsia" w:ascii="仿宋" w:hAnsi="仿宋" w:eastAsia="仿宋" w:cs="仿宋"/>
        </w:rPr>
        <w:t>系 （供应商名称）的法定代表人。</w:t>
      </w:r>
    </w:p>
    <w:p>
      <w:pPr>
        <w:spacing w:line="360" w:lineRule="auto"/>
        <w:ind w:firstLine="480"/>
        <w:rPr>
          <w:rFonts w:ascii="仿宋" w:hAnsi="仿宋" w:eastAsia="仿宋" w:cs="仿宋"/>
        </w:rPr>
      </w:pPr>
      <w:r>
        <w:rPr>
          <w:rFonts w:hint="eastAsia" w:ascii="仿宋" w:hAnsi="仿宋" w:eastAsia="仿宋" w:cs="仿宋"/>
        </w:rPr>
        <w:t>特此证明。</w:t>
      </w:r>
    </w:p>
    <w:p>
      <w:pPr>
        <w:spacing w:line="360" w:lineRule="auto"/>
        <w:ind w:firstLine="480"/>
        <w:rPr>
          <w:rFonts w:ascii="仿宋" w:hAnsi="仿宋" w:eastAsia="仿宋" w:cs="仿宋"/>
        </w:rPr>
      </w:pPr>
    </w:p>
    <w:p>
      <w:pPr>
        <w:spacing w:line="360" w:lineRule="auto"/>
        <w:ind w:firstLine="480"/>
        <w:rPr>
          <w:rFonts w:ascii="仿宋" w:hAnsi="仿宋" w:eastAsia="仿宋" w:cs="仿宋"/>
        </w:rPr>
      </w:pPr>
      <w:r>
        <w:rPr>
          <w:rFonts w:hint="eastAsia" w:ascii="仿宋" w:hAnsi="仿宋" w:eastAsia="仿宋" w:cs="仿宋"/>
        </w:rPr>
        <w:t>附：法定代表人身份证复印件。</w:t>
      </w:r>
    </w:p>
    <w:p>
      <w:pPr>
        <w:spacing w:line="360" w:lineRule="auto"/>
        <w:ind w:firstLine="0" w:firstLineChars="0"/>
        <w:rPr>
          <w:rFonts w:ascii="仿宋" w:hAnsi="仿宋" w:eastAsia="仿宋" w:cs="仿宋"/>
        </w:rPr>
      </w:pPr>
    </w:p>
    <w:p>
      <w:pPr>
        <w:spacing w:line="360" w:lineRule="auto"/>
        <w:ind w:firstLine="0" w:firstLineChars="0"/>
        <w:rPr>
          <w:rFonts w:ascii="仿宋" w:hAnsi="仿宋" w:eastAsia="仿宋" w:cs="仿宋"/>
        </w:rPr>
      </w:pPr>
    </w:p>
    <w:p>
      <w:pPr>
        <w:spacing w:line="360" w:lineRule="auto"/>
        <w:ind w:firstLine="0" w:firstLineChars="0"/>
        <w:rPr>
          <w:rFonts w:ascii="仿宋" w:hAnsi="仿宋" w:eastAsia="仿宋" w:cs="仿宋"/>
        </w:rPr>
      </w:pPr>
      <w:r>
        <w:rPr>
          <w:rFonts w:hint="eastAsia" w:ascii="仿宋" w:hAnsi="仿宋" w:eastAsia="仿宋" w:cs="仿宋"/>
        </w:rPr>
        <w:t xml:space="preserve">                          供应商：（公章）</w:t>
      </w:r>
    </w:p>
    <w:p>
      <w:pPr>
        <w:spacing w:line="360" w:lineRule="auto"/>
        <w:ind w:firstLine="3120" w:firstLineChars="1300"/>
        <w:rPr>
          <w:rFonts w:ascii="仿宋" w:hAnsi="仿宋" w:eastAsia="仿宋" w:cs="仿宋"/>
          <w:kern w:val="1"/>
          <w:u w:val="single"/>
        </w:rPr>
      </w:pPr>
      <w:r>
        <w:rPr>
          <w:rFonts w:hint="eastAsia" w:ascii="仿宋" w:hAnsi="仿宋" w:eastAsia="仿宋" w:cs="仿宋"/>
        </w:rPr>
        <w:t>日      期：      年   月   日</w:t>
      </w:r>
    </w:p>
    <w:p>
      <w:pPr>
        <w:spacing w:before="100" w:beforeAutospacing="1" w:after="100" w:afterAutospacing="1" w:line="360" w:lineRule="auto"/>
        <w:ind w:firstLine="0" w:firstLineChars="0"/>
        <w:jc w:val="left"/>
        <w:rPr>
          <w:rFonts w:ascii="仿宋" w:hAnsi="仿宋" w:eastAsia="仿宋" w:cs="仿宋"/>
          <w:kern w:val="1"/>
        </w:rPr>
      </w:pPr>
    </w:p>
    <w:p>
      <w:pPr>
        <w:spacing w:line="360" w:lineRule="auto"/>
        <w:ind w:firstLine="0" w:firstLineChars="0"/>
        <w:rPr>
          <w:rFonts w:ascii="仿宋" w:hAnsi="仿宋" w:eastAsia="仿宋" w:cs="仿宋"/>
          <w:b/>
          <w:bCs/>
        </w:rPr>
      </w:pPr>
      <w:r>
        <w:rPr>
          <w:rFonts w:hint="eastAsia" w:ascii="仿宋" w:hAnsi="仿宋" w:eastAsia="仿宋" w:cs="仿宋"/>
          <w:b/>
          <w:bCs/>
        </w:rPr>
        <w:t>注：1.法定代表人参加本次谈判的应签署本文件并附本人身份证复印件；</w:t>
      </w:r>
    </w:p>
    <w:p>
      <w:pPr>
        <w:spacing w:line="360" w:lineRule="auto"/>
        <w:ind w:firstLine="482"/>
        <w:rPr>
          <w:rFonts w:ascii="仿宋" w:hAnsi="仿宋" w:eastAsia="仿宋" w:cs="仿宋"/>
          <w:b/>
          <w:bCs/>
        </w:rPr>
      </w:pPr>
      <w:r>
        <w:rPr>
          <w:rFonts w:hint="eastAsia" w:ascii="仿宋" w:hAnsi="仿宋" w:eastAsia="仿宋" w:cs="仿宋"/>
          <w:b/>
          <w:bCs/>
        </w:rPr>
        <w:t>2.如法定代表人不参加本次谈判，应签署《法定代表人授权委托书及</w:t>
      </w:r>
      <w:r>
        <w:rPr>
          <w:rFonts w:hint="eastAsia" w:ascii="仿宋" w:hAnsi="仿宋" w:eastAsia="仿宋" w:cs="仿宋"/>
          <w:b/>
          <w:bCs/>
          <w:lang w:eastAsia="zh-CN"/>
        </w:rPr>
        <w:t>法定代表人</w:t>
      </w:r>
      <w:r>
        <w:rPr>
          <w:rFonts w:hint="eastAsia" w:ascii="仿宋" w:hAnsi="仿宋" w:eastAsia="仿宋" w:cs="仿宋"/>
          <w:b/>
          <w:bCs/>
        </w:rPr>
        <w:t>身份证明》。</w:t>
      </w:r>
    </w:p>
    <w:p>
      <w:pPr>
        <w:pStyle w:val="159"/>
        <w:rPr>
          <w:rStyle w:val="161"/>
          <w:rFonts w:hint="eastAsia" w:ascii="仿宋" w:hAnsi="仿宋" w:eastAsia="仿宋" w:cs="仿宋"/>
          <w:b/>
          <w:bCs/>
        </w:rPr>
      </w:pPr>
    </w:p>
    <w:p>
      <w:pPr>
        <w:pStyle w:val="159"/>
        <w:rPr>
          <w:rFonts w:ascii="仿宋" w:hAnsi="仿宋" w:eastAsia="仿宋" w:cs="仿宋"/>
          <w:bCs/>
          <w:kern w:val="1"/>
          <w:sz w:val="24"/>
          <w:szCs w:val="24"/>
        </w:rPr>
      </w:pPr>
      <w:r>
        <w:rPr>
          <w:rStyle w:val="161"/>
          <w:rFonts w:hint="eastAsia" w:ascii="仿宋" w:hAnsi="仿宋" w:eastAsia="仿宋" w:cs="仿宋"/>
          <w:b/>
          <w:bCs/>
        </w:rPr>
        <w:t>法定代表人授权委托书</w:t>
      </w:r>
    </w:p>
    <w:p>
      <w:pPr>
        <w:widowControl/>
        <w:autoSpaceDE w:val="0"/>
        <w:autoSpaceDN w:val="0"/>
        <w:adjustRightInd w:val="0"/>
        <w:spacing w:line="360" w:lineRule="auto"/>
        <w:ind w:firstLine="0" w:firstLineChars="0"/>
        <w:rPr>
          <w:rFonts w:ascii="仿宋" w:hAnsi="仿宋" w:eastAsia="仿宋" w:cs="仿宋"/>
          <w:kern w:val="1"/>
        </w:rPr>
      </w:pPr>
    </w:p>
    <w:p>
      <w:pPr>
        <w:widowControl/>
        <w:autoSpaceDE w:val="0"/>
        <w:autoSpaceDN w:val="0"/>
        <w:adjustRightInd w:val="0"/>
        <w:spacing w:line="360" w:lineRule="auto"/>
        <w:ind w:firstLine="0" w:firstLineChars="0"/>
        <w:rPr>
          <w:rFonts w:ascii="仿宋" w:hAnsi="仿宋" w:eastAsia="仿宋" w:cs="仿宋"/>
          <w:kern w:val="1"/>
        </w:rPr>
      </w:pPr>
      <w:r>
        <w:rPr>
          <w:rFonts w:hint="eastAsia" w:ascii="仿宋" w:hAnsi="仿宋" w:eastAsia="仿宋" w:cs="仿宋"/>
          <w:kern w:val="1"/>
          <w:u w:val="single"/>
        </w:rPr>
        <w:t xml:space="preserve">   （采购人）  </w:t>
      </w:r>
      <w:r>
        <w:rPr>
          <w:rStyle w:val="163"/>
          <w:rFonts w:hint="eastAsia" w:cs="仿宋"/>
        </w:rPr>
        <w:t>：</w:t>
      </w:r>
    </w:p>
    <w:p>
      <w:pPr>
        <w:widowControl/>
        <w:autoSpaceDE w:val="0"/>
        <w:autoSpaceDN w:val="0"/>
        <w:adjustRightInd w:val="0"/>
        <w:spacing w:line="360" w:lineRule="auto"/>
        <w:ind w:firstLine="480"/>
        <w:rPr>
          <w:rFonts w:ascii="仿宋" w:hAnsi="仿宋" w:eastAsia="仿宋" w:cs="仿宋"/>
          <w:kern w:val="1"/>
        </w:rPr>
      </w:pPr>
      <w:r>
        <w:rPr>
          <w:rStyle w:val="163"/>
          <w:rFonts w:hint="eastAsia" w:cs="仿宋"/>
        </w:rPr>
        <w:t>我</w:t>
      </w:r>
      <w:r>
        <w:rPr>
          <w:rFonts w:hint="eastAsia" w:ascii="仿宋" w:hAnsi="仿宋" w:eastAsia="仿宋" w:cs="仿宋"/>
          <w:kern w:val="1"/>
          <w:u w:val="single"/>
        </w:rPr>
        <w:t xml:space="preserve">   （姓名） </w:t>
      </w:r>
      <w:r>
        <w:rPr>
          <w:rStyle w:val="163"/>
          <w:rFonts w:hint="eastAsia" w:cs="仿宋"/>
        </w:rPr>
        <w:t>系</w:t>
      </w:r>
      <w:r>
        <w:rPr>
          <w:rFonts w:hint="eastAsia" w:ascii="仿宋" w:hAnsi="仿宋" w:eastAsia="仿宋" w:cs="仿宋"/>
          <w:kern w:val="1"/>
          <w:u w:val="single"/>
        </w:rPr>
        <w:t xml:space="preserve">    （供应商名称）</w:t>
      </w:r>
      <w:r>
        <w:rPr>
          <w:rStyle w:val="163"/>
          <w:rFonts w:hint="eastAsia" w:cs="仿宋"/>
        </w:rPr>
        <w:t>法定代表人，现授权委托我公司的</w:t>
      </w:r>
      <w:r>
        <w:rPr>
          <w:rFonts w:hint="eastAsia" w:ascii="仿宋" w:hAnsi="仿宋" w:eastAsia="仿宋" w:cs="仿宋"/>
          <w:kern w:val="1"/>
          <w:u w:val="single"/>
        </w:rPr>
        <w:t xml:space="preserve">  （姓名、职务或者职称）</w:t>
      </w:r>
      <w:r>
        <w:rPr>
          <w:rStyle w:val="163"/>
          <w:rFonts w:hint="eastAsia" w:cs="仿宋"/>
        </w:rPr>
        <w:t>为我公司本次项目的授权代表，代表我方办理本次投标、签约等相关事宜，签署全部有关的文件、协议、合同并具有法律效力。</w:t>
      </w:r>
    </w:p>
    <w:p>
      <w:pPr>
        <w:widowControl/>
        <w:autoSpaceDE w:val="0"/>
        <w:autoSpaceDN w:val="0"/>
        <w:adjustRightInd w:val="0"/>
        <w:spacing w:line="360" w:lineRule="auto"/>
        <w:ind w:firstLine="480"/>
        <w:rPr>
          <w:rStyle w:val="163"/>
          <w:rFonts w:cs="仿宋"/>
        </w:rPr>
      </w:pPr>
      <w:r>
        <w:rPr>
          <w:rStyle w:val="163"/>
          <w:rFonts w:hint="eastAsia" w:cs="仿宋"/>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360" w:lineRule="auto"/>
        <w:ind w:firstLine="480"/>
        <w:rPr>
          <w:rStyle w:val="163"/>
          <w:rFonts w:cs="仿宋"/>
        </w:rPr>
      </w:pPr>
      <w:r>
        <w:rPr>
          <w:rStyle w:val="163"/>
          <w:rFonts w:hint="eastAsia" w:cs="仿宋"/>
        </w:rPr>
        <w:t>被授权代表无权转让委托权。特此授权。</w:t>
      </w:r>
    </w:p>
    <w:p>
      <w:pPr>
        <w:widowControl/>
        <w:autoSpaceDE w:val="0"/>
        <w:autoSpaceDN w:val="0"/>
        <w:adjustRightInd w:val="0"/>
        <w:spacing w:line="360" w:lineRule="auto"/>
        <w:ind w:firstLine="480"/>
        <w:rPr>
          <w:rFonts w:ascii="仿宋" w:hAnsi="仿宋" w:eastAsia="仿宋" w:cs="仿宋"/>
          <w:kern w:val="1"/>
        </w:rPr>
      </w:pPr>
      <w:r>
        <w:rPr>
          <w:rStyle w:val="163"/>
          <w:rFonts w:hint="eastAsia" w:cs="仿宋"/>
        </w:rPr>
        <w:t>本授权委托书于</w:t>
      </w:r>
      <w:r>
        <w:rPr>
          <w:rStyle w:val="163"/>
          <w:rFonts w:hint="eastAsia" w:eastAsia="仿宋" w:cs="仿宋"/>
          <w:u w:val="single"/>
          <w:lang w:val="en-US" w:eastAsia="zh-CN"/>
        </w:rPr>
        <w:t xml:space="preserve">     </w:t>
      </w:r>
      <w:r>
        <w:rPr>
          <w:rStyle w:val="163"/>
          <w:rFonts w:hint="eastAsia" w:cs="仿宋"/>
        </w:rPr>
        <w:t>年</w:t>
      </w:r>
      <w:r>
        <w:rPr>
          <w:rStyle w:val="163"/>
          <w:rFonts w:hint="eastAsia" w:eastAsia="仿宋" w:cs="仿宋"/>
          <w:u w:val="single"/>
          <w:lang w:val="en-US" w:eastAsia="zh-CN"/>
        </w:rPr>
        <w:t xml:space="preserve">     </w:t>
      </w:r>
      <w:r>
        <w:rPr>
          <w:rStyle w:val="163"/>
          <w:rFonts w:hint="eastAsia" w:cs="仿宋"/>
        </w:rPr>
        <w:t>月</w:t>
      </w:r>
      <w:r>
        <w:rPr>
          <w:rStyle w:val="163"/>
          <w:rFonts w:hint="eastAsia" w:eastAsia="仿宋" w:cs="仿宋"/>
          <w:lang w:val="en-US" w:eastAsia="zh-CN"/>
        </w:rPr>
        <w:t xml:space="preserve"> </w:t>
      </w:r>
      <w:r>
        <w:rPr>
          <w:rStyle w:val="163"/>
          <w:rFonts w:hint="eastAsia" w:eastAsia="仿宋" w:cs="仿宋"/>
          <w:u w:val="single"/>
          <w:lang w:val="en-US" w:eastAsia="zh-CN"/>
        </w:rPr>
        <w:t xml:space="preserve">    </w:t>
      </w:r>
      <w:r>
        <w:rPr>
          <w:rStyle w:val="163"/>
          <w:rFonts w:hint="eastAsia" w:cs="仿宋"/>
        </w:rPr>
        <w:t>日签字生效,特此声明。</w:t>
      </w:r>
    </w:p>
    <w:p>
      <w:pPr>
        <w:widowControl/>
        <w:autoSpaceDE w:val="0"/>
        <w:autoSpaceDN w:val="0"/>
        <w:adjustRightInd w:val="0"/>
        <w:spacing w:line="360" w:lineRule="auto"/>
        <w:ind w:firstLine="0" w:firstLineChars="0"/>
        <w:rPr>
          <w:rFonts w:ascii="仿宋" w:hAnsi="仿宋" w:eastAsia="仿宋" w:cs="仿宋"/>
          <w:kern w:val="1"/>
        </w:rPr>
      </w:pPr>
    </w:p>
    <w:p>
      <w:pPr>
        <w:widowControl/>
        <w:autoSpaceDE w:val="0"/>
        <w:autoSpaceDN w:val="0"/>
        <w:adjustRightInd w:val="0"/>
        <w:spacing w:line="360" w:lineRule="auto"/>
        <w:ind w:firstLine="0" w:firstLineChars="0"/>
        <w:jc w:val="center"/>
        <w:rPr>
          <w:rFonts w:ascii="仿宋" w:hAnsi="仿宋" w:eastAsia="仿宋" w:cs="仿宋"/>
          <w:kern w:val="1"/>
        </w:rPr>
      </w:pPr>
      <w:r>
        <w:rPr>
          <w:rFonts w:hint="eastAsia" w:ascii="仿宋" w:hAnsi="仿宋" w:eastAsia="仿宋" w:cs="仿宋"/>
          <w:kern w:val="1"/>
        </w:rPr>
        <w:t>(附法</w:t>
      </w:r>
      <w:r>
        <w:rPr>
          <w:rFonts w:hint="eastAsia" w:ascii="仿宋" w:hAnsi="仿宋" w:eastAsia="仿宋" w:cs="仿宋"/>
          <w:kern w:val="1"/>
          <w:lang w:val="en-US" w:eastAsia="zh-CN"/>
        </w:rPr>
        <w:t>定代表</w:t>
      </w:r>
      <w:r>
        <w:rPr>
          <w:rFonts w:hint="eastAsia" w:ascii="仿宋" w:hAnsi="仿宋" w:eastAsia="仿宋" w:cs="仿宋"/>
          <w:kern w:val="1"/>
        </w:rPr>
        <w:t>人身份证以及被授权代表身份证复印件)</w:t>
      </w:r>
    </w:p>
    <w:p>
      <w:pPr>
        <w:widowControl/>
        <w:autoSpaceDE w:val="0"/>
        <w:autoSpaceDN w:val="0"/>
        <w:adjustRightInd w:val="0"/>
        <w:spacing w:line="360" w:lineRule="auto"/>
        <w:ind w:firstLine="0" w:firstLineChars="0"/>
        <w:jc w:val="center"/>
        <w:rPr>
          <w:rFonts w:ascii="仿宋" w:hAnsi="仿宋" w:eastAsia="仿宋" w:cs="仿宋"/>
          <w:kern w:val="1"/>
        </w:rPr>
      </w:pPr>
    </w:p>
    <w:p>
      <w:pPr>
        <w:autoSpaceDE w:val="0"/>
        <w:autoSpaceDN w:val="0"/>
        <w:adjustRightInd w:val="0"/>
        <w:ind w:firstLine="480"/>
        <w:rPr>
          <w:rFonts w:ascii="仿宋" w:hAnsi="仿宋" w:eastAsia="仿宋" w:cs="仿宋"/>
          <w:color w:val="000000"/>
          <w:kern w:val="1"/>
        </w:rPr>
      </w:pPr>
    </w:p>
    <w:p>
      <w:pPr>
        <w:autoSpaceDE w:val="0"/>
        <w:autoSpaceDN w:val="0"/>
        <w:adjustRightInd w:val="0"/>
        <w:ind w:firstLine="480"/>
        <w:rPr>
          <w:rFonts w:ascii="仿宋" w:hAnsi="仿宋" w:eastAsia="仿宋" w:cs="仿宋"/>
          <w:color w:val="000000"/>
          <w:kern w:val="1"/>
        </w:rPr>
      </w:pPr>
    </w:p>
    <w:p>
      <w:pPr>
        <w:widowControl/>
        <w:autoSpaceDE w:val="0"/>
        <w:autoSpaceDN w:val="0"/>
        <w:adjustRightInd w:val="0"/>
        <w:spacing w:line="360" w:lineRule="auto"/>
        <w:ind w:firstLine="0" w:firstLineChars="0"/>
        <w:jc w:val="center"/>
        <w:rPr>
          <w:rFonts w:ascii="仿宋" w:hAnsi="仿宋" w:eastAsia="仿宋" w:cs="仿宋"/>
          <w:kern w:val="1"/>
        </w:rPr>
      </w:pPr>
    </w:p>
    <w:p>
      <w:pPr>
        <w:widowControl/>
        <w:autoSpaceDE w:val="0"/>
        <w:autoSpaceDN w:val="0"/>
        <w:adjustRightInd w:val="0"/>
        <w:spacing w:line="360" w:lineRule="auto"/>
        <w:ind w:firstLine="0" w:firstLineChars="0"/>
        <w:rPr>
          <w:rStyle w:val="163"/>
          <w:rFonts w:cs="仿宋"/>
        </w:rPr>
      </w:pPr>
      <w:r>
        <w:rPr>
          <w:rStyle w:val="163"/>
          <w:rFonts w:hint="eastAsia" w:cs="仿宋"/>
        </w:rPr>
        <w:t>被授权代表姓名：             性 别：              年 龄：</w:t>
      </w:r>
    </w:p>
    <w:p>
      <w:pPr>
        <w:widowControl/>
        <w:autoSpaceDE w:val="0"/>
        <w:autoSpaceDN w:val="0"/>
        <w:adjustRightInd w:val="0"/>
        <w:spacing w:line="360" w:lineRule="auto"/>
        <w:ind w:firstLine="0" w:firstLineChars="0"/>
        <w:rPr>
          <w:rStyle w:val="163"/>
          <w:rFonts w:cs="仿宋"/>
        </w:rPr>
      </w:pPr>
      <w:r>
        <w:rPr>
          <w:rStyle w:val="163"/>
          <w:rFonts w:hint="eastAsia" w:cs="仿宋"/>
        </w:rPr>
        <w:t>单  位：                     部 门：              职 务：</w:t>
      </w:r>
    </w:p>
    <w:p>
      <w:pPr>
        <w:widowControl/>
        <w:autoSpaceDE w:val="0"/>
        <w:autoSpaceDN w:val="0"/>
        <w:adjustRightInd w:val="0"/>
        <w:spacing w:line="360" w:lineRule="auto"/>
        <w:ind w:firstLine="0" w:firstLineChars="0"/>
        <w:rPr>
          <w:rFonts w:ascii="仿宋" w:hAnsi="仿宋" w:eastAsia="仿宋" w:cs="仿宋"/>
          <w:kern w:val="1"/>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widowControl/>
        <w:autoSpaceDE w:val="0"/>
        <w:autoSpaceDN w:val="0"/>
        <w:adjustRightInd w:val="0"/>
        <w:spacing w:line="360" w:lineRule="auto"/>
        <w:ind w:firstLine="0" w:firstLineChars="0"/>
        <w:jc w:val="center"/>
        <w:rPr>
          <w:rStyle w:val="161"/>
          <w:rFonts w:ascii="仿宋" w:hAnsi="仿宋" w:eastAsia="仿宋" w:cs="仿宋"/>
          <w:bCs/>
        </w:rPr>
      </w:pPr>
      <w:r>
        <w:rPr>
          <w:rFonts w:hint="eastAsia" w:ascii="仿宋" w:hAnsi="仿宋" w:eastAsia="仿宋" w:cs="仿宋"/>
        </w:rPr>
        <w:br w:type="page"/>
      </w:r>
      <w:r>
        <w:rPr>
          <w:rFonts w:hint="eastAsia" w:ascii="仿宋" w:hAnsi="仿宋" w:eastAsia="仿宋" w:cs="仿宋"/>
          <w:b/>
          <w:bCs/>
          <w:kern w:val="1"/>
        </w:rPr>
        <w:t>（三）☆谈判保证金</w:t>
      </w:r>
    </w:p>
    <w:p>
      <w:pPr>
        <w:widowControl/>
        <w:autoSpaceDE w:val="0"/>
        <w:autoSpaceDN w:val="0"/>
        <w:adjustRightInd w:val="0"/>
        <w:spacing w:line="360" w:lineRule="auto"/>
        <w:ind w:firstLine="0" w:firstLineChars="0"/>
        <w:jc w:val="center"/>
        <w:rPr>
          <w:rFonts w:ascii="仿宋" w:hAnsi="仿宋" w:eastAsia="仿宋" w:cs="仿宋"/>
          <w:b/>
          <w:bCs/>
          <w:kern w:val="1"/>
        </w:rPr>
      </w:pPr>
      <w:r>
        <w:rPr>
          <w:rFonts w:hint="eastAsia" w:ascii="仿宋" w:hAnsi="仿宋" w:eastAsia="仿宋" w:cs="仿宋"/>
          <w:b/>
          <w:bCs/>
          <w:kern w:val="1"/>
        </w:rPr>
        <w:t>上传谈判保证金缴纳证明文件。</w:t>
      </w:r>
    </w:p>
    <w:p>
      <w:pPr>
        <w:pStyle w:val="164"/>
        <w:spacing w:line="360" w:lineRule="auto"/>
        <w:jc w:val="center"/>
        <w:outlineLvl w:val="2"/>
        <w:rPr>
          <w:rFonts w:ascii="仿宋" w:hAnsi="仿宋" w:eastAsia="仿宋" w:cs="仿宋"/>
        </w:rPr>
      </w:pPr>
    </w:p>
    <w:p>
      <w:pPr>
        <w:pStyle w:val="164"/>
        <w:spacing w:line="360" w:lineRule="auto"/>
        <w:jc w:val="both"/>
        <w:outlineLvl w:val="2"/>
        <w:rPr>
          <w:rFonts w:ascii="仿宋" w:hAnsi="仿宋" w:eastAsia="仿宋" w:cs="仿宋"/>
        </w:rPr>
      </w:pPr>
    </w:p>
    <w:p>
      <w:pPr>
        <w:pStyle w:val="159"/>
        <w:rPr>
          <w:rFonts w:ascii="仿宋" w:hAnsi="仿宋" w:eastAsia="仿宋" w:cs="仿宋"/>
        </w:rPr>
      </w:pPr>
    </w:p>
    <w:p>
      <w:pPr>
        <w:pStyle w:val="159"/>
        <w:rPr>
          <w:rFonts w:ascii="仿宋" w:hAnsi="仿宋" w:eastAsia="仿宋" w:cs="仿宋"/>
          <w:bCs/>
          <w:sz w:val="30"/>
          <w:szCs w:val="30"/>
        </w:rPr>
      </w:pPr>
      <w:r>
        <w:rPr>
          <w:rFonts w:hint="eastAsia" w:ascii="仿宋" w:hAnsi="仿宋" w:eastAsia="仿宋" w:cs="仿宋"/>
        </w:rPr>
        <w:br w:type="page"/>
      </w:r>
      <w:r>
        <w:rPr>
          <w:rStyle w:val="161"/>
          <w:rFonts w:hint="eastAsia" w:ascii="仿宋" w:hAnsi="仿宋" w:eastAsia="仿宋" w:cs="仿宋"/>
          <w:b/>
          <w:bCs/>
        </w:rPr>
        <w:t>（四）中小企业声明函（货物）</w:t>
      </w:r>
    </w:p>
    <w:p>
      <w:pPr>
        <w:spacing w:line="440" w:lineRule="exact"/>
        <w:ind w:firstLine="480"/>
        <w:rPr>
          <w:rFonts w:ascii="仿宋" w:hAnsi="仿宋" w:eastAsia="仿宋" w:cs="仿宋"/>
        </w:rPr>
      </w:pPr>
    </w:p>
    <w:p>
      <w:pPr>
        <w:spacing w:line="440" w:lineRule="exact"/>
        <w:ind w:firstLine="480"/>
        <w:rPr>
          <w:rFonts w:ascii="仿宋" w:hAnsi="仿宋" w:eastAsia="仿宋" w:cs="仿宋"/>
        </w:rPr>
      </w:pPr>
      <w:r>
        <w:rPr>
          <w:rFonts w:hint="eastAsia" w:ascii="仿宋" w:hAnsi="仿宋" w:eastAsia="仿宋" w:cs="仿宋"/>
        </w:rPr>
        <w:t>本公司（联合体）郑重声明，根据《政府采购促进中小企业发展管理办法》（财库﹝2020﹞46号）的规定，本公司（联合体）参加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采购活动，提供的货物全部由符合政策要求的中小企业制造。相关企业（含联合体中的中小企业、签订分包意向协议的中小企业）的具体情况如下：</w:t>
      </w:r>
    </w:p>
    <w:p>
      <w:pPr>
        <w:spacing w:line="440" w:lineRule="exact"/>
        <w:ind w:firstLine="480"/>
        <w:rPr>
          <w:rFonts w:ascii="仿宋" w:hAnsi="仿宋" w:eastAsia="仿宋" w:cs="仿宋"/>
        </w:rPr>
      </w:pPr>
      <w:r>
        <w:rPr>
          <w:rFonts w:hint="eastAsia" w:ascii="仿宋" w:hAnsi="仿宋" w:eastAsia="仿宋" w:cs="仿宋"/>
        </w:rPr>
        <w:t>1.（标的名称），属于（*****行业）；制造商为</w:t>
      </w:r>
      <w:r>
        <w:rPr>
          <w:rFonts w:hint="eastAsia" w:ascii="仿宋" w:hAnsi="仿宋" w:eastAsia="仿宋" w:cs="仿宋"/>
          <w:u w:val="single"/>
        </w:rPr>
        <w:t>（企业名称）</w:t>
      </w:r>
      <w:r>
        <w:rPr>
          <w:rFonts w:hint="eastAsia" w:ascii="仿宋" w:hAnsi="仿宋" w:eastAsia="仿宋" w:cs="仿宋"/>
        </w:rPr>
        <w:t>，从业人员人，营业收入为万元，资产总额为万元，属于</w:t>
      </w:r>
      <w:r>
        <w:rPr>
          <w:rFonts w:hint="eastAsia" w:ascii="仿宋" w:hAnsi="仿宋" w:eastAsia="仿宋" w:cs="仿宋"/>
          <w:u w:val="single"/>
        </w:rPr>
        <w:t>（中型企业、小型企业、微型企业）</w:t>
      </w:r>
      <w:r>
        <w:rPr>
          <w:rFonts w:hint="eastAsia" w:ascii="仿宋" w:hAnsi="仿宋" w:eastAsia="仿宋" w:cs="仿宋"/>
        </w:rPr>
        <w:t>；</w:t>
      </w:r>
    </w:p>
    <w:p>
      <w:pPr>
        <w:spacing w:line="440" w:lineRule="exact"/>
        <w:ind w:firstLine="480"/>
      </w:pPr>
      <w:r>
        <w:rPr>
          <w:rFonts w:hint="eastAsia" w:ascii="仿宋" w:hAnsi="仿宋" w:eastAsia="仿宋" w:cs="仿宋"/>
        </w:rPr>
        <w:t>2.（标的名称），属于（*****行业）；制造商为</w:t>
      </w:r>
      <w:r>
        <w:rPr>
          <w:rFonts w:hint="eastAsia" w:ascii="仿宋" w:hAnsi="仿宋" w:eastAsia="仿宋" w:cs="仿宋"/>
          <w:u w:val="single"/>
        </w:rPr>
        <w:t>（企业名称）</w:t>
      </w:r>
      <w:r>
        <w:rPr>
          <w:rFonts w:hint="eastAsia" w:ascii="仿宋" w:hAnsi="仿宋" w:eastAsia="仿宋" w:cs="仿宋"/>
        </w:rPr>
        <w:t>，从业人员人，营业收入为万元，资产总额为万元，属于</w:t>
      </w:r>
      <w:r>
        <w:rPr>
          <w:rFonts w:hint="eastAsia" w:ascii="仿宋" w:hAnsi="仿宋" w:eastAsia="仿宋" w:cs="仿宋"/>
          <w:u w:val="single"/>
        </w:rPr>
        <w:t>（中型企业、小型企业、微型企业）</w:t>
      </w:r>
      <w:r>
        <w:rPr>
          <w:rFonts w:hint="eastAsia" w:ascii="仿宋" w:hAnsi="仿宋" w:eastAsia="仿宋" w:cs="仿宋"/>
        </w:rPr>
        <w:t>；</w:t>
      </w:r>
    </w:p>
    <w:p>
      <w:pPr>
        <w:spacing w:line="440" w:lineRule="exact"/>
        <w:ind w:firstLine="480"/>
        <w:rPr>
          <w:rFonts w:ascii="仿宋" w:hAnsi="仿宋" w:eastAsia="仿宋" w:cs="仿宋"/>
        </w:rPr>
      </w:pPr>
      <w:r>
        <w:rPr>
          <w:rFonts w:hint="eastAsia" w:ascii="仿宋" w:hAnsi="仿宋" w:eastAsia="仿宋" w:cs="仿宋"/>
        </w:rPr>
        <w:t>……</w:t>
      </w:r>
    </w:p>
    <w:p>
      <w:pPr>
        <w:spacing w:line="440" w:lineRule="exact"/>
        <w:ind w:firstLine="480"/>
        <w:rPr>
          <w:rFonts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spacing w:line="440" w:lineRule="exact"/>
        <w:ind w:firstLine="482"/>
        <w:rPr>
          <w:rFonts w:ascii="仿宋" w:hAnsi="仿宋" w:eastAsia="仿宋" w:cs="仿宋"/>
          <w:b/>
          <w:bCs/>
        </w:rPr>
      </w:pPr>
      <w:r>
        <w:rPr>
          <w:rFonts w:hint="eastAsia" w:ascii="仿宋" w:hAnsi="仿宋" w:eastAsia="仿宋" w:cs="仿宋"/>
          <w:b/>
          <w:bCs/>
        </w:rPr>
        <w:t>本企业对上述声明内容的真实性负责。如有虚假，将依法承担相应责任。</w:t>
      </w: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3120" w:firstLineChars="1300"/>
        <w:rPr>
          <w:rFonts w:ascii="仿宋" w:hAnsi="仿宋" w:eastAsia="仿宋" w:cs="仿宋"/>
        </w:rPr>
      </w:pPr>
      <w:r>
        <w:rPr>
          <w:rFonts w:hint="eastAsia" w:ascii="仿宋" w:hAnsi="仿宋" w:eastAsia="仿宋" w:cs="仿宋"/>
        </w:rPr>
        <w:t xml:space="preserve">企业名称（盖章）： </w:t>
      </w:r>
    </w:p>
    <w:p>
      <w:pPr>
        <w:spacing w:line="440" w:lineRule="exact"/>
        <w:ind w:firstLine="3120" w:firstLineChars="1300"/>
        <w:rPr>
          <w:rFonts w:ascii="仿宋" w:hAnsi="仿宋" w:eastAsia="仿宋" w:cs="仿宋"/>
        </w:rPr>
      </w:pPr>
      <w:r>
        <w:rPr>
          <w:rFonts w:hint="eastAsia" w:ascii="仿宋" w:hAnsi="仿宋" w:eastAsia="仿宋" w:cs="仿宋"/>
        </w:rPr>
        <w:t>日期：</w:t>
      </w:r>
    </w:p>
    <w:p>
      <w:pPr>
        <w:spacing w:line="440" w:lineRule="exact"/>
        <w:ind w:firstLine="480"/>
        <w:rPr>
          <w:rFonts w:ascii="仿宋" w:hAnsi="仿宋" w:eastAsia="仿宋" w:cs="仿宋"/>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widowControl/>
        <w:autoSpaceDE/>
        <w:autoSpaceDN/>
        <w:spacing w:line="400" w:lineRule="exact"/>
        <w:ind w:firstLine="421" w:firstLineChars="200"/>
        <w:jc w:val="both"/>
        <w:rPr>
          <w:rFonts w:hint="eastAsia" w:ascii="仿宋" w:hAnsi="仿宋" w:eastAsia="仿宋" w:cs="仿宋"/>
          <w:b/>
          <w:bCs/>
          <w:sz w:val="21"/>
          <w:szCs w:val="28"/>
          <w:highlight w:val="none"/>
        </w:rPr>
      </w:pPr>
      <w:r>
        <w:rPr>
          <w:rFonts w:hint="eastAsia" w:ascii="仿宋" w:hAnsi="仿宋" w:eastAsia="仿宋" w:cs="仿宋"/>
          <w:b/>
          <w:bCs/>
          <w:sz w:val="21"/>
          <w:szCs w:val="28"/>
          <w:highlight w:val="none"/>
          <w:lang w:val="en-US"/>
        </w:rPr>
        <w:t>备注：</w:t>
      </w:r>
      <w:r>
        <w:rPr>
          <w:rFonts w:hint="eastAsia" w:ascii="仿宋" w:hAnsi="仿宋" w:eastAsia="仿宋" w:cs="仿宋"/>
          <w:b/>
          <w:bCs/>
          <w:sz w:val="21"/>
          <w:szCs w:val="28"/>
          <w:highlight w:val="none"/>
        </w:rPr>
        <w:t>从业人员、营业收入、资产总额填报上一年度数据，无上一年度数据的新成立企业可不填报。</w:t>
      </w:r>
    </w:p>
    <w:p>
      <w:pPr>
        <w:pStyle w:val="159"/>
        <w:rPr>
          <w:rFonts w:cs="宋体"/>
          <w:sz w:val="24"/>
        </w:rPr>
      </w:pPr>
    </w:p>
    <w:p>
      <w:pPr>
        <w:pStyle w:val="159"/>
        <w:rPr>
          <w:rFonts w:cs="宋体"/>
          <w:sz w:val="24"/>
        </w:rPr>
      </w:pPr>
    </w:p>
    <w:p>
      <w:pPr>
        <w:adjustRightInd w:val="0"/>
        <w:snapToGrid w:val="0"/>
        <w:spacing w:line="480" w:lineRule="auto"/>
        <w:ind w:firstLine="0" w:firstLineChars="0"/>
        <w:rPr>
          <w:rFonts w:ascii="宋体" w:hAnsi="宋体" w:cs="宋体"/>
        </w:rPr>
      </w:pPr>
    </w:p>
    <w:p>
      <w:pPr>
        <w:pStyle w:val="16"/>
        <w:ind w:firstLine="400"/>
      </w:pPr>
    </w:p>
    <w:p>
      <w:pPr>
        <w:ind w:firstLine="0" w:firstLineChars="0"/>
        <w:jc w:val="center"/>
        <w:rPr>
          <w:rFonts w:hint="eastAsia" w:ascii="仿宋" w:hAnsi="仿宋" w:eastAsia="仿宋" w:cs="仿宋"/>
          <w:highlight w:val="none"/>
        </w:rPr>
      </w:pPr>
      <w:r>
        <w:rPr>
          <w:rFonts w:hint="eastAsia" w:ascii="仿宋" w:hAnsi="仿宋" w:eastAsia="仿宋" w:cs="仿宋"/>
          <w:highlight w:val="none"/>
        </w:rPr>
        <w:br w:type="page"/>
      </w:r>
    </w:p>
    <w:p>
      <w:pPr>
        <w:ind w:firstLine="0" w:firstLineChars="0"/>
        <w:jc w:val="center"/>
        <w:rPr>
          <w:rStyle w:val="161"/>
          <w:rFonts w:hint="eastAsia" w:ascii="仿宋" w:hAnsi="仿宋" w:eastAsia="仿宋" w:cs="仿宋"/>
          <w:bCs/>
          <w:sz w:val="28"/>
          <w:highlight w:val="none"/>
          <w:lang w:eastAsia="zh-CN"/>
        </w:rPr>
      </w:pPr>
      <w:r>
        <w:rPr>
          <w:rStyle w:val="161"/>
          <w:rFonts w:hint="eastAsia" w:ascii="仿宋" w:hAnsi="仿宋" w:eastAsia="仿宋" w:cs="仿宋"/>
          <w:bCs/>
          <w:sz w:val="28"/>
          <w:highlight w:val="none"/>
          <w:lang w:eastAsia="zh-CN"/>
        </w:rPr>
        <w:t>分包意向协议</w:t>
      </w:r>
    </w:p>
    <w:p>
      <w:pPr>
        <w:ind w:firstLine="0" w:firstLineChars="0"/>
        <w:jc w:val="center"/>
        <w:rPr>
          <w:rFonts w:hint="eastAsia" w:ascii="仿宋" w:hAnsi="仿宋" w:eastAsia="仿宋" w:cs="仿宋"/>
          <w:highlight w:val="none"/>
          <w:lang w:eastAsia="zh-CN"/>
        </w:rPr>
      </w:pPr>
    </w:p>
    <w:p>
      <w:pPr>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（格式自拟）</w:t>
      </w: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Fonts w:hint="eastAsia" w:ascii="仿宋" w:hAnsi="仿宋" w:eastAsia="仿宋" w:cs="仿宋"/>
          <w:highlight w:val="none"/>
        </w:rPr>
      </w:pPr>
    </w:p>
    <w:p>
      <w:pPr>
        <w:ind w:firstLine="0" w:firstLineChars="0"/>
        <w:jc w:val="center"/>
        <w:rPr>
          <w:rStyle w:val="161"/>
          <w:rFonts w:ascii="宋体" w:hAnsi="宋体" w:eastAsia="宋体" w:cs="Times New Roman"/>
          <w:b/>
          <w:bCs/>
          <w:sz w:val="28"/>
        </w:rPr>
      </w:pPr>
      <w:r>
        <w:rPr>
          <w:rStyle w:val="161"/>
          <w:rFonts w:hint="default" w:ascii="宋体" w:hAnsi="宋体" w:eastAsia="宋体" w:cs="Times New Roman"/>
          <w:b/>
          <w:bCs/>
          <w:sz w:val="28"/>
        </w:rPr>
        <w:t>残疾人福利性单位声明函</w:t>
      </w:r>
    </w:p>
    <w:p>
      <w:pPr>
        <w:spacing w:line="588" w:lineRule="exact"/>
        <w:ind w:firstLine="625"/>
        <w:rPr>
          <w:rFonts w:ascii="仿宋_GB2312" w:eastAsia="仿宋_GB2312"/>
          <w:b/>
          <w:spacing w:val="6"/>
          <w:sz w:val="30"/>
          <w:szCs w:val="30"/>
        </w:rPr>
      </w:pPr>
    </w:p>
    <w:p>
      <w:pPr>
        <w:spacing w:line="360" w:lineRule="auto"/>
        <w:ind w:firstLine="480"/>
        <w:rPr>
          <w:rFonts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rPr>
          <w:rFonts w:ascii="仿宋" w:hAnsi="仿宋" w:eastAsia="仿宋" w:cs="仿宋"/>
        </w:rPr>
      </w:pPr>
      <w:r>
        <w:rPr>
          <w:rFonts w:hint="eastAsia" w:ascii="仿宋" w:hAnsi="仿宋" w:eastAsia="仿宋" w:cs="仿宋"/>
        </w:rPr>
        <w:t>本单位对上述声明的真实性负责。如有虚假，将依法承担相应责任。</w:t>
      </w:r>
    </w:p>
    <w:p>
      <w:pPr>
        <w:spacing w:line="588" w:lineRule="exact"/>
        <w:ind w:firstLine="624"/>
        <w:rPr>
          <w:rFonts w:ascii="仿宋_GB2312" w:eastAsia="仿宋_GB2312"/>
          <w:spacing w:val="6"/>
          <w:sz w:val="30"/>
          <w:szCs w:val="30"/>
        </w:rPr>
      </w:pPr>
    </w:p>
    <w:p>
      <w:pPr>
        <w:spacing w:line="588" w:lineRule="exact"/>
        <w:ind w:firstLine="624"/>
        <w:rPr>
          <w:rFonts w:ascii="仿宋_GB2312" w:eastAsia="仿宋_GB2312"/>
          <w:spacing w:val="6"/>
          <w:sz w:val="30"/>
          <w:szCs w:val="30"/>
        </w:rPr>
      </w:pPr>
    </w:p>
    <w:p>
      <w:pPr>
        <w:spacing w:line="440" w:lineRule="exact"/>
        <w:ind w:firstLine="480"/>
        <w:rPr>
          <w:rFonts w:ascii="仿宋" w:hAnsi="仿宋" w:eastAsia="仿宋" w:cs="仿宋"/>
        </w:rPr>
      </w:pPr>
      <w:r>
        <w:rPr>
          <w:rFonts w:hint="eastAsia" w:ascii="仿宋" w:hAnsi="仿宋" w:eastAsia="仿宋" w:cs="仿宋"/>
        </w:rPr>
        <w:t>单位名称（盖章）：</w:t>
      </w:r>
    </w:p>
    <w:p>
      <w:pPr>
        <w:spacing w:line="440" w:lineRule="exact"/>
        <w:ind w:firstLine="480"/>
        <w:rPr>
          <w:rFonts w:ascii="仿宋" w:hAnsi="仿宋" w:eastAsia="仿宋" w:cs="仿宋"/>
        </w:rPr>
      </w:pPr>
      <w:r>
        <w:rPr>
          <w:rFonts w:hint="eastAsia" w:ascii="仿宋" w:hAnsi="仿宋" w:eastAsia="仿宋" w:cs="仿宋"/>
        </w:rPr>
        <w:t>日  期：</w:t>
      </w:r>
      <w:r>
        <w:rPr>
          <w:rFonts w:hint="eastAsia" w:ascii="仿宋" w:hAnsi="仿宋" w:eastAsia="仿宋" w:cs="仿宋"/>
          <w:lang w:val="en-US" w:eastAsia="zh-CN"/>
        </w:rPr>
        <w:t xml:space="preserve">    </w:t>
      </w:r>
      <w:r>
        <w:rPr>
          <w:rFonts w:hint="eastAsia" w:ascii="国标仿宋-GB/T 2312" w:hAnsi="国标仿宋-GB/T 2312" w:eastAsia="国标仿宋-GB/T 2312" w:cs="国标仿宋-GB/T 2312"/>
        </w:rPr>
        <w:t>年   月   日</w:t>
      </w: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0" w:firstLineChars="0"/>
        <w:rPr>
          <w:rFonts w:ascii="仿宋" w:hAnsi="仿宋" w:eastAsia="仿宋" w:cs="仿宋"/>
        </w:rPr>
      </w:pPr>
    </w:p>
    <w:p>
      <w:pPr>
        <w:jc w:val="center"/>
        <w:rPr>
          <w:rStyle w:val="161"/>
          <w:rFonts w:ascii="宋体" w:hAnsi="宋体" w:eastAsia="宋体" w:cs="Times New Roman"/>
          <w:b/>
          <w:bCs/>
          <w:sz w:val="28"/>
        </w:rPr>
      </w:pPr>
      <w:r>
        <w:rPr>
          <w:rStyle w:val="161"/>
          <w:rFonts w:hint="default" w:ascii="宋体" w:hAnsi="宋体" w:eastAsia="宋体" w:cs="Times New Roman"/>
          <w:b/>
          <w:bCs/>
          <w:sz w:val="28"/>
        </w:rPr>
        <w:t>监狱企业证明</w:t>
      </w:r>
    </w:p>
    <w:p>
      <w:pPr>
        <w:spacing w:line="360" w:lineRule="auto"/>
        <w:ind w:firstLine="442"/>
        <w:jc w:val="center"/>
        <w:rPr>
          <w:rFonts w:ascii="宋体" w:hAnsi="宋体" w:cs="宋体"/>
          <w:b/>
          <w:sz w:val="22"/>
          <w:szCs w:val="22"/>
        </w:rPr>
      </w:pPr>
    </w:p>
    <w:p>
      <w:pPr>
        <w:spacing w:line="360" w:lineRule="auto"/>
        <w:ind w:firstLine="480"/>
        <w:rPr>
          <w:rFonts w:ascii="仿宋" w:hAnsi="仿宋" w:eastAsia="仿宋" w:cs="仿宋"/>
        </w:rPr>
      </w:pPr>
      <w:r>
        <w:rPr>
          <w:rFonts w:hint="eastAsia" w:ascii="仿宋" w:hAnsi="仿宋" w:eastAsia="仿宋" w:cs="仿宋"/>
        </w:rPr>
        <w:t>注：1.监狱企业参加政府采购活动时，应当提供由省级以上监狱管理局、戒毒管理局（含新疆生产建设兵团）出具的属于监狱企业的证明文件，并加盖单位公章。</w:t>
      </w:r>
    </w:p>
    <w:p>
      <w:pPr>
        <w:spacing w:line="360" w:lineRule="auto"/>
        <w:ind w:firstLine="480"/>
        <w:rPr>
          <w:rFonts w:ascii="仿宋" w:hAnsi="仿宋" w:eastAsia="仿宋" w:cs="仿宋"/>
        </w:rPr>
      </w:pPr>
      <w:r>
        <w:rPr>
          <w:rFonts w:hint="eastAsia" w:ascii="仿宋" w:hAnsi="仿宋" w:eastAsia="仿宋" w:cs="仿宋"/>
        </w:rPr>
        <w:t>2.监狱企业视同小型、微型企业，享受预留份额、评审中价格扣除等政府采购促进中小企业发展的政府采购政策。监狱企业属于小型、微型企业的，不重复享受政策。</w:t>
      </w:r>
    </w:p>
    <w:p>
      <w:pPr>
        <w:spacing w:line="440" w:lineRule="exact"/>
        <w:ind w:firstLine="480"/>
        <w:rPr>
          <w:rFonts w:ascii="仿宋" w:hAnsi="仿宋" w:eastAsia="仿宋" w:cs="仿宋"/>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pStyle w:val="16"/>
        <w:ind w:firstLine="400"/>
        <w:rPr>
          <w:rFonts w:ascii="宋体" w:hAnsi="宋体" w:cs="宋体"/>
        </w:rPr>
      </w:pPr>
    </w:p>
    <w:p>
      <w:pPr>
        <w:pStyle w:val="17"/>
        <w:rPr>
          <w:color w:val="auto"/>
        </w:rPr>
      </w:pPr>
    </w:p>
    <w:p>
      <w:pPr>
        <w:pStyle w:val="164"/>
        <w:spacing w:line="360" w:lineRule="auto"/>
        <w:jc w:val="both"/>
        <w:outlineLvl w:val="2"/>
        <w:rPr>
          <w:rStyle w:val="161"/>
          <w:rFonts w:ascii="仿宋" w:hAnsi="仿宋" w:eastAsia="仿宋" w:cs="仿宋"/>
          <w:b/>
          <w:bCs/>
        </w:rPr>
      </w:pPr>
    </w:p>
    <w:p>
      <w:pPr>
        <w:pStyle w:val="164"/>
        <w:spacing w:line="360" w:lineRule="auto"/>
        <w:jc w:val="both"/>
        <w:outlineLvl w:val="2"/>
        <w:rPr>
          <w:rStyle w:val="161"/>
          <w:rFonts w:ascii="仿宋" w:hAnsi="仿宋" w:eastAsia="仿宋" w:cs="仿宋"/>
          <w:b/>
          <w:bCs/>
        </w:rPr>
      </w:pPr>
    </w:p>
    <w:p>
      <w:pPr>
        <w:pStyle w:val="164"/>
        <w:spacing w:line="360" w:lineRule="auto"/>
        <w:jc w:val="center"/>
        <w:outlineLvl w:val="2"/>
        <w:rPr>
          <w:rStyle w:val="161"/>
          <w:rFonts w:ascii="仿宋" w:hAnsi="仿宋" w:eastAsia="仿宋" w:cs="仿宋"/>
          <w:b/>
          <w:bCs/>
        </w:rPr>
      </w:pPr>
      <w:r>
        <w:rPr>
          <w:rStyle w:val="161"/>
          <w:rFonts w:hint="eastAsia" w:ascii="仿宋" w:hAnsi="仿宋" w:eastAsia="仿宋" w:cs="仿宋"/>
          <w:b/>
          <w:bCs/>
        </w:rPr>
        <w:t>（五）供应商认为有必要提供的声明及文件资料</w:t>
      </w:r>
    </w:p>
    <w:p>
      <w:pPr>
        <w:spacing w:line="360" w:lineRule="auto"/>
        <w:ind w:firstLine="480"/>
        <w:rPr>
          <w:rFonts w:ascii="仿宋" w:hAnsi="仿宋" w:eastAsia="仿宋" w:cs="仿宋"/>
        </w:rPr>
      </w:pPr>
      <w:r>
        <w:rPr>
          <w:rFonts w:hint="eastAsia" w:ascii="仿宋" w:hAnsi="仿宋" w:eastAsia="仿宋" w:cs="仿宋"/>
        </w:rPr>
        <w:t>供应商应具备《中华人民共和国政府采购法》第二十二条和《中华人民共和国政府采购法实施条列》第十七条中规定的条件；</w:t>
      </w:r>
    </w:p>
    <w:p>
      <w:pPr>
        <w:spacing w:line="360" w:lineRule="auto"/>
        <w:ind w:firstLine="480"/>
        <w:rPr>
          <w:rFonts w:ascii="仿宋" w:hAnsi="仿宋" w:eastAsia="仿宋" w:cs="仿宋"/>
        </w:rPr>
      </w:pPr>
      <w:r>
        <w:rPr>
          <w:rFonts w:hint="eastAsia" w:ascii="仿宋" w:hAnsi="仿宋" w:eastAsia="仿宋" w:cs="仿宋"/>
        </w:rPr>
        <w:t>1、</w:t>
      </w:r>
      <w:r>
        <w:rPr>
          <w:rFonts w:hint="eastAsia" w:ascii="仿宋" w:hAnsi="仿宋" w:eastAsia="仿宋" w:cs="仿宋"/>
          <w:sz w:val="24"/>
        </w:rPr>
        <w:t>提供</w:t>
      </w:r>
      <w:r>
        <w:rPr>
          <w:rFonts w:hint="eastAsia" w:ascii="仿宋" w:hAnsi="仿宋" w:eastAsia="仿宋" w:cs="仿宋"/>
          <w:sz w:val="24"/>
          <w:lang w:val="en-US" w:eastAsia="zh-CN"/>
        </w:rPr>
        <w:t>2024年度或</w:t>
      </w: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年度财务</w:t>
      </w:r>
      <w:r>
        <w:rPr>
          <w:rFonts w:hint="eastAsia" w:ascii="仿宋" w:hAnsi="仿宋" w:eastAsia="仿宋" w:cs="仿宋"/>
          <w:sz w:val="24"/>
          <w:lang w:val="en-US" w:eastAsia="zh-CN"/>
        </w:rPr>
        <w:t>审计报告或财务审计</w:t>
      </w:r>
      <w:r>
        <w:rPr>
          <w:rFonts w:hint="eastAsia" w:ascii="仿宋" w:hAnsi="仿宋" w:eastAsia="仿宋" w:cs="仿宋"/>
          <w:sz w:val="24"/>
        </w:rPr>
        <w:t>报表</w:t>
      </w:r>
      <w:r>
        <w:rPr>
          <w:rFonts w:hint="eastAsia" w:ascii="仿宋" w:hAnsi="仿宋" w:eastAsia="仿宋" w:cs="仿宋"/>
          <w:sz w:val="24"/>
          <w:lang w:eastAsia="zh-CN"/>
        </w:rPr>
        <w:t>，</w:t>
      </w:r>
      <w:r>
        <w:rPr>
          <w:rFonts w:hint="eastAsia" w:ascii="仿宋" w:hAnsi="仿宋" w:eastAsia="仿宋" w:cs="仿宋"/>
          <w:sz w:val="24"/>
        </w:rPr>
        <w:t>成立不满一年</w:t>
      </w:r>
      <w:r>
        <w:rPr>
          <w:rFonts w:hint="eastAsia" w:ascii="仿宋" w:hAnsi="仿宋" w:eastAsia="仿宋" w:cs="仿宋"/>
          <w:sz w:val="24"/>
          <w:lang w:eastAsia="zh-CN"/>
        </w:rPr>
        <w:t>的</w:t>
      </w:r>
      <w:r>
        <w:rPr>
          <w:rFonts w:hint="eastAsia" w:ascii="仿宋" w:hAnsi="仿宋" w:eastAsia="仿宋" w:cs="仿宋"/>
          <w:sz w:val="24"/>
          <w:lang w:eastAsia="zh-CN"/>
        </w:rPr>
        <w:t>提供</w:t>
      </w:r>
      <w:r>
        <w:rPr>
          <w:rFonts w:hint="eastAsia" w:ascii="仿宋" w:hAnsi="仿宋" w:eastAsia="仿宋" w:cs="仿宋"/>
          <w:sz w:val="24"/>
        </w:rPr>
        <w:t>银行资信证明</w:t>
      </w:r>
      <w:r>
        <w:rPr>
          <w:rFonts w:hint="eastAsia" w:ascii="仿宋" w:hAnsi="仿宋" w:eastAsia="仿宋" w:cs="仿宋"/>
        </w:rPr>
        <w:t>；</w:t>
      </w:r>
    </w:p>
    <w:p>
      <w:pPr>
        <w:spacing w:line="360" w:lineRule="auto"/>
        <w:ind w:firstLine="480"/>
        <w:rPr>
          <w:rFonts w:ascii="仿宋" w:hAnsi="仿宋" w:eastAsia="仿宋" w:cs="仿宋"/>
        </w:rPr>
      </w:pPr>
      <w:r>
        <w:rPr>
          <w:rFonts w:hint="eastAsia" w:ascii="仿宋" w:hAnsi="仿宋" w:eastAsia="仿宋" w:cs="仿宋"/>
        </w:rPr>
        <w:t>2、具有履行合同所必需的设备和专业技术能力（自行承诺）；</w:t>
      </w:r>
    </w:p>
    <w:p>
      <w:pPr>
        <w:spacing w:line="360" w:lineRule="auto"/>
        <w:ind w:firstLine="480"/>
        <w:rPr>
          <w:rFonts w:ascii="仿宋" w:hAnsi="仿宋" w:eastAsia="仿宋" w:cs="仿宋"/>
          <w:kern w:val="0"/>
        </w:rPr>
      </w:pPr>
      <w:r>
        <w:rPr>
          <w:rFonts w:hint="eastAsia" w:ascii="仿宋" w:hAnsi="仿宋" w:eastAsia="仿宋" w:cs="仿宋"/>
        </w:rPr>
        <w:t>3、</w:t>
      </w:r>
      <w:r>
        <w:rPr>
          <w:rFonts w:hint="eastAsia" w:ascii="仿宋" w:hAnsi="仿宋" w:eastAsia="仿宋" w:cs="仿宋"/>
          <w:kern w:val="0"/>
        </w:rPr>
        <w:t>有依法缴纳税收和社会保障资金的良好记录（提供</w:t>
      </w:r>
      <w:r>
        <w:rPr>
          <w:rFonts w:hint="eastAsia" w:ascii="仿宋" w:hAnsi="仿宋" w:eastAsia="仿宋" w:cs="仿宋"/>
          <w:kern w:val="0"/>
          <w:lang w:val="zh-CN"/>
        </w:rPr>
        <w:t>202</w:t>
      </w:r>
      <w:r>
        <w:rPr>
          <w:rFonts w:hint="eastAsia" w:ascii="仿宋" w:hAnsi="仿宋" w:eastAsia="仿宋" w:cs="仿宋"/>
          <w:kern w:val="0"/>
        </w:rPr>
        <w:t>5</w:t>
      </w:r>
      <w:r>
        <w:rPr>
          <w:rFonts w:hint="eastAsia" w:ascii="仿宋" w:hAnsi="仿宋" w:eastAsia="仿宋" w:cs="仿宋"/>
          <w:kern w:val="0"/>
          <w:lang w:val="zh-CN"/>
        </w:rPr>
        <w:t>年</w:t>
      </w:r>
      <w:r>
        <w:rPr>
          <w:rFonts w:hint="eastAsia" w:ascii="仿宋" w:hAnsi="仿宋" w:eastAsia="仿宋" w:cs="仿宋"/>
          <w:kern w:val="0"/>
          <w:lang w:val="en-US" w:eastAsia="zh-CN"/>
        </w:rPr>
        <w:t>3</w:t>
      </w:r>
      <w:r>
        <w:rPr>
          <w:rFonts w:hint="eastAsia" w:ascii="仿宋" w:hAnsi="仿宋" w:eastAsia="仿宋" w:cs="仿宋"/>
          <w:kern w:val="0"/>
          <w:lang w:val="zh-CN"/>
        </w:rPr>
        <w:t>月</w:t>
      </w:r>
      <w:r>
        <w:rPr>
          <w:rFonts w:hint="eastAsia" w:ascii="仿宋" w:hAnsi="仿宋" w:eastAsia="仿宋" w:cs="仿宋"/>
          <w:kern w:val="0"/>
        </w:rPr>
        <w:t>至今税务机关出具的税收完税证明及中国社会保险出具的社保证明，至少提供1个月证明材料）；</w:t>
      </w:r>
    </w:p>
    <w:p>
      <w:pPr>
        <w:spacing w:line="360" w:lineRule="auto"/>
        <w:ind w:firstLine="480"/>
        <w:rPr>
          <w:rFonts w:ascii="仿宋" w:hAnsi="仿宋" w:eastAsia="仿宋" w:cs="仿宋"/>
        </w:rPr>
      </w:pPr>
      <w:r>
        <w:rPr>
          <w:rFonts w:hint="eastAsia" w:ascii="仿宋" w:hAnsi="仿宋" w:eastAsia="仿宋" w:cs="仿宋"/>
        </w:rPr>
        <w:t>4、参加政府采购活动近三年内（202</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月-至今），在经营活动中没有重大违法记录（提供书面声明）；</w:t>
      </w:r>
    </w:p>
    <w:p>
      <w:pPr>
        <w:spacing w:line="360" w:lineRule="auto"/>
        <w:ind w:firstLine="0" w:firstLineChars="0"/>
        <w:jc w:val="center"/>
        <w:rPr>
          <w:rFonts w:ascii="仿宋" w:hAnsi="仿宋" w:eastAsia="仿宋" w:cs="仿宋"/>
        </w:rPr>
      </w:pPr>
    </w:p>
    <w:p>
      <w:pPr>
        <w:spacing w:line="360" w:lineRule="auto"/>
        <w:ind w:firstLine="480"/>
        <w:rPr>
          <w:rFonts w:ascii="仿宋" w:hAnsi="仿宋" w:eastAsia="仿宋" w:cs="仿宋"/>
        </w:rPr>
      </w:pPr>
      <w:r>
        <w:rPr>
          <w:rFonts w:hint="eastAsia" w:ascii="仿宋" w:hAnsi="仿宋" w:eastAsia="仿宋" w:cs="仿宋"/>
        </w:rPr>
        <w:t>我公司在参加（项目名称）政府采购活动前3年内，我公司被公开披露或查处的违法违规行为有：，但在经营活动中没有重大违法记录（重大违法记录指</w:t>
      </w:r>
      <w:r>
        <w:rPr>
          <w:rFonts w:hint="eastAsia" w:ascii="仿宋" w:hAnsi="仿宋" w:eastAsia="仿宋" w:cs="仿宋"/>
          <w:kern w:val="0"/>
        </w:rPr>
        <w:t>供应商因违法经营受到刑事处罚或者责令停产停业、吊销许可证或者执照、较大数额罚款等行政处罚）</w:t>
      </w:r>
      <w:r>
        <w:rPr>
          <w:rFonts w:hint="eastAsia" w:ascii="仿宋" w:hAnsi="仿宋" w:eastAsia="仿宋" w:cs="仿宋"/>
        </w:rPr>
        <w:t>。</w:t>
      </w:r>
    </w:p>
    <w:p>
      <w:pPr>
        <w:spacing w:line="760" w:lineRule="exact"/>
        <w:ind w:firstLine="2640" w:firstLineChars="1100"/>
        <w:rPr>
          <w:rFonts w:ascii="国标仿宋-GB/T 2312" w:hAnsi="国标仿宋-GB/T 2312" w:eastAsia="国标仿宋-GB/T 2312" w:cs="国标仿宋-GB/T 2312"/>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spacing w:line="360" w:lineRule="auto"/>
        <w:ind w:firstLine="0" w:firstLineChars="0"/>
        <w:rPr>
          <w:rFonts w:ascii="仿宋" w:hAnsi="仿宋" w:eastAsia="仿宋" w:cs="仿宋"/>
        </w:rPr>
      </w:pPr>
    </w:p>
    <w:p>
      <w:pPr>
        <w:spacing w:line="360" w:lineRule="auto"/>
        <w:ind w:firstLine="0" w:firstLineChars="0"/>
        <w:rPr>
          <w:rFonts w:hint="eastAsia" w:ascii="仿宋" w:hAnsi="仿宋" w:eastAsia="仿宋" w:cs="仿宋"/>
        </w:rPr>
      </w:pPr>
      <w:r>
        <w:rPr>
          <w:rFonts w:hint="eastAsia" w:ascii="仿宋" w:hAnsi="仿宋" w:eastAsia="仿宋" w:cs="仿宋"/>
        </w:rPr>
        <w:t>备注：供应商没有被公开披露或查处违法违规行为的，注明“无”即可。</w:t>
      </w:r>
    </w:p>
    <w:p>
      <w:pPr>
        <w:spacing w:line="360" w:lineRule="auto"/>
        <w:ind w:firstLine="0" w:firstLineChars="0"/>
        <w:rPr>
          <w:rFonts w:hint="eastAsia" w:ascii="仿宋" w:hAnsi="仿宋" w:eastAsia="仿宋" w:cs="仿宋"/>
        </w:rPr>
      </w:pPr>
    </w:p>
    <w:p>
      <w:pPr>
        <w:pStyle w:val="164"/>
        <w:spacing w:line="360" w:lineRule="auto"/>
        <w:jc w:val="center"/>
        <w:outlineLvl w:val="2"/>
        <w:rPr>
          <w:rStyle w:val="161"/>
          <w:rFonts w:ascii="仿宋" w:hAnsi="仿宋" w:eastAsia="仿宋" w:cs="仿宋"/>
          <w:b/>
          <w:bCs/>
        </w:rPr>
      </w:pPr>
      <w:r>
        <w:rPr>
          <w:rStyle w:val="161"/>
          <w:rFonts w:hint="eastAsia" w:ascii="仿宋" w:hAnsi="仿宋" w:eastAsia="仿宋" w:cs="仿宋"/>
          <w:b/>
          <w:bCs/>
        </w:rPr>
        <w:t>（六）不参与围标串标承诺书</w:t>
      </w:r>
    </w:p>
    <w:p>
      <w:pPr>
        <w:spacing w:line="360" w:lineRule="auto"/>
        <w:ind w:firstLine="480"/>
        <w:rPr>
          <w:rFonts w:ascii="仿宋" w:hAnsi="仿宋" w:eastAsia="仿宋" w:cs="仿宋"/>
        </w:rPr>
      </w:pPr>
    </w:p>
    <w:p>
      <w:pPr>
        <w:spacing w:line="360" w:lineRule="auto"/>
        <w:ind w:firstLine="0" w:firstLineChars="0"/>
        <w:rPr>
          <w:rFonts w:ascii="仿宋" w:hAnsi="仿宋" w:eastAsia="仿宋" w:cs="仿宋"/>
        </w:rPr>
      </w:pPr>
      <w:r>
        <w:rPr>
          <w:rFonts w:hint="eastAsia" w:ascii="仿宋" w:hAnsi="仿宋" w:eastAsia="仿宋" w:cs="仿宋"/>
        </w:rPr>
        <w:t>（采购人）：</w:t>
      </w:r>
    </w:p>
    <w:p>
      <w:pPr>
        <w:spacing w:line="360" w:lineRule="auto"/>
        <w:ind w:firstLine="480"/>
        <w:rPr>
          <w:rFonts w:ascii="仿宋" w:hAnsi="仿宋" w:eastAsia="仿宋" w:cs="仿宋"/>
        </w:rPr>
      </w:pPr>
      <w:r>
        <w:rPr>
          <w:rFonts w:hint="eastAsia" w:ascii="仿宋" w:hAnsi="仿宋" w:eastAsia="仿宋" w:cs="仿宋"/>
        </w:rPr>
        <w:t>我公司清楚知晓本项目谈判活动，对以下事项作出承诺：</w:t>
      </w:r>
    </w:p>
    <w:p>
      <w:pPr>
        <w:spacing w:line="360" w:lineRule="auto"/>
        <w:ind w:firstLine="480"/>
        <w:rPr>
          <w:rFonts w:ascii="仿宋" w:hAnsi="仿宋" w:eastAsia="仿宋" w:cs="仿宋"/>
        </w:rPr>
      </w:pPr>
      <w:r>
        <w:rPr>
          <w:rFonts w:hint="eastAsia" w:ascii="仿宋" w:hAnsi="仿宋" w:eastAsia="仿宋" w:cs="仿宋"/>
        </w:rPr>
        <w:t>一．我公司遵循公开、公平、公正、诚实守信的原则，依法依规参与本项目竞标。</w:t>
      </w:r>
    </w:p>
    <w:p>
      <w:pPr>
        <w:spacing w:line="360" w:lineRule="auto"/>
        <w:ind w:firstLine="480"/>
        <w:rPr>
          <w:rFonts w:ascii="仿宋" w:hAnsi="仿宋" w:eastAsia="仿宋" w:cs="仿宋"/>
        </w:rPr>
      </w:pPr>
      <w:r>
        <w:rPr>
          <w:rFonts w:hint="eastAsia" w:ascii="仿宋" w:hAnsi="仿宋" w:eastAsia="仿宋" w:cs="仿宋"/>
        </w:rPr>
        <w:t>二．我公司在本项目谈判活动中，未参与围标串标。</w:t>
      </w:r>
    </w:p>
    <w:p>
      <w:pPr>
        <w:spacing w:line="360" w:lineRule="auto"/>
        <w:ind w:firstLine="480"/>
        <w:rPr>
          <w:rFonts w:ascii="仿宋" w:hAnsi="仿宋" w:eastAsia="仿宋" w:cs="仿宋"/>
          <w:b/>
        </w:rPr>
      </w:pPr>
      <w:r>
        <w:rPr>
          <w:rFonts w:hint="eastAsia" w:ascii="仿宋" w:hAnsi="仿宋" w:eastAsia="仿宋" w:cs="仿宋"/>
        </w:rPr>
        <w:t>三．我公司如被查实在本项目谈判活动中存在围标串标的，递交谈判响应文件行为作为实施串通投标违法行为的关键环节，本人承担直接责任人员法律责任，接受相应行政处罚和失信惩戒。</w:t>
      </w:r>
    </w:p>
    <w:p>
      <w:pPr>
        <w:spacing w:line="360" w:lineRule="auto"/>
        <w:ind w:firstLine="480"/>
        <w:jc w:val="left"/>
        <w:rPr>
          <w:rFonts w:ascii="仿宋" w:hAnsi="仿宋" w:eastAsia="仿宋" w:cs="仿宋"/>
        </w:rPr>
      </w:pPr>
      <w:r>
        <w:rPr>
          <w:rFonts w:hint="eastAsia" w:ascii="仿宋" w:hAnsi="仿宋" w:eastAsia="仿宋" w:cs="仿宋"/>
        </w:rPr>
        <w:t xml:space="preserve">项目编号：    </w:t>
      </w:r>
    </w:p>
    <w:p>
      <w:pPr>
        <w:spacing w:line="360" w:lineRule="auto"/>
        <w:ind w:firstLine="0" w:firstLineChars="0"/>
        <w:jc w:val="left"/>
        <w:rPr>
          <w:rFonts w:ascii="仿宋" w:hAnsi="仿宋" w:eastAsia="仿宋" w:cs="仿宋"/>
        </w:rPr>
      </w:pPr>
    </w:p>
    <w:p>
      <w:pPr>
        <w:spacing w:line="360" w:lineRule="auto"/>
        <w:ind w:firstLine="0" w:firstLineChars="0"/>
        <w:jc w:val="left"/>
        <w:rPr>
          <w:rFonts w:ascii="仿宋" w:hAnsi="仿宋" w:eastAsia="仿宋" w:cs="仿宋"/>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pStyle w:val="164"/>
        <w:spacing w:line="360" w:lineRule="auto"/>
        <w:jc w:val="center"/>
        <w:outlineLvl w:val="2"/>
        <w:rPr>
          <w:rStyle w:val="161"/>
          <w:rFonts w:ascii="仿宋" w:hAnsi="仿宋" w:eastAsia="仿宋" w:cs="仿宋"/>
          <w:b/>
          <w:bCs/>
        </w:rPr>
      </w:pPr>
      <w:r>
        <w:rPr>
          <w:rFonts w:hint="eastAsia" w:ascii="仿宋" w:hAnsi="仿宋" w:eastAsia="仿宋" w:cs="仿宋"/>
        </w:rPr>
        <w:br w:type="page"/>
      </w:r>
      <w:bookmarkStart w:id="146" w:name="_Toc2904"/>
      <w:r>
        <w:rPr>
          <w:rStyle w:val="161"/>
          <w:rFonts w:hint="eastAsia" w:ascii="仿宋" w:hAnsi="仿宋" w:eastAsia="仿宋" w:cs="仿宋"/>
          <w:b/>
          <w:bCs/>
        </w:rPr>
        <w:t>（七）政府采购诚信承诺书</w:t>
      </w:r>
    </w:p>
    <w:bookmarkEnd w:id="146"/>
    <w:p>
      <w:pPr>
        <w:spacing w:line="360" w:lineRule="auto"/>
        <w:ind w:firstLine="480"/>
        <w:rPr>
          <w:rFonts w:ascii="仿宋" w:hAnsi="仿宋" w:eastAsia="仿宋" w:cs="仿宋"/>
          <w:u w:val="single"/>
        </w:rPr>
      </w:pPr>
    </w:p>
    <w:p>
      <w:pPr>
        <w:spacing w:line="360" w:lineRule="auto"/>
        <w:ind w:firstLine="0" w:firstLineChars="0"/>
        <w:rPr>
          <w:rFonts w:ascii="仿宋" w:hAnsi="仿宋" w:eastAsia="仿宋" w:cs="仿宋"/>
        </w:rPr>
      </w:pPr>
      <w:r>
        <w:rPr>
          <w:rFonts w:hint="eastAsia" w:ascii="仿宋" w:hAnsi="仿宋" w:eastAsia="仿宋" w:cs="仿宋"/>
        </w:rPr>
        <w:t>（采购人）：</w:t>
      </w:r>
    </w:p>
    <w:p>
      <w:pPr>
        <w:widowControl/>
        <w:autoSpaceDE w:val="0"/>
        <w:autoSpaceDN w:val="0"/>
        <w:adjustRightInd w:val="0"/>
        <w:spacing w:line="360" w:lineRule="auto"/>
        <w:ind w:firstLine="480"/>
        <w:rPr>
          <w:rFonts w:ascii="仿宋" w:hAnsi="仿宋" w:eastAsia="仿宋" w:cs="仿宋"/>
          <w:kern w:val="1"/>
        </w:rPr>
      </w:pPr>
      <w:r>
        <w:rPr>
          <w:rStyle w:val="163"/>
          <w:rFonts w:hint="eastAsia" w:cs="仿宋"/>
        </w:rPr>
        <w:t>我公司（供应商名称）已详细阅读了项目（项目编号：）竞争性谈判文件，自愿参加本次谈判，现就有关事项做出郑重承诺如下：</w:t>
      </w:r>
    </w:p>
    <w:p>
      <w:pPr>
        <w:widowControl/>
        <w:autoSpaceDE w:val="0"/>
        <w:autoSpaceDN w:val="0"/>
        <w:adjustRightInd w:val="0"/>
        <w:spacing w:line="360" w:lineRule="auto"/>
        <w:ind w:firstLine="480"/>
        <w:rPr>
          <w:rStyle w:val="163"/>
          <w:rFonts w:cs="仿宋"/>
        </w:rPr>
      </w:pPr>
      <w:r>
        <w:rPr>
          <w:rStyle w:val="163"/>
          <w:rFonts w:hint="eastAsia" w:cs="仿宋"/>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360" w:lineRule="auto"/>
        <w:ind w:firstLine="480"/>
        <w:rPr>
          <w:rFonts w:ascii="仿宋" w:hAnsi="仿宋" w:eastAsia="仿宋" w:cs="仿宋"/>
          <w:kern w:val="1"/>
        </w:rPr>
      </w:pPr>
      <w:r>
        <w:rPr>
          <w:rStyle w:val="163"/>
          <w:rFonts w:hint="eastAsia" w:cs="仿宋"/>
        </w:rPr>
        <w:t>二．遵纪守法，公平竞争。不与其他供应商相互串通、</w:t>
      </w:r>
      <w:r>
        <w:rPr>
          <w:rFonts w:hint="eastAsia" w:ascii="仿宋" w:hAnsi="仿宋" w:eastAsia="仿宋" w:cs="仿宋"/>
          <w:kern w:val="0"/>
        </w:rPr>
        <w:t>哄抬价格，</w:t>
      </w:r>
      <w:r>
        <w:rPr>
          <w:rStyle w:val="163"/>
          <w:rFonts w:hint="eastAsia" w:cs="仿宋"/>
        </w:rPr>
        <w:t>不排挤其他供应商，不损害采购人的合法权益；不向评标委员会、采购人提供利益以牟取成交。</w:t>
      </w:r>
    </w:p>
    <w:p>
      <w:pPr>
        <w:widowControl/>
        <w:autoSpaceDE w:val="0"/>
        <w:autoSpaceDN w:val="0"/>
        <w:adjustRightInd w:val="0"/>
        <w:spacing w:line="360" w:lineRule="auto"/>
        <w:ind w:firstLine="480"/>
        <w:rPr>
          <w:rFonts w:ascii="仿宋" w:hAnsi="仿宋" w:eastAsia="仿宋" w:cs="仿宋"/>
          <w:kern w:val="1"/>
        </w:rPr>
      </w:pPr>
      <w:r>
        <w:rPr>
          <w:rFonts w:hint="eastAsia" w:ascii="仿宋" w:hAnsi="仿宋" w:eastAsia="仿宋" w:cs="仿宋"/>
          <w:kern w:val="0"/>
        </w:rPr>
        <w:t>三．若成交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163"/>
          <w:rFonts w:cs="仿宋"/>
        </w:rPr>
      </w:pPr>
      <w:r>
        <w:rPr>
          <w:rStyle w:val="163"/>
          <w:rFonts w:hint="eastAsia" w:cs="仿宋"/>
        </w:rPr>
        <w:t>若有违反以上承诺内容的行为，我公司自愿接受取消谈判资格、记入信用档案、没收谈判保证金、媒体通报、1-3年内禁止参与政府采购等处罚；如已成交的，自动放弃成交资格，并承担全部法律责任；给采购人造成损失的，依法承担赔偿责任。</w:t>
      </w:r>
    </w:p>
    <w:p>
      <w:pPr>
        <w:widowControl/>
        <w:autoSpaceDE w:val="0"/>
        <w:autoSpaceDN w:val="0"/>
        <w:adjustRightInd w:val="0"/>
        <w:spacing w:line="360" w:lineRule="auto"/>
        <w:ind w:right="-481" w:firstLine="0" w:firstLineChars="0"/>
        <w:rPr>
          <w:rFonts w:ascii="仿宋" w:hAnsi="仿宋" w:eastAsia="仿宋" w:cs="仿宋"/>
          <w:kern w:val="1"/>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pStyle w:val="159"/>
        <w:spacing w:line="240" w:lineRule="auto"/>
        <w:rPr>
          <w:rStyle w:val="161"/>
          <w:rFonts w:ascii="仿宋" w:hAnsi="仿宋" w:eastAsia="仿宋" w:cs="仿宋"/>
          <w:b/>
          <w:bCs/>
          <w:sz w:val="36"/>
          <w:szCs w:val="36"/>
        </w:rPr>
      </w:pPr>
      <w:r>
        <w:rPr>
          <w:rFonts w:hint="eastAsia" w:ascii="仿宋" w:hAnsi="仿宋" w:eastAsia="仿宋" w:cs="仿宋"/>
        </w:rPr>
        <w:br w:type="page"/>
      </w:r>
      <w:r>
        <w:rPr>
          <w:rStyle w:val="161"/>
          <w:rFonts w:hint="eastAsia" w:ascii="仿宋" w:hAnsi="仿宋" w:eastAsia="仿宋" w:cs="仿宋"/>
          <w:b/>
          <w:bCs/>
          <w:sz w:val="36"/>
          <w:szCs w:val="36"/>
        </w:rPr>
        <w:t>三、价格文件</w:t>
      </w:r>
    </w:p>
    <w:p>
      <w:pPr>
        <w:pStyle w:val="164"/>
        <w:spacing w:line="360" w:lineRule="auto"/>
        <w:jc w:val="center"/>
        <w:outlineLvl w:val="2"/>
        <w:rPr>
          <w:rStyle w:val="161"/>
          <w:rFonts w:ascii="仿宋" w:hAnsi="仿宋" w:eastAsia="仿宋" w:cs="仿宋"/>
          <w:b/>
          <w:bCs/>
        </w:rPr>
      </w:pPr>
      <w:r>
        <w:rPr>
          <w:rStyle w:val="161"/>
          <w:rFonts w:hint="eastAsia" w:ascii="仿宋" w:hAnsi="仿宋" w:eastAsia="仿宋" w:cs="仿宋"/>
          <w:b/>
          <w:bCs/>
        </w:rPr>
        <w:t>（一）谈判函</w:t>
      </w:r>
    </w:p>
    <w:p>
      <w:pPr>
        <w:pStyle w:val="165"/>
        <w:widowControl/>
        <w:spacing w:line="360" w:lineRule="auto"/>
        <w:ind w:left="0" w:leftChars="0"/>
        <w:rPr>
          <w:rFonts w:ascii="仿宋" w:hAnsi="仿宋" w:eastAsia="仿宋" w:cs="仿宋"/>
          <w:color w:val="000000"/>
          <w:sz w:val="24"/>
        </w:rPr>
      </w:pPr>
      <w:r>
        <w:rPr>
          <w:rFonts w:hint="eastAsia" w:ascii="仿宋" w:hAnsi="仿宋" w:eastAsia="仿宋" w:cs="仿宋"/>
          <w:color w:val="000000"/>
          <w:sz w:val="24"/>
          <w:u w:val="single"/>
        </w:rPr>
        <w:t>（采购人）</w:t>
      </w:r>
      <w:r>
        <w:rPr>
          <w:rFonts w:hint="eastAsia" w:ascii="仿宋" w:hAnsi="仿宋" w:eastAsia="仿宋" w:cs="仿宋"/>
          <w:color w:val="000000"/>
          <w:sz w:val="24"/>
        </w:rPr>
        <w:t>：</w:t>
      </w:r>
    </w:p>
    <w:p>
      <w:pPr>
        <w:pStyle w:val="165"/>
        <w:widowControl/>
        <w:spacing w:line="360" w:lineRule="auto"/>
        <w:ind w:left="0" w:leftChars="0"/>
        <w:rPr>
          <w:rFonts w:ascii="仿宋" w:hAnsi="仿宋" w:eastAsia="仿宋" w:cs="仿宋"/>
          <w:color w:val="000000"/>
          <w:sz w:val="24"/>
        </w:rPr>
      </w:pPr>
      <w:r>
        <w:rPr>
          <w:rFonts w:hint="eastAsia" w:ascii="仿宋" w:hAnsi="仿宋" w:eastAsia="仿宋" w:cs="仿宋"/>
          <w:color w:val="000000"/>
          <w:sz w:val="24"/>
        </w:rPr>
        <w:t>我公司参加贵方组织的 (项目名称、项目编号)招标的有关活动。为此：</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1.我公司同意在本项目谈判文件中规定的谈判有效期内遵守本谈判文件中的承诺且在此期限期满之前均具有约束力。</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2.我公司承诺已经具备《中华人民共和国政府采购法》中规定的参加政府采购活动的供应商应当具备的条件：</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（1）具有独立承担民事责任的能力；</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（2）具有良好的商业信誉和健全的财务会计制度；</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（3）具有履行合同所必需的设备和专业技术能力；</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（5）参加此项采购活动前三年内，在经营活动中没有重大违法记录；</w:t>
      </w:r>
    </w:p>
    <w:p>
      <w:pPr>
        <w:pStyle w:val="166"/>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3.按谈判文件要求提供和交付的货物及相关服务的谈判报价详见</w:t>
      </w:r>
      <w:r>
        <w:rPr>
          <w:rFonts w:hint="eastAsia" w:ascii="仿宋" w:hAnsi="仿宋" w:eastAsia="仿宋" w:cs="仿宋"/>
          <w:color w:val="000000"/>
          <w:sz w:val="24"/>
          <w:lang w:eastAsia="zh-CN"/>
        </w:rPr>
        <w:t>报价</w:t>
      </w:r>
      <w:r>
        <w:rPr>
          <w:rFonts w:hint="eastAsia" w:ascii="仿宋" w:hAnsi="仿宋" w:eastAsia="仿宋" w:cs="仿宋"/>
          <w:color w:val="000000"/>
          <w:sz w:val="24"/>
        </w:rPr>
        <w:t>一览表。</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4.保证忠实地执行双方所签订的合同，并承担合同规定的责任和义务。</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5.我公司承诺完全满足和响应谈判文件中的各项技术和服务要求，若有偏差，已在谈判响应文件偏离表中予以明确特别说明。</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6.我公司承诺：完全理解谈判报价若超过项目预算时，投标将被拒绝。</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7.如果在开标后规定的谈判有效期内撤回谈判，我公司的谈判保证金可被贵方没收。</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8.</w:t>
      </w:r>
      <w:r>
        <w:rPr>
          <w:rFonts w:hint="eastAsia" w:ascii="仿宋" w:hAnsi="仿宋" w:eastAsia="仿宋" w:cs="仿宋"/>
          <w:sz w:val="24"/>
        </w:rPr>
        <w:t>我公司承诺：谈判响应文件所提供的一切资料及</w:t>
      </w:r>
      <w:r>
        <w:rPr>
          <w:rFonts w:hint="eastAsia" w:ascii="仿宋" w:hAnsi="仿宋" w:eastAsia="仿宋" w:cs="仿宋"/>
          <w:color w:val="000000"/>
          <w:sz w:val="24"/>
        </w:rPr>
        <w:t>政采云</w:t>
      </w:r>
      <w:r>
        <w:rPr>
          <w:rFonts w:hint="eastAsia" w:ascii="仿宋" w:hAnsi="仿宋" w:eastAsia="仿宋" w:cs="仿宋"/>
          <w:sz w:val="24"/>
        </w:rPr>
        <w:t>交易平台申报资料均真实、及时、有效。由于我公司提供资料不实而造成的责任和后果由我公司承担。我公司同意按照贵方提出的要求，</w:t>
      </w:r>
      <w:r>
        <w:rPr>
          <w:rFonts w:hint="eastAsia" w:ascii="仿宋" w:hAnsi="仿宋" w:eastAsia="仿宋" w:cs="仿宋"/>
          <w:color w:val="000000"/>
          <w:sz w:val="24"/>
        </w:rPr>
        <w:t>向贵方提供任何与本项投标有关的数据、情况和技术资料。若贵方需要，我公司愿意提供我公司作出的一切承诺的证明材料。</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9.我公司已详细审核全部谈判响应文件，包括</w:t>
      </w:r>
      <w:r>
        <w:rPr>
          <w:rFonts w:hint="eastAsia" w:ascii="仿宋" w:hAnsi="仿宋" w:eastAsia="仿宋" w:cs="仿宋"/>
          <w:color w:val="000000"/>
          <w:sz w:val="24"/>
          <w:lang w:eastAsia="zh-CN"/>
        </w:rPr>
        <w:t>响应文件</w:t>
      </w:r>
      <w:r>
        <w:rPr>
          <w:rFonts w:hint="eastAsia" w:ascii="仿宋" w:hAnsi="仿宋" w:eastAsia="仿宋" w:cs="仿宋"/>
          <w:color w:val="000000"/>
          <w:sz w:val="24"/>
        </w:rPr>
        <w:t>修改书（如有的话）、参考资料及有关附件，确认无误。</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10.我公司承诺：采购人若需追加采购本项目谈判文件所列货物及相关服务的，在不改变合同其他实质性条款的前提下，按相同或更优惠的折扣率保证供货。</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11.我公司承诺：如所报货物属国家强制认证产品及节能政府强制采购产品的，均已通过认证且在有效期内，否则，由此产生的一切法律责任由我公司承担。</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12.我公司承诺：接受谈判文件中的全部条款且无任何异议，保证遵守谈判文件的规定。</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13.我公司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（1）提供虚假材料谋取中标、成交的；</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（2）采取不正当手段诋毁、排挤其他供应商的；</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（3）与采购人、其他供应商或者采购代理机构工作人员恶意串通的；</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（4）向采购人、采购代理机构工作人员行贿或者提供其他不正当利益的；</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（5）在采购过程中与采购人进行协商谈判的；</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（6）拒绝有关部门监督检查或提供虚假情况的。</w:t>
      </w:r>
    </w:p>
    <w:p>
      <w:pPr>
        <w:pStyle w:val="166"/>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14.与本谈判有关的一切往来通讯请寄：</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地址：</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邮编：</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电话：</w:t>
      </w:r>
    </w:p>
    <w:p>
      <w:pPr>
        <w:pStyle w:val="165"/>
        <w:widowControl/>
        <w:spacing w:line="360" w:lineRule="auto"/>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传真：</w:t>
      </w:r>
    </w:p>
    <w:p>
      <w:pPr>
        <w:pStyle w:val="165"/>
        <w:widowControl/>
        <w:ind w:left="0" w:leftChars="0" w:firstLine="480" w:firstLineChars="200"/>
        <w:rPr>
          <w:rFonts w:ascii="仿宋" w:hAnsi="仿宋" w:eastAsia="仿宋" w:cs="仿宋"/>
          <w:color w:val="000000"/>
          <w:sz w:val="24"/>
        </w:rPr>
      </w:pPr>
      <w:r>
        <w:rPr>
          <w:rFonts w:hint="eastAsia" w:ascii="仿宋" w:hAnsi="仿宋" w:eastAsia="仿宋" w:cs="仿宋"/>
          <w:color w:val="000000"/>
          <w:sz w:val="24"/>
        </w:rPr>
        <w:t>供应商法定代表人或</w:t>
      </w:r>
      <w:r>
        <w:rPr>
          <w:rFonts w:hint="eastAsia" w:ascii="仿宋" w:hAnsi="仿宋" w:eastAsia="仿宋" w:cs="仿宋"/>
          <w:color w:val="000000"/>
          <w:sz w:val="24"/>
          <w:lang w:eastAsia="zh-CN"/>
        </w:rPr>
        <w:t>授权代表</w:t>
      </w:r>
      <w:r>
        <w:rPr>
          <w:rFonts w:hint="eastAsia" w:ascii="仿宋" w:hAnsi="仿宋" w:eastAsia="仿宋" w:cs="仿宋"/>
          <w:color w:val="000000"/>
          <w:sz w:val="24"/>
        </w:rPr>
        <w:t>联系电话、电子邮箱：</w:t>
      </w:r>
    </w:p>
    <w:p>
      <w:pPr>
        <w:pStyle w:val="165"/>
        <w:widowControl/>
        <w:spacing w:line="360" w:lineRule="auto"/>
        <w:ind w:left="0" w:leftChars="0"/>
        <w:rPr>
          <w:rFonts w:ascii="仿宋" w:hAnsi="仿宋" w:eastAsia="仿宋" w:cs="仿宋"/>
          <w:color w:val="000000"/>
          <w:sz w:val="24"/>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pStyle w:val="16"/>
        <w:ind w:firstLine="400"/>
        <w:rPr>
          <w:rFonts w:ascii="宋体" w:hAnsi="宋体" w:cs="宋体"/>
        </w:rPr>
      </w:pPr>
    </w:p>
    <w:p>
      <w:pPr>
        <w:pStyle w:val="17"/>
        <w:rPr>
          <w:color w:val="auto"/>
        </w:rPr>
      </w:pPr>
    </w:p>
    <w:p>
      <w:pPr>
        <w:pStyle w:val="18"/>
        <w:ind w:firstLine="562"/>
      </w:pPr>
    </w:p>
    <w:p>
      <w:pPr>
        <w:pStyle w:val="18"/>
        <w:ind w:firstLine="562"/>
      </w:pPr>
    </w:p>
    <w:p>
      <w:pPr>
        <w:pStyle w:val="17"/>
      </w:pPr>
    </w:p>
    <w:p>
      <w:pPr>
        <w:adjustRightInd w:val="0"/>
        <w:snapToGrid w:val="0"/>
        <w:spacing w:line="480" w:lineRule="auto"/>
        <w:ind w:firstLine="0" w:firstLineChars="0"/>
        <w:rPr>
          <w:rFonts w:ascii="宋体" w:hAnsi="宋体" w:cs="宋体"/>
        </w:rPr>
      </w:pPr>
    </w:p>
    <w:p>
      <w:pPr>
        <w:pStyle w:val="164"/>
        <w:numPr>
          <w:ilvl w:val="0"/>
          <w:numId w:val="10"/>
        </w:numPr>
        <w:spacing w:line="360" w:lineRule="auto"/>
        <w:jc w:val="center"/>
        <w:outlineLvl w:val="2"/>
        <w:rPr>
          <w:rStyle w:val="161"/>
          <w:rFonts w:ascii="仿宋" w:hAnsi="仿宋" w:eastAsia="仿宋" w:cs="仿宋"/>
          <w:b/>
          <w:bCs/>
        </w:rPr>
      </w:pPr>
      <w:r>
        <w:rPr>
          <w:rStyle w:val="161"/>
          <w:rFonts w:hint="eastAsia" w:ascii="仿宋" w:hAnsi="仿宋" w:eastAsia="仿宋" w:cs="仿宋"/>
          <w:b/>
          <w:bCs/>
        </w:rPr>
        <w:t>报价一览表</w:t>
      </w:r>
    </w:p>
    <w:p>
      <w:pPr>
        <w:spacing w:line="360" w:lineRule="auto"/>
        <w:ind w:firstLine="16" w:firstLineChars="7"/>
        <w:rPr>
          <w:rFonts w:ascii="仿宋" w:hAnsi="仿宋" w:eastAsia="仿宋" w:cs="仿宋"/>
        </w:rPr>
      </w:pPr>
      <w:r>
        <w:rPr>
          <w:rFonts w:hint="eastAsia" w:ascii="仿宋" w:hAnsi="仿宋" w:eastAsia="仿宋" w:cs="仿宋"/>
        </w:rPr>
        <w:t>项目名称：</w:t>
      </w:r>
    </w:p>
    <w:p>
      <w:pPr>
        <w:spacing w:line="360" w:lineRule="auto"/>
        <w:ind w:firstLine="16" w:firstLineChars="7"/>
        <w:rPr>
          <w:rFonts w:ascii="仿宋" w:hAnsi="仿宋" w:eastAsia="仿宋" w:cs="仿宋"/>
        </w:rPr>
      </w:pPr>
      <w:r>
        <w:rPr>
          <w:rFonts w:hint="eastAsia" w:ascii="仿宋" w:hAnsi="仿宋" w:eastAsia="仿宋" w:cs="仿宋"/>
        </w:rPr>
        <w:t>项目编号：</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250"/>
        <w:gridCol w:w="4482"/>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1" w:type="dxa"/>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序号</w:t>
            </w:r>
          </w:p>
        </w:tc>
        <w:tc>
          <w:tcPr>
            <w:tcW w:w="6732" w:type="dxa"/>
            <w:gridSpan w:val="2"/>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内容</w:t>
            </w:r>
          </w:p>
        </w:tc>
        <w:tc>
          <w:tcPr>
            <w:tcW w:w="1244" w:type="dxa"/>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81" w:type="dxa"/>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1</w:t>
            </w:r>
          </w:p>
        </w:tc>
        <w:tc>
          <w:tcPr>
            <w:tcW w:w="2250" w:type="dxa"/>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供应商名称</w:t>
            </w:r>
          </w:p>
        </w:tc>
        <w:tc>
          <w:tcPr>
            <w:tcW w:w="4482" w:type="dxa"/>
            <w:noWrap/>
          </w:tcPr>
          <w:p>
            <w:pPr>
              <w:spacing w:line="360" w:lineRule="auto"/>
              <w:ind w:firstLine="16" w:firstLineChars="7"/>
              <w:jc w:val="center"/>
              <w:rPr>
                <w:rFonts w:ascii="仿宋" w:hAnsi="仿宋" w:eastAsia="仿宋" w:cs="仿宋"/>
              </w:rPr>
            </w:pPr>
          </w:p>
        </w:tc>
        <w:tc>
          <w:tcPr>
            <w:tcW w:w="1244" w:type="dxa"/>
            <w:noWrap/>
          </w:tcPr>
          <w:p>
            <w:pPr>
              <w:spacing w:line="360" w:lineRule="auto"/>
              <w:ind w:firstLine="16" w:firstLineChars="7"/>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81" w:type="dxa"/>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2</w:t>
            </w:r>
          </w:p>
        </w:tc>
        <w:tc>
          <w:tcPr>
            <w:tcW w:w="2250" w:type="dxa"/>
            <w:noWrap/>
            <w:vAlign w:val="center"/>
          </w:tcPr>
          <w:p>
            <w:pPr>
              <w:spacing w:line="360" w:lineRule="auto"/>
              <w:ind w:firstLine="16" w:firstLineChars="7"/>
              <w:jc w:val="center"/>
              <w:rPr>
                <w:rFonts w:ascii="仿宋" w:hAnsi="仿宋" w:eastAsia="仿宋" w:cs="仿宋"/>
              </w:rPr>
            </w:pPr>
            <w:r>
              <w:rPr>
                <w:rFonts w:hint="eastAsia" w:ascii="仿宋" w:hAnsi="仿宋" w:eastAsia="仿宋" w:cs="仿宋"/>
              </w:rPr>
              <w:t>报价总价</w:t>
            </w:r>
          </w:p>
        </w:tc>
        <w:tc>
          <w:tcPr>
            <w:tcW w:w="4482" w:type="dxa"/>
            <w:noWrap/>
          </w:tcPr>
          <w:p>
            <w:pPr>
              <w:spacing w:line="440" w:lineRule="exact"/>
              <w:ind w:firstLine="0" w:firstLineChars="0"/>
              <w:rPr>
                <w:rFonts w:ascii="仿宋" w:hAnsi="仿宋" w:eastAsia="仿宋" w:cs="仿宋"/>
              </w:rPr>
            </w:pPr>
            <w:r>
              <w:rPr>
                <w:rFonts w:hint="eastAsia" w:ascii="仿宋" w:hAnsi="仿宋" w:eastAsia="仿宋" w:cs="仿宋"/>
              </w:rPr>
              <w:t>大写：         元</w:t>
            </w:r>
          </w:p>
          <w:p>
            <w:pPr>
              <w:spacing w:line="440" w:lineRule="exact"/>
              <w:ind w:firstLine="0" w:firstLineChars="0"/>
              <w:rPr>
                <w:rFonts w:ascii="仿宋" w:hAnsi="仿宋" w:eastAsia="仿宋" w:cs="仿宋"/>
                <w:u w:val="single"/>
              </w:rPr>
            </w:pPr>
            <w:r>
              <w:rPr>
                <w:rFonts w:hint="eastAsia" w:ascii="仿宋" w:hAnsi="仿宋" w:eastAsia="仿宋" w:cs="仿宋"/>
              </w:rPr>
              <w:t>小写：         元</w:t>
            </w:r>
          </w:p>
          <w:p>
            <w:pPr>
              <w:spacing w:line="360" w:lineRule="auto"/>
              <w:ind w:firstLine="16" w:firstLineChars="7"/>
              <w:rPr>
                <w:rFonts w:ascii="仿宋" w:hAnsi="仿宋" w:eastAsia="仿宋" w:cs="仿宋"/>
              </w:rPr>
            </w:pPr>
          </w:p>
        </w:tc>
        <w:tc>
          <w:tcPr>
            <w:tcW w:w="1244" w:type="dxa"/>
            <w:noWrap/>
          </w:tcPr>
          <w:p>
            <w:pPr>
              <w:spacing w:line="360" w:lineRule="auto"/>
              <w:ind w:firstLine="16" w:firstLineChars="7"/>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81" w:type="dxa"/>
            <w:noWrap/>
            <w:vAlign w:val="center"/>
          </w:tcPr>
          <w:p>
            <w:pPr>
              <w:spacing w:line="440" w:lineRule="exact"/>
              <w:ind w:firstLine="0" w:firstLineChars="0"/>
              <w:jc w:val="center"/>
              <w:rPr>
                <w:rFonts w:ascii="仿宋" w:hAnsi="仿宋" w:eastAsia="仿宋" w:cs="仿宋"/>
              </w:rPr>
            </w:pPr>
            <w:r>
              <w:rPr>
                <w:rFonts w:hint="eastAsia" w:ascii="仿宋" w:hAnsi="仿宋" w:eastAsia="仿宋" w:cs="仿宋"/>
              </w:rPr>
              <w:t>3</w:t>
            </w:r>
          </w:p>
        </w:tc>
        <w:tc>
          <w:tcPr>
            <w:tcW w:w="2250" w:type="dxa"/>
            <w:noWrap/>
            <w:vAlign w:val="center"/>
          </w:tcPr>
          <w:p>
            <w:pPr>
              <w:spacing w:line="440" w:lineRule="exact"/>
              <w:ind w:firstLine="0" w:firstLineChars="0"/>
              <w:jc w:val="center"/>
              <w:rPr>
                <w:rFonts w:ascii="仿宋" w:hAnsi="仿宋" w:eastAsia="仿宋" w:cs="仿宋"/>
              </w:rPr>
            </w:pPr>
            <w:r>
              <w:rPr>
                <w:rFonts w:hint="eastAsia" w:ascii="仿宋" w:hAnsi="仿宋" w:eastAsia="仿宋" w:cs="仿宋"/>
              </w:rPr>
              <w:t>供货期</w:t>
            </w:r>
          </w:p>
        </w:tc>
        <w:tc>
          <w:tcPr>
            <w:tcW w:w="4482" w:type="dxa"/>
            <w:noWrap/>
          </w:tcPr>
          <w:p>
            <w:pPr>
              <w:spacing w:line="440" w:lineRule="exact"/>
              <w:ind w:firstLine="0" w:firstLineChars="0"/>
              <w:jc w:val="center"/>
              <w:rPr>
                <w:rFonts w:ascii="仿宋" w:hAnsi="仿宋" w:eastAsia="仿宋" w:cs="仿宋"/>
              </w:rPr>
            </w:pPr>
          </w:p>
        </w:tc>
        <w:tc>
          <w:tcPr>
            <w:tcW w:w="1244" w:type="dxa"/>
            <w:noWrap/>
          </w:tcPr>
          <w:p>
            <w:pPr>
              <w:spacing w:line="440" w:lineRule="exact"/>
              <w:ind w:firstLine="0" w:firstLineChars="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181" w:type="dxa"/>
            <w:noWrap/>
            <w:vAlign w:val="center"/>
          </w:tcPr>
          <w:p>
            <w:pPr>
              <w:spacing w:line="440" w:lineRule="exact"/>
              <w:ind w:firstLine="0" w:firstLineChars="0"/>
              <w:jc w:val="center"/>
              <w:rPr>
                <w:rFonts w:ascii="仿宋" w:hAnsi="仿宋" w:eastAsia="仿宋" w:cs="仿宋"/>
              </w:rPr>
            </w:pPr>
            <w:r>
              <w:rPr>
                <w:rFonts w:hint="eastAsia" w:ascii="仿宋" w:hAnsi="仿宋" w:eastAsia="仿宋" w:cs="仿宋"/>
              </w:rPr>
              <w:t>4</w:t>
            </w:r>
          </w:p>
        </w:tc>
        <w:tc>
          <w:tcPr>
            <w:tcW w:w="2250" w:type="dxa"/>
            <w:noWrap/>
            <w:vAlign w:val="center"/>
          </w:tcPr>
          <w:p>
            <w:pPr>
              <w:spacing w:line="440" w:lineRule="exact"/>
              <w:ind w:firstLine="0" w:firstLineChars="0"/>
              <w:jc w:val="center"/>
              <w:rPr>
                <w:rFonts w:ascii="仿宋" w:hAnsi="仿宋" w:eastAsia="仿宋" w:cs="仿宋"/>
              </w:rPr>
            </w:pPr>
            <w:r>
              <w:rPr>
                <w:rFonts w:hint="eastAsia" w:ascii="仿宋" w:hAnsi="仿宋" w:eastAsia="仿宋" w:cs="仿宋"/>
              </w:rPr>
              <w:t>有其他事项申明</w:t>
            </w:r>
          </w:p>
        </w:tc>
        <w:tc>
          <w:tcPr>
            <w:tcW w:w="4482" w:type="dxa"/>
            <w:noWrap/>
            <w:vAlign w:val="center"/>
          </w:tcPr>
          <w:p>
            <w:pPr>
              <w:spacing w:line="440" w:lineRule="exact"/>
              <w:ind w:firstLine="0" w:firstLineChars="0"/>
              <w:rPr>
                <w:rFonts w:ascii="仿宋" w:hAnsi="仿宋" w:eastAsia="仿宋" w:cs="仿宋"/>
              </w:rPr>
            </w:pPr>
          </w:p>
        </w:tc>
        <w:tc>
          <w:tcPr>
            <w:tcW w:w="1244" w:type="dxa"/>
            <w:noWrap/>
            <w:vAlign w:val="center"/>
          </w:tcPr>
          <w:p>
            <w:pPr>
              <w:spacing w:line="440" w:lineRule="exact"/>
              <w:ind w:firstLine="0" w:firstLineChars="0"/>
              <w:rPr>
                <w:rFonts w:ascii="仿宋" w:hAnsi="仿宋" w:eastAsia="仿宋" w:cs="仿宋"/>
              </w:rPr>
            </w:pPr>
          </w:p>
        </w:tc>
      </w:tr>
    </w:tbl>
    <w:p>
      <w:pPr>
        <w:spacing w:line="360" w:lineRule="auto"/>
        <w:ind w:firstLine="480"/>
        <w:rPr>
          <w:rFonts w:ascii="仿宋" w:hAnsi="仿宋" w:eastAsia="仿宋" w:cs="仿宋"/>
        </w:rPr>
      </w:pPr>
      <w:r>
        <w:rPr>
          <w:rFonts w:hint="eastAsia" w:ascii="仿宋" w:hAnsi="仿宋" w:eastAsia="仿宋" w:cs="仿宋"/>
        </w:rPr>
        <w:t>谈判有效期：自报价截止之日起</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个日历天</w:t>
      </w:r>
    </w:p>
    <w:p>
      <w:pPr>
        <w:spacing w:line="240" w:lineRule="exact"/>
        <w:ind w:firstLine="0" w:firstLineChars="0"/>
        <w:rPr>
          <w:rFonts w:ascii="仿宋" w:hAnsi="仿宋" w:eastAsia="仿宋" w:cs="仿宋"/>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仿宋" w:hAnsi="仿宋" w:eastAsia="仿宋" w:cs="仿宋"/>
        </w:rPr>
      </w:pPr>
      <w:r>
        <w:rPr>
          <w:rFonts w:hint="eastAsia" w:ascii="国标仿宋-GB/T 2312" w:hAnsi="国标仿宋-GB/T 2312" w:eastAsia="国标仿宋-GB/T 2312" w:cs="国标仿宋-GB/T 2312"/>
        </w:rPr>
        <w:t>日期：   年   月   日</w:t>
      </w:r>
    </w:p>
    <w:p>
      <w:pPr>
        <w:pStyle w:val="4"/>
        <w:spacing w:line="360" w:lineRule="auto"/>
        <w:ind w:firstLine="0" w:firstLineChars="0"/>
        <w:rPr>
          <w:rStyle w:val="161"/>
          <w:rFonts w:ascii="仿宋" w:hAnsi="仿宋" w:eastAsia="仿宋" w:cs="仿宋"/>
          <w:b/>
        </w:rPr>
      </w:pPr>
    </w:p>
    <w:p>
      <w:pPr>
        <w:ind w:firstLine="482"/>
        <w:rPr>
          <w:rStyle w:val="161"/>
          <w:rFonts w:ascii="仿宋" w:hAnsi="仿宋" w:eastAsia="仿宋" w:cs="仿宋"/>
          <w:bCs/>
        </w:rPr>
      </w:pPr>
    </w:p>
    <w:p>
      <w:pPr>
        <w:pStyle w:val="16"/>
        <w:ind w:firstLine="400"/>
      </w:pPr>
    </w:p>
    <w:p>
      <w:pPr>
        <w:pStyle w:val="17"/>
      </w:pPr>
    </w:p>
    <w:p>
      <w:pPr>
        <w:pStyle w:val="18"/>
      </w:pPr>
    </w:p>
    <w:p>
      <w:pPr>
        <w:pStyle w:val="19"/>
      </w:pPr>
    </w:p>
    <w:p>
      <w:pPr>
        <w:ind w:firstLine="480"/>
      </w:pPr>
    </w:p>
    <w:p>
      <w:pPr>
        <w:pStyle w:val="4"/>
        <w:spacing w:line="360" w:lineRule="auto"/>
        <w:ind w:firstLine="0" w:firstLineChars="0"/>
        <w:jc w:val="center"/>
        <w:rPr>
          <w:rStyle w:val="161"/>
          <w:rFonts w:ascii="仿宋" w:hAnsi="仿宋" w:eastAsia="仿宋" w:cs="仿宋"/>
          <w:b/>
        </w:rPr>
      </w:pPr>
      <w:r>
        <w:rPr>
          <w:rStyle w:val="161"/>
          <w:rFonts w:hint="eastAsia" w:ascii="仿宋" w:hAnsi="仿宋" w:eastAsia="仿宋" w:cs="仿宋"/>
          <w:b/>
        </w:rPr>
        <w:t>（三）谈判报价明细表</w:t>
      </w:r>
    </w:p>
    <w:p>
      <w:pPr>
        <w:spacing w:line="240" w:lineRule="atLeast"/>
        <w:ind w:firstLine="0" w:firstLineChars="0"/>
        <w:rPr>
          <w:rFonts w:ascii="宋体" w:hAnsi="宋体" w:cs="宋体"/>
          <w:szCs w:val="20"/>
        </w:rPr>
      </w:pPr>
      <w:bookmarkStart w:id="147" w:name="_Toc256000042"/>
      <w:r>
        <w:rPr>
          <w:rFonts w:hint="eastAsia" w:ascii="宋体" w:hAnsi="宋体" w:cs="宋体"/>
          <w:szCs w:val="20"/>
        </w:rPr>
        <w:t xml:space="preserve">项目名称:                      项目编号:                        </w:t>
      </w:r>
    </w:p>
    <w:p>
      <w:pPr>
        <w:spacing w:line="240" w:lineRule="atLeast"/>
        <w:ind w:firstLine="0" w:firstLineChars="0"/>
        <w:rPr>
          <w:rFonts w:ascii="宋体" w:hAnsi="宋体" w:cs="宋体"/>
          <w:szCs w:val="20"/>
        </w:rPr>
      </w:pPr>
      <w:r>
        <w:rPr>
          <w:rFonts w:hint="eastAsia" w:ascii="宋体" w:hAnsi="宋体" w:cs="宋体"/>
          <w:szCs w:val="20"/>
        </w:rPr>
        <w:t>报价单位： 人民币元</w:t>
      </w:r>
    </w:p>
    <w:tbl>
      <w:tblPr>
        <w:tblStyle w:val="47"/>
        <w:tblW w:w="10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39"/>
        <w:gridCol w:w="1598"/>
        <w:gridCol w:w="1763"/>
        <w:gridCol w:w="812"/>
        <w:gridCol w:w="1038"/>
        <w:gridCol w:w="1070"/>
        <w:gridCol w:w="717"/>
        <w:gridCol w:w="863"/>
        <w:gridCol w:w="8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36" w:type="dxa"/>
            <w:noWrap/>
            <w:vAlign w:val="center"/>
          </w:tcPr>
          <w:p>
            <w:pPr>
              <w:ind w:firstLine="0" w:firstLineChars="0"/>
              <w:jc w:val="center"/>
            </w:pPr>
            <w:r>
              <w:t>序号</w:t>
            </w:r>
          </w:p>
        </w:tc>
        <w:tc>
          <w:tcPr>
            <w:tcW w:w="1837" w:type="dxa"/>
            <w:gridSpan w:val="2"/>
            <w:noWrap/>
            <w:vAlign w:val="center"/>
          </w:tcPr>
          <w:p>
            <w:pPr>
              <w:ind w:firstLine="0" w:firstLineChars="0"/>
              <w:jc w:val="center"/>
            </w:pPr>
            <w:r>
              <w:t>名称</w:t>
            </w:r>
          </w:p>
        </w:tc>
        <w:tc>
          <w:tcPr>
            <w:tcW w:w="1763" w:type="dxa"/>
            <w:noWrap/>
            <w:vAlign w:val="center"/>
          </w:tcPr>
          <w:p>
            <w:pPr>
              <w:ind w:firstLine="0" w:firstLineChars="0"/>
              <w:jc w:val="center"/>
            </w:pPr>
            <w:r>
              <w:t>型号和规格</w:t>
            </w:r>
          </w:p>
        </w:tc>
        <w:tc>
          <w:tcPr>
            <w:tcW w:w="812" w:type="dxa"/>
            <w:noWrap/>
            <w:vAlign w:val="center"/>
          </w:tcPr>
          <w:p>
            <w:pPr>
              <w:ind w:firstLine="0" w:firstLineChars="0"/>
              <w:jc w:val="center"/>
            </w:pPr>
            <w:r>
              <w:t>数量</w:t>
            </w:r>
          </w:p>
        </w:tc>
        <w:tc>
          <w:tcPr>
            <w:tcW w:w="1038" w:type="dxa"/>
            <w:noWrap/>
            <w:vAlign w:val="center"/>
          </w:tcPr>
          <w:p>
            <w:pPr>
              <w:ind w:firstLine="0" w:firstLineChars="0"/>
              <w:jc w:val="center"/>
            </w:pPr>
            <w:r>
              <w:t>原产地</w:t>
            </w:r>
          </w:p>
        </w:tc>
        <w:tc>
          <w:tcPr>
            <w:tcW w:w="1070" w:type="dxa"/>
            <w:noWrap/>
            <w:vAlign w:val="center"/>
          </w:tcPr>
          <w:p>
            <w:pPr>
              <w:ind w:firstLine="0" w:firstLineChars="0"/>
              <w:jc w:val="center"/>
            </w:pPr>
            <w:r>
              <w:t>制造商名称</w:t>
            </w:r>
          </w:p>
        </w:tc>
        <w:tc>
          <w:tcPr>
            <w:tcW w:w="717" w:type="dxa"/>
            <w:noWrap/>
            <w:vAlign w:val="center"/>
          </w:tcPr>
          <w:p>
            <w:pPr>
              <w:ind w:firstLine="0" w:firstLineChars="0"/>
              <w:jc w:val="center"/>
            </w:pPr>
            <w:r>
              <w:rPr>
                <w:rFonts w:hint="eastAsia" w:ascii="仿宋" w:hAnsi="仿宋" w:eastAsia="仿宋" w:cs="仿宋"/>
                <w:color w:val="000000"/>
                <w:sz w:val="24"/>
                <w:szCs w:val="24"/>
                <w:highlight w:val="none"/>
                <w:lang w:val="en-US" w:eastAsia="zh-CN"/>
              </w:rPr>
              <w:t>制造商类别</w:t>
            </w:r>
          </w:p>
        </w:tc>
        <w:tc>
          <w:tcPr>
            <w:tcW w:w="863" w:type="dxa"/>
            <w:noWrap/>
            <w:vAlign w:val="center"/>
          </w:tcPr>
          <w:p>
            <w:pPr>
              <w:ind w:firstLine="0" w:firstLineChars="0"/>
              <w:jc w:val="center"/>
            </w:pPr>
            <w:r>
              <w:t>单价</w:t>
            </w:r>
          </w:p>
        </w:tc>
        <w:tc>
          <w:tcPr>
            <w:tcW w:w="850" w:type="dxa"/>
            <w:noWrap/>
            <w:vAlign w:val="center"/>
          </w:tcPr>
          <w:p>
            <w:pPr>
              <w:ind w:firstLine="0" w:firstLineChars="0"/>
              <w:jc w:val="center"/>
            </w:pPr>
            <w:r>
              <w:t>总价</w:t>
            </w:r>
          </w:p>
        </w:tc>
        <w:tc>
          <w:tcPr>
            <w:tcW w:w="900" w:type="dxa"/>
            <w:noWrap/>
            <w:vAlign w:val="center"/>
          </w:tcPr>
          <w:p>
            <w:pPr>
              <w:ind w:firstLine="0" w:firstLineChars="0"/>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6" w:type="dxa"/>
            <w:noWrap/>
            <w:vAlign w:val="center"/>
          </w:tcPr>
          <w:p>
            <w:pPr>
              <w:spacing w:line="240" w:lineRule="atLeast"/>
              <w:ind w:firstLine="48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r>
              <w:rPr>
                <w:rFonts w:hint="eastAsia" w:ascii="宋体" w:hAnsi="宋体" w:cs="宋体"/>
                <w:szCs w:val="20"/>
              </w:rPr>
              <w:t>货物名称</w:t>
            </w: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6" w:type="dxa"/>
            <w:noWrap/>
            <w:vAlign w:val="center"/>
          </w:tcPr>
          <w:p>
            <w:pPr>
              <w:spacing w:line="240" w:lineRule="atLeast"/>
              <w:ind w:firstLine="48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r>
              <w:rPr>
                <w:rFonts w:hint="eastAsia" w:ascii="宋体" w:hAnsi="宋体" w:cs="宋体"/>
                <w:szCs w:val="20"/>
              </w:rPr>
              <w:t>......</w:t>
            </w: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6" w:type="dxa"/>
            <w:noWrap/>
            <w:vAlign w:val="center"/>
          </w:tcPr>
          <w:p>
            <w:pPr>
              <w:spacing w:line="240" w:lineRule="atLeast"/>
              <w:ind w:firstLine="48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r>
              <w:rPr>
                <w:rFonts w:hint="eastAsia" w:ascii="宋体" w:hAnsi="宋体" w:cs="宋体"/>
                <w:szCs w:val="20"/>
              </w:rPr>
              <w:t>......</w:t>
            </w: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6" w:type="dxa"/>
            <w:noWrap/>
            <w:vAlign w:val="center"/>
          </w:tcPr>
          <w:p>
            <w:pPr>
              <w:spacing w:line="240" w:lineRule="atLeast"/>
              <w:ind w:firstLine="0" w:firstLineChars="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6" w:type="dxa"/>
            <w:noWrap/>
            <w:vAlign w:val="center"/>
          </w:tcPr>
          <w:p>
            <w:pPr>
              <w:spacing w:line="240" w:lineRule="atLeast"/>
              <w:ind w:firstLine="0" w:firstLineChars="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6" w:type="dxa"/>
            <w:noWrap/>
            <w:vAlign w:val="center"/>
          </w:tcPr>
          <w:p>
            <w:pPr>
              <w:spacing w:line="240" w:lineRule="atLeast"/>
              <w:ind w:firstLine="0" w:firstLineChars="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6" w:type="dxa"/>
            <w:noWrap/>
            <w:vAlign w:val="center"/>
          </w:tcPr>
          <w:p>
            <w:pPr>
              <w:spacing w:line="240" w:lineRule="atLeast"/>
              <w:ind w:firstLine="0" w:firstLineChars="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6" w:type="dxa"/>
            <w:noWrap/>
            <w:vAlign w:val="center"/>
          </w:tcPr>
          <w:p>
            <w:pPr>
              <w:spacing w:line="240" w:lineRule="atLeast"/>
              <w:ind w:firstLine="0" w:firstLineChars="0"/>
              <w:jc w:val="center"/>
              <w:rPr>
                <w:rFonts w:ascii="宋体" w:hAnsi="宋体" w:cs="宋体"/>
                <w:szCs w:val="20"/>
              </w:rPr>
            </w:pPr>
          </w:p>
        </w:tc>
        <w:tc>
          <w:tcPr>
            <w:tcW w:w="1837" w:type="dxa"/>
            <w:gridSpan w:val="2"/>
            <w:noWrap/>
            <w:vAlign w:val="center"/>
          </w:tcPr>
          <w:p>
            <w:pPr>
              <w:spacing w:line="240" w:lineRule="atLeast"/>
              <w:ind w:firstLine="480"/>
              <w:jc w:val="center"/>
              <w:rPr>
                <w:rFonts w:ascii="宋体" w:hAnsi="宋体" w:cs="宋体"/>
                <w:szCs w:val="20"/>
              </w:rPr>
            </w:pPr>
          </w:p>
        </w:tc>
        <w:tc>
          <w:tcPr>
            <w:tcW w:w="1763" w:type="dxa"/>
            <w:noWrap/>
            <w:vAlign w:val="center"/>
          </w:tcPr>
          <w:p>
            <w:pPr>
              <w:spacing w:line="240" w:lineRule="atLeast"/>
              <w:ind w:firstLine="480"/>
              <w:jc w:val="center"/>
              <w:rPr>
                <w:rFonts w:ascii="宋体" w:hAnsi="宋体" w:cs="宋体"/>
                <w:szCs w:val="20"/>
              </w:rPr>
            </w:pPr>
          </w:p>
        </w:tc>
        <w:tc>
          <w:tcPr>
            <w:tcW w:w="812" w:type="dxa"/>
            <w:noWrap/>
            <w:vAlign w:val="center"/>
          </w:tcPr>
          <w:p>
            <w:pPr>
              <w:spacing w:line="240" w:lineRule="atLeast"/>
              <w:ind w:firstLine="480"/>
              <w:jc w:val="center"/>
              <w:rPr>
                <w:rFonts w:ascii="宋体" w:hAnsi="宋体" w:cs="宋体"/>
                <w:szCs w:val="20"/>
              </w:rPr>
            </w:pPr>
          </w:p>
        </w:tc>
        <w:tc>
          <w:tcPr>
            <w:tcW w:w="1038" w:type="dxa"/>
            <w:noWrap/>
            <w:vAlign w:val="center"/>
          </w:tcPr>
          <w:p>
            <w:pPr>
              <w:spacing w:line="240" w:lineRule="atLeast"/>
              <w:ind w:firstLine="480"/>
              <w:jc w:val="center"/>
              <w:rPr>
                <w:rFonts w:ascii="宋体" w:hAnsi="宋体" w:cs="宋体"/>
                <w:szCs w:val="20"/>
              </w:rPr>
            </w:pPr>
          </w:p>
        </w:tc>
        <w:tc>
          <w:tcPr>
            <w:tcW w:w="1070" w:type="dxa"/>
            <w:noWrap/>
            <w:vAlign w:val="center"/>
          </w:tcPr>
          <w:p>
            <w:pPr>
              <w:spacing w:line="240" w:lineRule="atLeast"/>
              <w:ind w:firstLine="480"/>
              <w:jc w:val="center"/>
              <w:rPr>
                <w:rFonts w:ascii="宋体" w:hAnsi="宋体" w:cs="宋体"/>
                <w:szCs w:val="20"/>
              </w:rPr>
            </w:pPr>
          </w:p>
        </w:tc>
        <w:tc>
          <w:tcPr>
            <w:tcW w:w="717" w:type="dxa"/>
            <w:noWrap/>
            <w:vAlign w:val="center"/>
          </w:tcPr>
          <w:p>
            <w:pPr>
              <w:spacing w:line="240" w:lineRule="atLeast"/>
              <w:ind w:firstLine="480"/>
              <w:jc w:val="center"/>
              <w:rPr>
                <w:rFonts w:ascii="宋体" w:hAnsi="宋体" w:cs="宋体"/>
                <w:szCs w:val="20"/>
              </w:rPr>
            </w:pPr>
          </w:p>
        </w:tc>
        <w:tc>
          <w:tcPr>
            <w:tcW w:w="863" w:type="dxa"/>
            <w:noWrap/>
            <w:vAlign w:val="center"/>
          </w:tcPr>
          <w:p>
            <w:pPr>
              <w:spacing w:line="240" w:lineRule="atLeast"/>
              <w:ind w:firstLine="480"/>
              <w:jc w:val="center"/>
              <w:rPr>
                <w:rFonts w:ascii="宋体" w:hAnsi="宋体" w:cs="宋体"/>
                <w:szCs w:val="20"/>
              </w:rPr>
            </w:pPr>
          </w:p>
        </w:tc>
        <w:tc>
          <w:tcPr>
            <w:tcW w:w="850" w:type="dxa"/>
            <w:noWrap/>
            <w:vAlign w:val="center"/>
          </w:tcPr>
          <w:p>
            <w:pPr>
              <w:spacing w:line="240" w:lineRule="atLeast"/>
              <w:ind w:firstLine="480"/>
              <w:jc w:val="center"/>
              <w:rPr>
                <w:rFonts w:ascii="宋体" w:hAnsi="宋体" w:cs="宋体"/>
                <w:szCs w:val="20"/>
              </w:rPr>
            </w:pPr>
          </w:p>
        </w:tc>
        <w:tc>
          <w:tcPr>
            <w:tcW w:w="900" w:type="dxa"/>
            <w:noWrap/>
            <w:vAlign w:val="center"/>
          </w:tcPr>
          <w:p>
            <w:pPr>
              <w:spacing w:line="240" w:lineRule="atLeast"/>
              <w:ind w:firstLine="480"/>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75" w:type="dxa"/>
            <w:gridSpan w:val="2"/>
            <w:noWrap/>
            <w:vAlign w:val="center"/>
          </w:tcPr>
          <w:p>
            <w:pPr>
              <w:spacing w:line="240" w:lineRule="atLeast"/>
              <w:ind w:firstLine="480"/>
              <w:jc w:val="left"/>
              <w:rPr>
                <w:rFonts w:hint="eastAsia" w:ascii="宋体" w:hAnsi="宋体" w:cs="宋体"/>
                <w:szCs w:val="20"/>
              </w:rPr>
            </w:pPr>
          </w:p>
        </w:tc>
        <w:tc>
          <w:tcPr>
            <w:tcW w:w="9611" w:type="dxa"/>
            <w:gridSpan w:val="9"/>
            <w:noWrap/>
            <w:vAlign w:val="center"/>
          </w:tcPr>
          <w:p>
            <w:pPr>
              <w:spacing w:line="240" w:lineRule="atLeast"/>
              <w:ind w:firstLine="480"/>
              <w:jc w:val="left"/>
              <w:rPr>
                <w:rFonts w:ascii="宋体" w:hAnsi="宋体" w:cs="宋体"/>
                <w:szCs w:val="20"/>
              </w:rPr>
            </w:pPr>
            <w:r>
              <w:rPr>
                <w:rFonts w:hint="eastAsia" w:ascii="宋体" w:hAnsi="宋体" w:cs="宋体"/>
                <w:szCs w:val="20"/>
              </w:rPr>
              <w:t>总价：</w:t>
            </w:r>
          </w:p>
        </w:tc>
      </w:tr>
    </w:tbl>
    <w:p>
      <w:pPr>
        <w:spacing w:line="360" w:lineRule="auto"/>
        <w:ind w:firstLine="16" w:firstLineChars="7"/>
        <w:rPr>
          <w:rFonts w:ascii="仿宋" w:hAnsi="仿宋" w:eastAsia="仿宋" w:cs="仿宋"/>
          <w:color w:val="000000"/>
        </w:rPr>
      </w:pPr>
      <w:r>
        <w:rPr>
          <w:rFonts w:hint="eastAsia" w:ascii="仿宋" w:hAnsi="仿宋" w:eastAsia="仿宋" w:cs="仿宋"/>
          <w:color w:val="000000"/>
        </w:rPr>
        <w:t>响应单位自行根据情况进行分项报价。</w:t>
      </w:r>
    </w:p>
    <w:p>
      <w:pPr>
        <w:spacing w:line="360" w:lineRule="auto"/>
        <w:ind w:firstLine="16" w:firstLineChars="7"/>
        <w:rPr>
          <w:rFonts w:ascii="仿宋" w:hAnsi="仿宋" w:eastAsia="仿宋" w:cs="仿宋"/>
          <w:b/>
          <w:color w:val="000000"/>
        </w:rPr>
      </w:pP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b/>
          <w:color w:val="000000"/>
        </w:rPr>
        <w:t>注：</w:t>
      </w:r>
      <w:r>
        <w:rPr>
          <w:rFonts w:hint="eastAsia" w:ascii="仿宋" w:hAnsi="仿宋" w:eastAsia="仿宋" w:cs="仿宋"/>
          <w:color w:val="000000"/>
          <w:sz w:val="24"/>
          <w:szCs w:val="24"/>
          <w:highlight w:val="none"/>
          <w:lang w:val="en-US" w:eastAsia="zh-CN"/>
        </w:rPr>
        <w:t>1.“名称”一列根据实际修改。</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2如果投标人认为需要，每种货物填写一份该表。</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3.如果按单价计算的结果与总价不一致,以单价为准修正总价。</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4.如果不提供详细分项报价将视为没有实质性响应招标文件。</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5.上述各项的详细分项报价，应另页描述。</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6.如果报价一览表（报价表）内容与谈判报价明细表内容不一致的，以报价一览表（报价表）内容为准。</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7.投标总价包含商品到达甲方指定地点位置并能正常使用所需的一切费用，包括但不局限于商品购置费、包装费、安装费、运输费、装卸费、保险费、安装调试费、技术服务费、培训费以及保修保养费、税费等。</w:t>
      </w:r>
    </w:p>
    <w:p>
      <w:pPr>
        <w:pageBreakBefore w:val="0"/>
        <w:kinsoku/>
        <w:wordWrap/>
        <w:overflowPunct/>
        <w:topLinePunct w:val="0"/>
        <w:bidi w:val="0"/>
        <w:spacing w:line="360" w:lineRule="auto"/>
        <w:ind w:left="0" w:leftChars="0" w:firstLine="16" w:firstLineChars="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8.备注栏填写所投货物的制造商类别为中型或者小型企业或者微型企业。大型制造商无需填写。</w:t>
      </w:r>
    </w:p>
    <w:p>
      <w:pPr>
        <w:spacing w:line="360" w:lineRule="auto"/>
        <w:ind w:firstLine="496" w:firstLineChars="207"/>
        <w:rPr>
          <w:rFonts w:ascii="仿宋" w:hAnsi="仿宋" w:eastAsia="仿宋" w:cs="仿宋"/>
        </w:rPr>
      </w:pPr>
    </w:p>
    <w:p>
      <w:pPr>
        <w:spacing w:line="360" w:lineRule="auto"/>
        <w:ind w:firstLine="0" w:firstLineChars="0"/>
        <w:rPr>
          <w:rFonts w:ascii="仿宋" w:hAnsi="仿宋" w:eastAsia="仿宋" w:cs="仿宋"/>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pStyle w:val="159"/>
        <w:rPr>
          <w:rStyle w:val="161"/>
          <w:rFonts w:ascii="仿宋" w:hAnsi="仿宋" w:eastAsia="仿宋" w:cs="仿宋"/>
          <w:b/>
          <w:bCs/>
        </w:rPr>
      </w:pPr>
    </w:p>
    <w:p>
      <w:pPr>
        <w:pStyle w:val="159"/>
        <w:rPr>
          <w:rStyle w:val="161"/>
          <w:rFonts w:ascii="仿宋" w:hAnsi="仿宋" w:eastAsia="仿宋" w:cs="仿宋"/>
          <w:b/>
          <w:bCs/>
        </w:rPr>
      </w:pPr>
    </w:p>
    <w:p>
      <w:pPr>
        <w:pStyle w:val="159"/>
        <w:rPr>
          <w:rStyle w:val="161"/>
          <w:rFonts w:ascii="仿宋" w:hAnsi="仿宋" w:eastAsia="仿宋" w:cs="仿宋"/>
          <w:b/>
          <w:bCs/>
        </w:rPr>
      </w:pPr>
    </w:p>
    <w:p>
      <w:pPr>
        <w:rPr>
          <w:rStyle w:val="161"/>
          <w:rFonts w:hint="eastAsia" w:ascii="仿宋" w:hAnsi="仿宋" w:eastAsia="仿宋" w:cs="仿宋"/>
          <w:b/>
          <w:bCs/>
        </w:rPr>
      </w:pPr>
      <w:r>
        <w:rPr>
          <w:rStyle w:val="161"/>
          <w:rFonts w:hint="eastAsia" w:ascii="仿宋" w:hAnsi="仿宋" w:eastAsia="仿宋" w:cs="仿宋"/>
          <w:b/>
          <w:bCs/>
        </w:rPr>
        <w:br w:type="page"/>
      </w:r>
    </w:p>
    <w:p>
      <w:pPr>
        <w:pStyle w:val="159"/>
        <w:rPr>
          <w:rFonts w:ascii="仿宋" w:hAnsi="仿宋" w:eastAsia="仿宋" w:cs="仿宋"/>
          <w:bCs/>
          <w:sz w:val="30"/>
          <w:szCs w:val="30"/>
        </w:rPr>
      </w:pPr>
      <w:r>
        <w:rPr>
          <w:rStyle w:val="161"/>
          <w:rFonts w:hint="eastAsia" w:ascii="仿宋" w:hAnsi="仿宋" w:eastAsia="仿宋" w:cs="仿宋"/>
          <w:b/>
          <w:bCs/>
        </w:rPr>
        <w:t>（四）中小企业声明函（货物）</w:t>
      </w:r>
    </w:p>
    <w:p>
      <w:pPr>
        <w:spacing w:line="440" w:lineRule="exact"/>
        <w:ind w:firstLine="480"/>
        <w:rPr>
          <w:rFonts w:ascii="仿宋" w:hAnsi="仿宋" w:eastAsia="仿宋" w:cs="仿宋"/>
        </w:rPr>
      </w:pPr>
    </w:p>
    <w:p>
      <w:pPr>
        <w:spacing w:line="440" w:lineRule="exact"/>
        <w:ind w:firstLine="480"/>
        <w:rPr>
          <w:rFonts w:ascii="仿宋" w:hAnsi="仿宋" w:eastAsia="仿宋" w:cs="仿宋"/>
        </w:rPr>
      </w:pPr>
      <w:r>
        <w:rPr>
          <w:rFonts w:hint="eastAsia" w:ascii="仿宋" w:hAnsi="仿宋" w:eastAsia="仿宋" w:cs="仿宋"/>
        </w:rPr>
        <w:t>本公司（联合体）郑重声明，根据《政府采购促进中小企业发展管理办法》（财库﹝2020﹞46号）的规定，本公司（联合体）参加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采购活动，提供的货物全部由符合政策要求的中小企业制造。相关企业（含联合体中的中小企业、签订分包意向协议的中小企业）的具体情况如下：</w:t>
      </w:r>
    </w:p>
    <w:p>
      <w:pPr>
        <w:spacing w:line="440" w:lineRule="exact"/>
        <w:ind w:firstLine="480"/>
        <w:rPr>
          <w:rFonts w:ascii="仿宋" w:hAnsi="仿宋" w:eastAsia="仿宋" w:cs="仿宋"/>
        </w:rPr>
      </w:pPr>
      <w:r>
        <w:rPr>
          <w:rFonts w:hint="eastAsia" w:ascii="仿宋" w:hAnsi="仿宋" w:eastAsia="仿宋" w:cs="仿宋"/>
        </w:rPr>
        <w:t>1.（标的名称），属于（*****行业）；制造商为</w:t>
      </w:r>
      <w:r>
        <w:rPr>
          <w:rFonts w:hint="eastAsia" w:ascii="仿宋" w:hAnsi="仿宋" w:eastAsia="仿宋" w:cs="仿宋"/>
          <w:u w:val="single"/>
        </w:rPr>
        <w:t>（企业名称）</w:t>
      </w:r>
      <w:r>
        <w:rPr>
          <w:rFonts w:hint="eastAsia" w:ascii="仿宋" w:hAnsi="仿宋" w:eastAsia="仿宋" w:cs="仿宋"/>
        </w:rPr>
        <w:t>，从业人员人，营业收入为万元，资产总额为万元，属于</w:t>
      </w:r>
      <w:r>
        <w:rPr>
          <w:rFonts w:hint="eastAsia" w:ascii="仿宋" w:hAnsi="仿宋" w:eastAsia="仿宋" w:cs="仿宋"/>
          <w:u w:val="single"/>
        </w:rPr>
        <w:t>（中型企业、小型企业、微型企业）</w:t>
      </w:r>
      <w:r>
        <w:rPr>
          <w:rFonts w:hint="eastAsia" w:ascii="仿宋" w:hAnsi="仿宋" w:eastAsia="仿宋" w:cs="仿宋"/>
        </w:rPr>
        <w:t>；</w:t>
      </w:r>
    </w:p>
    <w:p>
      <w:pPr>
        <w:spacing w:line="440" w:lineRule="exact"/>
        <w:ind w:firstLine="480"/>
      </w:pPr>
      <w:r>
        <w:rPr>
          <w:rFonts w:hint="eastAsia" w:ascii="仿宋" w:hAnsi="仿宋" w:eastAsia="仿宋" w:cs="仿宋"/>
        </w:rPr>
        <w:t>2.（标的名称），属于（*****行业）；制造商为</w:t>
      </w:r>
      <w:r>
        <w:rPr>
          <w:rFonts w:hint="eastAsia" w:ascii="仿宋" w:hAnsi="仿宋" w:eastAsia="仿宋" w:cs="仿宋"/>
          <w:u w:val="single"/>
        </w:rPr>
        <w:t>（企业名称）</w:t>
      </w:r>
      <w:r>
        <w:rPr>
          <w:rFonts w:hint="eastAsia" w:ascii="仿宋" w:hAnsi="仿宋" w:eastAsia="仿宋" w:cs="仿宋"/>
        </w:rPr>
        <w:t>，从业人员人，营业收入为万元，资产总额为万元，属于</w:t>
      </w:r>
      <w:r>
        <w:rPr>
          <w:rFonts w:hint="eastAsia" w:ascii="仿宋" w:hAnsi="仿宋" w:eastAsia="仿宋" w:cs="仿宋"/>
          <w:u w:val="single"/>
        </w:rPr>
        <w:t>（中型企业、小型企业、微型企业）</w:t>
      </w:r>
      <w:r>
        <w:rPr>
          <w:rFonts w:hint="eastAsia" w:ascii="仿宋" w:hAnsi="仿宋" w:eastAsia="仿宋" w:cs="仿宋"/>
        </w:rPr>
        <w:t>；</w:t>
      </w:r>
    </w:p>
    <w:p>
      <w:pPr>
        <w:spacing w:line="440" w:lineRule="exact"/>
        <w:ind w:firstLine="480"/>
        <w:rPr>
          <w:rFonts w:ascii="仿宋" w:hAnsi="仿宋" w:eastAsia="仿宋" w:cs="仿宋"/>
        </w:rPr>
      </w:pPr>
      <w:r>
        <w:rPr>
          <w:rFonts w:hint="eastAsia" w:ascii="仿宋" w:hAnsi="仿宋" w:eastAsia="仿宋" w:cs="仿宋"/>
        </w:rPr>
        <w:t>……</w:t>
      </w:r>
    </w:p>
    <w:p>
      <w:pPr>
        <w:spacing w:line="440" w:lineRule="exact"/>
        <w:ind w:firstLine="480"/>
        <w:rPr>
          <w:rFonts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spacing w:line="440" w:lineRule="exact"/>
        <w:ind w:firstLine="482"/>
        <w:rPr>
          <w:rFonts w:ascii="仿宋" w:hAnsi="仿宋" w:eastAsia="仿宋" w:cs="仿宋"/>
          <w:b/>
          <w:bCs/>
        </w:rPr>
      </w:pPr>
      <w:r>
        <w:rPr>
          <w:rFonts w:hint="eastAsia" w:ascii="仿宋" w:hAnsi="仿宋" w:eastAsia="仿宋" w:cs="仿宋"/>
          <w:b/>
          <w:bCs/>
        </w:rPr>
        <w:t>本企业对上述声明内容的真实性负责。如有虚假，将依法承担相应责任。</w:t>
      </w: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480"/>
        <w:rPr>
          <w:rFonts w:ascii="仿宋" w:hAnsi="仿宋" w:eastAsia="仿宋" w:cs="仿宋"/>
        </w:rPr>
      </w:pPr>
    </w:p>
    <w:p>
      <w:pPr>
        <w:spacing w:line="440" w:lineRule="exact"/>
        <w:ind w:firstLine="3120" w:firstLineChars="1300"/>
        <w:rPr>
          <w:rFonts w:ascii="仿宋" w:hAnsi="仿宋" w:eastAsia="仿宋" w:cs="仿宋"/>
        </w:rPr>
      </w:pPr>
      <w:r>
        <w:rPr>
          <w:rFonts w:hint="eastAsia" w:ascii="仿宋" w:hAnsi="仿宋" w:eastAsia="仿宋" w:cs="仿宋"/>
        </w:rPr>
        <w:t xml:space="preserve">企业名称（盖章）： </w:t>
      </w:r>
    </w:p>
    <w:p>
      <w:pPr>
        <w:pStyle w:val="159"/>
        <w:spacing w:line="240" w:lineRule="auto"/>
        <w:ind w:firstLine="4560" w:firstLineChars="1900"/>
        <w:jc w:val="both"/>
        <w:rPr>
          <w:rFonts w:hint="eastAsia" w:ascii="仿宋" w:hAnsi="仿宋" w:eastAsia="仿宋" w:cs="仿宋"/>
          <w:bCs/>
          <w:sz w:val="24"/>
          <w:szCs w:val="24"/>
        </w:rPr>
      </w:pPr>
      <w:r>
        <w:rPr>
          <w:rFonts w:hint="eastAsia" w:ascii="仿宋" w:hAnsi="仿宋" w:eastAsia="仿宋" w:cs="仿宋"/>
          <w:b w:val="0"/>
          <w:sz w:val="24"/>
          <w:szCs w:val="24"/>
        </w:rPr>
        <w:t xml:space="preserve">日期：     </w:t>
      </w:r>
      <w:r>
        <w:rPr>
          <w:rFonts w:hint="eastAsia" w:ascii="仿宋" w:hAnsi="仿宋" w:eastAsia="仿宋" w:cs="仿宋"/>
          <w:bCs/>
          <w:sz w:val="24"/>
          <w:szCs w:val="24"/>
        </w:rPr>
        <w:br w:type="page"/>
      </w:r>
      <w:bookmarkEnd w:id="147"/>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50"/>
          <w:rFonts w:hint="eastAsia" w:ascii="宋体" w:hAnsi="宋体" w:eastAsia="宋体" w:cs="宋体"/>
          <w:i w:val="0"/>
          <w:iCs w:val="0"/>
          <w:caps w:val="0"/>
          <w:color w:val="333333"/>
          <w:spacing w:val="0"/>
          <w:sz w:val="32"/>
          <w:szCs w:val="32"/>
          <w:u w:val="none"/>
          <w:lang w:val="en-US" w:eastAsia="zh-CN"/>
        </w:rPr>
      </w:pPr>
      <w:r>
        <w:rPr>
          <w:rStyle w:val="50"/>
          <w:rFonts w:hint="eastAsia" w:ascii="宋体" w:hAnsi="宋体" w:cs="宋体"/>
          <w:i w:val="0"/>
          <w:iCs w:val="0"/>
          <w:caps w:val="0"/>
          <w:color w:val="333333"/>
          <w:spacing w:val="0"/>
          <w:sz w:val="32"/>
          <w:szCs w:val="32"/>
          <w:u w:val="none"/>
          <w:lang w:val="en-US" w:eastAsia="zh-CN"/>
        </w:rPr>
        <w:t>（五）</w:t>
      </w:r>
      <w:r>
        <w:rPr>
          <w:rStyle w:val="50"/>
          <w:rFonts w:hint="eastAsia" w:ascii="宋体" w:hAnsi="宋体" w:eastAsia="宋体" w:cs="宋体"/>
          <w:i w:val="0"/>
          <w:iCs w:val="0"/>
          <w:caps w:val="0"/>
          <w:color w:val="333333"/>
          <w:spacing w:val="0"/>
          <w:sz w:val="32"/>
          <w:szCs w:val="32"/>
          <w:u w:val="none"/>
          <w:lang w:val="en-US" w:eastAsia="zh-CN"/>
        </w:rPr>
        <w:t>关于符合本国产品标准的声明函</w:t>
      </w:r>
    </w:p>
    <w:p>
      <w:pPr>
        <w:pStyle w:val="19"/>
        <w:pageBreakBefore w:val="0"/>
        <w:numPr>
          <w:ilvl w:val="0"/>
          <w:numId w:val="0"/>
        </w:numPr>
        <w:overflowPunct/>
        <w:topLinePunct w:val="0"/>
        <w:bidi w:val="0"/>
        <w:spacing w:line="240" w:lineRule="auto"/>
        <w:ind w:left="0" w:leftChars="0"/>
        <w:jc w:val="both"/>
        <w:rPr>
          <w:rFonts w:hint="eastAsia" w:ascii="仿宋" w:hAnsi="仿宋" w:eastAsia="仿宋" w:cs="仿宋"/>
          <w:highlight w:val="none"/>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rPr>
          <w:rFonts w:hint="eastAsia" w:ascii="宋体" w:hAnsi="宋体" w:eastAsia="宋体" w:cs="宋体"/>
          <w:i w:val="0"/>
          <w:iCs w:val="0"/>
          <w:caps w:val="0"/>
          <w:color w:val="333333"/>
          <w:spacing w:val="0"/>
          <w:sz w:val="24"/>
          <w:szCs w:val="24"/>
          <w:highlight w:val="none"/>
        </w:rPr>
      </w:pPr>
      <w:r>
        <w:rPr>
          <w:rStyle w:val="50"/>
          <w:rFonts w:hint="eastAsia" w:ascii="宋体" w:hAnsi="宋体" w:eastAsia="宋体" w:cs="宋体"/>
          <w:i w:val="0"/>
          <w:iCs w:val="0"/>
          <w:caps w:val="0"/>
          <w:color w:val="333333"/>
          <w:spacing w:val="0"/>
          <w:sz w:val="24"/>
          <w:szCs w:val="24"/>
          <w:highlight w:val="none"/>
          <w:shd w:val="clear" w:color="auto" w:fill="FFFFFF"/>
        </w:rPr>
        <w:t>关于符合本国产品标准的声明函</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u w:val="none"/>
        </w:rPr>
      </w:pPr>
      <w:r>
        <w:rPr>
          <w:rFonts w:hint="eastAsia" w:ascii="仿宋" w:hAnsi="仿宋" w:eastAsia="仿宋" w:cs="仿宋"/>
          <w:i w:val="0"/>
          <w:iCs w:val="0"/>
          <w:caps w:val="0"/>
          <w:spacing w:val="0"/>
          <w:kern w:val="2"/>
          <w:sz w:val="24"/>
          <w:szCs w:val="20"/>
          <w:highlight w:val="none"/>
          <w:u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u w:val="none"/>
        </w:rPr>
      </w:pPr>
      <w:r>
        <w:rPr>
          <w:rFonts w:hint="eastAsia" w:ascii="仿宋" w:hAnsi="仿宋" w:eastAsia="仿宋" w:cs="仿宋"/>
          <w:i w:val="0"/>
          <w:iCs w:val="0"/>
          <w:caps w:val="0"/>
          <w:spacing w:val="0"/>
          <w:kern w:val="2"/>
          <w:sz w:val="24"/>
          <w:szCs w:val="20"/>
          <w:highlight w:val="none"/>
          <w:u w:val="none"/>
          <w:shd w:val="clear" w:color="auto" w:fill="auto"/>
        </w:rPr>
        <w:t>1.（产品名称1）</w:t>
      </w:r>
      <w:r>
        <w:rPr>
          <w:rFonts w:hint="eastAsia" w:ascii="仿宋" w:hAnsi="仿宋" w:eastAsia="仿宋" w:cs="仿宋"/>
          <w:i w:val="0"/>
          <w:iCs w:val="0"/>
          <w:caps w:val="0"/>
          <w:spacing w:val="0"/>
          <w:kern w:val="2"/>
          <w:sz w:val="24"/>
          <w:szCs w:val="20"/>
          <w:highlight w:val="none"/>
          <w:u w:val="none"/>
          <w:shd w:val="clear" w:color="auto" w:fill="auto"/>
          <w:vertAlign w:val="baseline"/>
        </w:rPr>
        <w:t>1</w:t>
      </w:r>
      <w:r>
        <w:rPr>
          <w:rFonts w:hint="eastAsia" w:ascii="仿宋" w:hAnsi="仿宋" w:eastAsia="仿宋" w:cs="仿宋"/>
          <w:i w:val="0"/>
          <w:iCs w:val="0"/>
          <w:caps w:val="0"/>
          <w:spacing w:val="0"/>
          <w:kern w:val="2"/>
          <w:sz w:val="24"/>
          <w:szCs w:val="20"/>
          <w:highlight w:val="none"/>
          <w:u w:val="none"/>
          <w:shd w:val="clear" w:color="auto" w:fill="auto"/>
        </w:rPr>
        <w:t>，生产厂为（厂名）</w:t>
      </w:r>
      <w:r>
        <w:rPr>
          <w:rFonts w:hint="eastAsia" w:ascii="仿宋" w:hAnsi="仿宋" w:eastAsia="仿宋" w:cs="仿宋"/>
          <w:i w:val="0"/>
          <w:iCs w:val="0"/>
          <w:caps w:val="0"/>
          <w:spacing w:val="0"/>
          <w:kern w:val="2"/>
          <w:sz w:val="24"/>
          <w:szCs w:val="20"/>
          <w:highlight w:val="none"/>
          <w:u w:val="none"/>
          <w:shd w:val="clear" w:color="auto" w:fill="auto"/>
          <w:vertAlign w:val="baseline"/>
        </w:rPr>
        <w:t>2</w:t>
      </w:r>
      <w:r>
        <w:rPr>
          <w:rFonts w:hint="eastAsia" w:ascii="仿宋" w:hAnsi="仿宋" w:eastAsia="仿宋" w:cs="仿宋"/>
          <w:i w:val="0"/>
          <w:iCs w:val="0"/>
          <w:caps w:val="0"/>
          <w:spacing w:val="0"/>
          <w:kern w:val="2"/>
          <w:sz w:val="24"/>
          <w:szCs w:val="20"/>
          <w:highlight w:val="none"/>
          <w:u w:val="none"/>
          <w:shd w:val="clear" w:color="auto" w:fill="auto"/>
        </w:rPr>
        <w:t>，厂址为（生产厂址）。（产品名称1）的中国境内生产的组件成本占比≥（规定比例）</w:t>
      </w:r>
      <w:r>
        <w:rPr>
          <w:rFonts w:hint="eastAsia" w:ascii="仿宋" w:hAnsi="仿宋" w:eastAsia="仿宋" w:cs="仿宋"/>
          <w:i w:val="0"/>
          <w:iCs w:val="0"/>
          <w:caps w:val="0"/>
          <w:spacing w:val="0"/>
          <w:kern w:val="2"/>
          <w:sz w:val="24"/>
          <w:szCs w:val="20"/>
          <w:highlight w:val="none"/>
          <w:u w:val="none"/>
          <w:shd w:val="clear" w:color="auto" w:fill="auto"/>
          <w:vertAlign w:val="baseline"/>
        </w:rPr>
        <w:t>3</w:t>
      </w:r>
      <w:r>
        <w:rPr>
          <w:rFonts w:hint="eastAsia" w:ascii="仿宋" w:hAnsi="仿宋" w:eastAsia="仿宋" w:cs="仿宋"/>
          <w:i w:val="0"/>
          <w:iCs w:val="0"/>
          <w:caps w:val="0"/>
          <w:spacing w:val="0"/>
          <w:kern w:val="2"/>
          <w:sz w:val="24"/>
          <w:szCs w:val="20"/>
          <w:highlight w:val="none"/>
          <w:u w:val="none"/>
          <w:shd w:val="clear" w:color="auto" w:fill="auto"/>
        </w:rPr>
        <w:t>。（产品名称1）的（关键组件）</w:t>
      </w:r>
      <w:r>
        <w:rPr>
          <w:rFonts w:hint="eastAsia" w:ascii="仿宋" w:hAnsi="仿宋" w:eastAsia="仿宋" w:cs="仿宋"/>
          <w:i w:val="0"/>
          <w:iCs w:val="0"/>
          <w:caps w:val="0"/>
          <w:spacing w:val="0"/>
          <w:kern w:val="2"/>
          <w:sz w:val="24"/>
          <w:szCs w:val="20"/>
          <w:highlight w:val="none"/>
          <w:u w:val="none"/>
          <w:shd w:val="clear" w:color="auto" w:fill="auto"/>
          <w:vertAlign w:val="baseline"/>
        </w:rPr>
        <w:t>4</w:t>
      </w:r>
      <w:r>
        <w:rPr>
          <w:rFonts w:hint="eastAsia" w:ascii="仿宋" w:hAnsi="仿宋" w:eastAsia="仿宋" w:cs="仿宋"/>
          <w:i w:val="0"/>
          <w:iCs w:val="0"/>
          <w:caps w:val="0"/>
          <w:spacing w:val="0"/>
          <w:kern w:val="2"/>
          <w:sz w:val="24"/>
          <w:szCs w:val="20"/>
          <w:highlight w:val="none"/>
          <w:u w:val="none"/>
          <w:shd w:val="clear" w:color="auto" w:fill="auto"/>
        </w:rPr>
        <w:t>在中国境内生产。（产品名称1）的（关键工序）</w:t>
      </w:r>
      <w:r>
        <w:rPr>
          <w:rFonts w:hint="eastAsia" w:ascii="仿宋" w:hAnsi="仿宋" w:eastAsia="仿宋" w:cs="仿宋"/>
          <w:i w:val="0"/>
          <w:iCs w:val="0"/>
          <w:caps w:val="0"/>
          <w:spacing w:val="0"/>
          <w:kern w:val="2"/>
          <w:sz w:val="24"/>
          <w:szCs w:val="20"/>
          <w:highlight w:val="none"/>
          <w:u w:val="none"/>
          <w:shd w:val="clear" w:color="auto" w:fill="auto"/>
          <w:vertAlign w:val="baseline"/>
        </w:rPr>
        <w:t>5</w:t>
      </w:r>
      <w:r>
        <w:rPr>
          <w:rFonts w:hint="eastAsia" w:ascii="仿宋" w:hAnsi="仿宋" w:eastAsia="仿宋" w:cs="仿宋"/>
          <w:i w:val="0"/>
          <w:iCs w:val="0"/>
          <w:caps w:val="0"/>
          <w:spacing w:val="0"/>
          <w:kern w:val="2"/>
          <w:sz w:val="24"/>
          <w:szCs w:val="20"/>
          <w:highlight w:val="none"/>
          <w:u w:val="none"/>
          <w:shd w:val="clear" w:color="auto" w:fill="auto"/>
        </w:rPr>
        <w:t>在中国境内完成。</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u w:val="none"/>
        </w:rPr>
      </w:pPr>
      <w:r>
        <w:rPr>
          <w:rFonts w:hint="eastAsia" w:ascii="仿宋" w:hAnsi="仿宋" w:eastAsia="仿宋" w:cs="仿宋"/>
          <w:i w:val="0"/>
          <w:iCs w:val="0"/>
          <w:caps w:val="0"/>
          <w:spacing w:val="0"/>
          <w:kern w:val="2"/>
          <w:sz w:val="24"/>
          <w:szCs w:val="20"/>
          <w:highlight w:val="none"/>
          <w:u w:val="none"/>
          <w:shd w:val="clear" w:color="auto" w:fill="auto"/>
        </w:rPr>
        <w:t>2.（产品名称2），生产厂为（厂名），厂址为（生产厂址）。（产品名称2）的中国境内生产的组件成本占比≥（规定比例）。（产品名称2）的（关键组件）在中国境内生产。（产品名称2）的（关键工序）在中国境内完成。</w:t>
      </w:r>
      <w:bookmarkStart w:id="149" w:name="_GoBack"/>
      <w:bookmarkEnd w:id="149"/>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u w:val="none"/>
        </w:rPr>
      </w:pPr>
      <w:r>
        <w:rPr>
          <w:rFonts w:hint="eastAsia" w:ascii="仿宋" w:hAnsi="仿宋" w:eastAsia="仿宋" w:cs="仿宋"/>
          <w:i w:val="0"/>
          <w:iCs w:val="0"/>
          <w:caps w:val="0"/>
          <w:spacing w:val="0"/>
          <w:kern w:val="2"/>
          <w:sz w:val="24"/>
          <w:szCs w:val="20"/>
          <w:highlight w:val="none"/>
          <w:u w:val="none"/>
          <w:shd w:val="clear" w:color="auto" w:fill="auto"/>
        </w:rPr>
        <w:t>……</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本公司（单位）对上述声明内容的真实性负责。如有虚假，愿承担相应法律责任。</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jc w:val="right"/>
        <w:rPr>
          <w:rFonts w:hint="eastAsia" w:ascii="仿宋" w:hAnsi="仿宋" w:eastAsia="仿宋" w:cs="仿宋"/>
          <w:i w:val="0"/>
          <w:iCs w:val="0"/>
          <w:caps w:val="0"/>
          <w:spacing w:val="0"/>
          <w:kern w:val="2"/>
          <w:sz w:val="24"/>
          <w:szCs w:val="20"/>
          <w:highlight w:val="none"/>
          <w:shd w:val="clear" w:color="auto" w:fil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jc w:val="right"/>
        <w:rPr>
          <w:rFonts w:hint="eastAsia" w:ascii="仿宋" w:hAnsi="仿宋" w:eastAsia="仿宋" w:cs="仿宋"/>
          <w:i w:val="0"/>
          <w:iCs w:val="0"/>
          <w:caps w:val="0"/>
          <w:spacing w:val="0"/>
          <w:kern w:val="2"/>
          <w:sz w:val="24"/>
          <w:szCs w:val="20"/>
          <w:highlight w:val="none"/>
          <w:shd w:val="clear" w:color="auto" w:fil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jc w:val="right"/>
        <w:rPr>
          <w:rFonts w:hint="eastAsia" w:ascii="仿宋" w:hAnsi="仿宋" w:eastAsia="仿宋" w:cs="仿宋"/>
          <w:i w:val="0"/>
          <w:iCs w:val="0"/>
          <w:caps w:val="0"/>
          <w:spacing w:val="0"/>
          <w:kern w:val="2"/>
          <w:sz w:val="24"/>
          <w:szCs w:val="20"/>
          <w:highlight w:val="none"/>
          <w:shd w:val="clear" w:color="auto" w:fil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jc w:val="right"/>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公司（单位）名称（盖章）：      </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jc w:val="right"/>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日期：　　　　　年　　月　日    </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_____________________________</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1.产品如有型号，请在“产品名称”栏一并填写。</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2.生产厂名与厂址应与生产厂营业执照载明的相关信息保持一致。</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3.该产品的中国境内生产的组件成本占比相关要求实施前，“规定比例”栏可不填，下同。</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spacing w:val="0"/>
          <w:kern w:val="2"/>
          <w:sz w:val="24"/>
          <w:szCs w:val="20"/>
          <w:highlight w:val="none"/>
        </w:rPr>
      </w:pPr>
      <w:r>
        <w:rPr>
          <w:rFonts w:hint="eastAsia" w:ascii="仿宋" w:hAnsi="仿宋" w:eastAsia="仿宋" w:cs="仿宋"/>
          <w:i w:val="0"/>
          <w:iCs w:val="0"/>
          <w:caps w:val="0"/>
          <w:spacing w:val="0"/>
          <w:kern w:val="2"/>
          <w:sz w:val="24"/>
          <w:szCs w:val="20"/>
          <w:highlight w:val="none"/>
          <w:shd w:val="clear" w:color="auto" w:fill="auto"/>
        </w:rPr>
        <w:t>4.该产品的关键组件要求实施前，“关键组件”栏可不填，下同。</w:t>
      </w:r>
    </w:p>
    <w:p>
      <w:pPr>
        <w:pStyle w:val="159"/>
        <w:spacing w:line="240" w:lineRule="auto"/>
        <w:ind w:firstLine="480" w:firstLineChars="200"/>
        <w:jc w:val="both"/>
        <w:rPr>
          <w:rFonts w:hint="eastAsia" w:ascii="仿宋" w:hAnsi="仿宋" w:eastAsia="仿宋" w:cs="仿宋"/>
          <w:b w:val="0"/>
          <w:bCs w:val="0"/>
          <w:sz w:val="24"/>
          <w:szCs w:val="20"/>
          <w:highlight w:val="none"/>
          <w:shd w:val="clear" w:color="auto" w:fill="auto"/>
        </w:rPr>
      </w:pPr>
      <w:r>
        <w:rPr>
          <w:rFonts w:hint="eastAsia" w:ascii="仿宋" w:hAnsi="仿宋" w:eastAsia="仿宋" w:cs="仿宋"/>
          <w:b w:val="0"/>
          <w:i w:val="0"/>
          <w:iCs w:val="0"/>
          <w:caps w:val="0"/>
          <w:spacing w:val="0"/>
          <w:kern w:val="2"/>
          <w:sz w:val="24"/>
          <w:szCs w:val="20"/>
          <w:highlight w:val="none"/>
          <w:shd w:val="clear" w:color="auto" w:fill="auto"/>
        </w:rPr>
        <w:t>5.该产品的关键工序要求实施前，“关键工序”栏可不填，下同。</w:t>
      </w:r>
    </w:p>
    <w:p>
      <w:pPr>
        <w:pStyle w:val="159"/>
        <w:spacing w:line="240" w:lineRule="auto"/>
        <w:ind w:firstLine="3132" w:firstLineChars="1300"/>
        <w:jc w:val="center"/>
        <w:rPr>
          <w:rFonts w:hint="eastAsia" w:ascii="仿宋" w:hAnsi="仿宋" w:eastAsia="仿宋" w:cs="仿宋"/>
          <w:bCs/>
          <w:sz w:val="24"/>
          <w:szCs w:val="24"/>
        </w:rPr>
      </w:pPr>
    </w:p>
    <w:p>
      <w:pPr>
        <w:pStyle w:val="159"/>
        <w:spacing w:line="240" w:lineRule="auto"/>
        <w:ind w:firstLine="3132" w:firstLineChars="1300"/>
        <w:jc w:val="center"/>
        <w:rPr>
          <w:rFonts w:hint="eastAsia" w:ascii="仿宋" w:hAnsi="仿宋" w:eastAsia="仿宋" w:cs="仿宋"/>
          <w:bCs/>
          <w:sz w:val="24"/>
          <w:szCs w:val="24"/>
        </w:rPr>
      </w:pPr>
    </w:p>
    <w:p>
      <w:pPr>
        <w:pStyle w:val="159"/>
        <w:spacing w:line="240" w:lineRule="auto"/>
        <w:ind w:firstLine="0" w:firstLineChars="0"/>
        <w:jc w:val="both"/>
        <w:rPr>
          <w:rFonts w:hint="eastAsia" w:ascii="仿宋" w:hAnsi="仿宋" w:eastAsia="仿宋" w:cs="仿宋"/>
          <w:bCs/>
          <w:sz w:val="24"/>
          <w:szCs w:val="24"/>
          <w:lang w:eastAsia="zh-CN"/>
        </w:rPr>
      </w:pPr>
    </w:p>
    <w:p>
      <w:pPr>
        <w:pStyle w:val="159"/>
        <w:spacing w:line="240" w:lineRule="auto"/>
        <w:ind w:firstLine="0" w:firstLineChars="0"/>
        <w:jc w:val="center"/>
        <w:rPr>
          <w:rStyle w:val="161"/>
          <w:rFonts w:ascii="仿宋" w:hAnsi="仿宋" w:eastAsia="仿宋" w:cs="仿宋"/>
          <w:b/>
          <w:bCs/>
          <w:sz w:val="36"/>
          <w:szCs w:val="36"/>
        </w:rPr>
      </w:pPr>
      <w:r>
        <w:rPr>
          <w:rStyle w:val="161"/>
          <w:rFonts w:hint="eastAsia" w:ascii="仿宋" w:hAnsi="仿宋" w:eastAsia="仿宋" w:cs="仿宋"/>
          <w:b/>
          <w:bCs/>
          <w:sz w:val="36"/>
          <w:szCs w:val="36"/>
        </w:rPr>
        <w:t>四、商务技术文件</w:t>
      </w:r>
    </w:p>
    <w:p>
      <w:pPr>
        <w:adjustRightInd w:val="0"/>
        <w:snapToGrid w:val="0"/>
        <w:spacing w:line="360" w:lineRule="auto"/>
        <w:ind w:firstLine="482"/>
        <w:jc w:val="center"/>
        <w:rPr>
          <w:rStyle w:val="161"/>
          <w:rFonts w:ascii="仿宋" w:hAnsi="仿宋" w:eastAsia="仿宋" w:cs="仿宋"/>
          <w:bCs/>
        </w:rPr>
      </w:pPr>
    </w:p>
    <w:p>
      <w:pPr>
        <w:pStyle w:val="19"/>
        <w:ind w:left="0" w:leftChars="0" w:firstLine="0" w:firstLineChars="0"/>
        <w:rPr>
          <w:rFonts w:ascii="仿宋" w:hAnsi="仿宋" w:eastAsia="仿宋" w:cs="仿宋"/>
          <w:b/>
          <w:bCs/>
          <w:sz w:val="24"/>
          <w:szCs w:val="24"/>
        </w:rPr>
      </w:pPr>
      <w:r>
        <w:rPr>
          <w:rFonts w:hint="eastAsia" w:ascii="仿宋" w:hAnsi="仿宋" w:eastAsia="仿宋" w:cs="仿宋"/>
          <w:b/>
          <w:bCs/>
          <w:sz w:val="24"/>
          <w:szCs w:val="24"/>
        </w:rPr>
        <w:t>（一）商务偏离表</w:t>
      </w:r>
    </w:p>
    <w:p>
      <w:pPr>
        <w:adjustRightInd w:val="0"/>
        <w:snapToGrid w:val="0"/>
        <w:spacing w:line="360" w:lineRule="auto"/>
        <w:ind w:firstLine="480"/>
        <w:jc w:val="left"/>
        <w:rPr>
          <w:rFonts w:ascii="仿宋" w:hAnsi="仿宋" w:eastAsia="仿宋" w:cs="仿宋"/>
          <w:b/>
        </w:rPr>
      </w:pPr>
      <w:r>
        <w:rPr>
          <w:rFonts w:hint="eastAsia" w:ascii="仿宋" w:hAnsi="仿宋" w:eastAsia="仿宋" w:cs="仿宋"/>
        </w:rPr>
        <w:t>项目名称：</w:t>
      </w:r>
    </w:p>
    <w:p>
      <w:pPr>
        <w:adjustRightInd w:val="0"/>
        <w:snapToGrid w:val="0"/>
        <w:spacing w:line="360" w:lineRule="auto"/>
        <w:ind w:firstLine="480"/>
        <w:jc w:val="left"/>
        <w:rPr>
          <w:rFonts w:ascii="仿宋" w:hAnsi="仿宋" w:eastAsia="仿宋" w:cs="仿宋"/>
          <w:u w:val="single"/>
        </w:rPr>
      </w:pPr>
      <w:r>
        <w:rPr>
          <w:rFonts w:hint="eastAsia" w:ascii="仿宋" w:hAnsi="仿宋" w:eastAsia="仿宋" w:cs="仿宋"/>
        </w:rPr>
        <w:t xml:space="preserve">项目编号： </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ascii="仿宋" w:hAnsi="仿宋" w:eastAsia="仿宋" w:cs="仿宋"/>
              </w:rPr>
            </w:pPr>
            <w:r>
              <w:rPr>
                <w:rFonts w:hint="eastAsia" w:ascii="仿宋" w:hAnsi="仿宋" w:eastAsia="仿宋" w:cs="仿宋"/>
              </w:rPr>
              <w:t>项目</w:t>
            </w:r>
          </w:p>
        </w:tc>
        <w:tc>
          <w:tcPr>
            <w:tcW w:w="24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ascii="仿宋" w:hAnsi="仿宋" w:eastAsia="仿宋" w:cs="仿宋"/>
              </w:rPr>
            </w:pPr>
            <w:r>
              <w:rPr>
                <w:rFonts w:hint="eastAsia" w:ascii="仿宋" w:hAnsi="仿宋" w:eastAsia="仿宋" w:cs="仿宋"/>
              </w:rPr>
              <w:t>谈判文件要求</w:t>
            </w:r>
          </w:p>
        </w:tc>
        <w:tc>
          <w:tcPr>
            <w:tcW w:w="12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ascii="仿宋" w:hAnsi="仿宋" w:eastAsia="仿宋" w:cs="仿宋"/>
              </w:rPr>
            </w:pPr>
            <w:r>
              <w:rPr>
                <w:rFonts w:hint="eastAsia" w:ascii="仿宋" w:hAnsi="仿宋" w:eastAsia="仿宋" w:cs="仿宋"/>
              </w:rPr>
              <w:t>是否响应</w:t>
            </w:r>
          </w:p>
        </w:tc>
        <w:tc>
          <w:tcPr>
            <w:tcW w:w="302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ascii="仿宋" w:hAnsi="仿宋" w:eastAsia="仿宋" w:cs="仿宋"/>
              </w:rPr>
            </w:pPr>
            <w:r>
              <w:rPr>
                <w:rFonts w:hint="eastAsia" w:ascii="仿宋" w:hAnsi="仿宋" w:eastAsia="仿宋" w:cs="仿宋"/>
              </w:rPr>
              <w:t>谈判人的承诺或说明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r>
              <w:rPr>
                <w:rFonts w:hint="eastAsia" w:ascii="仿宋" w:hAnsi="仿宋" w:eastAsia="仿宋" w:cs="仿宋"/>
              </w:rPr>
              <w:t>…</w:t>
            </w: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bl>
    <w:p>
      <w:pPr>
        <w:adjustRightInd w:val="0"/>
        <w:snapToGrid w:val="0"/>
        <w:spacing w:line="360" w:lineRule="auto"/>
        <w:ind w:right="-934" w:rightChars="-389" w:firstLine="482"/>
        <w:rPr>
          <w:rFonts w:ascii="仿宋" w:hAnsi="仿宋" w:eastAsia="仿宋" w:cs="仿宋"/>
          <w:b/>
          <w:bCs/>
        </w:rPr>
      </w:pPr>
      <w:r>
        <w:rPr>
          <w:rFonts w:hint="eastAsia" w:ascii="仿宋" w:hAnsi="仿宋" w:eastAsia="仿宋" w:cs="仿宋"/>
          <w:b/>
          <w:bCs/>
        </w:rPr>
        <w:t>注：如有偏离，则必须注明“偏离”；未注明偏离的，视为完全响应。</w:t>
      </w:r>
    </w:p>
    <w:p>
      <w:pPr>
        <w:pStyle w:val="16"/>
        <w:ind w:firstLine="402"/>
        <w:rPr>
          <w:rFonts w:ascii="仿宋" w:hAnsi="仿宋" w:eastAsia="仿宋" w:cs="仿宋"/>
          <w:b/>
          <w:bCs/>
          <w:szCs w:val="24"/>
        </w:rPr>
      </w:pPr>
    </w:p>
    <w:p>
      <w:pPr>
        <w:pStyle w:val="17"/>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pStyle w:val="19"/>
        <w:ind w:left="0" w:leftChars="0" w:firstLine="0" w:firstLineChars="0"/>
        <w:rPr>
          <w:rFonts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（二）技术偏离表</w:t>
      </w:r>
    </w:p>
    <w:p>
      <w:pPr>
        <w:adjustRightInd w:val="0"/>
        <w:snapToGrid w:val="0"/>
        <w:spacing w:line="360" w:lineRule="auto"/>
        <w:ind w:firstLine="480"/>
        <w:jc w:val="left"/>
        <w:rPr>
          <w:rFonts w:ascii="仿宋" w:hAnsi="仿宋" w:eastAsia="仿宋" w:cs="仿宋"/>
          <w:b/>
        </w:rPr>
      </w:pPr>
      <w:r>
        <w:rPr>
          <w:rFonts w:hint="eastAsia" w:ascii="仿宋" w:hAnsi="仿宋" w:eastAsia="仿宋" w:cs="仿宋"/>
        </w:rPr>
        <w:t>项目名称：</w:t>
      </w:r>
    </w:p>
    <w:p>
      <w:pPr>
        <w:adjustRightInd w:val="0"/>
        <w:snapToGrid w:val="0"/>
        <w:spacing w:line="360" w:lineRule="auto"/>
        <w:ind w:firstLine="480"/>
        <w:jc w:val="left"/>
        <w:rPr>
          <w:rFonts w:ascii="仿宋" w:hAnsi="仿宋" w:eastAsia="仿宋" w:cs="仿宋"/>
          <w:u w:val="single"/>
        </w:rPr>
      </w:pPr>
      <w:r>
        <w:rPr>
          <w:rFonts w:hint="eastAsia" w:ascii="仿宋" w:hAnsi="仿宋" w:eastAsia="仿宋" w:cs="仿宋"/>
        </w:rPr>
        <w:t xml:space="preserve">项目编号： </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480"/>
              <w:rPr>
                <w:rFonts w:ascii="仿宋" w:hAnsi="仿宋" w:eastAsia="仿宋" w:cs="仿宋"/>
              </w:rPr>
            </w:pPr>
            <w:r>
              <w:rPr>
                <w:rFonts w:hint="eastAsia" w:ascii="仿宋" w:hAnsi="仿宋" w:eastAsia="仿宋" w:cs="仿宋"/>
              </w:rPr>
              <w:t>项目</w:t>
            </w:r>
          </w:p>
        </w:tc>
        <w:tc>
          <w:tcPr>
            <w:tcW w:w="24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480"/>
              <w:rPr>
                <w:rFonts w:ascii="仿宋" w:hAnsi="仿宋" w:eastAsia="仿宋" w:cs="仿宋"/>
              </w:rPr>
            </w:pPr>
            <w:r>
              <w:rPr>
                <w:rFonts w:hint="eastAsia" w:ascii="仿宋" w:hAnsi="仿宋" w:eastAsia="仿宋" w:cs="仿宋"/>
              </w:rPr>
              <w:t>谈判文件要求</w:t>
            </w:r>
          </w:p>
        </w:tc>
        <w:tc>
          <w:tcPr>
            <w:tcW w:w="12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rPr>
                <w:rFonts w:ascii="仿宋" w:hAnsi="仿宋" w:eastAsia="仿宋" w:cs="仿宋"/>
              </w:rPr>
            </w:pPr>
            <w:r>
              <w:rPr>
                <w:rFonts w:hint="eastAsia" w:ascii="仿宋" w:hAnsi="仿宋" w:eastAsia="仿宋" w:cs="仿宋"/>
              </w:rPr>
              <w:t>是否响应</w:t>
            </w:r>
          </w:p>
        </w:tc>
        <w:tc>
          <w:tcPr>
            <w:tcW w:w="302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rPr>
                <w:rFonts w:ascii="仿宋" w:hAnsi="仿宋" w:eastAsia="仿宋" w:cs="仿宋"/>
              </w:rPr>
            </w:pPr>
            <w:r>
              <w:rPr>
                <w:rFonts w:hint="eastAsia" w:ascii="仿宋" w:hAnsi="仿宋" w:eastAsia="仿宋" w:cs="仿宋"/>
              </w:rPr>
              <w:t>谈判人的承诺或说明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r>
              <w:rPr>
                <w:rFonts w:hint="eastAsia" w:ascii="仿宋" w:hAnsi="仿宋" w:eastAsia="仿宋" w:cs="仿宋"/>
              </w:rPr>
              <w:t>…</w:t>
            </w:r>
          </w:p>
        </w:tc>
        <w:tc>
          <w:tcPr>
            <w:tcW w:w="244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c>
          <w:tcPr>
            <w:tcW w:w="302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480"/>
              <w:jc w:val="left"/>
              <w:rPr>
                <w:rFonts w:ascii="仿宋" w:hAnsi="仿宋" w:eastAsia="仿宋" w:cs="仿宋"/>
              </w:rPr>
            </w:pPr>
          </w:p>
        </w:tc>
      </w:tr>
    </w:tbl>
    <w:p>
      <w:pPr>
        <w:adjustRightInd w:val="0"/>
        <w:snapToGrid w:val="0"/>
        <w:spacing w:line="360" w:lineRule="auto"/>
        <w:ind w:right="-934" w:rightChars="-389" w:firstLine="482"/>
        <w:rPr>
          <w:rFonts w:ascii="仿宋" w:hAnsi="仿宋" w:eastAsia="仿宋" w:cs="仿宋"/>
          <w:b/>
          <w:bCs/>
        </w:rPr>
      </w:pPr>
      <w:r>
        <w:rPr>
          <w:rFonts w:hint="eastAsia" w:ascii="仿宋" w:hAnsi="仿宋" w:eastAsia="仿宋" w:cs="仿宋"/>
          <w:b/>
          <w:bCs/>
        </w:rPr>
        <w:t>注：如有偏离，则必须注明“偏离”；未注明偏离的，视为完全响应。</w:t>
      </w:r>
    </w:p>
    <w:p>
      <w:pPr>
        <w:pStyle w:val="16"/>
        <w:ind w:firstLine="402"/>
        <w:rPr>
          <w:rFonts w:ascii="仿宋" w:hAnsi="仿宋" w:eastAsia="仿宋" w:cs="仿宋"/>
          <w:b/>
          <w:bCs/>
          <w:szCs w:val="24"/>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jc w:val="center"/>
        <w:rPr>
          <w:rFonts w:ascii="宋体" w:hAnsi="宋体" w:cs="宋体"/>
        </w:rPr>
      </w:pPr>
    </w:p>
    <w:p>
      <w:pPr>
        <w:adjustRightInd w:val="0"/>
        <w:snapToGrid w:val="0"/>
        <w:spacing w:line="480" w:lineRule="auto"/>
        <w:ind w:firstLine="0" w:firstLineChars="0"/>
        <w:rPr>
          <w:rFonts w:ascii="宋体" w:hAnsi="宋体" w:cs="宋体"/>
        </w:rPr>
      </w:pPr>
    </w:p>
    <w:p>
      <w:pPr>
        <w:pStyle w:val="4"/>
        <w:numPr>
          <w:ilvl w:val="0"/>
          <w:numId w:val="10"/>
        </w:numPr>
        <w:spacing w:line="360" w:lineRule="auto"/>
        <w:ind w:firstLine="0" w:firstLineChars="0"/>
        <w:jc w:val="center"/>
        <w:rPr>
          <w:rFonts w:hint="eastAsia" w:ascii="仿宋" w:hAnsi="仿宋" w:eastAsia="仿宋" w:cs="仿宋"/>
          <w:kern w:val="2"/>
        </w:rPr>
      </w:pPr>
      <w:r>
        <w:rPr>
          <w:rFonts w:hint="eastAsia" w:ascii="仿宋" w:hAnsi="仿宋" w:eastAsia="仿宋" w:cs="仿宋"/>
          <w:kern w:val="2"/>
        </w:rPr>
        <w:t>商务要求响应承诺函</w:t>
      </w:r>
    </w:p>
    <w:p>
      <w:pPr>
        <w:ind w:firstLine="0" w:firstLineChars="0"/>
        <w:jc w:val="center"/>
        <w:rPr>
          <w:rFonts w:ascii="国标仿宋-GB/T 2312" w:hAnsi="国标仿宋-GB/T 2312" w:eastAsia="国标仿宋-GB/T 2312" w:cs="国标仿宋-GB/T 2312"/>
        </w:rPr>
      </w:pPr>
      <w:r>
        <w:rPr>
          <w:rFonts w:hint="eastAsia" w:ascii="国标仿宋-GB/T 2312" w:hAnsi="国标仿宋-GB/T 2312" w:eastAsia="国标仿宋-GB/T 2312" w:cs="国标仿宋-GB/T 2312"/>
        </w:rPr>
        <w:t>格式自拟</w:t>
      </w:r>
    </w:p>
    <w:p>
      <w:pPr>
        <w:spacing w:line="440" w:lineRule="exact"/>
        <w:ind w:firstLine="480"/>
        <w:rPr>
          <w:rFonts w:hint="eastAsia" w:ascii="仿宋" w:hAnsi="仿宋" w:eastAsia="仿宋" w:cs="仿宋"/>
          <w:kern w:val="2"/>
        </w:rPr>
      </w:pPr>
    </w:p>
    <w:p>
      <w:pPr>
        <w:spacing w:line="440" w:lineRule="exact"/>
        <w:ind w:firstLine="480"/>
        <w:rPr>
          <w:rFonts w:hint="eastAsia" w:ascii="仿宋" w:hAnsi="仿宋" w:eastAsia="仿宋" w:cs="仿宋"/>
          <w:kern w:val="2"/>
        </w:rPr>
      </w:pPr>
    </w:p>
    <w:p>
      <w:pPr>
        <w:spacing w:line="440" w:lineRule="exact"/>
        <w:ind w:firstLine="480"/>
        <w:rPr>
          <w:rFonts w:hint="eastAsia" w:ascii="仿宋" w:hAnsi="仿宋" w:eastAsia="仿宋" w:cs="仿宋"/>
          <w:kern w:val="2"/>
        </w:rPr>
      </w:pPr>
    </w:p>
    <w:p>
      <w:pPr>
        <w:spacing w:line="440" w:lineRule="exact"/>
        <w:ind w:firstLine="480"/>
        <w:rPr>
          <w:rFonts w:hint="eastAsia" w:ascii="仿宋" w:hAnsi="仿宋" w:eastAsia="仿宋" w:cs="仿宋"/>
          <w:kern w:val="2"/>
        </w:rPr>
      </w:pPr>
      <w:r>
        <w:rPr>
          <w:rFonts w:hint="eastAsia" w:ascii="仿宋" w:hAnsi="仿宋" w:eastAsia="仿宋" w:cs="仿宋"/>
          <w:kern w:val="2"/>
        </w:rPr>
        <w:t>商务要求必须完全满足，未提供商务要求响应承诺函的或任一一条商务要求未满足的均按无效响应处理！</w:t>
      </w:r>
    </w:p>
    <w:p>
      <w:pPr>
        <w:numPr>
          <w:ilvl w:val="-1"/>
          <w:numId w:val="0"/>
        </w:numPr>
        <w:ind w:firstLine="0" w:firstLineChars="0"/>
        <w:rPr>
          <w:rFonts w:hint="eastAsia"/>
        </w:rPr>
      </w:pPr>
    </w:p>
    <w:p>
      <w:pPr>
        <w:spacing w:line="360" w:lineRule="auto"/>
        <w:ind w:firstLineChars="0"/>
        <w:jc w:val="center"/>
        <w:rPr>
          <w:rStyle w:val="161"/>
          <w:rFonts w:hint="eastAsia" w:ascii="仿宋" w:hAnsi="仿宋" w:eastAsia="仿宋" w:cs="仿宋"/>
          <w:b/>
        </w:rPr>
      </w:pPr>
      <w:r>
        <w:rPr>
          <w:rStyle w:val="161"/>
          <w:rFonts w:hint="eastAsia" w:ascii="仿宋" w:hAnsi="仿宋" w:eastAsia="仿宋" w:cs="仿宋"/>
          <w:b/>
        </w:rPr>
        <w:br w:type="page"/>
      </w:r>
    </w:p>
    <w:p>
      <w:pPr>
        <w:pStyle w:val="4"/>
        <w:spacing w:line="360" w:lineRule="auto"/>
        <w:ind w:firstLine="0" w:firstLineChars="0"/>
        <w:jc w:val="center"/>
        <w:rPr>
          <w:rStyle w:val="161"/>
          <w:rFonts w:ascii="仿宋" w:hAnsi="仿宋" w:eastAsia="仿宋" w:cs="仿宋"/>
          <w:b/>
        </w:rPr>
      </w:pPr>
      <w:r>
        <w:rPr>
          <w:rStyle w:val="161"/>
          <w:rFonts w:hint="eastAsia" w:ascii="仿宋" w:hAnsi="仿宋" w:eastAsia="仿宋" w:cs="仿宋"/>
          <w:b/>
        </w:rPr>
        <w:t>（</w:t>
      </w:r>
      <w:r>
        <w:rPr>
          <w:rStyle w:val="161"/>
          <w:rFonts w:hint="eastAsia" w:ascii="仿宋" w:hAnsi="仿宋" w:eastAsia="仿宋" w:cs="仿宋"/>
          <w:b/>
          <w:lang w:eastAsia="zh-CN"/>
        </w:rPr>
        <w:t>四</w:t>
      </w:r>
      <w:r>
        <w:rPr>
          <w:rStyle w:val="161"/>
          <w:rFonts w:hint="eastAsia" w:ascii="仿宋" w:hAnsi="仿宋" w:eastAsia="仿宋" w:cs="仿宋"/>
          <w:b/>
        </w:rPr>
        <w:t>）节能、环境标志产品明细表</w:t>
      </w:r>
    </w:p>
    <w:p>
      <w:pPr>
        <w:spacing w:line="560" w:lineRule="exact"/>
        <w:ind w:firstLine="480"/>
      </w:pPr>
      <w:r>
        <w:rPr>
          <w:rFonts w:hint="eastAsia"/>
        </w:rPr>
        <w:t>项目编号：</w:t>
      </w:r>
    </w:p>
    <w:p>
      <w:pPr>
        <w:spacing w:line="560" w:lineRule="exact"/>
        <w:ind w:firstLine="480"/>
      </w:pPr>
      <w:r>
        <w:rPr>
          <w:rFonts w:hint="eastAsia"/>
        </w:rPr>
        <w:t>项目名称：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06"/>
        <w:gridCol w:w="1106"/>
        <w:gridCol w:w="1167"/>
        <w:gridCol w:w="1047"/>
        <w:gridCol w:w="1107"/>
        <w:gridCol w:w="1108"/>
        <w:gridCol w:w="110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pPr>
              <w:spacing w:line="360" w:lineRule="exact"/>
              <w:ind w:firstLine="0" w:firstLineChars="0"/>
              <w:jc w:val="center"/>
              <w:rPr>
                <w:b/>
                <w:bCs/>
              </w:rPr>
            </w:pPr>
            <w:r>
              <w:rPr>
                <w:rFonts w:hint="eastAsia"/>
                <w:b/>
                <w:bCs/>
              </w:rPr>
              <w:t>序号</w:t>
            </w:r>
          </w:p>
        </w:tc>
        <w:tc>
          <w:tcPr>
            <w:tcW w:w="1106" w:type="dxa"/>
            <w:vAlign w:val="center"/>
          </w:tcPr>
          <w:p>
            <w:pPr>
              <w:spacing w:line="360" w:lineRule="exact"/>
              <w:ind w:firstLine="0" w:firstLineChars="0"/>
              <w:jc w:val="center"/>
              <w:rPr>
                <w:b/>
                <w:bCs/>
              </w:rPr>
            </w:pPr>
            <w:r>
              <w:rPr>
                <w:rFonts w:hint="eastAsia"/>
                <w:b/>
                <w:bCs/>
              </w:rPr>
              <w:t>产品名称</w:t>
            </w:r>
          </w:p>
        </w:tc>
        <w:tc>
          <w:tcPr>
            <w:tcW w:w="1106" w:type="dxa"/>
            <w:vAlign w:val="center"/>
          </w:tcPr>
          <w:p>
            <w:pPr>
              <w:spacing w:line="360" w:lineRule="exact"/>
              <w:ind w:firstLine="0" w:firstLineChars="0"/>
              <w:jc w:val="center"/>
              <w:rPr>
                <w:b/>
                <w:bCs/>
              </w:rPr>
            </w:pPr>
            <w:r>
              <w:rPr>
                <w:rFonts w:hint="eastAsia"/>
                <w:b/>
                <w:bCs/>
              </w:rPr>
              <w:t>制造厂家</w:t>
            </w:r>
          </w:p>
        </w:tc>
        <w:tc>
          <w:tcPr>
            <w:tcW w:w="1167" w:type="dxa"/>
            <w:vAlign w:val="center"/>
          </w:tcPr>
          <w:p>
            <w:pPr>
              <w:spacing w:line="360" w:lineRule="exact"/>
              <w:ind w:firstLine="0" w:firstLineChars="0"/>
              <w:jc w:val="center"/>
              <w:rPr>
                <w:b/>
                <w:bCs/>
              </w:rPr>
            </w:pPr>
            <w:r>
              <w:rPr>
                <w:rFonts w:hint="eastAsia"/>
                <w:b/>
                <w:bCs/>
              </w:rPr>
              <w:t>规格型号</w:t>
            </w:r>
          </w:p>
        </w:tc>
        <w:tc>
          <w:tcPr>
            <w:tcW w:w="1047" w:type="dxa"/>
            <w:vAlign w:val="center"/>
          </w:tcPr>
          <w:p>
            <w:pPr>
              <w:spacing w:line="360" w:lineRule="exact"/>
              <w:ind w:firstLine="0" w:firstLineChars="0"/>
              <w:jc w:val="center"/>
              <w:rPr>
                <w:b/>
                <w:bCs/>
              </w:rPr>
            </w:pPr>
            <w:r>
              <w:rPr>
                <w:rFonts w:hint="eastAsia"/>
                <w:b/>
                <w:bCs/>
              </w:rPr>
              <w:t>类别</w:t>
            </w:r>
          </w:p>
        </w:tc>
        <w:tc>
          <w:tcPr>
            <w:tcW w:w="1107" w:type="dxa"/>
            <w:vAlign w:val="center"/>
          </w:tcPr>
          <w:p>
            <w:pPr>
              <w:spacing w:line="360" w:lineRule="exact"/>
              <w:ind w:firstLine="0" w:firstLineChars="0"/>
              <w:jc w:val="center"/>
              <w:rPr>
                <w:b/>
                <w:bCs/>
              </w:rPr>
            </w:pPr>
            <w:r>
              <w:rPr>
                <w:rFonts w:hint="eastAsia"/>
                <w:b/>
                <w:bCs/>
              </w:rPr>
              <w:t>认证证书编号</w:t>
            </w:r>
          </w:p>
        </w:tc>
        <w:tc>
          <w:tcPr>
            <w:tcW w:w="1108" w:type="dxa"/>
            <w:vAlign w:val="center"/>
          </w:tcPr>
          <w:p>
            <w:pPr>
              <w:spacing w:line="360" w:lineRule="exact"/>
              <w:ind w:firstLine="0" w:firstLineChars="0"/>
              <w:jc w:val="center"/>
              <w:rPr>
                <w:b/>
                <w:bCs/>
              </w:rPr>
            </w:pPr>
            <w:r>
              <w:rPr>
                <w:rFonts w:hint="eastAsia"/>
                <w:b/>
                <w:bCs/>
              </w:rPr>
              <w:t>数量</w:t>
            </w:r>
          </w:p>
        </w:tc>
        <w:tc>
          <w:tcPr>
            <w:tcW w:w="1108" w:type="dxa"/>
            <w:vAlign w:val="center"/>
          </w:tcPr>
          <w:p>
            <w:pPr>
              <w:spacing w:line="360" w:lineRule="exact"/>
              <w:ind w:firstLine="0" w:firstLineChars="0"/>
              <w:jc w:val="center"/>
              <w:rPr>
                <w:b/>
                <w:bCs/>
              </w:rPr>
            </w:pPr>
            <w:r>
              <w:rPr>
                <w:rFonts w:hint="eastAsia"/>
                <w:b/>
                <w:bCs/>
              </w:rPr>
              <w:t>单价</w:t>
            </w:r>
          </w:p>
        </w:tc>
        <w:tc>
          <w:tcPr>
            <w:tcW w:w="1108" w:type="dxa"/>
            <w:vAlign w:val="center"/>
          </w:tcPr>
          <w:p>
            <w:pPr>
              <w:spacing w:line="360" w:lineRule="exact"/>
              <w:ind w:firstLine="0" w:firstLineChars="0"/>
              <w:jc w:val="center"/>
              <w:rPr>
                <w:b/>
                <w:bCs/>
              </w:rPr>
            </w:pPr>
            <w:r>
              <w:rPr>
                <w:rFonts w:hint="eastAsia"/>
                <w:b/>
                <w:bC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9"/>
            <w:vAlign w:val="center"/>
          </w:tcPr>
          <w:p>
            <w:pPr>
              <w:spacing w:line="560" w:lineRule="exact"/>
              <w:ind w:firstLine="0" w:firstLineChars="0"/>
              <w:rPr>
                <w:rFonts w:ascii="宋体" w:hAnsi="宋体" w:cs="宋体"/>
                <w:bCs/>
                <w:sz w:val="32"/>
                <w:szCs w:val="32"/>
              </w:rPr>
            </w:pPr>
            <w:r>
              <w:rPr>
                <w:rFonts w:hint="eastAsia"/>
              </w:rPr>
              <w:t>（1）强制采购类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06" w:type="dxa"/>
            <w:vMerge w:val="restart"/>
            <w:vAlign w:val="center"/>
          </w:tcPr>
          <w:p>
            <w:pPr>
              <w:spacing w:line="440" w:lineRule="exact"/>
              <w:ind w:firstLine="0" w:firstLineChars="0"/>
              <w:jc w:val="center"/>
              <w:rPr>
                <w:sz w:val="22"/>
                <w:szCs w:val="22"/>
              </w:rPr>
            </w:pPr>
            <w:r>
              <w:rPr>
                <w:rFonts w:hint="eastAsia"/>
                <w:sz w:val="22"/>
                <w:szCs w:val="22"/>
              </w:rPr>
              <w:t>1</w:t>
            </w:r>
          </w:p>
        </w:tc>
        <w:tc>
          <w:tcPr>
            <w:tcW w:w="1106" w:type="dxa"/>
            <w:vMerge w:val="restart"/>
          </w:tcPr>
          <w:p>
            <w:pPr>
              <w:widowControl/>
              <w:snapToGrid w:val="0"/>
              <w:spacing w:beforeAutospacing="1" w:afterAutospacing="1"/>
              <w:ind w:firstLine="640"/>
              <w:outlineLvl w:val="0"/>
              <w:rPr>
                <w:rFonts w:ascii="宋体" w:hAnsi="宋体" w:cs="宋体"/>
                <w:bCs/>
                <w:sz w:val="32"/>
                <w:szCs w:val="32"/>
              </w:rPr>
            </w:pPr>
          </w:p>
        </w:tc>
        <w:tc>
          <w:tcPr>
            <w:tcW w:w="1106" w:type="dxa"/>
            <w:vMerge w:val="restart"/>
          </w:tcPr>
          <w:p>
            <w:pPr>
              <w:widowControl/>
              <w:snapToGrid w:val="0"/>
              <w:spacing w:beforeAutospacing="1" w:afterAutospacing="1"/>
              <w:ind w:firstLine="640"/>
              <w:outlineLvl w:val="0"/>
              <w:rPr>
                <w:rFonts w:ascii="宋体" w:hAnsi="宋体" w:cs="宋体"/>
                <w:bCs/>
                <w:sz w:val="32"/>
                <w:szCs w:val="32"/>
              </w:rPr>
            </w:pPr>
          </w:p>
        </w:tc>
        <w:tc>
          <w:tcPr>
            <w:tcW w:w="1167" w:type="dxa"/>
            <w:vMerge w:val="restart"/>
          </w:tcPr>
          <w:p>
            <w:pPr>
              <w:widowControl/>
              <w:snapToGrid w:val="0"/>
              <w:spacing w:beforeAutospacing="1" w:afterAutospacing="1"/>
              <w:ind w:firstLine="640"/>
              <w:outlineLvl w:val="0"/>
              <w:rPr>
                <w:rFonts w:ascii="宋体" w:hAnsi="宋体" w:cs="宋体"/>
                <w:bCs/>
                <w:sz w:val="32"/>
                <w:szCs w:val="32"/>
              </w:rPr>
            </w:pPr>
          </w:p>
        </w:tc>
        <w:tc>
          <w:tcPr>
            <w:tcW w:w="1047" w:type="dxa"/>
            <w:vAlign w:val="center"/>
          </w:tcPr>
          <w:p>
            <w:pPr>
              <w:spacing w:line="560" w:lineRule="exact"/>
              <w:ind w:firstLine="0" w:firstLineChars="0"/>
              <w:jc w:val="center"/>
              <w:rPr>
                <w:sz w:val="22"/>
                <w:szCs w:val="22"/>
              </w:rPr>
            </w:pPr>
          </w:p>
        </w:tc>
        <w:tc>
          <w:tcPr>
            <w:tcW w:w="1107" w:type="dxa"/>
          </w:tcPr>
          <w:p>
            <w:pPr>
              <w:widowControl/>
              <w:snapToGrid w:val="0"/>
              <w:spacing w:beforeAutospacing="1" w:afterAutospacing="1"/>
              <w:ind w:firstLine="640"/>
              <w:outlineLvl w:val="0"/>
              <w:rPr>
                <w:rFonts w:ascii="宋体" w:hAnsi="宋体" w:cs="宋体"/>
                <w:bCs/>
                <w:sz w:val="32"/>
                <w:szCs w:val="32"/>
              </w:rPr>
            </w:pPr>
          </w:p>
        </w:tc>
        <w:tc>
          <w:tcPr>
            <w:tcW w:w="1108" w:type="dxa"/>
            <w:vMerge w:val="restart"/>
          </w:tcPr>
          <w:p>
            <w:pPr>
              <w:widowControl/>
              <w:snapToGrid w:val="0"/>
              <w:spacing w:beforeAutospacing="1" w:afterAutospacing="1"/>
              <w:ind w:firstLine="640"/>
              <w:outlineLvl w:val="0"/>
              <w:rPr>
                <w:rFonts w:ascii="宋体" w:hAnsi="宋体" w:cs="宋体"/>
                <w:bCs/>
                <w:sz w:val="32"/>
                <w:szCs w:val="32"/>
              </w:rPr>
            </w:pPr>
          </w:p>
        </w:tc>
        <w:tc>
          <w:tcPr>
            <w:tcW w:w="1108" w:type="dxa"/>
            <w:vMerge w:val="restart"/>
          </w:tcPr>
          <w:p>
            <w:pPr>
              <w:widowControl/>
              <w:snapToGrid w:val="0"/>
              <w:spacing w:beforeAutospacing="1" w:afterAutospacing="1"/>
              <w:ind w:firstLine="640"/>
              <w:outlineLvl w:val="0"/>
              <w:rPr>
                <w:rFonts w:ascii="宋体" w:hAnsi="宋体" w:cs="宋体"/>
                <w:bCs/>
                <w:sz w:val="32"/>
                <w:szCs w:val="32"/>
              </w:rPr>
            </w:pPr>
          </w:p>
        </w:tc>
        <w:tc>
          <w:tcPr>
            <w:tcW w:w="1108" w:type="dxa"/>
            <w:vMerge w:val="restart"/>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106" w:type="dxa"/>
            <w:vMerge w:val="restart"/>
            <w:vAlign w:val="center"/>
          </w:tcPr>
          <w:p>
            <w:pPr>
              <w:spacing w:line="440" w:lineRule="exact"/>
              <w:ind w:firstLine="0" w:firstLineChars="0"/>
              <w:jc w:val="center"/>
              <w:rPr>
                <w:sz w:val="22"/>
                <w:szCs w:val="22"/>
              </w:rPr>
            </w:pPr>
            <w:r>
              <w:rPr>
                <w:rFonts w:hint="eastAsia"/>
                <w:sz w:val="22"/>
                <w:szCs w:val="22"/>
              </w:rPr>
              <w:t>2</w:t>
            </w:r>
          </w:p>
        </w:tc>
        <w:tc>
          <w:tcPr>
            <w:tcW w:w="1106" w:type="dxa"/>
            <w:vMerge w:val="restart"/>
          </w:tcPr>
          <w:p>
            <w:pPr>
              <w:widowControl/>
              <w:snapToGrid w:val="0"/>
              <w:spacing w:beforeAutospacing="1" w:afterAutospacing="1"/>
              <w:ind w:firstLine="640"/>
              <w:outlineLvl w:val="0"/>
              <w:rPr>
                <w:rFonts w:ascii="宋体" w:hAnsi="宋体" w:cs="宋体"/>
                <w:bCs/>
                <w:sz w:val="32"/>
                <w:szCs w:val="32"/>
              </w:rPr>
            </w:pPr>
          </w:p>
        </w:tc>
        <w:tc>
          <w:tcPr>
            <w:tcW w:w="1106" w:type="dxa"/>
            <w:vMerge w:val="restart"/>
          </w:tcPr>
          <w:p>
            <w:pPr>
              <w:widowControl/>
              <w:snapToGrid w:val="0"/>
              <w:spacing w:beforeAutospacing="1" w:afterAutospacing="1"/>
              <w:ind w:firstLine="640"/>
              <w:outlineLvl w:val="0"/>
              <w:rPr>
                <w:rFonts w:ascii="宋体" w:hAnsi="宋体" w:cs="宋体"/>
                <w:bCs/>
                <w:sz w:val="32"/>
                <w:szCs w:val="32"/>
              </w:rPr>
            </w:pPr>
          </w:p>
        </w:tc>
        <w:tc>
          <w:tcPr>
            <w:tcW w:w="1167" w:type="dxa"/>
            <w:vMerge w:val="restart"/>
          </w:tcPr>
          <w:p>
            <w:pPr>
              <w:widowControl/>
              <w:snapToGrid w:val="0"/>
              <w:spacing w:beforeAutospacing="1" w:afterAutospacing="1"/>
              <w:ind w:firstLine="640"/>
              <w:outlineLvl w:val="0"/>
              <w:rPr>
                <w:rFonts w:ascii="宋体" w:hAnsi="宋体" w:cs="宋体"/>
                <w:bCs/>
                <w:sz w:val="32"/>
                <w:szCs w:val="32"/>
              </w:rPr>
            </w:pPr>
          </w:p>
        </w:tc>
        <w:tc>
          <w:tcPr>
            <w:tcW w:w="1047" w:type="dxa"/>
            <w:shd w:val="clear" w:color="auto" w:fill="auto"/>
            <w:vAlign w:val="center"/>
          </w:tcPr>
          <w:p>
            <w:pPr>
              <w:spacing w:line="560" w:lineRule="exact"/>
              <w:ind w:firstLine="0" w:firstLineChars="0"/>
              <w:jc w:val="center"/>
              <w:rPr>
                <w:sz w:val="22"/>
                <w:szCs w:val="22"/>
              </w:rPr>
            </w:pPr>
          </w:p>
        </w:tc>
        <w:tc>
          <w:tcPr>
            <w:tcW w:w="1107" w:type="dxa"/>
          </w:tcPr>
          <w:p>
            <w:pPr>
              <w:widowControl/>
              <w:snapToGrid w:val="0"/>
              <w:spacing w:beforeAutospacing="1" w:afterAutospacing="1"/>
              <w:ind w:firstLine="640"/>
              <w:outlineLvl w:val="0"/>
              <w:rPr>
                <w:rFonts w:ascii="宋体" w:hAnsi="宋体" w:cs="宋体"/>
                <w:bCs/>
                <w:sz w:val="32"/>
                <w:szCs w:val="32"/>
              </w:rPr>
            </w:pPr>
          </w:p>
        </w:tc>
        <w:tc>
          <w:tcPr>
            <w:tcW w:w="1108" w:type="dxa"/>
            <w:vMerge w:val="restart"/>
          </w:tcPr>
          <w:p>
            <w:pPr>
              <w:widowControl/>
              <w:snapToGrid w:val="0"/>
              <w:spacing w:beforeAutospacing="1" w:afterAutospacing="1"/>
              <w:ind w:firstLine="640"/>
              <w:outlineLvl w:val="0"/>
              <w:rPr>
                <w:rFonts w:ascii="宋体" w:hAnsi="宋体" w:cs="宋体"/>
                <w:bCs/>
                <w:sz w:val="32"/>
                <w:szCs w:val="32"/>
              </w:rPr>
            </w:pPr>
          </w:p>
        </w:tc>
        <w:tc>
          <w:tcPr>
            <w:tcW w:w="1108" w:type="dxa"/>
            <w:vMerge w:val="restart"/>
          </w:tcPr>
          <w:p>
            <w:pPr>
              <w:widowControl/>
              <w:snapToGrid w:val="0"/>
              <w:spacing w:beforeAutospacing="1" w:afterAutospacing="1"/>
              <w:ind w:firstLine="640"/>
              <w:outlineLvl w:val="0"/>
              <w:rPr>
                <w:rFonts w:ascii="宋体" w:hAnsi="宋体" w:cs="宋体"/>
                <w:bCs/>
                <w:sz w:val="32"/>
                <w:szCs w:val="32"/>
              </w:rPr>
            </w:pPr>
          </w:p>
        </w:tc>
        <w:tc>
          <w:tcPr>
            <w:tcW w:w="1108" w:type="dxa"/>
            <w:vMerge w:val="restart"/>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106" w:type="dxa"/>
            <w:vAlign w:val="center"/>
          </w:tcPr>
          <w:p>
            <w:pPr>
              <w:widowControl/>
              <w:snapToGrid w:val="0"/>
              <w:spacing w:beforeAutospacing="1" w:afterAutospacing="1"/>
              <w:ind w:firstLine="0" w:firstLineChars="0"/>
              <w:jc w:val="center"/>
              <w:outlineLvl w:val="0"/>
              <w:rPr>
                <w:rFonts w:ascii="宋体" w:hAnsi="宋体" w:cs="宋体"/>
                <w:bCs/>
                <w:sz w:val="32"/>
                <w:szCs w:val="32"/>
              </w:rPr>
            </w:pPr>
            <w:r>
              <w:rPr>
                <w:rFonts w:hint="eastAsia" w:ascii="宋体" w:hAnsi="宋体" w:cs="宋体"/>
                <w:bCs/>
                <w:sz w:val="32"/>
                <w:szCs w:val="32"/>
              </w:rPr>
              <w:t>……</w:t>
            </w:r>
          </w:p>
        </w:tc>
        <w:tc>
          <w:tcPr>
            <w:tcW w:w="1106" w:type="dxa"/>
          </w:tcPr>
          <w:p>
            <w:pPr>
              <w:widowControl/>
              <w:snapToGrid w:val="0"/>
              <w:spacing w:beforeAutospacing="1" w:afterAutospacing="1"/>
              <w:ind w:firstLine="640"/>
              <w:outlineLvl w:val="0"/>
              <w:rPr>
                <w:rFonts w:ascii="宋体" w:hAnsi="宋体" w:cs="宋体"/>
                <w:bCs/>
                <w:sz w:val="32"/>
                <w:szCs w:val="32"/>
              </w:rPr>
            </w:pPr>
          </w:p>
        </w:tc>
        <w:tc>
          <w:tcPr>
            <w:tcW w:w="1106" w:type="dxa"/>
          </w:tcPr>
          <w:p>
            <w:pPr>
              <w:widowControl/>
              <w:snapToGrid w:val="0"/>
              <w:spacing w:beforeAutospacing="1" w:afterAutospacing="1"/>
              <w:ind w:firstLine="640"/>
              <w:outlineLvl w:val="0"/>
              <w:rPr>
                <w:rFonts w:ascii="宋体" w:hAnsi="宋体" w:cs="宋体"/>
                <w:bCs/>
                <w:sz w:val="32"/>
                <w:szCs w:val="32"/>
              </w:rPr>
            </w:pPr>
          </w:p>
        </w:tc>
        <w:tc>
          <w:tcPr>
            <w:tcW w:w="1167" w:type="dxa"/>
          </w:tcPr>
          <w:p>
            <w:pPr>
              <w:widowControl/>
              <w:snapToGrid w:val="0"/>
              <w:spacing w:beforeAutospacing="1" w:afterAutospacing="1"/>
              <w:ind w:firstLine="640"/>
              <w:outlineLvl w:val="0"/>
              <w:rPr>
                <w:rFonts w:ascii="宋体" w:hAnsi="宋体" w:cs="宋体"/>
                <w:bCs/>
                <w:sz w:val="32"/>
                <w:szCs w:val="32"/>
              </w:rPr>
            </w:pPr>
          </w:p>
        </w:tc>
        <w:tc>
          <w:tcPr>
            <w:tcW w:w="1047" w:type="dxa"/>
          </w:tcPr>
          <w:p>
            <w:pPr>
              <w:widowControl/>
              <w:snapToGrid w:val="0"/>
              <w:spacing w:beforeAutospacing="1" w:afterAutospacing="1"/>
              <w:ind w:firstLine="640"/>
              <w:outlineLvl w:val="0"/>
              <w:rPr>
                <w:rFonts w:ascii="宋体" w:hAnsi="宋体" w:cs="宋体"/>
                <w:bCs/>
                <w:sz w:val="32"/>
                <w:szCs w:val="32"/>
              </w:rPr>
            </w:pPr>
          </w:p>
        </w:tc>
        <w:tc>
          <w:tcPr>
            <w:tcW w:w="1107"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9"/>
          </w:tcPr>
          <w:p>
            <w:pPr>
              <w:widowControl/>
              <w:snapToGrid w:val="0"/>
              <w:spacing w:beforeAutospacing="1" w:afterAutospacing="1"/>
              <w:ind w:firstLine="0" w:firstLineChars="0"/>
              <w:outlineLvl w:val="0"/>
              <w:rPr>
                <w:rFonts w:ascii="宋体" w:hAnsi="宋体" w:cs="宋体"/>
                <w:bCs/>
                <w:sz w:val="32"/>
                <w:szCs w:val="32"/>
              </w:rPr>
            </w:pPr>
            <w:r>
              <w:rPr>
                <w:rFonts w:hint="eastAsia"/>
              </w:rPr>
              <w:t>（2）优先采购类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06" w:type="dxa"/>
            <w:shd w:val="clear" w:color="auto" w:fill="auto"/>
            <w:vAlign w:val="center"/>
          </w:tcPr>
          <w:p>
            <w:pPr>
              <w:spacing w:line="440" w:lineRule="exact"/>
              <w:ind w:firstLine="0" w:firstLineChars="0"/>
              <w:jc w:val="center"/>
              <w:rPr>
                <w:sz w:val="22"/>
                <w:szCs w:val="22"/>
              </w:rPr>
            </w:pPr>
            <w:r>
              <w:rPr>
                <w:rFonts w:hint="eastAsia"/>
                <w:sz w:val="22"/>
                <w:szCs w:val="22"/>
              </w:rPr>
              <w:t>1</w:t>
            </w:r>
          </w:p>
        </w:tc>
        <w:tc>
          <w:tcPr>
            <w:tcW w:w="1106" w:type="dxa"/>
            <w:shd w:val="clear" w:color="auto" w:fill="auto"/>
          </w:tcPr>
          <w:p>
            <w:pPr>
              <w:widowControl/>
              <w:snapToGrid w:val="0"/>
              <w:spacing w:beforeAutospacing="1" w:afterAutospacing="1"/>
              <w:ind w:firstLine="640"/>
              <w:outlineLvl w:val="0"/>
              <w:rPr>
                <w:rFonts w:ascii="宋体" w:hAnsi="宋体" w:cs="宋体"/>
                <w:bCs/>
                <w:sz w:val="32"/>
                <w:szCs w:val="32"/>
              </w:rPr>
            </w:pPr>
          </w:p>
        </w:tc>
        <w:tc>
          <w:tcPr>
            <w:tcW w:w="1106" w:type="dxa"/>
            <w:shd w:val="clear" w:color="auto" w:fill="auto"/>
          </w:tcPr>
          <w:p>
            <w:pPr>
              <w:widowControl/>
              <w:snapToGrid w:val="0"/>
              <w:spacing w:beforeAutospacing="1" w:afterAutospacing="1"/>
              <w:ind w:firstLine="640"/>
              <w:outlineLvl w:val="0"/>
              <w:rPr>
                <w:rFonts w:ascii="宋体" w:hAnsi="宋体" w:cs="宋体"/>
                <w:bCs/>
                <w:sz w:val="32"/>
                <w:szCs w:val="32"/>
              </w:rPr>
            </w:pPr>
          </w:p>
        </w:tc>
        <w:tc>
          <w:tcPr>
            <w:tcW w:w="1167" w:type="dxa"/>
            <w:shd w:val="clear" w:color="auto" w:fill="auto"/>
          </w:tcPr>
          <w:p>
            <w:pPr>
              <w:widowControl/>
              <w:snapToGrid w:val="0"/>
              <w:spacing w:beforeAutospacing="1" w:afterAutospacing="1"/>
              <w:ind w:firstLine="640"/>
              <w:outlineLvl w:val="0"/>
              <w:rPr>
                <w:rFonts w:ascii="宋体" w:hAnsi="宋体" w:cs="宋体"/>
                <w:bCs/>
                <w:sz w:val="32"/>
                <w:szCs w:val="32"/>
              </w:rPr>
            </w:pPr>
          </w:p>
        </w:tc>
        <w:tc>
          <w:tcPr>
            <w:tcW w:w="1047" w:type="dxa"/>
            <w:shd w:val="clear" w:color="auto" w:fill="auto"/>
            <w:vAlign w:val="center"/>
          </w:tcPr>
          <w:p>
            <w:pPr>
              <w:spacing w:line="560" w:lineRule="exact"/>
              <w:ind w:firstLine="0" w:firstLineChars="0"/>
              <w:jc w:val="center"/>
              <w:rPr>
                <w:sz w:val="22"/>
                <w:szCs w:val="22"/>
              </w:rPr>
            </w:pPr>
          </w:p>
        </w:tc>
        <w:tc>
          <w:tcPr>
            <w:tcW w:w="1107" w:type="dxa"/>
            <w:shd w:val="clear" w:color="auto" w:fill="auto"/>
          </w:tcPr>
          <w:p>
            <w:pPr>
              <w:widowControl/>
              <w:snapToGrid w:val="0"/>
              <w:spacing w:beforeAutospacing="1" w:afterAutospacing="1"/>
              <w:ind w:firstLine="640"/>
              <w:outlineLvl w:val="0"/>
              <w:rPr>
                <w:rFonts w:ascii="宋体" w:hAnsi="宋体" w:cs="宋体"/>
                <w:bCs/>
                <w:sz w:val="32"/>
                <w:szCs w:val="32"/>
              </w:rPr>
            </w:pPr>
          </w:p>
        </w:tc>
        <w:tc>
          <w:tcPr>
            <w:tcW w:w="1108" w:type="dxa"/>
            <w:shd w:val="clear" w:color="auto" w:fill="auto"/>
          </w:tcPr>
          <w:p>
            <w:pPr>
              <w:widowControl/>
              <w:snapToGrid w:val="0"/>
              <w:spacing w:beforeAutospacing="1" w:afterAutospacing="1"/>
              <w:ind w:firstLine="640"/>
              <w:outlineLvl w:val="0"/>
              <w:rPr>
                <w:rFonts w:ascii="宋体" w:hAnsi="宋体" w:cs="宋体"/>
                <w:bCs/>
                <w:sz w:val="32"/>
                <w:szCs w:val="32"/>
              </w:rPr>
            </w:pPr>
          </w:p>
        </w:tc>
        <w:tc>
          <w:tcPr>
            <w:tcW w:w="1108" w:type="dxa"/>
            <w:shd w:val="clear" w:color="auto" w:fill="auto"/>
          </w:tcPr>
          <w:p>
            <w:pPr>
              <w:widowControl/>
              <w:snapToGrid w:val="0"/>
              <w:spacing w:beforeAutospacing="1" w:afterAutospacing="1"/>
              <w:ind w:firstLine="640"/>
              <w:outlineLvl w:val="0"/>
              <w:rPr>
                <w:rFonts w:ascii="宋体" w:hAnsi="宋体" w:cs="宋体"/>
                <w:bCs/>
                <w:sz w:val="32"/>
                <w:szCs w:val="32"/>
              </w:rPr>
            </w:pPr>
          </w:p>
        </w:tc>
        <w:tc>
          <w:tcPr>
            <w:tcW w:w="1108" w:type="dxa"/>
            <w:shd w:val="clear" w:color="auto" w:fill="auto"/>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06" w:type="dxa"/>
            <w:vAlign w:val="center"/>
          </w:tcPr>
          <w:p>
            <w:pPr>
              <w:spacing w:line="440" w:lineRule="exact"/>
              <w:ind w:firstLine="0" w:firstLineChars="0"/>
              <w:jc w:val="center"/>
              <w:rPr>
                <w:sz w:val="22"/>
                <w:szCs w:val="22"/>
              </w:rPr>
            </w:pPr>
            <w:r>
              <w:rPr>
                <w:rFonts w:hint="eastAsia"/>
                <w:sz w:val="22"/>
                <w:szCs w:val="22"/>
              </w:rPr>
              <w:t>2</w:t>
            </w:r>
          </w:p>
        </w:tc>
        <w:tc>
          <w:tcPr>
            <w:tcW w:w="1106" w:type="dxa"/>
          </w:tcPr>
          <w:p>
            <w:pPr>
              <w:widowControl/>
              <w:snapToGrid w:val="0"/>
              <w:spacing w:beforeAutospacing="1" w:afterAutospacing="1"/>
              <w:ind w:firstLine="640"/>
              <w:outlineLvl w:val="0"/>
              <w:rPr>
                <w:rFonts w:ascii="宋体" w:hAnsi="宋体" w:cs="宋体"/>
                <w:bCs/>
                <w:sz w:val="32"/>
                <w:szCs w:val="32"/>
              </w:rPr>
            </w:pPr>
          </w:p>
        </w:tc>
        <w:tc>
          <w:tcPr>
            <w:tcW w:w="1106" w:type="dxa"/>
          </w:tcPr>
          <w:p>
            <w:pPr>
              <w:widowControl/>
              <w:snapToGrid w:val="0"/>
              <w:spacing w:beforeAutospacing="1" w:afterAutospacing="1"/>
              <w:ind w:firstLine="640"/>
              <w:outlineLvl w:val="0"/>
              <w:rPr>
                <w:rFonts w:ascii="宋体" w:hAnsi="宋体" w:cs="宋体"/>
                <w:bCs/>
                <w:sz w:val="32"/>
                <w:szCs w:val="32"/>
              </w:rPr>
            </w:pPr>
          </w:p>
        </w:tc>
        <w:tc>
          <w:tcPr>
            <w:tcW w:w="1167" w:type="dxa"/>
          </w:tcPr>
          <w:p>
            <w:pPr>
              <w:widowControl/>
              <w:snapToGrid w:val="0"/>
              <w:spacing w:beforeAutospacing="1" w:afterAutospacing="1"/>
              <w:ind w:firstLine="640"/>
              <w:outlineLvl w:val="0"/>
              <w:rPr>
                <w:rFonts w:ascii="宋体" w:hAnsi="宋体" w:cs="宋体"/>
                <w:bCs/>
                <w:sz w:val="32"/>
                <w:szCs w:val="32"/>
              </w:rPr>
            </w:pPr>
          </w:p>
        </w:tc>
        <w:tc>
          <w:tcPr>
            <w:tcW w:w="1047" w:type="dxa"/>
            <w:vAlign w:val="center"/>
          </w:tcPr>
          <w:p>
            <w:pPr>
              <w:spacing w:line="560" w:lineRule="exact"/>
              <w:ind w:firstLine="0" w:firstLineChars="0"/>
              <w:jc w:val="center"/>
              <w:rPr>
                <w:rFonts w:ascii="宋体" w:hAnsi="宋体" w:cs="宋体"/>
                <w:bCs/>
                <w:sz w:val="32"/>
                <w:szCs w:val="32"/>
              </w:rPr>
            </w:pPr>
          </w:p>
        </w:tc>
        <w:tc>
          <w:tcPr>
            <w:tcW w:w="1107"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pPr>
              <w:spacing w:line="440" w:lineRule="exact"/>
              <w:ind w:firstLine="0" w:firstLineChars="0"/>
              <w:jc w:val="center"/>
              <w:rPr>
                <w:sz w:val="22"/>
                <w:szCs w:val="22"/>
              </w:rPr>
            </w:pPr>
            <w:r>
              <w:rPr>
                <w:rFonts w:hint="eastAsia" w:ascii="宋体" w:hAnsi="宋体" w:cs="宋体"/>
                <w:bCs/>
                <w:sz w:val="32"/>
                <w:szCs w:val="32"/>
              </w:rPr>
              <w:t>……</w:t>
            </w:r>
          </w:p>
        </w:tc>
        <w:tc>
          <w:tcPr>
            <w:tcW w:w="1106" w:type="dxa"/>
          </w:tcPr>
          <w:p>
            <w:pPr>
              <w:widowControl/>
              <w:snapToGrid w:val="0"/>
              <w:spacing w:beforeAutospacing="1" w:afterAutospacing="1"/>
              <w:ind w:firstLine="640"/>
              <w:outlineLvl w:val="0"/>
              <w:rPr>
                <w:rFonts w:ascii="宋体" w:hAnsi="宋体" w:cs="宋体"/>
                <w:bCs/>
                <w:sz w:val="32"/>
                <w:szCs w:val="32"/>
              </w:rPr>
            </w:pPr>
          </w:p>
        </w:tc>
        <w:tc>
          <w:tcPr>
            <w:tcW w:w="1106" w:type="dxa"/>
          </w:tcPr>
          <w:p>
            <w:pPr>
              <w:widowControl/>
              <w:snapToGrid w:val="0"/>
              <w:spacing w:beforeAutospacing="1" w:afterAutospacing="1"/>
              <w:ind w:firstLine="640"/>
              <w:outlineLvl w:val="0"/>
              <w:rPr>
                <w:rFonts w:ascii="宋体" w:hAnsi="宋体" w:cs="宋体"/>
                <w:bCs/>
                <w:sz w:val="32"/>
                <w:szCs w:val="32"/>
              </w:rPr>
            </w:pPr>
          </w:p>
        </w:tc>
        <w:tc>
          <w:tcPr>
            <w:tcW w:w="1167" w:type="dxa"/>
          </w:tcPr>
          <w:p>
            <w:pPr>
              <w:widowControl/>
              <w:snapToGrid w:val="0"/>
              <w:spacing w:beforeAutospacing="1" w:afterAutospacing="1"/>
              <w:ind w:firstLine="640"/>
              <w:outlineLvl w:val="0"/>
              <w:rPr>
                <w:rFonts w:ascii="宋体" w:hAnsi="宋体" w:cs="宋体"/>
                <w:bCs/>
                <w:sz w:val="32"/>
                <w:szCs w:val="32"/>
              </w:rPr>
            </w:pPr>
          </w:p>
        </w:tc>
        <w:tc>
          <w:tcPr>
            <w:tcW w:w="1047" w:type="dxa"/>
          </w:tcPr>
          <w:p>
            <w:pPr>
              <w:widowControl/>
              <w:snapToGrid w:val="0"/>
              <w:spacing w:beforeAutospacing="1" w:afterAutospacing="1"/>
              <w:ind w:firstLine="640"/>
              <w:outlineLvl w:val="0"/>
              <w:rPr>
                <w:rFonts w:ascii="宋体" w:hAnsi="宋体" w:cs="宋体"/>
                <w:bCs/>
                <w:sz w:val="32"/>
                <w:szCs w:val="32"/>
              </w:rPr>
            </w:pPr>
          </w:p>
        </w:tc>
        <w:tc>
          <w:tcPr>
            <w:tcW w:w="1107"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tc>
        <w:tc>
          <w:tcPr>
            <w:tcW w:w="1108" w:type="dxa"/>
          </w:tcPr>
          <w:p>
            <w:pPr>
              <w:widowControl/>
              <w:snapToGrid w:val="0"/>
              <w:spacing w:beforeAutospacing="1" w:afterAutospacing="1"/>
              <w:ind w:firstLine="640"/>
              <w:outlineLvl w:val="0"/>
              <w:rPr>
                <w:rFonts w:ascii="宋体" w:hAnsi="宋体" w:cs="宋体"/>
                <w:bCs/>
                <w:sz w:val="32"/>
                <w:szCs w:val="32"/>
              </w:rPr>
            </w:pPr>
          </w:p>
          <w:p>
            <w:pPr>
              <w:ind w:firstLine="480"/>
            </w:pPr>
          </w:p>
        </w:tc>
        <w:tc>
          <w:tcPr>
            <w:tcW w:w="1108" w:type="dxa"/>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2" w:type="dxa"/>
            <w:gridSpan w:val="5"/>
          </w:tcPr>
          <w:p>
            <w:pPr>
              <w:widowControl/>
              <w:snapToGrid w:val="0"/>
              <w:spacing w:beforeAutospacing="1" w:afterAutospacing="1"/>
              <w:ind w:firstLine="0" w:firstLineChars="0"/>
              <w:jc w:val="center"/>
              <w:outlineLvl w:val="0"/>
              <w:rPr>
                <w:rFonts w:ascii="宋体" w:hAnsi="宋体" w:cs="宋体"/>
                <w:bCs/>
                <w:sz w:val="32"/>
                <w:szCs w:val="32"/>
              </w:rPr>
            </w:pPr>
            <w:r>
              <w:rPr>
                <w:rFonts w:hint="eastAsia"/>
              </w:rPr>
              <w:t>合计（人民币，元）</w:t>
            </w:r>
          </w:p>
        </w:tc>
        <w:tc>
          <w:tcPr>
            <w:tcW w:w="4431" w:type="dxa"/>
            <w:gridSpan w:val="4"/>
          </w:tcPr>
          <w:p>
            <w:pPr>
              <w:widowControl/>
              <w:snapToGrid w:val="0"/>
              <w:spacing w:beforeAutospacing="1" w:afterAutospacing="1"/>
              <w:ind w:firstLine="640"/>
              <w:outlineLvl w:val="0"/>
              <w:rPr>
                <w:rFonts w:ascii="宋体" w:hAnsi="宋体" w:cs="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2" w:type="dxa"/>
            <w:gridSpan w:val="5"/>
          </w:tcPr>
          <w:p>
            <w:pPr>
              <w:widowControl/>
              <w:snapToGrid w:val="0"/>
              <w:spacing w:beforeAutospacing="1" w:afterAutospacing="1"/>
              <w:ind w:firstLine="0" w:firstLineChars="0"/>
              <w:jc w:val="center"/>
              <w:outlineLvl w:val="0"/>
              <w:rPr>
                <w:rFonts w:ascii="宋体" w:hAnsi="宋体" w:cs="宋体"/>
                <w:bCs/>
                <w:sz w:val="32"/>
                <w:szCs w:val="32"/>
              </w:rPr>
            </w:pPr>
            <w:r>
              <w:rPr>
                <w:rFonts w:hint="eastAsia"/>
              </w:rPr>
              <w:t>占谈判响应总价的百分比（%）</w:t>
            </w:r>
          </w:p>
        </w:tc>
        <w:tc>
          <w:tcPr>
            <w:tcW w:w="4431" w:type="dxa"/>
            <w:gridSpan w:val="4"/>
          </w:tcPr>
          <w:p>
            <w:pPr>
              <w:widowControl/>
              <w:snapToGrid w:val="0"/>
              <w:spacing w:beforeAutospacing="1" w:afterAutospacing="1"/>
              <w:ind w:firstLine="640"/>
              <w:outlineLvl w:val="0"/>
              <w:rPr>
                <w:rFonts w:ascii="宋体" w:hAnsi="宋体" w:cs="宋体"/>
                <w:bCs/>
                <w:sz w:val="32"/>
                <w:szCs w:val="32"/>
              </w:rPr>
            </w:pPr>
          </w:p>
        </w:tc>
      </w:tr>
    </w:tbl>
    <w:p>
      <w:pPr>
        <w:widowControl/>
        <w:snapToGrid w:val="0"/>
        <w:spacing w:beforeAutospacing="0" w:afterAutospacing="1" w:line="440" w:lineRule="exact"/>
        <w:ind w:firstLine="480"/>
        <w:jc w:val="left"/>
        <w:rPr>
          <w:rFonts w:ascii="国标仿宋-GB/T 2312" w:hAnsi="国标仿宋-GB/T 2312" w:eastAsia="国标仿宋-GB/T 2312" w:cs="国标仿宋-GB/T 2312"/>
        </w:rPr>
      </w:pPr>
      <w:r>
        <w:rPr>
          <w:rFonts w:hint="eastAsia" w:ascii="国标仿宋-GB/T 2312" w:hAnsi="国标仿宋-GB/T 2312" w:eastAsia="国标仿宋-GB/T 2312" w:cs="国标仿宋-GB/T 2312"/>
        </w:rPr>
        <w:t>注：1、如谈判响应产品为强制采购类、优先采购类产品，须按格式逐项填写，并附相关证明，否则评审时不予认可或价格扣除。</w:t>
      </w:r>
    </w:p>
    <w:p>
      <w:pPr>
        <w:widowControl/>
        <w:snapToGrid w:val="0"/>
        <w:spacing w:beforeAutospacing="0" w:afterAutospacing="1" w:line="440" w:lineRule="exact"/>
        <w:ind w:firstLine="960" w:firstLineChars="400"/>
        <w:jc w:val="left"/>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2、类别填写：节能产品、环境标志产品。</w:t>
      </w:r>
    </w:p>
    <w:p>
      <w:pPr>
        <w:widowControl/>
        <w:snapToGrid w:val="0"/>
        <w:spacing w:beforeAutospacing="0" w:afterAutospacing="1" w:line="440" w:lineRule="exact"/>
        <w:ind w:firstLine="960" w:firstLineChars="400"/>
        <w:jc w:val="left"/>
        <w:rPr>
          <w:rFonts w:ascii="国标仿宋-GB/T 2312" w:hAnsi="国标仿宋-GB/T 2312" w:cs="国标仿宋-GB/T 2312"/>
        </w:rPr>
      </w:pPr>
      <w:r>
        <w:rPr>
          <w:rFonts w:hint="eastAsia" w:ascii="国标仿宋-GB/T 2312" w:hAnsi="国标仿宋-GB/T 2312" w:eastAsia="国标仿宋-GB/T 2312" w:cs="国标仿宋-GB/T 2312"/>
        </w:rPr>
        <w:t>3、若所投产品为政府强制采购的节能产品，需提供响应产品经国家确定的认证机构出具的、处于有效期内的节能产品认证证书。</w:t>
      </w:r>
    </w:p>
    <w:p>
      <w:pPr>
        <w:widowControl/>
        <w:snapToGrid w:val="0"/>
        <w:spacing w:beforeAutospacing="1" w:afterAutospacing="1" w:line="440" w:lineRule="exact"/>
        <w:ind w:firstLine="3360" w:firstLineChars="1400"/>
        <w:jc w:val="left"/>
        <w:rPr>
          <w:rFonts w:ascii="国标仿宋-GB/T 2312" w:hAnsi="国标仿宋-GB/T 2312" w:eastAsia="国标仿宋-GB/T 2312" w:cs="国标仿宋-GB/T 2312"/>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pStyle w:val="10"/>
        <w:ind w:firstLine="0" w:firstLineChars="0"/>
        <w:rPr>
          <w:rFonts w:ascii="宋体" w:hAnsi="宋体" w:cs="宋体"/>
          <w:sz w:val="44"/>
          <w:szCs w:val="44"/>
        </w:rPr>
      </w:pPr>
    </w:p>
    <w:p>
      <w:pPr>
        <w:ind w:firstLine="880"/>
        <w:rPr>
          <w:rFonts w:ascii="宋体" w:hAnsi="宋体" w:cs="宋体"/>
          <w:sz w:val="44"/>
          <w:szCs w:val="44"/>
        </w:rPr>
      </w:pPr>
    </w:p>
    <w:p>
      <w:pPr>
        <w:pStyle w:val="16"/>
        <w:ind w:firstLine="800"/>
        <w:rPr>
          <w:rFonts w:ascii="宋体" w:hAnsi="宋体" w:cs="宋体"/>
          <w:sz w:val="44"/>
          <w:szCs w:val="44"/>
        </w:rPr>
      </w:pPr>
    </w:p>
    <w:p>
      <w:pPr>
        <w:pStyle w:val="17"/>
        <w:rPr>
          <w:color w:val="auto"/>
          <w:sz w:val="44"/>
          <w:szCs w:val="44"/>
        </w:rPr>
      </w:pPr>
    </w:p>
    <w:p>
      <w:pPr>
        <w:pStyle w:val="18"/>
        <w:ind w:firstLine="883"/>
        <w:rPr>
          <w:rFonts w:ascii="宋体" w:hAnsi="宋体" w:cs="宋体"/>
          <w:sz w:val="44"/>
          <w:szCs w:val="44"/>
        </w:rPr>
      </w:pPr>
    </w:p>
    <w:p>
      <w:pPr>
        <w:pStyle w:val="19"/>
        <w:ind w:left="480" w:firstLine="880"/>
        <w:rPr>
          <w:rFonts w:ascii="宋体" w:hAnsi="宋体" w:cs="宋体"/>
          <w:sz w:val="44"/>
          <w:szCs w:val="44"/>
        </w:rPr>
      </w:pPr>
    </w:p>
    <w:p>
      <w:pPr>
        <w:ind w:firstLine="880"/>
        <w:rPr>
          <w:rFonts w:ascii="宋体" w:hAnsi="宋体" w:cs="宋体"/>
          <w:sz w:val="44"/>
          <w:szCs w:val="44"/>
        </w:rPr>
      </w:pPr>
    </w:p>
    <w:p>
      <w:pPr>
        <w:pStyle w:val="16"/>
        <w:ind w:firstLine="800"/>
        <w:rPr>
          <w:rFonts w:ascii="宋体" w:hAnsi="宋体" w:cs="宋体"/>
          <w:sz w:val="44"/>
          <w:szCs w:val="44"/>
        </w:rPr>
      </w:pPr>
    </w:p>
    <w:p>
      <w:pPr>
        <w:pStyle w:val="17"/>
        <w:rPr>
          <w:color w:val="auto"/>
          <w:sz w:val="44"/>
          <w:szCs w:val="44"/>
        </w:rPr>
      </w:pPr>
    </w:p>
    <w:p>
      <w:pPr>
        <w:pStyle w:val="18"/>
        <w:ind w:firstLine="883"/>
        <w:rPr>
          <w:rFonts w:ascii="宋体" w:hAnsi="宋体" w:cs="宋体"/>
          <w:sz w:val="44"/>
          <w:szCs w:val="44"/>
        </w:rPr>
      </w:pPr>
    </w:p>
    <w:p>
      <w:pPr>
        <w:pStyle w:val="19"/>
        <w:ind w:left="480" w:firstLine="880"/>
        <w:rPr>
          <w:rFonts w:ascii="宋体" w:hAnsi="宋体" w:cs="宋体"/>
          <w:sz w:val="44"/>
          <w:szCs w:val="44"/>
        </w:rPr>
      </w:pPr>
    </w:p>
    <w:p>
      <w:pPr>
        <w:ind w:firstLine="880"/>
        <w:rPr>
          <w:rFonts w:ascii="宋体" w:hAnsi="宋体" w:cs="宋体"/>
          <w:sz w:val="44"/>
          <w:szCs w:val="44"/>
        </w:rPr>
      </w:pPr>
    </w:p>
    <w:p>
      <w:pPr>
        <w:pStyle w:val="16"/>
        <w:ind w:firstLine="400"/>
      </w:pPr>
    </w:p>
    <w:p>
      <w:pPr>
        <w:pStyle w:val="18"/>
        <w:ind w:firstLine="0" w:firstLineChars="0"/>
        <w:jc w:val="both"/>
      </w:pPr>
    </w:p>
    <w:p>
      <w:pPr>
        <w:pStyle w:val="4"/>
        <w:spacing w:line="360" w:lineRule="auto"/>
        <w:ind w:firstLine="0" w:firstLineChars="0"/>
        <w:jc w:val="center"/>
        <w:rPr>
          <w:rFonts w:ascii="宋体" w:hAnsi="宋体" w:eastAsia="宋体" w:cs="宋体"/>
          <w:sz w:val="28"/>
          <w:szCs w:val="28"/>
        </w:rPr>
      </w:pPr>
      <w:r>
        <w:rPr>
          <w:rStyle w:val="161"/>
          <w:rFonts w:hint="eastAsia" w:ascii="仿宋" w:hAnsi="仿宋" w:eastAsia="仿宋" w:cs="仿宋"/>
          <w:b/>
        </w:rPr>
        <w:t>（</w:t>
      </w:r>
      <w:r>
        <w:rPr>
          <w:rStyle w:val="161"/>
          <w:rFonts w:hint="eastAsia" w:ascii="仿宋" w:hAnsi="仿宋" w:eastAsia="仿宋" w:cs="仿宋"/>
          <w:b/>
          <w:lang w:eastAsia="zh-CN"/>
        </w:rPr>
        <w:t>五</w:t>
      </w:r>
      <w:r>
        <w:rPr>
          <w:rStyle w:val="161"/>
          <w:rFonts w:hint="eastAsia" w:ascii="仿宋" w:hAnsi="仿宋" w:eastAsia="仿宋" w:cs="仿宋"/>
          <w:b/>
        </w:rPr>
        <w:t>）供货承诺函</w:t>
      </w:r>
    </w:p>
    <w:p>
      <w:pPr>
        <w:spacing w:line="360" w:lineRule="auto"/>
        <w:ind w:firstLine="0" w:firstLineChars="0"/>
        <w:rPr>
          <w:rFonts w:ascii="国标仿宋-GB/T 2312" w:hAnsi="国标仿宋-GB/T 2312" w:eastAsia="国标仿宋-GB/T 2312" w:cs="国标仿宋-GB/T 2312"/>
        </w:rPr>
      </w:pPr>
      <w:r>
        <w:rPr>
          <w:rFonts w:hint="eastAsia" w:ascii="国标仿宋-GB/T 2312" w:hAnsi="国标仿宋-GB/T 2312" w:eastAsia="国标仿宋-GB/T 2312" w:cs="国标仿宋-GB/T 2312"/>
        </w:rPr>
        <w:t>（采购人）：</w:t>
      </w:r>
    </w:p>
    <w:p>
      <w:pPr>
        <w:spacing w:line="360" w:lineRule="auto"/>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我公司郑重承诺，若我方为</w:t>
      </w:r>
      <w:r>
        <w:rPr>
          <w:rFonts w:hint="eastAsia" w:ascii="国标仿宋-GB/T 2312" w:hAnsi="国标仿宋-GB/T 2312" w:eastAsia="国标仿宋-GB/T 2312" w:cs="国标仿宋-GB/T 2312"/>
          <w:u w:val="single"/>
        </w:rPr>
        <w:t xml:space="preserve">              （项目名称）         （项目编号）</w:t>
      </w:r>
      <w:r>
        <w:rPr>
          <w:rFonts w:hint="eastAsia" w:ascii="国标仿宋-GB/T 2312" w:hAnsi="国标仿宋-GB/T 2312" w:eastAsia="国标仿宋-GB/T 2312" w:cs="国标仿宋-GB/T 2312"/>
        </w:rPr>
        <w:t>成交供应商，我公司将严格按照谈判文件、响应文件及采购人要求，按照指定的供货地点按时按质按量进行供货，不以任何理由拒绝供货，满足采购人技术标准及设备使用要求，如所供产品出现不及时情况，由我公司承担相应责任并无条件接受采购人做出的处理。</w:t>
      </w:r>
    </w:p>
    <w:p>
      <w:pPr>
        <w:spacing w:before="100" w:beforeAutospacing="1" w:after="100" w:afterAutospacing="1"/>
        <w:ind w:firstLine="480"/>
        <w:rPr>
          <w:rFonts w:ascii="国标仿宋-GB/T 2312" w:hAnsi="国标仿宋-GB/T 2312" w:eastAsia="国标仿宋-GB/T 2312" w:cs="国标仿宋-GB/T 2312"/>
        </w:rPr>
      </w:pPr>
    </w:p>
    <w:p>
      <w:pPr>
        <w:spacing w:before="100" w:beforeAutospacing="1" w:after="100" w:afterAutospacing="1"/>
        <w:ind w:firstLine="480"/>
        <w:rPr>
          <w:rFonts w:ascii="国标仿宋-GB/T 2312" w:hAnsi="国标仿宋-GB/T 2312" w:eastAsia="国标仿宋-GB/T 2312" w:cs="国标仿宋-GB/T 2312"/>
        </w:rPr>
      </w:pP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640" w:firstLineChars="1100"/>
        <w:rPr>
          <w:rFonts w:ascii="国标仿宋-GB/T 2312" w:hAnsi="国标仿宋-GB/T 2312" w:eastAsia="国标仿宋-GB/T 2312" w:cs="国标仿宋-GB/T 2312"/>
          <w:u w:val="single"/>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640" w:firstLineChars="11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ind w:firstLine="480"/>
        <w:rPr>
          <w:rFonts w:ascii="国标仿宋-GB/T 2312" w:hAnsi="国标仿宋-GB/T 2312" w:eastAsia="国标仿宋-GB/T 2312" w:cs="国标仿宋-GB/T 2312"/>
        </w:rPr>
      </w:pPr>
    </w:p>
    <w:p>
      <w:pPr>
        <w:tabs>
          <w:tab w:val="left" w:pos="540"/>
          <w:tab w:val="left" w:pos="1080"/>
        </w:tabs>
        <w:autoSpaceDE w:val="0"/>
        <w:autoSpaceDN w:val="0"/>
        <w:adjustRightInd w:val="0"/>
        <w:ind w:firstLine="274" w:firstLineChars="98"/>
        <w:jc w:val="center"/>
        <w:rPr>
          <w:rFonts w:ascii="宋体" w:hAnsi="宋体" w:cs="宋体"/>
          <w:sz w:val="28"/>
          <w:szCs w:val="28"/>
        </w:rPr>
      </w:pPr>
    </w:p>
    <w:p>
      <w:pPr>
        <w:pStyle w:val="4"/>
        <w:spacing w:line="360" w:lineRule="auto"/>
        <w:ind w:firstLine="0" w:firstLineChars="0"/>
        <w:jc w:val="center"/>
        <w:rPr>
          <w:rFonts w:ascii="宋体" w:hAnsi="宋体" w:eastAsia="宋体" w:cs="宋体"/>
          <w:szCs w:val="24"/>
        </w:rPr>
      </w:pPr>
      <w:r>
        <w:rPr>
          <w:rFonts w:hint="eastAsia" w:ascii="宋体" w:hAnsi="宋体" w:eastAsia="宋体" w:cs="宋体"/>
          <w:szCs w:val="24"/>
        </w:rPr>
        <w:br w:type="page"/>
      </w:r>
      <w:r>
        <w:rPr>
          <w:rStyle w:val="161"/>
          <w:rFonts w:hint="eastAsia" w:ascii="仿宋" w:hAnsi="仿宋" w:eastAsia="仿宋" w:cs="仿宋"/>
          <w:b/>
        </w:rPr>
        <w:t>（</w:t>
      </w:r>
      <w:r>
        <w:rPr>
          <w:rStyle w:val="161"/>
          <w:rFonts w:hint="eastAsia" w:ascii="仿宋" w:hAnsi="仿宋" w:eastAsia="仿宋" w:cs="仿宋"/>
          <w:b/>
          <w:lang w:eastAsia="zh-CN"/>
        </w:rPr>
        <w:t>六</w:t>
      </w:r>
      <w:r>
        <w:rPr>
          <w:rStyle w:val="161"/>
          <w:rFonts w:hint="eastAsia" w:ascii="仿宋" w:hAnsi="仿宋" w:eastAsia="仿宋" w:cs="仿宋"/>
          <w:b/>
        </w:rPr>
        <w:t>）售后服务承诺书</w:t>
      </w:r>
    </w:p>
    <w:p>
      <w:pPr>
        <w:ind w:firstLine="480"/>
      </w:pP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供应商必须按提交的售后服务承诺书，提供售后服务。</w:t>
      </w: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一、拟提供售后服务的项目：</w:t>
      </w: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 xml:space="preserve">二、所投产品免费质保期限：                       </w:t>
      </w: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 xml:space="preserve">三、免费质保期后，如维修是否收取材料费：                       </w:t>
      </w: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 xml:space="preserve">四、免费质保期后，如维修是否收取服务费：                       </w:t>
      </w: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五、服务响应及到达现场的时间：</w:t>
      </w:r>
    </w:p>
    <w:p>
      <w:pPr>
        <w:pStyle w:val="5"/>
        <w:ind w:firstLine="560"/>
        <w:rPr>
          <w:rFonts w:ascii="宋体" w:hAnsi="宋体" w:eastAsia="宋体" w:cs="宋体"/>
          <w:sz w:val="28"/>
          <w:szCs w:val="28"/>
        </w:rPr>
      </w:pPr>
    </w:p>
    <w:p>
      <w:pPr>
        <w:ind w:firstLine="560"/>
        <w:rPr>
          <w:rFonts w:ascii="宋体" w:hAnsi="宋体" w:cs="宋体"/>
          <w:sz w:val="28"/>
          <w:szCs w:val="28"/>
        </w:rPr>
      </w:pPr>
    </w:p>
    <w:p>
      <w:pPr>
        <w:pStyle w:val="5"/>
        <w:ind w:firstLine="560"/>
        <w:rPr>
          <w:rFonts w:ascii="宋体" w:hAnsi="宋体" w:eastAsia="宋体" w:cs="宋体"/>
          <w:sz w:val="28"/>
          <w:szCs w:val="28"/>
        </w:rPr>
      </w:pPr>
    </w:p>
    <w:p>
      <w:pPr>
        <w:ind w:firstLine="480"/>
      </w:pPr>
    </w:p>
    <w:p>
      <w:pPr>
        <w:ind w:firstLine="480"/>
        <w:rPr>
          <w:rFonts w:ascii="国标仿宋-GB/T 2312" w:hAnsi="国标仿宋-GB/T 2312" w:eastAsia="国标仿宋-GB/T 2312" w:cs="国标仿宋-GB/T 2312"/>
        </w:rPr>
      </w:pPr>
      <w:r>
        <w:rPr>
          <w:rFonts w:hint="eastAsia" w:ascii="国标仿宋-GB/T 2312" w:hAnsi="国标仿宋-GB/T 2312" w:eastAsia="国标仿宋-GB/T 2312" w:cs="国标仿宋-GB/T 2312"/>
        </w:rPr>
        <w:t xml:space="preserve">                供应商：（公章）   </w:t>
      </w:r>
    </w:p>
    <w:p>
      <w:pPr>
        <w:spacing w:line="760" w:lineRule="exact"/>
        <w:ind w:firstLine="2400" w:firstLineChars="10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ind w:firstLine="720" w:firstLineChars="300"/>
        <w:rPr>
          <w:rFonts w:ascii="国标仿宋-GB/T 2312" w:hAnsi="国标仿宋-GB/T 2312" w:eastAsia="国标仿宋-GB/T 2312" w:cs="国标仿宋-GB/T 2312"/>
        </w:rPr>
      </w:pPr>
    </w:p>
    <w:p>
      <w:pPr>
        <w:ind w:firstLine="2400" w:firstLineChars="10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ind w:firstLine="560"/>
        <w:rPr>
          <w:rFonts w:ascii="宋体" w:hAnsi="宋体" w:cs="宋体"/>
          <w:sz w:val="28"/>
          <w:szCs w:val="28"/>
        </w:rPr>
      </w:pPr>
    </w:p>
    <w:p>
      <w:pPr>
        <w:tabs>
          <w:tab w:val="left" w:pos="540"/>
          <w:tab w:val="left" w:pos="1080"/>
        </w:tabs>
        <w:autoSpaceDE w:val="0"/>
        <w:autoSpaceDN w:val="0"/>
        <w:adjustRightInd w:val="0"/>
        <w:ind w:firstLine="643"/>
        <w:jc w:val="center"/>
        <w:rPr>
          <w:rFonts w:ascii="宋体" w:hAnsi="宋体" w:cs="宋体"/>
          <w:b/>
          <w:sz w:val="32"/>
        </w:rPr>
      </w:pPr>
    </w:p>
    <w:p>
      <w:pPr>
        <w:pStyle w:val="4"/>
        <w:spacing w:line="360" w:lineRule="auto"/>
        <w:ind w:firstLine="0" w:firstLineChars="0"/>
        <w:jc w:val="center"/>
        <w:rPr>
          <w:rFonts w:ascii="宋体" w:hAnsi="宋体" w:eastAsia="宋体" w:cs="宋体"/>
          <w:szCs w:val="24"/>
        </w:rPr>
      </w:pPr>
      <w:r>
        <w:rPr>
          <w:rFonts w:hint="eastAsia" w:ascii="宋体" w:hAnsi="宋体" w:eastAsia="宋体" w:cs="宋体"/>
          <w:szCs w:val="24"/>
        </w:rPr>
        <w:br w:type="page"/>
      </w:r>
      <w:r>
        <w:rPr>
          <w:rStyle w:val="161"/>
          <w:rFonts w:hint="eastAsia" w:ascii="仿宋" w:hAnsi="仿宋" w:eastAsia="仿宋" w:cs="仿宋"/>
          <w:b/>
        </w:rPr>
        <w:t>（</w:t>
      </w:r>
      <w:r>
        <w:rPr>
          <w:rStyle w:val="161"/>
          <w:rFonts w:hint="eastAsia" w:ascii="仿宋" w:hAnsi="仿宋" w:eastAsia="仿宋" w:cs="仿宋"/>
          <w:b/>
          <w:lang w:eastAsia="zh-CN"/>
        </w:rPr>
        <w:t>七</w:t>
      </w:r>
      <w:r>
        <w:rPr>
          <w:rStyle w:val="161"/>
          <w:rFonts w:hint="eastAsia" w:ascii="仿宋" w:hAnsi="仿宋" w:eastAsia="仿宋" w:cs="仿宋"/>
          <w:b/>
        </w:rPr>
        <w:t>）质量保证书</w:t>
      </w:r>
    </w:p>
    <w:p>
      <w:pPr>
        <w:ind w:firstLine="0" w:firstLineChars="0"/>
        <w:jc w:val="center"/>
        <w:rPr>
          <w:rFonts w:ascii="国标仿宋-GB/T 2312" w:hAnsi="国标仿宋-GB/T 2312" w:eastAsia="国标仿宋-GB/T 2312" w:cs="国标仿宋-GB/T 2312"/>
        </w:rPr>
      </w:pPr>
      <w:r>
        <w:rPr>
          <w:rFonts w:hint="eastAsia" w:ascii="国标仿宋-GB/T 2312" w:hAnsi="国标仿宋-GB/T 2312" w:eastAsia="国标仿宋-GB/T 2312" w:cs="国标仿宋-GB/T 2312"/>
        </w:rPr>
        <w:t>格式自拟</w:t>
      </w:r>
    </w:p>
    <w:p>
      <w:pPr>
        <w:spacing w:line="360" w:lineRule="auto"/>
        <w:ind w:firstLine="643"/>
        <w:jc w:val="center"/>
        <w:rPr>
          <w:rFonts w:ascii="宋体" w:hAnsi="宋体" w:cs="宋体"/>
          <w:b/>
          <w:sz w:val="32"/>
        </w:rPr>
      </w:pPr>
    </w:p>
    <w:p>
      <w:pPr>
        <w:pStyle w:val="16"/>
        <w:ind w:firstLine="400"/>
      </w:pPr>
    </w:p>
    <w:p>
      <w:pPr>
        <w:pStyle w:val="17"/>
      </w:pPr>
    </w:p>
    <w:p>
      <w:pPr>
        <w:pStyle w:val="18"/>
        <w:ind w:firstLine="562"/>
      </w:pPr>
    </w:p>
    <w:p>
      <w:pPr>
        <w:pStyle w:val="19"/>
        <w:ind w:left="480"/>
      </w:pPr>
    </w:p>
    <w:p>
      <w:pPr>
        <w:ind w:firstLine="480"/>
      </w:pPr>
    </w:p>
    <w:p>
      <w:pPr>
        <w:pStyle w:val="16"/>
        <w:ind w:firstLine="400"/>
      </w:pPr>
    </w:p>
    <w:p>
      <w:pPr>
        <w:pStyle w:val="17"/>
      </w:pPr>
    </w:p>
    <w:p>
      <w:pPr>
        <w:pStyle w:val="18"/>
        <w:ind w:firstLine="562"/>
      </w:pPr>
    </w:p>
    <w:p>
      <w:pPr>
        <w:pStyle w:val="19"/>
        <w:ind w:left="480"/>
      </w:pPr>
    </w:p>
    <w:p>
      <w:pPr>
        <w:ind w:firstLine="480"/>
      </w:pPr>
    </w:p>
    <w:p>
      <w:pPr>
        <w:pStyle w:val="16"/>
        <w:ind w:firstLine="400"/>
      </w:pPr>
    </w:p>
    <w:p>
      <w:pPr>
        <w:pStyle w:val="17"/>
      </w:pPr>
    </w:p>
    <w:p>
      <w:pPr>
        <w:pStyle w:val="18"/>
        <w:ind w:firstLine="562"/>
      </w:pPr>
    </w:p>
    <w:p>
      <w:pPr>
        <w:pStyle w:val="19"/>
        <w:ind w:left="480"/>
      </w:pPr>
    </w:p>
    <w:p>
      <w:pPr>
        <w:ind w:firstLine="480"/>
      </w:pPr>
    </w:p>
    <w:p>
      <w:pPr>
        <w:pStyle w:val="16"/>
        <w:ind w:firstLine="400"/>
      </w:pPr>
    </w:p>
    <w:p>
      <w:pPr>
        <w:pStyle w:val="17"/>
      </w:pPr>
    </w:p>
    <w:p>
      <w:pPr>
        <w:pStyle w:val="18"/>
        <w:ind w:firstLine="562"/>
      </w:pPr>
    </w:p>
    <w:p>
      <w:pPr>
        <w:pStyle w:val="19"/>
        <w:ind w:left="480"/>
      </w:pPr>
    </w:p>
    <w:p>
      <w:pPr>
        <w:ind w:firstLine="480"/>
      </w:pPr>
    </w:p>
    <w:p>
      <w:pPr>
        <w:pStyle w:val="16"/>
        <w:ind w:firstLine="400"/>
      </w:pPr>
    </w:p>
    <w:p>
      <w:pPr>
        <w:pStyle w:val="17"/>
      </w:pPr>
    </w:p>
    <w:p>
      <w:pPr>
        <w:pStyle w:val="18"/>
        <w:ind w:firstLine="562"/>
      </w:pPr>
    </w:p>
    <w:p>
      <w:pPr>
        <w:pStyle w:val="19"/>
        <w:ind w:left="480"/>
      </w:pPr>
    </w:p>
    <w:p>
      <w:pPr>
        <w:ind w:firstLine="480"/>
      </w:pPr>
    </w:p>
    <w:p>
      <w:pPr>
        <w:pStyle w:val="16"/>
        <w:ind w:firstLine="400"/>
      </w:pPr>
    </w:p>
    <w:p>
      <w:pPr>
        <w:pStyle w:val="4"/>
        <w:spacing w:line="360" w:lineRule="auto"/>
        <w:ind w:firstLine="0" w:firstLineChars="0"/>
        <w:jc w:val="center"/>
        <w:rPr>
          <w:rStyle w:val="161"/>
          <w:rFonts w:ascii="仿宋" w:hAnsi="仿宋" w:eastAsia="仿宋" w:cs="仿宋"/>
          <w:b/>
        </w:rPr>
      </w:pPr>
      <w:bookmarkStart w:id="148" w:name="_Toc11376"/>
      <w:r>
        <w:rPr>
          <w:rStyle w:val="161"/>
          <w:rFonts w:hint="eastAsia" w:ascii="仿宋" w:hAnsi="仿宋" w:eastAsia="仿宋" w:cs="仿宋"/>
          <w:b/>
        </w:rPr>
        <w:t>（</w:t>
      </w:r>
      <w:r>
        <w:rPr>
          <w:rStyle w:val="161"/>
          <w:rFonts w:hint="eastAsia" w:ascii="仿宋" w:hAnsi="仿宋" w:eastAsia="仿宋" w:cs="仿宋"/>
          <w:b/>
          <w:lang w:eastAsia="zh-CN"/>
        </w:rPr>
        <w:t>八</w:t>
      </w:r>
      <w:r>
        <w:rPr>
          <w:rStyle w:val="161"/>
          <w:rFonts w:hint="eastAsia" w:ascii="仿宋" w:hAnsi="仿宋" w:eastAsia="仿宋" w:cs="仿宋"/>
          <w:b/>
        </w:rPr>
        <w:t>）反商业贿赂承诺书</w:t>
      </w:r>
      <w:bookmarkEnd w:id="148"/>
    </w:p>
    <w:p>
      <w:pPr>
        <w:widowControl/>
        <w:snapToGrid w:val="0"/>
        <w:spacing w:beforeAutospacing="1" w:afterAutospacing="1" w:line="540" w:lineRule="exact"/>
        <w:ind w:firstLine="480"/>
        <w:jc w:val="left"/>
        <w:rPr>
          <w:rFonts w:ascii="国标仿宋-GB/T 2312" w:hAnsi="国标仿宋-GB/T 2312" w:eastAsia="国标仿宋-GB/T 2312" w:cs="国标仿宋-GB/T 2312"/>
        </w:rPr>
      </w:pPr>
      <w:r>
        <w:rPr>
          <w:rFonts w:hint="eastAsia" w:ascii="国标仿宋-GB/T 2312" w:hAnsi="国标仿宋-GB/T 2312" w:eastAsia="国标仿宋-GB/T 2312" w:cs="国标仿宋-GB/T 2312"/>
        </w:rPr>
        <w:t>我公司承诺在</w:t>
      </w:r>
      <w:r>
        <w:rPr>
          <w:rFonts w:hint="eastAsia" w:ascii="国标仿宋-GB/T 2312" w:hAnsi="国标仿宋-GB/T 2312" w:eastAsia="国标仿宋-GB/T 2312" w:cs="国标仿宋-GB/T 2312"/>
          <w:u w:val="single"/>
        </w:rPr>
        <w:t xml:space="preserve">                      </w:t>
      </w:r>
      <w:r>
        <w:rPr>
          <w:rFonts w:hint="eastAsia" w:ascii="国标仿宋-GB/T 2312" w:hAnsi="国标仿宋-GB/T 2312" w:eastAsia="国标仿宋-GB/T 2312" w:cs="国标仿宋-GB/T 2312"/>
        </w:rPr>
        <w:t>竞争性谈判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政府采购法》《反不正当竞争法》等有关规定接受处罚。 </w:t>
      </w:r>
    </w:p>
    <w:p>
      <w:pPr>
        <w:pStyle w:val="16"/>
        <w:ind w:firstLine="400"/>
      </w:pPr>
    </w:p>
    <w:p>
      <w:pPr>
        <w:spacing w:line="760" w:lineRule="exact"/>
        <w:ind w:firstLine="2400" w:firstLineChars="1000"/>
        <w:rPr>
          <w:rFonts w:ascii="国标仿宋-GB/T 2312" w:hAnsi="国标仿宋-GB/T 2312" w:eastAsia="国标仿宋-GB/T 2312" w:cs="国标仿宋-GB/T 2312"/>
        </w:rPr>
      </w:pPr>
      <w:r>
        <w:rPr>
          <w:rFonts w:hint="eastAsia" w:ascii="国标仿宋-GB/T 2312" w:hAnsi="国标仿宋-GB/T 2312" w:eastAsia="国标仿宋-GB/T 2312" w:cs="国标仿宋-GB/T 2312"/>
        </w:rPr>
        <w:t>供应商：（公章）</w:t>
      </w:r>
    </w:p>
    <w:p>
      <w:pPr>
        <w:spacing w:line="760" w:lineRule="exact"/>
        <w:ind w:firstLine="2400" w:firstLineChars="10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法定代表人或</w:t>
      </w:r>
      <w:r>
        <w:rPr>
          <w:rFonts w:hint="eastAsia" w:ascii="国标仿宋-GB/T 2312" w:hAnsi="国标仿宋-GB/T 2312" w:eastAsia="国标仿宋-GB/T 2312" w:cs="国标仿宋-GB/T 2312"/>
          <w:lang w:eastAsia="zh-CN"/>
        </w:rPr>
        <w:t>授权代表</w:t>
      </w:r>
      <w:r>
        <w:rPr>
          <w:rFonts w:hint="eastAsia" w:ascii="国标仿宋-GB/T 2312" w:hAnsi="国标仿宋-GB/T 2312" w:eastAsia="国标仿宋-GB/T 2312" w:cs="国标仿宋-GB/T 2312"/>
        </w:rPr>
        <w:t>：（签字或盖章）</w:t>
      </w:r>
    </w:p>
    <w:p>
      <w:pPr>
        <w:spacing w:line="760" w:lineRule="exact"/>
        <w:ind w:firstLine="2400" w:firstLineChars="1000"/>
        <w:rPr>
          <w:rFonts w:ascii="国标仿宋-GB/T 2312" w:hAnsi="国标仿宋-GB/T 2312" w:eastAsia="国标仿宋-GB/T 2312" w:cs="国标仿宋-GB/T 2312"/>
        </w:rPr>
      </w:pPr>
      <w:r>
        <w:rPr>
          <w:rFonts w:hint="eastAsia" w:ascii="国标仿宋-GB/T 2312" w:hAnsi="国标仿宋-GB/T 2312" w:eastAsia="国标仿宋-GB/T 2312" w:cs="国标仿宋-GB/T 2312"/>
        </w:rPr>
        <w:t>日期：   年   月   日</w:t>
      </w:r>
    </w:p>
    <w:p>
      <w:pPr>
        <w:spacing w:line="240" w:lineRule="auto"/>
        <w:ind w:firstLine="0" w:firstLineChars="0"/>
        <w:jc w:val="center"/>
        <w:rPr>
          <w:rStyle w:val="161"/>
          <w:rFonts w:hint="eastAsia" w:ascii="仿宋" w:hAnsi="仿宋" w:eastAsia="仿宋" w:cs="仿宋"/>
          <w:bCs/>
          <w:kern w:val="2"/>
          <w:sz w:val="32"/>
        </w:rPr>
      </w:pPr>
      <w:r>
        <w:rPr>
          <w:rFonts w:ascii="国标仿宋-GB/T 2312" w:hAnsi="国标仿宋-GB/T 2312" w:eastAsia="国标仿宋-GB/T 2312" w:cs="国标仿宋-GB/T 2312"/>
        </w:rPr>
        <w:br w:type="page"/>
      </w:r>
      <w:r>
        <w:rPr>
          <w:rStyle w:val="161"/>
          <w:rFonts w:hint="eastAsia" w:ascii="仿宋" w:hAnsi="仿宋" w:eastAsia="仿宋" w:cs="仿宋"/>
          <w:bCs/>
          <w:kern w:val="2"/>
          <w:sz w:val="32"/>
          <w:lang w:eastAsia="zh-CN"/>
        </w:rPr>
        <w:t>（九）</w:t>
      </w:r>
      <w:r>
        <w:rPr>
          <w:rStyle w:val="161"/>
          <w:rFonts w:hint="eastAsia" w:ascii="仿宋" w:hAnsi="仿宋" w:eastAsia="仿宋" w:cs="仿宋"/>
          <w:bCs/>
          <w:kern w:val="2"/>
          <w:sz w:val="32"/>
        </w:rPr>
        <w:t>谈判</w:t>
      </w:r>
      <w:r>
        <w:rPr>
          <w:rStyle w:val="161"/>
          <w:rFonts w:hint="eastAsia" w:ascii="仿宋" w:hAnsi="仿宋" w:eastAsia="仿宋" w:cs="仿宋"/>
          <w:bCs/>
          <w:kern w:val="2"/>
          <w:sz w:val="32"/>
          <w:lang w:eastAsia="zh-CN"/>
        </w:rPr>
        <w:t>供应商</w:t>
      </w:r>
      <w:r>
        <w:rPr>
          <w:rStyle w:val="161"/>
          <w:rFonts w:hint="eastAsia" w:ascii="仿宋" w:hAnsi="仿宋" w:eastAsia="仿宋" w:cs="仿宋"/>
          <w:bCs/>
          <w:kern w:val="2"/>
          <w:sz w:val="32"/>
        </w:rPr>
        <w:t>认为有必要提供的声明及文件资料</w:t>
      </w:r>
    </w:p>
    <w:sectPr>
      <w:headerReference r:id="rId21" w:type="first"/>
      <w:footerReference r:id="rId24" w:type="first"/>
      <w:headerReference r:id="rId19" w:type="default"/>
      <w:footerReference r:id="rId22" w:type="default"/>
      <w:headerReference r:id="rId20" w:type="even"/>
      <w:footerReference r:id="rId23" w:type="even"/>
      <w:pgSz w:w="11907" w:h="16840"/>
      <w:pgMar w:top="1440" w:right="1080" w:bottom="1440" w:left="1080" w:header="851" w:footer="992" w:gutter="0"/>
      <w:cols w:space="720" w:num="1"/>
      <w:docGrid w:type="lines" w:linePitch="415" w:charSpace="233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国标仿宋-GB/T 2312">
    <w:panose1 w:val="02000500000000000000"/>
    <w:charset w:val="86"/>
    <w:family w:val="auto"/>
    <w:pitch w:val="default"/>
    <w:sig w:usb0="800002AF" w:usb1="08476CF8"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ind w:firstLine="360"/>
      <w:rPr>
        <w:rStyle w:val="51"/>
      </w:rPr>
    </w:pPr>
    <w:r>
      <w:fldChar w:fldCharType="begin"/>
    </w:r>
    <w:r>
      <w:rPr>
        <w:rStyle w:val="51"/>
      </w:rPr>
      <w:instrText xml:space="preserve">PAGE  </w:instrText>
    </w:r>
    <w:r>
      <w:fldChar w:fldCharType="end"/>
    </w:r>
  </w:p>
  <w:p>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873"/>
        <w:tab w:val="clear" w:pos="4153"/>
      </w:tabs>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873"/>
        <w:tab w:val="clear" w:pos="4153"/>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ind w:firstLine="36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29"/>
                      <w:ind w:firstLine="36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ind w:firstLine="36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29"/>
                      <w:ind w:firstLine="36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ind w:firstLine="36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F9a/OQIAAHE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v&#10;3o7Tg4sH4FLHWJGmoYeJlLrSoxXaXdvz3JniBJrOdJPiLd/UKGXLfLhnDqOB8rE84Q6fUhqkNL1F&#10;SWXc13/dx3h0DF5KGoxaTjU2ixL5QaOTAAyD4QZjNxj6oG4NZneCpbQ8mXjgghzM0hn1BRu1ijng&#10;YpojU07DYN6GbtyxkVysVinoYF29r7oHmEPLwlY/WB7TRKm8XR0CpE2KR4E6VdCpeMAkpp71WxNH&#10;/c9zinr6p1g+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A5F9a/OQIAAHEEAAAOAAAAAAAA&#10;AAEAIAAAADUBAABkcnMvZTJvRG9jLnhtbFBLBQYAAAAABgAGAFkBAADgBQAAAAA=&#10;">
              <v:fill on="f" focussize="0,0"/>
              <v:stroke on="f" weight="0.5pt"/>
              <v:imagedata o:title=""/>
              <o:lock v:ext="edit" aspectratio="f"/>
              <v:textbox inset="0mm,0mm,0mm,0mm" style="mso-fit-shape-to-text:t;">
                <w:txbxContent>
                  <w:p>
                    <w:pPr>
                      <w:pStyle w:val="29"/>
                      <w:ind w:firstLine="36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79"/>
        <w:tab w:val="clear" w:pos="4153"/>
      </w:tabs>
      <w:ind w:firstLine="0" w:firstLineChars="0"/>
      <w:rPr>
        <w:rFonts w:ascii="宋体" w:hAnsi="宋体"/>
        <w:sz w:val="21"/>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ind w:firstLine="36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D1K+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CfD1K+OQIAAHEEAAAOAAAAAAAA&#10;AAEAIAAAADUBAABkcnMvZTJvRG9jLnhtbFBLBQYAAAAABgAGAFkBAADgBQAAAAA=&#10;">
              <v:fill on="f" focussize="0,0"/>
              <v:stroke on="f" weight="0.5pt"/>
              <v:imagedata o:title=""/>
              <o:lock v:ext="edit" aspectratio="f"/>
              <v:textbox inset="0mm,0mm,0mm,0mm" style="mso-fit-shape-to-text:t;">
                <w:txbxContent>
                  <w:p>
                    <w:pPr>
                      <w:pStyle w:val="29"/>
                      <w:ind w:firstLine="360"/>
                    </w:pPr>
                    <w:r>
                      <w:fldChar w:fldCharType="begin"/>
                    </w:r>
                    <w:r>
                      <w:instrText xml:space="preserve"> PAGE  \* MERGEFORMAT </w:instrText>
                    </w:r>
                    <w:r>
                      <w:fldChar w:fldCharType="separate"/>
                    </w:r>
                    <w:r>
                      <w:t>93</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firstLine="360"/>
                            <w:rPr>
                              <w:sz w:val="18"/>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Rh03r8wBAACnAwAADgAA&#10;AAAAAAABACAAAAA0AQAAZHJzL2Uyb0RvYy54bWxQSwUGAAAAAAYABgBZAQAAcgUAAAAA&#10;">
              <v:fill on="f" focussize="0,0"/>
              <v:stroke on="f"/>
              <v:imagedata o:title=""/>
              <o:lock v:ext="edit" aspectratio="f"/>
              <v:textbox inset="0mm,0mm,0mm,0mm" style="mso-fit-shape-to-text:t;">
                <w:txbxContent>
                  <w:p>
                    <w:pPr>
                      <w:snapToGrid w:val="0"/>
                      <w:ind w:firstLine="360"/>
                      <w:rPr>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ind w:firstLine="360"/>
      <w:rPr>
        <w:rStyle w:val="51"/>
      </w:rPr>
    </w:pPr>
    <w:r>
      <w:fldChar w:fldCharType="begin"/>
    </w:r>
    <w:r>
      <w:rPr>
        <w:rStyle w:val="51"/>
      </w:rPr>
      <w:instrText xml:space="preserve">PAGE  </w:instrText>
    </w:r>
    <w:r>
      <w:fldChar w:fldCharType="separate"/>
    </w:r>
    <w:r>
      <w:rPr>
        <w:rStyle w:val="51"/>
      </w:rPr>
      <w:t>11</w:t>
    </w:r>
    <w:r>
      <w:fldChar w:fldCharType="end"/>
    </w:r>
  </w:p>
  <w:p>
    <w:pPr>
      <w:pStyle w:val="2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ind w:firstLine="360"/>
      <w:jc w:val="right"/>
      <w:rPr>
        <w:rFonts w:eastAsia="楷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AA7C2"/>
    <w:multiLevelType w:val="singleLevel"/>
    <w:tmpl w:val="BB7AA7C2"/>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AA63E3A"/>
    <w:multiLevelType w:val="singleLevel"/>
    <w:tmpl w:val="FAA63E3A"/>
    <w:lvl w:ilvl="0" w:tentative="0">
      <w:start w:val="2"/>
      <w:numFmt w:val="chineseCounting"/>
      <w:suff w:val="nothing"/>
      <w:lvlText w:val="（%1）"/>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9"/>
    <w:multiLevelType w:val="singleLevel"/>
    <w:tmpl w:val="00000009"/>
    <w:lvl w:ilvl="0" w:tentative="0">
      <w:start w:val="1"/>
      <w:numFmt w:val="bullet"/>
      <w:pStyle w:val="15"/>
      <w:lvlText w:val=""/>
      <w:lvlJc w:val="left"/>
      <w:pPr>
        <w:tabs>
          <w:tab w:val="left" w:pos="1200"/>
        </w:tabs>
        <w:ind w:left="1200" w:hanging="360"/>
      </w:pPr>
      <w:rPr>
        <w:rFonts w:hint="default" w:ascii="Wingdings" w:hAnsi="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9"/>
  </w:num>
  <w:num w:numId="4">
    <w:abstractNumId w:val="2"/>
  </w:num>
  <w:num w:numId="5">
    <w:abstractNumId w:val="7"/>
  </w:num>
  <w:num w:numId="6">
    <w:abstractNumId w:val="4"/>
  </w:num>
  <w:num w:numId="7">
    <w:abstractNumId w:val="3"/>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hideSpellingErrors/>
  <w:documentProtection w:enforcement="0"/>
  <w:defaultTabStop w:val="420"/>
  <w:drawingGridHorizontalSpacing w:val="177"/>
  <w:drawingGridVerticalSpacing w:val="415"/>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TE5M2M0MmQ4YTNhOGRkYzMzYmVkODUxOTAyMTUifQ=="/>
  </w:docVars>
  <w:rsids>
    <w:rsidRoot w:val="00172A27"/>
    <w:rsid w:val="0000008E"/>
    <w:rsid w:val="000108D5"/>
    <w:rsid w:val="00011C16"/>
    <w:rsid w:val="00011DB9"/>
    <w:rsid w:val="00011E0D"/>
    <w:rsid w:val="00015EA1"/>
    <w:rsid w:val="00016CCF"/>
    <w:rsid w:val="00016E65"/>
    <w:rsid w:val="000171CB"/>
    <w:rsid w:val="000203C5"/>
    <w:rsid w:val="00021A7A"/>
    <w:rsid w:val="00025883"/>
    <w:rsid w:val="00030D39"/>
    <w:rsid w:val="00031A5E"/>
    <w:rsid w:val="00034669"/>
    <w:rsid w:val="00035445"/>
    <w:rsid w:val="00035DF3"/>
    <w:rsid w:val="00036F93"/>
    <w:rsid w:val="000405E9"/>
    <w:rsid w:val="00040F59"/>
    <w:rsid w:val="00043F92"/>
    <w:rsid w:val="00045DDA"/>
    <w:rsid w:val="00050E88"/>
    <w:rsid w:val="00054C85"/>
    <w:rsid w:val="00054D80"/>
    <w:rsid w:val="000552A3"/>
    <w:rsid w:val="0006300E"/>
    <w:rsid w:val="00066D6D"/>
    <w:rsid w:val="00067E85"/>
    <w:rsid w:val="00071EFC"/>
    <w:rsid w:val="00072FAE"/>
    <w:rsid w:val="0007431E"/>
    <w:rsid w:val="000743BA"/>
    <w:rsid w:val="00077A67"/>
    <w:rsid w:val="00085CFE"/>
    <w:rsid w:val="00091747"/>
    <w:rsid w:val="0009286F"/>
    <w:rsid w:val="00093637"/>
    <w:rsid w:val="0009441C"/>
    <w:rsid w:val="00097D60"/>
    <w:rsid w:val="000A1E47"/>
    <w:rsid w:val="000A380A"/>
    <w:rsid w:val="000A3F7E"/>
    <w:rsid w:val="000A4D87"/>
    <w:rsid w:val="000A5CA9"/>
    <w:rsid w:val="000A604E"/>
    <w:rsid w:val="000A6305"/>
    <w:rsid w:val="000A68A9"/>
    <w:rsid w:val="000A7A6C"/>
    <w:rsid w:val="000B541A"/>
    <w:rsid w:val="000B5F51"/>
    <w:rsid w:val="000B72CE"/>
    <w:rsid w:val="000C0C01"/>
    <w:rsid w:val="000C4F26"/>
    <w:rsid w:val="000D099B"/>
    <w:rsid w:val="000D1610"/>
    <w:rsid w:val="000D21E4"/>
    <w:rsid w:val="000D3F6F"/>
    <w:rsid w:val="000D627D"/>
    <w:rsid w:val="000E16D1"/>
    <w:rsid w:val="000E2441"/>
    <w:rsid w:val="000E35F6"/>
    <w:rsid w:val="000E4D4B"/>
    <w:rsid w:val="000E7615"/>
    <w:rsid w:val="000F606C"/>
    <w:rsid w:val="000F6905"/>
    <w:rsid w:val="00101F36"/>
    <w:rsid w:val="001020BE"/>
    <w:rsid w:val="00102CC6"/>
    <w:rsid w:val="00104B07"/>
    <w:rsid w:val="0011160B"/>
    <w:rsid w:val="001118C8"/>
    <w:rsid w:val="001119E4"/>
    <w:rsid w:val="00113E3B"/>
    <w:rsid w:val="00115896"/>
    <w:rsid w:val="0011693E"/>
    <w:rsid w:val="00122472"/>
    <w:rsid w:val="0012578C"/>
    <w:rsid w:val="001268DB"/>
    <w:rsid w:val="00131A2F"/>
    <w:rsid w:val="001356E5"/>
    <w:rsid w:val="0014249C"/>
    <w:rsid w:val="00143D62"/>
    <w:rsid w:val="00143E9C"/>
    <w:rsid w:val="0014426B"/>
    <w:rsid w:val="00145594"/>
    <w:rsid w:val="00147CE6"/>
    <w:rsid w:val="001535FE"/>
    <w:rsid w:val="00154C3E"/>
    <w:rsid w:val="001566EA"/>
    <w:rsid w:val="001607A0"/>
    <w:rsid w:val="0016145B"/>
    <w:rsid w:val="001633A4"/>
    <w:rsid w:val="00163B8C"/>
    <w:rsid w:val="00164471"/>
    <w:rsid w:val="0016448C"/>
    <w:rsid w:val="001717DC"/>
    <w:rsid w:val="00172A27"/>
    <w:rsid w:val="001739E2"/>
    <w:rsid w:val="001829CD"/>
    <w:rsid w:val="00184C26"/>
    <w:rsid w:val="00185D0C"/>
    <w:rsid w:val="00187BF3"/>
    <w:rsid w:val="00192366"/>
    <w:rsid w:val="001935AC"/>
    <w:rsid w:val="001942DD"/>
    <w:rsid w:val="00197594"/>
    <w:rsid w:val="001A47C6"/>
    <w:rsid w:val="001A6BC8"/>
    <w:rsid w:val="001A6D5A"/>
    <w:rsid w:val="001A7D3F"/>
    <w:rsid w:val="001A7E17"/>
    <w:rsid w:val="001B153F"/>
    <w:rsid w:val="001B19F1"/>
    <w:rsid w:val="001B43C8"/>
    <w:rsid w:val="001B4A25"/>
    <w:rsid w:val="001B4EFD"/>
    <w:rsid w:val="001B4F28"/>
    <w:rsid w:val="001B6AD3"/>
    <w:rsid w:val="001B70EE"/>
    <w:rsid w:val="001C1179"/>
    <w:rsid w:val="001C225B"/>
    <w:rsid w:val="001C4088"/>
    <w:rsid w:val="001C5977"/>
    <w:rsid w:val="001C7357"/>
    <w:rsid w:val="001D16D5"/>
    <w:rsid w:val="001D218F"/>
    <w:rsid w:val="001D5D20"/>
    <w:rsid w:val="001D6D32"/>
    <w:rsid w:val="001D734C"/>
    <w:rsid w:val="001D7381"/>
    <w:rsid w:val="001E00EC"/>
    <w:rsid w:val="001E1440"/>
    <w:rsid w:val="001E4AB7"/>
    <w:rsid w:val="001E4FDD"/>
    <w:rsid w:val="001F0920"/>
    <w:rsid w:val="001F1DBD"/>
    <w:rsid w:val="001F34E0"/>
    <w:rsid w:val="001F7A31"/>
    <w:rsid w:val="001F7D76"/>
    <w:rsid w:val="001F7EF0"/>
    <w:rsid w:val="00200FBE"/>
    <w:rsid w:val="00200FDF"/>
    <w:rsid w:val="00205284"/>
    <w:rsid w:val="002076AA"/>
    <w:rsid w:val="00211161"/>
    <w:rsid w:val="00213803"/>
    <w:rsid w:val="0021558F"/>
    <w:rsid w:val="00223005"/>
    <w:rsid w:val="002305C6"/>
    <w:rsid w:val="00230933"/>
    <w:rsid w:val="00230CC9"/>
    <w:rsid w:val="00233417"/>
    <w:rsid w:val="00235C6F"/>
    <w:rsid w:val="00237697"/>
    <w:rsid w:val="00241D85"/>
    <w:rsid w:val="00242906"/>
    <w:rsid w:val="00244C0F"/>
    <w:rsid w:val="0024615B"/>
    <w:rsid w:val="00246FED"/>
    <w:rsid w:val="00247EC9"/>
    <w:rsid w:val="00250B63"/>
    <w:rsid w:val="002520CA"/>
    <w:rsid w:val="00252674"/>
    <w:rsid w:val="002543C2"/>
    <w:rsid w:val="00256654"/>
    <w:rsid w:val="0025716F"/>
    <w:rsid w:val="00257822"/>
    <w:rsid w:val="00260310"/>
    <w:rsid w:val="00260B70"/>
    <w:rsid w:val="00264C3E"/>
    <w:rsid w:val="00267E80"/>
    <w:rsid w:val="002700B7"/>
    <w:rsid w:val="00270BB0"/>
    <w:rsid w:val="00273C9E"/>
    <w:rsid w:val="00274836"/>
    <w:rsid w:val="00274886"/>
    <w:rsid w:val="0027538F"/>
    <w:rsid w:val="00282737"/>
    <w:rsid w:val="00282F2E"/>
    <w:rsid w:val="0028362A"/>
    <w:rsid w:val="00285707"/>
    <w:rsid w:val="002869E7"/>
    <w:rsid w:val="00290395"/>
    <w:rsid w:val="002A036F"/>
    <w:rsid w:val="002A15E1"/>
    <w:rsid w:val="002A187E"/>
    <w:rsid w:val="002A1C91"/>
    <w:rsid w:val="002A4382"/>
    <w:rsid w:val="002A4A2F"/>
    <w:rsid w:val="002A5372"/>
    <w:rsid w:val="002A5677"/>
    <w:rsid w:val="002A6C9D"/>
    <w:rsid w:val="002A7828"/>
    <w:rsid w:val="002B2A74"/>
    <w:rsid w:val="002B37E3"/>
    <w:rsid w:val="002C047B"/>
    <w:rsid w:val="002C2E53"/>
    <w:rsid w:val="002C40FE"/>
    <w:rsid w:val="002C4744"/>
    <w:rsid w:val="002D0FEB"/>
    <w:rsid w:val="002D22C2"/>
    <w:rsid w:val="002D3741"/>
    <w:rsid w:val="002D6F43"/>
    <w:rsid w:val="002D797E"/>
    <w:rsid w:val="002E102C"/>
    <w:rsid w:val="002E5C08"/>
    <w:rsid w:val="002E6EF1"/>
    <w:rsid w:val="002F34E0"/>
    <w:rsid w:val="002F4AEC"/>
    <w:rsid w:val="002F5E85"/>
    <w:rsid w:val="002F66E9"/>
    <w:rsid w:val="00302B11"/>
    <w:rsid w:val="00305888"/>
    <w:rsid w:val="00306486"/>
    <w:rsid w:val="00314DE7"/>
    <w:rsid w:val="00315003"/>
    <w:rsid w:val="00315677"/>
    <w:rsid w:val="003159DA"/>
    <w:rsid w:val="00315F5A"/>
    <w:rsid w:val="003211E4"/>
    <w:rsid w:val="003216DB"/>
    <w:rsid w:val="0032247D"/>
    <w:rsid w:val="00324AD4"/>
    <w:rsid w:val="00331D35"/>
    <w:rsid w:val="003328AB"/>
    <w:rsid w:val="003328BE"/>
    <w:rsid w:val="00334504"/>
    <w:rsid w:val="00335106"/>
    <w:rsid w:val="00335450"/>
    <w:rsid w:val="003362EA"/>
    <w:rsid w:val="00336663"/>
    <w:rsid w:val="00342019"/>
    <w:rsid w:val="00342665"/>
    <w:rsid w:val="0034357D"/>
    <w:rsid w:val="00344418"/>
    <w:rsid w:val="00344CFA"/>
    <w:rsid w:val="00345150"/>
    <w:rsid w:val="0034693B"/>
    <w:rsid w:val="003469C0"/>
    <w:rsid w:val="003522CD"/>
    <w:rsid w:val="00352B50"/>
    <w:rsid w:val="00353431"/>
    <w:rsid w:val="00353935"/>
    <w:rsid w:val="00353AFB"/>
    <w:rsid w:val="003568BB"/>
    <w:rsid w:val="003605EE"/>
    <w:rsid w:val="0036113E"/>
    <w:rsid w:val="00366B74"/>
    <w:rsid w:val="00375416"/>
    <w:rsid w:val="00375A67"/>
    <w:rsid w:val="00380E08"/>
    <w:rsid w:val="00383316"/>
    <w:rsid w:val="00383A84"/>
    <w:rsid w:val="00384591"/>
    <w:rsid w:val="0038510F"/>
    <w:rsid w:val="003904AA"/>
    <w:rsid w:val="00392938"/>
    <w:rsid w:val="003930D0"/>
    <w:rsid w:val="00393C3C"/>
    <w:rsid w:val="003A3B8B"/>
    <w:rsid w:val="003B10E6"/>
    <w:rsid w:val="003B3201"/>
    <w:rsid w:val="003B6F3E"/>
    <w:rsid w:val="003B7D42"/>
    <w:rsid w:val="003C065A"/>
    <w:rsid w:val="003C1261"/>
    <w:rsid w:val="003C4987"/>
    <w:rsid w:val="003C6728"/>
    <w:rsid w:val="003D2404"/>
    <w:rsid w:val="003D69A7"/>
    <w:rsid w:val="003D7410"/>
    <w:rsid w:val="003E375A"/>
    <w:rsid w:val="003E56E4"/>
    <w:rsid w:val="003E6E9E"/>
    <w:rsid w:val="003F349C"/>
    <w:rsid w:val="003F3C31"/>
    <w:rsid w:val="003F40BE"/>
    <w:rsid w:val="003F6038"/>
    <w:rsid w:val="003F670A"/>
    <w:rsid w:val="003F6E14"/>
    <w:rsid w:val="00404AD0"/>
    <w:rsid w:val="00405062"/>
    <w:rsid w:val="004100E2"/>
    <w:rsid w:val="00410BC5"/>
    <w:rsid w:val="00413221"/>
    <w:rsid w:val="004139F3"/>
    <w:rsid w:val="00414103"/>
    <w:rsid w:val="004144A3"/>
    <w:rsid w:val="004168DB"/>
    <w:rsid w:val="00416AA6"/>
    <w:rsid w:val="004179D6"/>
    <w:rsid w:val="0042046B"/>
    <w:rsid w:val="00423058"/>
    <w:rsid w:val="00423EF8"/>
    <w:rsid w:val="00425506"/>
    <w:rsid w:val="00436F78"/>
    <w:rsid w:val="0044223C"/>
    <w:rsid w:val="0044767E"/>
    <w:rsid w:val="00450807"/>
    <w:rsid w:val="00452480"/>
    <w:rsid w:val="004535EC"/>
    <w:rsid w:val="00453620"/>
    <w:rsid w:val="004545CC"/>
    <w:rsid w:val="00457EF5"/>
    <w:rsid w:val="00464465"/>
    <w:rsid w:val="00464EEA"/>
    <w:rsid w:val="00470855"/>
    <w:rsid w:val="00471E8E"/>
    <w:rsid w:val="004752E5"/>
    <w:rsid w:val="00477CEB"/>
    <w:rsid w:val="00481B6B"/>
    <w:rsid w:val="00481EC6"/>
    <w:rsid w:val="00482999"/>
    <w:rsid w:val="00484133"/>
    <w:rsid w:val="00485E6E"/>
    <w:rsid w:val="00493522"/>
    <w:rsid w:val="00494A16"/>
    <w:rsid w:val="00496FD2"/>
    <w:rsid w:val="00497B42"/>
    <w:rsid w:val="004A0D97"/>
    <w:rsid w:val="004A1814"/>
    <w:rsid w:val="004A1A56"/>
    <w:rsid w:val="004A1FFC"/>
    <w:rsid w:val="004A3AFA"/>
    <w:rsid w:val="004A4FBE"/>
    <w:rsid w:val="004A582B"/>
    <w:rsid w:val="004B473A"/>
    <w:rsid w:val="004B5FDA"/>
    <w:rsid w:val="004C1B49"/>
    <w:rsid w:val="004C2F09"/>
    <w:rsid w:val="004C2F4C"/>
    <w:rsid w:val="004C32FA"/>
    <w:rsid w:val="004C3973"/>
    <w:rsid w:val="004D2419"/>
    <w:rsid w:val="004D2A20"/>
    <w:rsid w:val="004D5621"/>
    <w:rsid w:val="004E0A03"/>
    <w:rsid w:val="004E1A70"/>
    <w:rsid w:val="004E1D6A"/>
    <w:rsid w:val="004E3121"/>
    <w:rsid w:val="004E412E"/>
    <w:rsid w:val="004E7AF6"/>
    <w:rsid w:val="004F0C38"/>
    <w:rsid w:val="004F5EEF"/>
    <w:rsid w:val="004F659B"/>
    <w:rsid w:val="004F6D91"/>
    <w:rsid w:val="00500042"/>
    <w:rsid w:val="005010F9"/>
    <w:rsid w:val="00501406"/>
    <w:rsid w:val="005020F0"/>
    <w:rsid w:val="00503CF4"/>
    <w:rsid w:val="005134CE"/>
    <w:rsid w:val="00516A53"/>
    <w:rsid w:val="0052224F"/>
    <w:rsid w:val="00522674"/>
    <w:rsid w:val="0052568B"/>
    <w:rsid w:val="00525DF8"/>
    <w:rsid w:val="00526B7E"/>
    <w:rsid w:val="00527D43"/>
    <w:rsid w:val="0053124C"/>
    <w:rsid w:val="00532FB6"/>
    <w:rsid w:val="005340DE"/>
    <w:rsid w:val="00534554"/>
    <w:rsid w:val="0053481F"/>
    <w:rsid w:val="00536ABF"/>
    <w:rsid w:val="005400B9"/>
    <w:rsid w:val="00543888"/>
    <w:rsid w:val="00546D86"/>
    <w:rsid w:val="00551EE9"/>
    <w:rsid w:val="00552509"/>
    <w:rsid w:val="00552C15"/>
    <w:rsid w:val="005546F9"/>
    <w:rsid w:val="0055582A"/>
    <w:rsid w:val="00556628"/>
    <w:rsid w:val="0055718C"/>
    <w:rsid w:val="00560B73"/>
    <w:rsid w:val="00561CED"/>
    <w:rsid w:val="00564D5A"/>
    <w:rsid w:val="005650EF"/>
    <w:rsid w:val="005661C9"/>
    <w:rsid w:val="00567BC5"/>
    <w:rsid w:val="005709E4"/>
    <w:rsid w:val="00573739"/>
    <w:rsid w:val="00574A0D"/>
    <w:rsid w:val="00580B75"/>
    <w:rsid w:val="0058449B"/>
    <w:rsid w:val="00590EE4"/>
    <w:rsid w:val="00591EB7"/>
    <w:rsid w:val="00593AFE"/>
    <w:rsid w:val="00594EE7"/>
    <w:rsid w:val="00595242"/>
    <w:rsid w:val="0059598F"/>
    <w:rsid w:val="005A2EF5"/>
    <w:rsid w:val="005A44BF"/>
    <w:rsid w:val="005A497A"/>
    <w:rsid w:val="005A6EA0"/>
    <w:rsid w:val="005A7A97"/>
    <w:rsid w:val="005B0007"/>
    <w:rsid w:val="005B23E3"/>
    <w:rsid w:val="005B28F6"/>
    <w:rsid w:val="005B5EFD"/>
    <w:rsid w:val="005C0854"/>
    <w:rsid w:val="005C0C8A"/>
    <w:rsid w:val="005C3EE1"/>
    <w:rsid w:val="005C53B4"/>
    <w:rsid w:val="005C5C56"/>
    <w:rsid w:val="005C6074"/>
    <w:rsid w:val="005D0523"/>
    <w:rsid w:val="005D114E"/>
    <w:rsid w:val="005D268C"/>
    <w:rsid w:val="005D5AA2"/>
    <w:rsid w:val="005E0B6A"/>
    <w:rsid w:val="005E22B5"/>
    <w:rsid w:val="005E2677"/>
    <w:rsid w:val="005F2AF8"/>
    <w:rsid w:val="005F40C4"/>
    <w:rsid w:val="005F7129"/>
    <w:rsid w:val="00600522"/>
    <w:rsid w:val="0060077C"/>
    <w:rsid w:val="00600D25"/>
    <w:rsid w:val="0060362E"/>
    <w:rsid w:val="00604D7C"/>
    <w:rsid w:val="00605E97"/>
    <w:rsid w:val="0060687C"/>
    <w:rsid w:val="0061038C"/>
    <w:rsid w:val="00612176"/>
    <w:rsid w:val="006128D3"/>
    <w:rsid w:val="00613625"/>
    <w:rsid w:val="0062108B"/>
    <w:rsid w:val="00623A23"/>
    <w:rsid w:val="006273C2"/>
    <w:rsid w:val="00630C88"/>
    <w:rsid w:val="006323D4"/>
    <w:rsid w:val="00634919"/>
    <w:rsid w:val="006407E1"/>
    <w:rsid w:val="00643411"/>
    <w:rsid w:val="00644965"/>
    <w:rsid w:val="00651B88"/>
    <w:rsid w:val="00652AB3"/>
    <w:rsid w:val="00655C6C"/>
    <w:rsid w:val="00655F88"/>
    <w:rsid w:val="00656083"/>
    <w:rsid w:val="00661909"/>
    <w:rsid w:val="00666E49"/>
    <w:rsid w:val="00673F36"/>
    <w:rsid w:val="00676DCF"/>
    <w:rsid w:val="006831CD"/>
    <w:rsid w:val="00684622"/>
    <w:rsid w:val="006852C1"/>
    <w:rsid w:val="00685FC5"/>
    <w:rsid w:val="00687775"/>
    <w:rsid w:val="006A13AF"/>
    <w:rsid w:val="006A49CE"/>
    <w:rsid w:val="006A71A9"/>
    <w:rsid w:val="006B108D"/>
    <w:rsid w:val="006B2484"/>
    <w:rsid w:val="006C12BD"/>
    <w:rsid w:val="006C1FDF"/>
    <w:rsid w:val="006C33F0"/>
    <w:rsid w:val="006C4A5C"/>
    <w:rsid w:val="006C5A05"/>
    <w:rsid w:val="006D2BA7"/>
    <w:rsid w:val="006E0DE7"/>
    <w:rsid w:val="006E74E7"/>
    <w:rsid w:val="006F2234"/>
    <w:rsid w:val="006F28E9"/>
    <w:rsid w:val="006F3937"/>
    <w:rsid w:val="006F3DC0"/>
    <w:rsid w:val="006F5729"/>
    <w:rsid w:val="006F6FB8"/>
    <w:rsid w:val="006F7748"/>
    <w:rsid w:val="007002D0"/>
    <w:rsid w:val="00703682"/>
    <w:rsid w:val="0070484F"/>
    <w:rsid w:val="00704E69"/>
    <w:rsid w:val="007052D2"/>
    <w:rsid w:val="0071280D"/>
    <w:rsid w:val="007167E1"/>
    <w:rsid w:val="00717F01"/>
    <w:rsid w:val="007202A8"/>
    <w:rsid w:val="00720FEF"/>
    <w:rsid w:val="00721316"/>
    <w:rsid w:val="00722A13"/>
    <w:rsid w:val="00722B78"/>
    <w:rsid w:val="00723140"/>
    <w:rsid w:val="00730164"/>
    <w:rsid w:val="00731E62"/>
    <w:rsid w:val="0073387E"/>
    <w:rsid w:val="00734B9E"/>
    <w:rsid w:val="00734FE3"/>
    <w:rsid w:val="0074020B"/>
    <w:rsid w:val="00744A25"/>
    <w:rsid w:val="00744A5C"/>
    <w:rsid w:val="007470CC"/>
    <w:rsid w:val="00750D55"/>
    <w:rsid w:val="00751B04"/>
    <w:rsid w:val="00752E92"/>
    <w:rsid w:val="00755395"/>
    <w:rsid w:val="0075573E"/>
    <w:rsid w:val="0075685C"/>
    <w:rsid w:val="007640A2"/>
    <w:rsid w:val="00764742"/>
    <w:rsid w:val="00765178"/>
    <w:rsid w:val="00765638"/>
    <w:rsid w:val="007672E9"/>
    <w:rsid w:val="00767DB7"/>
    <w:rsid w:val="00770B1D"/>
    <w:rsid w:val="00772EC8"/>
    <w:rsid w:val="00774EF5"/>
    <w:rsid w:val="00774F52"/>
    <w:rsid w:val="007754BF"/>
    <w:rsid w:val="00776D14"/>
    <w:rsid w:val="00777A2C"/>
    <w:rsid w:val="00777C49"/>
    <w:rsid w:val="00781F8E"/>
    <w:rsid w:val="00783EAC"/>
    <w:rsid w:val="007855C9"/>
    <w:rsid w:val="0079616C"/>
    <w:rsid w:val="00796338"/>
    <w:rsid w:val="00797047"/>
    <w:rsid w:val="00797424"/>
    <w:rsid w:val="007979FE"/>
    <w:rsid w:val="00797C83"/>
    <w:rsid w:val="007A042A"/>
    <w:rsid w:val="007A177E"/>
    <w:rsid w:val="007A1D7D"/>
    <w:rsid w:val="007A23A2"/>
    <w:rsid w:val="007A4890"/>
    <w:rsid w:val="007A6A51"/>
    <w:rsid w:val="007B03CC"/>
    <w:rsid w:val="007B05BD"/>
    <w:rsid w:val="007B17F5"/>
    <w:rsid w:val="007B3245"/>
    <w:rsid w:val="007B3492"/>
    <w:rsid w:val="007B5239"/>
    <w:rsid w:val="007C325A"/>
    <w:rsid w:val="007C502B"/>
    <w:rsid w:val="007C5824"/>
    <w:rsid w:val="007C7F08"/>
    <w:rsid w:val="007D24C1"/>
    <w:rsid w:val="007D276A"/>
    <w:rsid w:val="007D3EA3"/>
    <w:rsid w:val="007D670D"/>
    <w:rsid w:val="007D73D5"/>
    <w:rsid w:val="007E3EA2"/>
    <w:rsid w:val="007E5302"/>
    <w:rsid w:val="007E5308"/>
    <w:rsid w:val="007E78F8"/>
    <w:rsid w:val="007F1724"/>
    <w:rsid w:val="007F1D33"/>
    <w:rsid w:val="007F2343"/>
    <w:rsid w:val="007F2D73"/>
    <w:rsid w:val="007F2FB4"/>
    <w:rsid w:val="007F5B5B"/>
    <w:rsid w:val="007F69E1"/>
    <w:rsid w:val="00800C7D"/>
    <w:rsid w:val="00802383"/>
    <w:rsid w:val="00803176"/>
    <w:rsid w:val="008036BB"/>
    <w:rsid w:val="00804716"/>
    <w:rsid w:val="0080590A"/>
    <w:rsid w:val="008063FA"/>
    <w:rsid w:val="0081048F"/>
    <w:rsid w:val="0082008E"/>
    <w:rsid w:val="008318C0"/>
    <w:rsid w:val="008325CF"/>
    <w:rsid w:val="008329BA"/>
    <w:rsid w:val="00834060"/>
    <w:rsid w:val="00836AFF"/>
    <w:rsid w:val="00836F98"/>
    <w:rsid w:val="00842401"/>
    <w:rsid w:val="00845AD4"/>
    <w:rsid w:val="00851D39"/>
    <w:rsid w:val="00852C29"/>
    <w:rsid w:val="00855B5E"/>
    <w:rsid w:val="00857817"/>
    <w:rsid w:val="00857C2B"/>
    <w:rsid w:val="00860DF5"/>
    <w:rsid w:val="00861168"/>
    <w:rsid w:val="00861548"/>
    <w:rsid w:val="008615ED"/>
    <w:rsid w:val="00862C0E"/>
    <w:rsid w:val="008648DF"/>
    <w:rsid w:val="008652EF"/>
    <w:rsid w:val="00866667"/>
    <w:rsid w:val="00866A44"/>
    <w:rsid w:val="008722D0"/>
    <w:rsid w:val="00876B38"/>
    <w:rsid w:val="00881EA1"/>
    <w:rsid w:val="008822C8"/>
    <w:rsid w:val="00885B0F"/>
    <w:rsid w:val="00885C22"/>
    <w:rsid w:val="00887350"/>
    <w:rsid w:val="008931DA"/>
    <w:rsid w:val="00894E54"/>
    <w:rsid w:val="008952F7"/>
    <w:rsid w:val="00896E97"/>
    <w:rsid w:val="008A0824"/>
    <w:rsid w:val="008A796D"/>
    <w:rsid w:val="008B0D32"/>
    <w:rsid w:val="008B0DAF"/>
    <w:rsid w:val="008B444C"/>
    <w:rsid w:val="008B4CE7"/>
    <w:rsid w:val="008B5ABD"/>
    <w:rsid w:val="008C15E0"/>
    <w:rsid w:val="008C3920"/>
    <w:rsid w:val="008C3E54"/>
    <w:rsid w:val="008C5A57"/>
    <w:rsid w:val="008D1314"/>
    <w:rsid w:val="008D1DB8"/>
    <w:rsid w:val="008D24E2"/>
    <w:rsid w:val="008D55E0"/>
    <w:rsid w:val="008D7167"/>
    <w:rsid w:val="008E0FDE"/>
    <w:rsid w:val="008E10B5"/>
    <w:rsid w:val="008E1741"/>
    <w:rsid w:val="008E312E"/>
    <w:rsid w:val="008E4CD8"/>
    <w:rsid w:val="008E50AA"/>
    <w:rsid w:val="008E6B68"/>
    <w:rsid w:val="008E73CA"/>
    <w:rsid w:val="008E7CE1"/>
    <w:rsid w:val="008F0512"/>
    <w:rsid w:val="008F0C91"/>
    <w:rsid w:val="008F5541"/>
    <w:rsid w:val="008F6C09"/>
    <w:rsid w:val="009017EF"/>
    <w:rsid w:val="00904F2C"/>
    <w:rsid w:val="00905CB6"/>
    <w:rsid w:val="00906786"/>
    <w:rsid w:val="00906967"/>
    <w:rsid w:val="00910263"/>
    <w:rsid w:val="00911371"/>
    <w:rsid w:val="009127E7"/>
    <w:rsid w:val="0091716C"/>
    <w:rsid w:val="00920094"/>
    <w:rsid w:val="0092340C"/>
    <w:rsid w:val="00924B51"/>
    <w:rsid w:val="009251CE"/>
    <w:rsid w:val="0093127B"/>
    <w:rsid w:val="009312C2"/>
    <w:rsid w:val="00931B3B"/>
    <w:rsid w:val="00933BA8"/>
    <w:rsid w:val="00937F82"/>
    <w:rsid w:val="00940368"/>
    <w:rsid w:val="0094063E"/>
    <w:rsid w:val="009421E7"/>
    <w:rsid w:val="0094271E"/>
    <w:rsid w:val="00942AC5"/>
    <w:rsid w:val="00943289"/>
    <w:rsid w:val="009434CD"/>
    <w:rsid w:val="009444C8"/>
    <w:rsid w:val="0094464F"/>
    <w:rsid w:val="009525B1"/>
    <w:rsid w:val="00956CA2"/>
    <w:rsid w:val="00961D08"/>
    <w:rsid w:val="0096220B"/>
    <w:rsid w:val="009625D1"/>
    <w:rsid w:val="009629EA"/>
    <w:rsid w:val="00963E31"/>
    <w:rsid w:val="009670CC"/>
    <w:rsid w:val="00971C27"/>
    <w:rsid w:val="00973A31"/>
    <w:rsid w:val="009840E8"/>
    <w:rsid w:val="009841DA"/>
    <w:rsid w:val="009856CC"/>
    <w:rsid w:val="00985DBB"/>
    <w:rsid w:val="009864CF"/>
    <w:rsid w:val="00991472"/>
    <w:rsid w:val="0099154E"/>
    <w:rsid w:val="00994912"/>
    <w:rsid w:val="00995024"/>
    <w:rsid w:val="009A36F7"/>
    <w:rsid w:val="009A38E5"/>
    <w:rsid w:val="009A4D85"/>
    <w:rsid w:val="009A7089"/>
    <w:rsid w:val="009B026D"/>
    <w:rsid w:val="009B19F1"/>
    <w:rsid w:val="009B1B60"/>
    <w:rsid w:val="009B2F8B"/>
    <w:rsid w:val="009B3849"/>
    <w:rsid w:val="009B431A"/>
    <w:rsid w:val="009B6158"/>
    <w:rsid w:val="009B76A3"/>
    <w:rsid w:val="009C0BB5"/>
    <w:rsid w:val="009C0F2F"/>
    <w:rsid w:val="009C5407"/>
    <w:rsid w:val="009C68C9"/>
    <w:rsid w:val="009C768C"/>
    <w:rsid w:val="009D0E96"/>
    <w:rsid w:val="009D2495"/>
    <w:rsid w:val="009D3073"/>
    <w:rsid w:val="009E121E"/>
    <w:rsid w:val="009E29F8"/>
    <w:rsid w:val="009E63A4"/>
    <w:rsid w:val="009E77AB"/>
    <w:rsid w:val="009F3D7D"/>
    <w:rsid w:val="009F469F"/>
    <w:rsid w:val="009F604C"/>
    <w:rsid w:val="009F7B31"/>
    <w:rsid w:val="009F7B37"/>
    <w:rsid w:val="009F7B9E"/>
    <w:rsid w:val="00A0198D"/>
    <w:rsid w:val="00A01D55"/>
    <w:rsid w:val="00A01DB2"/>
    <w:rsid w:val="00A01FC9"/>
    <w:rsid w:val="00A022BE"/>
    <w:rsid w:val="00A0412D"/>
    <w:rsid w:val="00A069D9"/>
    <w:rsid w:val="00A101EB"/>
    <w:rsid w:val="00A10470"/>
    <w:rsid w:val="00A14195"/>
    <w:rsid w:val="00A20374"/>
    <w:rsid w:val="00A20740"/>
    <w:rsid w:val="00A216DF"/>
    <w:rsid w:val="00A271B1"/>
    <w:rsid w:val="00A33A5C"/>
    <w:rsid w:val="00A33DEB"/>
    <w:rsid w:val="00A33E60"/>
    <w:rsid w:val="00A3754A"/>
    <w:rsid w:val="00A42F81"/>
    <w:rsid w:val="00A437F8"/>
    <w:rsid w:val="00A4576F"/>
    <w:rsid w:val="00A45CF2"/>
    <w:rsid w:val="00A46167"/>
    <w:rsid w:val="00A4698F"/>
    <w:rsid w:val="00A526C5"/>
    <w:rsid w:val="00A52805"/>
    <w:rsid w:val="00A53BDD"/>
    <w:rsid w:val="00A5411A"/>
    <w:rsid w:val="00A56256"/>
    <w:rsid w:val="00A66530"/>
    <w:rsid w:val="00A67214"/>
    <w:rsid w:val="00A67C33"/>
    <w:rsid w:val="00A70770"/>
    <w:rsid w:val="00A733A3"/>
    <w:rsid w:val="00A740BD"/>
    <w:rsid w:val="00A7632A"/>
    <w:rsid w:val="00A76B7F"/>
    <w:rsid w:val="00A837C6"/>
    <w:rsid w:val="00A83CBD"/>
    <w:rsid w:val="00A8411D"/>
    <w:rsid w:val="00A85D7D"/>
    <w:rsid w:val="00A90C47"/>
    <w:rsid w:val="00A943A6"/>
    <w:rsid w:val="00A956F3"/>
    <w:rsid w:val="00A95EAD"/>
    <w:rsid w:val="00A97C9D"/>
    <w:rsid w:val="00AA0378"/>
    <w:rsid w:val="00AA110D"/>
    <w:rsid w:val="00AA3083"/>
    <w:rsid w:val="00AA64F8"/>
    <w:rsid w:val="00AB5A43"/>
    <w:rsid w:val="00AB613D"/>
    <w:rsid w:val="00AB6582"/>
    <w:rsid w:val="00AC1C87"/>
    <w:rsid w:val="00AC30D6"/>
    <w:rsid w:val="00AC5CF2"/>
    <w:rsid w:val="00AC6B9F"/>
    <w:rsid w:val="00AC7EB9"/>
    <w:rsid w:val="00AD0E2E"/>
    <w:rsid w:val="00AD0F49"/>
    <w:rsid w:val="00AD3678"/>
    <w:rsid w:val="00AE04B5"/>
    <w:rsid w:val="00AE4CF2"/>
    <w:rsid w:val="00AE55A5"/>
    <w:rsid w:val="00AF5623"/>
    <w:rsid w:val="00B0568F"/>
    <w:rsid w:val="00B06572"/>
    <w:rsid w:val="00B074A9"/>
    <w:rsid w:val="00B1450C"/>
    <w:rsid w:val="00B15BDA"/>
    <w:rsid w:val="00B21E0D"/>
    <w:rsid w:val="00B23D59"/>
    <w:rsid w:val="00B27D72"/>
    <w:rsid w:val="00B30E66"/>
    <w:rsid w:val="00B327A4"/>
    <w:rsid w:val="00B32D5C"/>
    <w:rsid w:val="00B34350"/>
    <w:rsid w:val="00B34F81"/>
    <w:rsid w:val="00B357E8"/>
    <w:rsid w:val="00B3676A"/>
    <w:rsid w:val="00B4012E"/>
    <w:rsid w:val="00B404F0"/>
    <w:rsid w:val="00B42A42"/>
    <w:rsid w:val="00B43784"/>
    <w:rsid w:val="00B471B9"/>
    <w:rsid w:val="00B47EB6"/>
    <w:rsid w:val="00B519C1"/>
    <w:rsid w:val="00B541A8"/>
    <w:rsid w:val="00B57185"/>
    <w:rsid w:val="00B605BA"/>
    <w:rsid w:val="00B61976"/>
    <w:rsid w:val="00B62378"/>
    <w:rsid w:val="00B64F55"/>
    <w:rsid w:val="00B6574F"/>
    <w:rsid w:val="00B70BC0"/>
    <w:rsid w:val="00B74306"/>
    <w:rsid w:val="00B76662"/>
    <w:rsid w:val="00B8064F"/>
    <w:rsid w:val="00B81052"/>
    <w:rsid w:val="00B920F7"/>
    <w:rsid w:val="00B93CE3"/>
    <w:rsid w:val="00B94AF2"/>
    <w:rsid w:val="00B96967"/>
    <w:rsid w:val="00B97F47"/>
    <w:rsid w:val="00BA0065"/>
    <w:rsid w:val="00BA22B4"/>
    <w:rsid w:val="00BA2940"/>
    <w:rsid w:val="00BA5390"/>
    <w:rsid w:val="00BA58C7"/>
    <w:rsid w:val="00BA5913"/>
    <w:rsid w:val="00BB1E80"/>
    <w:rsid w:val="00BB1F20"/>
    <w:rsid w:val="00BB20FC"/>
    <w:rsid w:val="00BB4CB1"/>
    <w:rsid w:val="00BB6AA3"/>
    <w:rsid w:val="00BB6C85"/>
    <w:rsid w:val="00BB74E4"/>
    <w:rsid w:val="00BC436E"/>
    <w:rsid w:val="00BC4A71"/>
    <w:rsid w:val="00BD293E"/>
    <w:rsid w:val="00BD2FAC"/>
    <w:rsid w:val="00BD3E03"/>
    <w:rsid w:val="00BD4AF2"/>
    <w:rsid w:val="00BD69E4"/>
    <w:rsid w:val="00BE1AFC"/>
    <w:rsid w:val="00BE21E9"/>
    <w:rsid w:val="00BE57C1"/>
    <w:rsid w:val="00BE62CA"/>
    <w:rsid w:val="00BE6C08"/>
    <w:rsid w:val="00BE740F"/>
    <w:rsid w:val="00BF1F2C"/>
    <w:rsid w:val="00BF5A77"/>
    <w:rsid w:val="00BF767F"/>
    <w:rsid w:val="00C051C2"/>
    <w:rsid w:val="00C05F9D"/>
    <w:rsid w:val="00C06AA6"/>
    <w:rsid w:val="00C07529"/>
    <w:rsid w:val="00C07C14"/>
    <w:rsid w:val="00C10B69"/>
    <w:rsid w:val="00C14668"/>
    <w:rsid w:val="00C15F39"/>
    <w:rsid w:val="00C17E1A"/>
    <w:rsid w:val="00C228E6"/>
    <w:rsid w:val="00C24CED"/>
    <w:rsid w:val="00C25D33"/>
    <w:rsid w:val="00C309FE"/>
    <w:rsid w:val="00C3200C"/>
    <w:rsid w:val="00C33C22"/>
    <w:rsid w:val="00C34BD6"/>
    <w:rsid w:val="00C34CAB"/>
    <w:rsid w:val="00C43855"/>
    <w:rsid w:val="00C4423E"/>
    <w:rsid w:val="00C448C5"/>
    <w:rsid w:val="00C47E12"/>
    <w:rsid w:val="00C512A8"/>
    <w:rsid w:val="00C57972"/>
    <w:rsid w:val="00C60B7C"/>
    <w:rsid w:val="00C60BD2"/>
    <w:rsid w:val="00C61A8E"/>
    <w:rsid w:val="00C62135"/>
    <w:rsid w:val="00C67FFE"/>
    <w:rsid w:val="00C71385"/>
    <w:rsid w:val="00C74C7C"/>
    <w:rsid w:val="00C80A0A"/>
    <w:rsid w:val="00C80B24"/>
    <w:rsid w:val="00C8241F"/>
    <w:rsid w:val="00C8347D"/>
    <w:rsid w:val="00C83E59"/>
    <w:rsid w:val="00C83F6A"/>
    <w:rsid w:val="00C8426A"/>
    <w:rsid w:val="00C8485A"/>
    <w:rsid w:val="00C860CF"/>
    <w:rsid w:val="00C86A68"/>
    <w:rsid w:val="00C90E53"/>
    <w:rsid w:val="00C90FEC"/>
    <w:rsid w:val="00C90FF7"/>
    <w:rsid w:val="00C910C7"/>
    <w:rsid w:val="00C94D56"/>
    <w:rsid w:val="00C97E49"/>
    <w:rsid w:val="00C97E9B"/>
    <w:rsid w:val="00CA0B1A"/>
    <w:rsid w:val="00CA5969"/>
    <w:rsid w:val="00CB3266"/>
    <w:rsid w:val="00CB6859"/>
    <w:rsid w:val="00CB7385"/>
    <w:rsid w:val="00CD3877"/>
    <w:rsid w:val="00CD39D2"/>
    <w:rsid w:val="00CE2DF1"/>
    <w:rsid w:val="00CE3F4F"/>
    <w:rsid w:val="00CE51A5"/>
    <w:rsid w:val="00CE5F84"/>
    <w:rsid w:val="00D00480"/>
    <w:rsid w:val="00D02098"/>
    <w:rsid w:val="00D0305C"/>
    <w:rsid w:val="00D042CD"/>
    <w:rsid w:val="00D07253"/>
    <w:rsid w:val="00D079C7"/>
    <w:rsid w:val="00D07ADE"/>
    <w:rsid w:val="00D109B3"/>
    <w:rsid w:val="00D13C53"/>
    <w:rsid w:val="00D16258"/>
    <w:rsid w:val="00D20FDE"/>
    <w:rsid w:val="00D2161D"/>
    <w:rsid w:val="00D2227A"/>
    <w:rsid w:val="00D239EA"/>
    <w:rsid w:val="00D23FF1"/>
    <w:rsid w:val="00D2406D"/>
    <w:rsid w:val="00D262FA"/>
    <w:rsid w:val="00D26436"/>
    <w:rsid w:val="00D30462"/>
    <w:rsid w:val="00D306E8"/>
    <w:rsid w:val="00D37FAC"/>
    <w:rsid w:val="00D400D1"/>
    <w:rsid w:val="00D40F9D"/>
    <w:rsid w:val="00D41864"/>
    <w:rsid w:val="00D41E4A"/>
    <w:rsid w:val="00D474F3"/>
    <w:rsid w:val="00D50950"/>
    <w:rsid w:val="00D523F4"/>
    <w:rsid w:val="00D53758"/>
    <w:rsid w:val="00D576AE"/>
    <w:rsid w:val="00D617FE"/>
    <w:rsid w:val="00D61B39"/>
    <w:rsid w:val="00D622F3"/>
    <w:rsid w:val="00D73003"/>
    <w:rsid w:val="00D73F00"/>
    <w:rsid w:val="00D7632B"/>
    <w:rsid w:val="00D76A3A"/>
    <w:rsid w:val="00D77370"/>
    <w:rsid w:val="00D77E4A"/>
    <w:rsid w:val="00D80A9D"/>
    <w:rsid w:val="00D819AA"/>
    <w:rsid w:val="00D82A9D"/>
    <w:rsid w:val="00D838F3"/>
    <w:rsid w:val="00D84A55"/>
    <w:rsid w:val="00D86DD2"/>
    <w:rsid w:val="00D90943"/>
    <w:rsid w:val="00D90A09"/>
    <w:rsid w:val="00D91170"/>
    <w:rsid w:val="00D91410"/>
    <w:rsid w:val="00D916D3"/>
    <w:rsid w:val="00D91836"/>
    <w:rsid w:val="00D9237E"/>
    <w:rsid w:val="00D92D0F"/>
    <w:rsid w:val="00D93512"/>
    <w:rsid w:val="00D96092"/>
    <w:rsid w:val="00D9777B"/>
    <w:rsid w:val="00DA0016"/>
    <w:rsid w:val="00DA03B4"/>
    <w:rsid w:val="00DA0483"/>
    <w:rsid w:val="00DA31B8"/>
    <w:rsid w:val="00DA3B80"/>
    <w:rsid w:val="00DA488F"/>
    <w:rsid w:val="00DA62A5"/>
    <w:rsid w:val="00DB2A28"/>
    <w:rsid w:val="00DB580B"/>
    <w:rsid w:val="00DB6091"/>
    <w:rsid w:val="00DB616B"/>
    <w:rsid w:val="00DB6F5F"/>
    <w:rsid w:val="00DC0A76"/>
    <w:rsid w:val="00DC58F2"/>
    <w:rsid w:val="00DC5C8D"/>
    <w:rsid w:val="00DC627D"/>
    <w:rsid w:val="00DC6C55"/>
    <w:rsid w:val="00DC782B"/>
    <w:rsid w:val="00DD270F"/>
    <w:rsid w:val="00DD2C15"/>
    <w:rsid w:val="00DD3A17"/>
    <w:rsid w:val="00DD6269"/>
    <w:rsid w:val="00DD75F9"/>
    <w:rsid w:val="00DE12A8"/>
    <w:rsid w:val="00DE39A8"/>
    <w:rsid w:val="00DF074A"/>
    <w:rsid w:val="00DF1BC9"/>
    <w:rsid w:val="00DF3256"/>
    <w:rsid w:val="00DF363F"/>
    <w:rsid w:val="00DF6372"/>
    <w:rsid w:val="00E01053"/>
    <w:rsid w:val="00E060CE"/>
    <w:rsid w:val="00E07898"/>
    <w:rsid w:val="00E105D3"/>
    <w:rsid w:val="00E14BDD"/>
    <w:rsid w:val="00E207C0"/>
    <w:rsid w:val="00E2112E"/>
    <w:rsid w:val="00E22563"/>
    <w:rsid w:val="00E22681"/>
    <w:rsid w:val="00E227F5"/>
    <w:rsid w:val="00E244A0"/>
    <w:rsid w:val="00E2674A"/>
    <w:rsid w:val="00E30C1B"/>
    <w:rsid w:val="00E32E2F"/>
    <w:rsid w:val="00E40E8B"/>
    <w:rsid w:val="00E42A63"/>
    <w:rsid w:val="00E43CBA"/>
    <w:rsid w:val="00E44940"/>
    <w:rsid w:val="00E46463"/>
    <w:rsid w:val="00E50432"/>
    <w:rsid w:val="00E53C41"/>
    <w:rsid w:val="00E56662"/>
    <w:rsid w:val="00E56950"/>
    <w:rsid w:val="00E578DF"/>
    <w:rsid w:val="00E60ABD"/>
    <w:rsid w:val="00E63F7E"/>
    <w:rsid w:val="00E6503B"/>
    <w:rsid w:val="00E71327"/>
    <w:rsid w:val="00E71777"/>
    <w:rsid w:val="00E72E4C"/>
    <w:rsid w:val="00E76468"/>
    <w:rsid w:val="00E76971"/>
    <w:rsid w:val="00E770E0"/>
    <w:rsid w:val="00E77790"/>
    <w:rsid w:val="00E777DB"/>
    <w:rsid w:val="00E800FC"/>
    <w:rsid w:val="00E82409"/>
    <w:rsid w:val="00E85E3F"/>
    <w:rsid w:val="00E8797C"/>
    <w:rsid w:val="00E907E3"/>
    <w:rsid w:val="00E95447"/>
    <w:rsid w:val="00E9577C"/>
    <w:rsid w:val="00E9599E"/>
    <w:rsid w:val="00EA15F4"/>
    <w:rsid w:val="00EA2200"/>
    <w:rsid w:val="00EA2215"/>
    <w:rsid w:val="00EB31F8"/>
    <w:rsid w:val="00EB56DF"/>
    <w:rsid w:val="00EC192E"/>
    <w:rsid w:val="00EC2262"/>
    <w:rsid w:val="00EC2D33"/>
    <w:rsid w:val="00EC4408"/>
    <w:rsid w:val="00EC4C23"/>
    <w:rsid w:val="00EC520E"/>
    <w:rsid w:val="00EC6353"/>
    <w:rsid w:val="00EC7D6E"/>
    <w:rsid w:val="00ED0B65"/>
    <w:rsid w:val="00ED10E3"/>
    <w:rsid w:val="00ED19C6"/>
    <w:rsid w:val="00ED25BE"/>
    <w:rsid w:val="00ED5A16"/>
    <w:rsid w:val="00ED6009"/>
    <w:rsid w:val="00EE1A83"/>
    <w:rsid w:val="00EE4438"/>
    <w:rsid w:val="00EE4D29"/>
    <w:rsid w:val="00EE6051"/>
    <w:rsid w:val="00EE649D"/>
    <w:rsid w:val="00EE6CEC"/>
    <w:rsid w:val="00EE7A28"/>
    <w:rsid w:val="00EF10A8"/>
    <w:rsid w:val="00EF1C3F"/>
    <w:rsid w:val="00EF5650"/>
    <w:rsid w:val="00EF611B"/>
    <w:rsid w:val="00EF664E"/>
    <w:rsid w:val="00EF7830"/>
    <w:rsid w:val="00EF7A97"/>
    <w:rsid w:val="00F0246A"/>
    <w:rsid w:val="00F0309E"/>
    <w:rsid w:val="00F03232"/>
    <w:rsid w:val="00F058D7"/>
    <w:rsid w:val="00F114B3"/>
    <w:rsid w:val="00F118DB"/>
    <w:rsid w:val="00F11B2E"/>
    <w:rsid w:val="00F14417"/>
    <w:rsid w:val="00F17900"/>
    <w:rsid w:val="00F17A3B"/>
    <w:rsid w:val="00F22F9D"/>
    <w:rsid w:val="00F23F5E"/>
    <w:rsid w:val="00F2664A"/>
    <w:rsid w:val="00F2681F"/>
    <w:rsid w:val="00F30E99"/>
    <w:rsid w:val="00F31840"/>
    <w:rsid w:val="00F33ED0"/>
    <w:rsid w:val="00F354E3"/>
    <w:rsid w:val="00F377A5"/>
    <w:rsid w:val="00F37A63"/>
    <w:rsid w:val="00F40804"/>
    <w:rsid w:val="00F46404"/>
    <w:rsid w:val="00F479FC"/>
    <w:rsid w:val="00F47AA4"/>
    <w:rsid w:val="00F51432"/>
    <w:rsid w:val="00F52F27"/>
    <w:rsid w:val="00F54088"/>
    <w:rsid w:val="00F572B4"/>
    <w:rsid w:val="00F57887"/>
    <w:rsid w:val="00F60AEF"/>
    <w:rsid w:val="00F615B4"/>
    <w:rsid w:val="00F624E2"/>
    <w:rsid w:val="00F670F1"/>
    <w:rsid w:val="00F70A6D"/>
    <w:rsid w:val="00F7356E"/>
    <w:rsid w:val="00F743CA"/>
    <w:rsid w:val="00F74AF1"/>
    <w:rsid w:val="00F74EAD"/>
    <w:rsid w:val="00F75830"/>
    <w:rsid w:val="00F7700D"/>
    <w:rsid w:val="00F7726F"/>
    <w:rsid w:val="00F77619"/>
    <w:rsid w:val="00F777E0"/>
    <w:rsid w:val="00F82D45"/>
    <w:rsid w:val="00F83912"/>
    <w:rsid w:val="00F84DCE"/>
    <w:rsid w:val="00F86474"/>
    <w:rsid w:val="00F91367"/>
    <w:rsid w:val="00F91605"/>
    <w:rsid w:val="00F91681"/>
    <w:rsid w:val="00F92356"/>
    <w:rsid w:val="00F9257D"/>
    <w:rsid w:val="00F9432B"/>
    <w:rsid w:val="00F94D26"/>
    <w:rsid w:val="00F96A69"/>
    <w:rsid w:val="00FA0E9C"/>
    <w:rsid w:val="00FA2C23"/>
    <w:rsid w:val="00FA5A1E"/>
    <w:rsid w:val="00FA6678"/>
    <w:rsid w:val="00FA72F0"/>
    <w:rsid w:val="00FA7711"/>
    <w:rsid w:val="00FA7F10"/>
    <w:rsid w:val="00FB0C90"/>
    <w:rsid w:val="00FB1176"/>
    <w:rsid w:val="00FB1478"/>
    <w:rsid w:val="00FB466C"/>
    <w:rsid w:val="00FB6A44"/>
    <w:rsid w:val="00FB6AE3"/>
    <w:rsid w:val="00FB74A9"/>
    <w:rsid w:val="00FB7C6A"/>
    <w:rsid w:val="00FD0622"/>
    <w:rsid w:val="00FD4745"/>
    <w:rsid w:val="00FD6B7C"/>
    <w:rsid w:val="00FD7C09"/>
    <w:rsid w:val="00FE2179"/>
    <w:rsid w:val="00FE744A"/>
    <w:rsid w:val="00FE75FE"/>
    <w:rsid w:val="00FE7A34"/>
    <w:rsid w:val="00FF7828"/>
    <w:rsid w:val="01017FB5"/>
    <w:rsid w:val="011646D7"/>
    <w:rsid w:val="01232BB6"/>
    <w:rsid w:val="012706AB"/>
    <w:rsid w:val="01481AE0"/>
    <w:rsid w:val="014F03EF"/>
    <w:rsid w:val="016234D2"/>
    <w:rsid w:val="01635C49"/>
    <w:rsid w:val="01687703"/>
    <w:rsid w:val="01750159"/>
    <w:rsid w:val="018E1A14"/>
    <w:rsid w:val="01940C90"/>
    <w:rsid w:val="01946C70"/>
    <w:rsid w:val="019B1886"/>
    <w:rsid w:val="019C0076"/>
    <w:rsid w:val="01A95E0E"/>
    <w:rsid w:val="01B464A4"/>
    <w:rsid w:val="01C761D7"/>
    <w:rsid w:val="01C963F3"/>
    <w:rsid w:val="01CE3E86"/>
    <w:rsid w:val="01CF1907"/>
    <w:rsid w:val="01D803E5"/>
    <w:rsid w:val="01F209D9"/>
    <w:rsid w:val="01F63409"/>
    <w:rsid w:val="01FB23CB"/>
    <w:rsid w:val="01FB40D3"/>
    <w:rsid w:val="01FC0F9E"/>
    <w:rsid w:val="01FD4458"/>
    <w:rsid w:val="01FD7E4B"/>
    <w:rsid w:val="02017128"/>
    <w:rsid w:val="020531A4"/>
    <w:rsid w:val="020F48EF"/>
    <w:rsid w:val="0213766F"/>
    <w:rsid w:val="02262316"/>
    <w:rsid w:val="02397CB2"/>
    <w:rsid w:val="023F0464"/>
    <w:rsid w:val="024D5A4B"/>
    <w:rsid w:val="02535CBD"/>
    <w:rsid w:val="025F23C8"/>
    <w:rsid w:val="02620398"/>
    <w:rsid w:val="02743DB8"/>
    <w:rsid w:val="02750329"/>
    <w:rsid w:val="027619AC"/>
    <w:rsid w:val="02783976"/>
    <w:rsid w:val="02816F7C"/>
    <w:rsid w:val="028945B9"/>
    <w:rsid w:val="02A52864"/>
    <w:rsid w:val="02A76A85"/>
    <w:rsid w:val="02AB59A9"/>
    <w:rsid w:val="02AF3C41"/>
    <w:rsid w:val="02B068EF"/>
    <w:rsid w:val="02B93A83"/>
    <w:rsid w:val="02C8018C"/>
    <w:rsid w:val="02CD1F13"/>
    <w:rsid w:val="02CE3596"/>
    <w:rsid w:val="02CF5C27"/>
    <w:rsid w:val="02EF77E1"/>
    <w:rsid w:val="02F05C02"/>
    <w:rsid w:val="02F403E5"/>
    <w:rsid w:val="02F45E67"/>
    <w:rsid w:val="03015719"/>
    <w:rsid w:val="030D2310"/>
    <w:rsid w:val="0312400A"/>
    <w:rsid w:val="0320472C"/>
    <w:rsid w:val="0324420B"/>
    <w:rsid w:val="032A10C7"/>
    <w:rsid w:val="032B6341"/>
    <w:rsid w:val="033142FA"/>
    <w:rsid w:val="033E4BBF"/>
    <w:rsid w:val="0341020B"/>
    <w:rsid w:val="034C75A4"/>
    <w:rsid w:val="03561F09"/>
    <w:rsid w:val="03577A2F"/>
    <w:rsid w:val="03624A8E"/>
    <w:rsid w:val="036D1391"/>
    <w:rsid w:val="03744D6D"/>
    <w:rsid w:val="037D7C0F"/>
    <w:rsid w:val="038A1272"/>
    <w:rsid w:val="038D5FE6"/>
    <w:rsid w:val="03B92498"/>
    <w:rsid w:val="03C84489"/>
    <w:rsid w:val="03D1333D"/>
    <w:rsid w:val="03D9195C"/>
    <w:rsid w:val="04017234"/>
    <w:rsid w:val="041A7C63"/>
    <w:rsid w:val="04357D70"/>
    <w:rsid w:val="04392C7B"/>
    <w:rsid w:val="043B4C5B"/>
    <w:rsid w:val="045F2658"/>
    <w:rsid w:val="046917C8"/>
    <w:rsid w:val="0477750B"/>
    <w:rsid w:val="049820AD"/>
    <w:rsid w:val="049C2D1F"/>
    <w:rsid w:val="049C7DEF"/>
    <w:rsid w:val="049D07A1"/>
    <w:rsid w:val="04A44EF6"/>
    <w:rsid w:val="04A5362F"/>
    <w:rsid w:val="04A6582D"/>
    <w:rsid w:val="04B073F7"/>
    <w:rsid w:val="04B07740"/>
    <w:rsid w:val="04B50EB1"/>
    <w:rsid w:val="04C2515D"/>
    <w:rsid w:val="04C669AD"/>
    <w:rsid w:val="04D17976"/>
    <w:rsid w:val="05056DF0"/>
    <w:rsid w:val="050634BB"/>
    <w:rsid w:val="051200B1"/>
    <w:rsid w:val="05280385"/>
    <w:rsid w:val="052971FB"/>
    <w:rsid w:val="05300538"/>
    <w:rsid w:val="053A6935"/>
    <w:rsid w:val="05547D1F"/>
    <w:rsid w:val="055E32F7"/>
    <w:rsid w:val="056A5D0F"/>
    <w:rsid w:val="056F5C5E"/>
    <w:rsid w:val="057A1348"/>
    <w:rsid w:val="058A396D"/>
    <w:rsid w:val="05921FB2"/>
    <w:rsid w:val="059B1E91"/>
    <w:rsid w:val="05A30D0A"/>
    <w:rsid w:val="05AA2098"/>
    <w:rsid w:val="05B42F17"/>
    <w:rsid w:val="05D215EF"/>
    <w:rsid w:val="05D62E8D"/>
    <w:rsid w:val="05DC421B"/>
    <w:rsid w:val="05DE1D42"/>
    <w:rsid w:val="05DF20B2"/>
    <w:rsid w:val="05E01F5E"/>
    <w:rsid w:val="05E536D6"/>
    <w:rsid w:val="05FB28F4"/>
    <w:rsid w:val="05FC5579"/>
    <w:rsid w:val="05FE4192"/>
    <w:rsid w:val="06011BC3"/>
    <w:rsid w:val="06021298"/>
    <w:rsid w:val="06205D04"/>
    <w:rsid w:val="06247F36"/>
    <w:rsid w:val="063742FF"/>
    <w:rsid w:val="064C13E1"/>
    <w:rsid w:val="064F5BE9"/>
    <w:rsid w:val="06530982"/>
    <w:rsid w:val="0659586C"/>
    <w:rsid w:val="06622A8E"/>
    <w:rsid w:val="066730DF"/>
    <w:rsid w:val="066C7D27"/>
    <w:rsid w:val="067074C0"/>
    <w:rsid w:val="06787267"/>
    <w:rsid w:val="06874077"/>
    <w:rsid w:val="068C7F4B"/>
    <w:rsid w:val="069E723E"/>
    <w:rsid w:val="06B331CE"/>
    <w:rsid w:val="06C90C44"/>
    <w:rsid w:val="06DF2215"/>
    <w:rsid w:val="06E54104"/>
    <w:rsid w:val="06EE6695"/>
    <w:rsid w:val="06FC3783"/>
    <w:rsid w:val="070447D0"/>
    <w:rsid w:val="070842BB"/>
    <w:rsid w:val="07120AE1"/>
    <w:rsid w:val="07231554"/>
    <w:rsid w:val="073360BD"/>
    <w:rsid w:val="073A1972"/>
    <w:rsid w:val="07481B68"/>
    <w:rsid w:val="07511298"/>
    <w:rsid w:val="0754675F"/>
    <w:rsid w:val="075C73C2"/>
    <w:rsid w:val="075D0324"/>
    <w:rsid w:val="07672E32"/>
    <w:rsid w:val="07743C39"/>
    <w:rsid w:val="077C1812"/>
    <w:rsid w:val="077E2A57"/>
    <w:rsid w:val="07824CE1"/>
    <w:rsid w:val="07832BA1"/>
    <w:rsid w:val="07874FF6"/>
    <w:rsid w:val="07902B62"/>
    <w:rsid w:val="079061F5"/>
    <w:rsid w:val="0797664C"/>
    <w:rsid w:val="07B13964"/>
    <w:rsid w:val="07B408D7"/>
    <w:rsid w:val="07B43BC4"/>
    <w:rsid w:val="07BA3D39"/>
    <w:rsid w:val="07C30C69"/>
    <w:rsid w:val="07D16002"/>
    <w:rsid w:val="07DD2850"/>
    <w:rsid w:val="07E76C04"/>
    <w:rsid w:val="07EC7F5B"/>
    <w:rsid w:val="07F6399B"/>
    <w:rsid w:val="07F92E63"/>
    <w:rsid w:val="080C0DE8"/>
    <w:rsid w:val="080D2493"/>
    <w:rsid w:val="08153A69"/>
    <w:rsid w:val="08193505"/>
    <w:rsid w:val="081B32E1"/>
    <w:rsid w:val="08206641"/>
    <w:rsid w:val="082500FC"/>
    <w:rsid w:val="083375A0"/>
    <w:rsid w:val="08444A26"/>
    <w:rsid w:val="08470072"/>
    <w:rsid w:val="084E56AE"/>
    <w:rsid w:val="08585DDB"/>
    <w:rsid w:val="08845B88"/>
    <w:rsid w:val="08856DEC"/>
    <w:rsid w:val="088B02B7"/>
    <w:rsid w:val="088E0696"/>
    <w:rsid w:val="08AC25CB"/>
    <w:rsid w:val="08BE185D"/>
    <w:rsid w:val="08C330EF"/>
    <w:rsid w:val="08DF64FD"/>
    <w:rsid w:val="08FA57C7"/>
    <w:rsid w:val="08FB3F71"/>
    <w:rsid w:val="08FE7A50"/>
    <w:rsid w:val="08FF7AB1"/>
    <w:rsid w:val="09181A0E"/>
    <w:rsid w:val="091C32AD"/>
    <w:rsid w:val="0923288D"/>
    <w:rsid w:val="09241E8E"/>
    <w:rsid w:val="09291A3F"/>
    <w:rsid w:val="092E2FE0"/>
    <w:rsid w:val="093C394F"/>
    <w:rsid w:val="094523C3"/>
    <w:rsid w:val="095306EF"/>
    <w:rsid w:val="09587432"/>
    <w:rsid w:val="095D2EA5"/>
    <w:rsid w:val="096A12FE"/>
    <w:rsid w:val="097A6F2C"/>
    <w:rsid w:val="097F5A20"/>
    <w:rsid w:val="098B0432"/>
    <w:rsid w:val="099C263F"/>
    <w:rsid w:val="09A80FE4"/>
    <w:rsid w:val="09AB6EA7"/>
    <w:rsid w:val="09BC4A90"/>
    <w:rsid w:val="09C8299C"/>
    <w:rsid w:val="09DD682A"/>
    <w:rsid w:val="09DE67B4"/>
    <w:rsid w:val="09E900F9"/>
    <w:rsid w:val="09FE0C04"/>
    <w:rsid w:val="0A247432"/>
    <w:rsid w:val="0A2A393B"/>
    <w:rsid w:val="0A2B13BC"/>
    <w:rsid w:val="0A4422E6"/>
    <w:rsid w:val="0A4707FD"/>
    <w:rsid w:val="0A4B01C2"/>
    <w:rsid w:val="0A5237FA"/>
    <w:rsid w:val="0A5A454F"/>
    <w:rsid w:val="0A616013"/>
    <w:rsid w:val="0A6273E5"/>
    <w:rsid w:val="0A635DA0"/>
    <w:rsid w:val="0A652A31"/>
    <w:rsid w:val="0A762FDD"/>
    <w:rsid w:val="0A8C26DA"/>
    <w:rsid w:val="0A981059"/>
    <w:rsid w:val="0AAA48E8"/>
    <w:rsid w:val="0AB0529A"/>
    <w:rsid w:val="0AB15C77"/>
    <w:rsid w:val="0AC27FEC"/>
    <w:rsid w:val="0ADC6EC4"/>
    <w:rsid w:val="0ADD4CBE"/>
    <w:rsid w:val="0AE24082"/>
    <w:rsid w:val="0AE47DFA"/>
    <w:rsid w:val="0AED2A2C"/>
    <w:rsid w:val="0B03361E"/>
    <w:rsid w:val="0B14133A"/>
    <w:rsid w:val="0B151C33"/>
    <w:rsid w:val="0B446AEB"/>
    <w:rsid w:val="0B50723E"/>
    <w:rsid w:val="0B574A70"/>
    <w:rsid w:val="0B575D8A"/>
    <w:rsid w:val="0B646ACD"/>
    <w:rsid w:val="0B6D4294"/>
    <w:rsid w:val="0B7F5BF9"/>
    <w:rsid w:val="0B8909A2"/>
    <w:rsid w:val="0B8D66E4"/>
    <w:rsid w:val="0B8E688D"/>
    <w:rsid w:val="0B9F01C5"/>
    <w:rsid w:val="0BA13F3D"/>
    <w:rsid w:val="0BA9762F"/>
    <w:rsid w:val="0BAC764A"/>
    <w:rsid w:val="0BCE431E"/>
    <w:rsid w:val="0BE1258C"/>
    <w:rsid w:val="0BED0F30"/>
    <w:rsid w:val="0BFB761F"/>
    <w:rsid w:val="0C157C4F"/>
    <w:rsid w:val="0C1C35C4"/>
    <w:rsid w:val="0C320DD2"/>
    <w:rsid w:val="0C3550BB"/>
    <w:rsid w:val="0C394176"/>
    <w:rsid w:val="0C3D31F8"/>
    <w:rsid w:val="0C3F075F"/>
    <w:rsid w:val="0C452939"/>
    <w:rsid w:val="0C453A10"/>
    <w:rsid w:val="0C4A1EDF"/>
    <w:rsid w:val="0C4E1933"/>
    <w:rsid w:val="0C4F04C9"/>
    <w:rsid w:val="0C632FA1"/>
    <w:rsid w:val="0C661095"/>
    <w:rsid w:val="0C6B4660"/>
    <w:rsid w:val="0C833643"/>
    <w:rsid w:val="0C960633"/>
    <w:rsid w:val="0C9B1295"/>
    <w:rsid w:val="0CA05FA3"/>
    <w:rsid w:val="0CA06C12"/>
    <w:rsid w:val="0CAA74DD"/>
    <w:rsid w:val="0CCA74C4"/>
    <w:rsid w:val="0CD345CA"/>
    <w:rsid w:val="0CD56D9C"/>
    <w:rsid w:val="0CD619C5"/>
    <w:rsid w:val="0CE83016"/>
    <w:rsid w:val="0CF15809"/>
    <w:rsid w:val="0D044FB3"/>
    <w:rsid w:val="0D054058"/>
    <w:rsid w:val="0D144F6D"/>
    <w:rsid w:val="0D222FF9"/>
    <w:rsid w:val="0D224C0A"/>
    <w:rsid w:val="0D2A5233"/>
    <w:rsid w:val="0D2B2395"/>
    <w:rsid w:val="0D2C4208"/>
    <w:rsid w:val="0D352639"/>
    <w:rsid w:val="0D4A3843"/>
    <w:rsid w:val="0D4B74D8"/>
    <w:rsid w:val="0D4E1EA3"/>
    <w:rsid w:val="0D586BA6"/>
    <w:rsid w:val="0D60313C"/>
    <w:rsid w:val="0D707408"/>
    <w:rsid w:val="0D755681"/>
    <w:rsid w:val="0D764D13"/>
    <w:rsid w:val="0D7C6A10"/>
    <w:rsid w:val="0D8C678C"/>
    <w:rsid w:val="0DA25D4B"/>
    <w:rsid w:val="0DA815B3"/>
    <w:rsid w:val="0DEB14A0"/>
    <w:rsid w:val="0DEC0AE2"/>
    <w:rsid w:val="0DEF37FE"/>
    <w:rsid w:val="0DF06AB6"/>
    <w:rsid w:val="0DF742E8"/>
    <w:rsid w:val="0DFE5677"/>
    <w:rsid w:val="0E010CC3"/>
    <w:rsid w:val="0E0F0CE5"/>
    <w:rsid w:val="0E2B3F92"/>
    <w:rsid w:val="0E3A41D5"/>
    <w:rsid w:val="0E4449F4"/>
    <w:rsid w:val="0E475979"/>
    <w:rsid w:val="0E543C3C"/>
    <w:rsid w:val="0E567261"/>
    <w:rsid w:val="0E686F94"/>
    <w:rsid w:val="0E6A376D"/>
    <w:rsid w:val="0E84425D"/>
    <w:rsid w:val="0E8536A2"/>
    <w:rsid w:val="0E864564"/>
    <w:rsid w:val="0E8D07A9"/>
    <w:rsid w:val="0E994A80"/>
    <w:rsid w:val="0E9D6A33"/>
    <w:rsid w:val="0E9E6388"/>
    <w:rsid w:val="0EA53D44"/>
    <w:rsid w:val="0EA55AF2"/>
    <w:rsid w:val="0EB16245"/>
    <w:rsid w:val="0EB61AAE"/>
    <w:rsid w:val="0EBB7EB6"/>
    <w:rsid w:val="0EBD2E3C"/>
    <w:rsid w:val="0EBE46BE"/>
    <w:rsid w:val="0EBE62F7"/>
    <w:rsid w:val="0EC046DA"/>
    <w:rsid w:val="0ECB27F7"/>
    <w:rsid w:val="0EDF64BB"/>
    <w:rsid w:val="0EEA0A05"/>
    <w:rsid w:val="0F0E7940"/>
    <w:rsid w:val="0F1A028E"/>
    <w:rsid w:val="0F20786F"/>
    <w:rsid w:val="0F2E6E4B"/>
    <w:rsid w:val="0F355602"/>
    <w:rsid w:val="0F3B2377"/>
    <w:rsid w:val="0F420900"/>
    <w:rsid w:val="0F56577D"/>
    <w:rsid w:val="0F621C35"/>
    <w:rsid w:val="0F725466"/>
    <w:rsid w:val="0F7D27F8"/>
    <w:rsid w:val="0F836828"/>
    <w:rsid w:val="0F890F70"/>
    <w:rsid w:val="0F8C278D"/>
    <w:rsid w:val="0F953CA8"/>
    <w:rsid w:val="0FB70159"/>
    <w:rsid w:val="0FC14BAE"/>
    <w:rsid w:val="0FC71A98"/>
    <w:rsid w:val="0FCC0BCF"/>
    <w:rsid w:val="0FD0215A"/>
    <w:rsid w:val="0FD32136"/>
    <w:rsid w:val="0FD54B6A"/>
    <w:rsid w:val="0FD60930"/>
    <w:rsid w:val="0FE05657"/>
    <w:rsid w:val="0FE30C1D"/>
    <w:rsid w:val="0FFF254C"/>
    <w:rsid w:val="10207B26"/>
    <w:rsid w:val="102C16B4"/>
    <w:rsid w:val="10410391"/>
    <w:rsid w:val="104C2BCB"/>
    <w:rsid w:val="10507CE0"/>
    <w:rsid w:val="105814FE"/>
    <w:rsid w:val="10785FF8"/>
    <w:rsid w:val="10800D35"/>
    <w:rsid w:val="108E51D0"/>
    <w:rsid w:val="10970A63"/>
    <w:rsid w:val="109B3806"/>
    <w:rsid w:val="10A15C2C"/>
    <w:rsid w:val="10A87B1C"/>
    <w:rsid w:val="10B2256F"/>
    <w:rsid w:val="10BE6B83"/>
    <w:rsid w:val="10C17485"/>
    <w:rsid w:val="10D206F5"/>
    <w:rsid w:val="10E2362A"/>
    <w:rsid w:val="10E82A49"/>
    <w:rsid w:val="10F17525"/>
    <w:rsid w:val="110235F3"/>
    <w:rsid w:val="11051FFA"/>
    <w:rsid w:val="1107444E"/>
    <w:rsid w:val="11090A00"/>
    <w:rsid w:val="110A7E8F"/>
    <w:rsid w:val="110E3E23"/>
    <w:rsid w:val="110F1949"/>
    <w:rsid w:val="11146D91"/>
    <w:rsid w:val="11160C41"/>
    <w:rsid w:val="111E1B8C"/>
    <w:rsid w:val="11290C5D"/>
    <w:rsid w:val="112A5A08"/>
    <w:rsid w:val="11343367"/>
    <w:rsid w:val="113D0264"/>
    <w:rsid w:val="11427629"/>
    <w:rsid w:val="114F61E9"/>
    <w:rsid w:val="11586E4C"/>
    <w:rsid w:val="11660951"/>
    <w:rsid w:val="11683CF4"/>
    <w:rsid w:val="116B7F83"/>
    <w:rsid w:val="116C28F7"/>
    <w:rsid w:val="117C61E1"/>
    <w:rsid w:val="11803EC2"/>
    <w:rsid w:val="11892628"/>
    <w:rsid w:val="118B449A"/>
    <w:rsid w:val="11904838"/>
    <w:rsid w:val="11963E18"/>
    <w:rsid w:val="11973D63"/>
    <w:rsid w:val="11A02BE0"/>
    <w:rsid w:val="11B1137E"/>
    <w:rsid w:val="11C023CF"/>
    <w:rsid w:val="11CB5B57"/>
    <w:rsid w:val="11DF756D"/>
    <w:rsid w:val="11F62C07"/>
    <w:rsid w:val="11F87930"/>
    <w:rsid w:val="11FD5C45"/>
    <w:rsid w:val="120630C8"/>
    <w:rsid w:val="12072620"/>
    <w:rsid w:val="120B18A7"/>
    <w:rsid w:val="122214CC"/>
    <w:rsid w:val="122356AC"/>
    <w:rsid w:val="122D52DF"/>
    <w:rsid w:val="125A73BA"/>
    <w:rsid w:val="127441DD"/>
    <w:rsid w:val="127841CC"/>
    <w:rsid w:val="128123D2"/>
    <w:rsid w:val="12976F0D"/>
    <w:rsid w:val="12984975"/>
    <w:rsid w:val="12A44024"/>
    <w:rsid w:val="12AA36D7"/>
    <w:rsid w:val="12AC5DC9"/>
    <w:rsid w:val="12B2392C"/>
    <w:rsid w:val="12C0717A"/>
    <w:rsid w:val="12CD1ABC"/>
    <w:rsid w:val="12D66DEE"/>
    <w:rsid w:val="12E44E0E"/>
    <w:rsid w:val="12E60488"/>
    <w:rsid w:val="12EA7611"/>
    <w:rsid w:val="12F2507E"/>
    <w:rsid w:val="12F928B1"/>
    <w:rsid w:val="130059ED"/>
    <w:rsid w:val="130E32D7"/>
    <w:rsid w:val="13113756"/>
    <w:rsid w:val="13385187"/>
    <w:rsid w:val="13386F35"/>
    <w:rsid w:val="134926B4"/>
    <w:rsid w:val="1350139D"/>
    <w:rsid w:val="13546729"/>
    <w:rsid w:val="13572033"/>
    <w:rsid w:val="13673D62"/>
    <w:rsid w:val="136A1334"/>
    <w:rsid w:val="136C2150"/>
    <w:rsid w:val="137B2AD9"/>
    <w:rsid w:val="13817EFA"/>
    <w:rsid w:val="139B3268"/>
    <w:rsid w:val="13A42ECD"/>
    <w:rsid w:val="13CA6005"/>
    <w:rsid w:val="13DE4123"/>
    <w:rsid w:val="13EE74BE"/>
    <w:rsid w:val="13F65D2B"/>
    <w:rsid w:val="13F96ACE"/>
    <w:rsid w:val="13FF4CED"/>
    <w:rsid w:val="14397409"/>
    <w:rsid w:val="143C26BD"/>
    <w:rsid w:val="14496F20"/>
    <w:rsid w:val="145204CA"/>
    <w:rsid w:val="146B50E8"/>
    <w:rsid w:val="146F2E2A"/>
    <w:rsid w:val="14745D55"/>
    <w:rsid w:val="147677A3"/>
    <w:rsid w:val="148A547E"/>
    <w:rsid w:val="148F527B"/>
    <w:rsid w:val="1495235C"/>
    <w:rsid w:val="14981ED6"/>
    <w:rsid w:val="14A01236"/>
    <w:rsid w:val="14AD65F8"/>
    <w:rsid w:val="14BE346A"/>
    <w:rsid w:val="14BE790E"/>
    <w:rsid w:val="14CF4595"/>
    <w:rsid w:val="14E42E37"/>
    <w:rsid w:val="14E56F92"/>
    <w:rsid w:val="14FC4667"/>
    <w:rsid w:val="1508650A"/>
    <w:rsid w:val="15086DDB"/>
    <w:rsid w:val="153B1209"/>
    <w:rsid w:val="15400323"/>
    <w:rsid w:val="154020D1"/>
    <w:rsid w:val="1543221C"/>
    <w:rsid w:val="154871D8"/>
    <w:rsid w:val="155C35A4"/>
    <w:rsid w:val="15632263"/>
    <w:rsid w:val="156A53A0"/>
    <w:rsid w:val="156C55BC"/>
    <w:rsid w:val="157D1577"/>
    <w:rsid w:val="157D29F0"/>
    <w:rsid w:val="15826B8D"/>
    <w:rsid w:val="158E5532"/>
    <w:rsid w:val="158E7D3E"/>
    <w:rsid w:val="15994D77"/>
    <w:rsid w:val="159C3D02"/>
    <w:rsid w:val="15A148C7"/>
    <w:rsid w:val="15B87DAF"/>
    <w:rsid w:val="15B900D5"/>
    <w:rsid w:val="15E45152"/>
    <w:rsid w:val="15FD2AA2"/>
    <w:rsid w:val="1606156C"/>
    <w:rsid w:val="160B7FC6"/>
    <w:rsid w:val="16142196"/>
    <w:rsid w:val="16294BEB"/>
    <w:rsid w:val="16301360"/>
    <w:rsid w:val="16394E85"/>
    <w:rsid w:val="165C73DE"/>
    <w:rsid w:val="167F131F"/>
    <w:rsid w:val="168C1346"/>
    <w:rsid w:val="168E7B34"/>
    <w:rsid w:val="169F376F"/>
    <w:rsid w:val="16A448E1"/>
    <w:rsid w:val="16AF50AE"/>
    <w:rsid w:val="16B20DAC"/>
    <w:rsid w:val="16BF34C9"/>
    <w:rsid w:val="16C31B9A"/>
    <w:rsid w:val="16CF7BB0"/>
    <w:rsid w:val="16ED650E"/>
    <w:rsid w:val="16F615E1"/>
    <w:rsid w:val="171B5CEB"/>
    <w:rsid w:val="17330027"/>
    <w:rsid w:val="17375756"/>
    <w:rsid w:val="17457E73"/>
    <w:rsid w:val="1753670C"/>
    <w:rsid w:val="175C77FA"/>
    <w:rsid w:val="17634A3D"/>
    <w:rsid w:val="17671692"/>
    <w:rsid w:val="17797A0F"/>
    <w:rsid w:val="1786728C"/>
    <w:rsid w:val="17C3356A"/>
    <w:rsid w:val="17CF23BD"/>
    <w:rsid w:val="17D0041E"/>
    <w:rsid w:val="17D9680D"/>
    <w:rsid w:val="17DF2075"/>
    <w:rsid w:val="17E34250"/>
    <w:rsid w:val="17F06755"/>
    <w:rsid w:val="17F141D6"/>
    <w:rsid w:val="1800023D"/>
    <w:rsid w:val="180C6BE2"/>
    <w:rsid w:val="180F6838"/>
    <w:rsid w:val="181D051D"/>
    <w:rsid w:val="18224902"/>
    <w:rsid w:val="18294323"/>
    <w:rsid w:val="18301906"/>
    <w:rsid w:val="18362340"/>
    <w:rsid w:val="183D2FD1"/>
    <w:rsid w:val="184047FC"/>
    <w:rsid w:val="18493992"/>
    <w:rsid w:val="185047BA"/>
    <w:rsid w:val="185A0EE3"/>
    <w:rsid w:val="185D2F9A"/>
    <w:rsid w:val="186B1008"/>
    <w:rsid w:val="18786026"/>
    <w:rsid w:val="1889121A"/>
    <w:rsid w:val="1889564E"/>
    <w:rsid w:val="18913915"/>
    <w:rsid w:val="18C92265"/>
    <w:rsid w:val="18ED2475"/>
    <w:rsid w:val="18F0688E"/>
    <w:rsid w:val="19094ED0"/>
    <w:rsid w:val="190B4923"/>
    <w:rsid w:val="190D49C0"/>
    <w:rsid w:val="190E58A7"/>
    <w:rsid w:val="190F0BDB"/>
    <w:rsid w:val="19232435"/>
    <w:rsid w:val="19487A0C"/>
    <w:rsid w:val="194F322A"/>
    <w:rsid w:val="19540841"/>
    <w:rsid w:val="19574DA2"/>
    <w:rsid w:val="19575C3B"/>
    <w:rsid w:val="195E521C"/>
    <w:rsid w:val="196D1144"/>
    <w:rsid w:val="1977053C"/>
    <w:rsid w:val="19796C7E"/>
    <w:rsid w:val="197E141A"/>
    <w:rsid w:val="19822215"/>
    <w:rsid w:val="198527A8"/>
    <w:rsid w:val="19874772"/>
    <w:rsid w:val="199926F8"/>
    <w:rsid w:val="199A3383"/>
    <w:rsid w:val="19A000ED"/>
    <w:rsid w:val="19B17A41"/>
    <w:rsid w:val="19B4172B"/>
    <w:rsid w:val="19BE5A4B"/>
    <w:rsid w:val="19C71817"/>
    <w:rsid w:val="19D72D44"/>
    <w:rsid w:val="19DD25E4"/>
    <w:rsid w:val="19DD4C7B"/>
    <w:rsid w:val="19EA2F53"/>
    <w:rsid w:val="19F906FD"/>
    <w:rsid w:val="1A040B36"/>
    <w:rsid w:val="1A120E47"/>
    <w:rsid w:val="1A1B2562"/>
    <w:rsid w:val="1A277D03"/>
    <w:rsid w:val="1A2975D8"/>
    <w:rsid w:val="1A2C3E73"/>
    <w:rsid w:val="1A393CB5"/>
    <w:rsid w:val="1A3D7527"/>
    <w:rsid w:val="1A473F02"/>
    <w:rsid w:val="1A5578A6"/>
    <w:rsid w:val="1A5B79AD"/>
    <w:rsid w:val="1A757D2A"/>
    <w:rsid w:val="1A790A90"/>
    <w:rsid w:val="1A7A7A4C"/>
    <w:rsid w:val="1A8567D8"/>
    <w:rsid w:val="1A961EAB"/>
    <w:rsid w:val="1AA650CC"/>
    <w:rsid w:val="1AA80E44"/>
    <w:rsid w:val="1AB4537C"/>
    <w:rsid w:val="1ABB087D"/>
    <w:rsid w:val="1AC15A62"/>
    <w:rsid w:val="1AC40276"/>
    <w:rsid w:val="1ACB761C"/>
    <w:rsid w:val="1ACB7F4D"/>
    <w:rsid w:val="1AD2428E"/>
    <w:rsid w:val="1ADC0421"/>
    <w:rsid w:val="1AED5C83"/>
    <w:rsid w:val="1AFD2812"/>
    <w:rsid w:val="1AFF47DC"/>
    <w:rsid w:val="1B022453"/>
    <w:rsid w:val="1B027E29"/>
    <w:rsid w:val="1B0A7C6C"/>
    <w:rsid w:val="1B0E4325"/>
    <w:rsid w:val="1B216905"/>
    <w:rsid w:val="1B371A34"/>
    <w:rsid w:val="1B3F1CD3"/>
    <w:rsid w:val="1B4B17D0"/>
    <w:rsid w:val="1B4D19EC"/>
    <w:rsid w:val="1B530684"/>
    <w:rsid w:val="1B5424B5"/>
    <w:rsid w:val="1B590390"/>
    <w:rsid w:val="1B604DF7"/>
    <w:rsid w:val="1B607376"/>
    <w:rsid w:val="1B644B05"/>
    <w:rsid w:val="1B770817"/>
    <w:rsid w:val="1B7927E1"/>
    <w:rsid w:val="1B7C2966"/>
    <w:rsid w:val="1B83540D"/>
    <w:rsid w:val="1B8770DC"/>
    <w:rsid w:val="1B97129C"/>
    <w:rsid w:val="1BA10E52"/>
    <w:rsid w:val="1BB03EA9"/>
    <w:rsid w:val="1BB73608"/>
    <w:rsid w:val="1BBE01F3"/>
    <w:rsid w:val="1BBF631B"/>
    <w:rsid w:val="1BDA70CB"/>
    <w:rsid w:val="1BDD2D6F"/>
    <w:rsid w:val="1BF73705"/>
    <w:rsid w:val="1C062453"/>
    <w:rsid w:val="1C252021"/>
    <w:rsid w:val="1C364861"/>
    <w:rsid w:val="1C3E30E2"/>
    <w:rsid w:val="1C5C1D06"/>
    <w:rsid w:val="1C5D69DE"/>
    <w:rsid w:val="1C663424"/>
    <w:rsid w:val="1C7104B7"/>
    <w:rsid w:val="1C7F715E"/>
    <w:rsid w:val="1C84080D"/>
    <w:rsid w:val="1C871ECB"/>
    <w:rsid w:val="1CA218C3"/>
    <w:rsid w:val="1CC966BB"/>
    <w:rsid w:val="1D064A1A"/>
    <w:rsid w:val="1D0A2C34"/>
    <w:rsid w:val="1D1E6052"/>
    <w:rsid w:val="1D39604E"/>
    <w:rsid w:val="1D4156E8"/>
    <w:rsid w:val="1D4D111F"/>
    <w:rsid w:val="1D4F2616"/>
    <w:rsid w:val="1D616C5F"/>
    <w:rsid w:val="1D756A60"/>
    <w:rsid w:val="1D785A3F"/>
    <w:rsid w:val="1DA12787"/>
    <w:rsid w:val="1DA933BF"/>
    <w:rsid w:val="1DAD5595"/>
    <w:rsid w:val="1DB729F6"/>
    <w:rsid w:val="1DBE44DB"/>
    <w:rsid w:val="1DC776F4"/>
    <w:rsid w:val="1DCD3BF8"/>
    <w:rsid w:val="1DD20D61"/>
    <w:rsid w:val="1DD22107"/>
    <w:rsid w:val="1DE17414"/>
    <w:rsid w:val="1DE81558"/>
    <w:rsid w:val="1DEB0A3D"/>
    <w:rsid w:val="1DF15726"/>
    <w:rsid w:val="1DF20628"/>
    <w:rsid w:val="1DF36C6C"/>
    <w:rsid w:val="1DF63B37"/>
    <w:rsid w:val="1E02552A"/>
    <w:rsid w:val="1E07311D"/>
    <w:rsid w:val="1E251721"/>
    <w:rsid w:val="1E25455A"/>
    <w:rsid w:val="1E403142"/>
    <w:rsid w:val="1E49057F"/>
    <w:rsid w:val="1E6A6411"/>
    <w:rsid w:val="1E782E0B"/>
    <w:rsid w:val="1E7958F0"/>
    <w:rsid w:val="1E847B79"/>
    <w:rsid w:val="1E8D597F"/>
    <w:rsid w:val="1E8E752D"/>
    <w:rsid w:val="1E8F0832"/>
    <w:rsid w:val="1E972E04"/>
    <w:rsid w:val="1E9B5C41"/>
    <w:rsid w:val="1EA336D1"/>
    <w:rsid w:val="1EAE5864"/>
    <w:rsid w:val="1EBA1E5F"/>
    <w:rsid w:val="1EC55489"/>
    <w:rsid w:val="1EC7640D"/>
    <w:rsid w:val="1ED878EA"/>
    <w:rsid w:val="1EDB10BC"/>
    <w:rsid w:val="1EEA0DD2"/>
    <w:rsid w:val="1EEF2F54"/>
    <w:rsid w:val="1EF63B7C"/>
    <w:rsid w:val="1F016D75"/>
    <w:rsid w:val="1F076BE7"/>
    <w:rsid w:val="1F0E75BF"/>
    <w:rsid w:val="1F127786"/>
    <w:rsid w:val="1F15637C"/>
    <w:rsid w:val="1F186022"/>
    <w:rsid w:val="1F282554"/>
    <w:rsid w:val="1F2C774B"/>
    <w:rsid w:val="1F334A54"/>
    <w:rsid w:val="1F496F54"/>
    <w:rsid w:val="1F502E6E"/>
    <w:rsid w:val="1F504AED"/>
    <w:rsid w:val="1F843502"/>
    <w:rsid w:val="1FA45952"/>
    <w:rsid w:val="1FAB4F33"/>
    <w:rsid w:val="1FB232B3"/>
    <w:rsid w:val="1FB50614"/>
    <w:rsid w:val="1FBE56A1"/>
    <w:rsid w:val="1FCF49A0"/>
    <w:rsid w:val="1FD44489"/>
    <w:rsid w:val="1FD75D28"/>
    <w:rsid w:val="1FDF673C"/>
    <w:rsid w:val="1FE12702"/>
    <w:rsid w:val="1FE67D19"/>
    <w:rsid w:val="1FF32470"/>
    <w:rsid w:val="1FF3AF77"/>
    <w:rsid w:val="1FFE31EC"/>
    <w:rsid w:val="20103FCE"/>
    <w:rsid w:val="20125215"/>
    <w:rsid w:val="202A6055"/>
    <w:rsid w:val="202B0159"/>
    <w:rsid w:val="20414A85"/>
    <w:rsid w:val="20564E1C"/>
    <w:rsid w:val="205D7CC4"/>
    <w:rsid w:val="207215AC"/>
    <w:rsid w:val="2083271B"/>
    <w:rsid w:val="208C266E"/>
    <w:rsid w:val="20A36C18"/>
    <w:rsid w:val="20C26E4A"/>
    <w:rsid w:val="20C36C4E"/>
    <w:rsid w:val="20D67D8D"/>
    <w:rsid w:val="20D94EF4"/>
    <w:rsid w:val="20DA787E"/>
    <w:rsid w:val="20E71499"/>
    <w:rsid w:val="20FF72E4"/>
    <w:rsid w:val="20FF7332"/>
    <w:rsid w:val="21004DB3"/>
    <w:rsid w:val="21095D93"/>
    <w:rsid w:val="21125918"/>
    <w:rsid w:val="21221225"/>
    <w:rsid w:val="21280936"/>
    <w:rsid w:val="212A2CD1"/>
    <w:rsid w:val="212D36C8"/>
    <w:rsid w:val="21320853"/>
    <w:rsid w:val="214E56FA"/>
    <w:rsid w:val="21501071"/>
    <w:rsid w:val="21582E98"/>
    <w:rsid w:val="2163359B"/>
    <w:rsid w:val="216B2B7C"/>
    <w:rsid w:val="21793563"/>
    <w:rsid w:val="21843C8D"/>
    <w:rsid w:val="21877FAD"/>
    <w:rsid w:val="21A54515"/>
    <w:rsid w:val="21AE24D6"/>
    <w:rsid w:val="21AE5800"/>
    <w:rsid w:val="21B04FB0"/>
    <w:rsid w:val="21BF6311"/>
    <w:rsid w:val="21D201BB"/>
    <w:rsid w:val="21D2510C"/>
    <w:rsid w:val="220713BF"/>
    <w:rsid w:val="220B1A78"/>
    <w:rsid w:val="22100564"/>
    <w:rsid w:val="22187B18"/>
    <w:rsid w:val="221D1C53"/>
    <w:rsid w:val="221E3C76"/>
    <w:rsid w:val="222A65E3"/>
    <w:rsid w:val="222E1639"/>
    <w:rsid w:val="2232642A"/>
    <w:rsid w:val="22433200"/>
    <w:rsid w:val="22720320"/>
    <w:rsid w:val="22720ED7"/>
    <w:rsid w:val="227855A0"/>
    <w:rsid w:val="22835CF3"/>
    <w:rsid w:val="229137C3"/>
    <w:rsid w:val="22936057"/>
    <w:rsid w:val="229C4D78"/>
    <w:rsid w:val="22A42520"/>
    <w:rsid w:val="22C01511"/>
    <w:rsid w:val="22C04755"/>
    <w:rsid w:val="22CF718A"/>
    <w:rsid w:val="22E9024C"/>
    <w:rsid w:val="22EB1FA1"/>
    <w:rsid w:val="22F866E1"/>
    <w:rsid w:val="23056708"/>
    <w:rsid w:val="230C267C"/>
    <w:rsid w:val="23132071"/>
    <w:rsid w:val="233314C7"/>
    <w:rsid w:val="235424D8"/>
    <w:rsid w:val="23581C64"/>
    <w:rsid w:val="236B292B"/>
    <w:rsid w:val="238B6C6C"/>
    <w:rsid w:val="23941462"/>
    <w:rsid w:val="23982480"/>
    <w:rsid w:val="239919AD"/>
    <w:rsid w:val="239A23BB"/>
    <w:rsid w:val="23A128D5"/>
    <w:rsid w:val="23A55F10"/>
    <w:rsid w:val="23B05A23"/>
    <w:rsid w:val="23C00041"/>
    <w:rsid w:val="23C47ABA"/>
    <w:rsid w:val="23CE2F9E"/>
    <w:rsid w:val="23D16DD0"/>
    <w:rsid w:val="23D42CAA"/>
    <w:rsid w:val="23DF78C8"/>
    <w:rsid w:val="23E634F2"/>
    <w:rsid w:val="23EB3B50"/>
    <w:rsid w:val="23F0560A"/>
    <w:rsid w:val="24013373"/>
    <w:rsid w:val="24213A15"/>
    <w:rsid w:val="24251995"/>
    <w:rsid w:val="242A29D3"/>
    <w:rsid w:val="242B219E"/>
    <w:rsid w:val="242B6642"/>
    <w:rsid w:val="242C07BB"/>
    <w:rsid w:val="243376EE"/>
    <w:rsid w:val="243922A1"/>
    <w:rsid w:val="24533EA6"/>
    <w:rsid w:val="245C67FB"/>
    <w:rsid w:val="245D4928"/>
    <w:rsid w:val="246635AB"/>
    <w:rsid w:val="246B583D"/>
    <w:rsid w:val="246D2675"/>
    <w:rsid w:val="248018BB"/>
    <w:rsid w:val="24945658"/>
    <w:rsid w:val="24B21F89"/>
    <w:rsid w:val="24B82A78"/>
    <w:rsid w:val="24DD2D27"/>
    <w:rsid w:val="24F76807"/>
    <w:rsid w:val="250B5853"/>
    <w:rsid w:val="252217F3"/>
    <w:rsid w:val="252441E0"/>
    <w:rsid w:val="254C2D14"/>
    <w:rsid w:val="254F1289"/>
    <w:rsid w:val="255B4D05"/>
    <w:rsid w:val="256A5012"/>
    <w:rsid w:val="258E03AA"/>
    <w:rsid w:val="25950217"/>
    <w:rsid w:val="25A55C48"/>
    <w:rsid w:val="25A60F16"/>
    <w:rsid w:val="25B07665"/>
    <w:rsid w:val="25B2685E"/>
    <w:rsid w:val="25BB2173"/>
    <w:rsid w:val="25C1100C"/>
    <w:rsid w:val="25CC175F"/>
    <w:rsid w:val="25DC7BF4"/>
    <w:rsid w:val="25E1345C"/>
    <w:rsid w:val="25E2058A"/>
    <w:rsid w:val="25E22D30"/>
    <w:rsid w:val="25E50F09"/>
    <w:rsid w:val="25EE16C9"/>
    <w:rsid w:val="25EF2DCB"/>
    <w:rsid w:val="25F56F08"/>
    <w:rsid w:val="26087CC1"/>
    <w:rsid w:val="260F00CF"/>
    <w:rsid w:val="26192BF6"/>
    <w:rsid w:val="261A4BC0"/>
    <w:rsid w:val="261E645E"/>
    <w:rsid w:val="261F70B9"/>
    <w:rsid w:val="26485289"/>
    <w:rsid w:val="264F486A"/>
    <w:rsid w:val="2650413E"/>
    <w:rsid w:val="26546066"/>
    <w:rsid w:val="26591064"/>
    <w:rsid w:val="266A3BD6"/>
    <w:rsid w:val="266E4439"/>
    <w:rsid w:val="266E7847"/>
    <w:rsid w:val="26702DE0"/>
    <w:rsid w:val="26747E2C"/>
    <w:rsid w:val="267A1F98"/>
    <w:rsid w:val="267C13D7"/>
    <w:rsid w:val="268705C2"/>
    <w:rsid w:val="268B6B11"/>
    <w:rsid w:val="269C0568"/>
    <w:rsid w:val="26B22917"/>
    <w:rsid w:val="26C8461C"/>
    <w:rsid w:val="26CC7C68"/>
    <w:rsid w:val="26E66850"/>
    <w:rsid w:val="26E93D19"/>
    <w:rsid w:val="26EB3CC2"/>
    <w:rsid w:val="2705573F"/>
    <w:rsid w:val="27075144"/>
    <w:rsid w:val="271414AB"/>
    <w:rsid w:val="2715673F"/>
    <w:rsid w:val="271E783C"/>
    <w:rsid w:val="27252EFD"/>
    <w:rsid w:val="27466EE5"/>
    <w:rsid w:val="2747513C"/>
    <w:rsid w:val="274912B9"/>
    <w:rsid w:val="274F000B"/>
    <w:rsid w:val="2788146A"/>
    <w:rsid w:val="27906663"/>
    <w:rsid w:val="27B16DAB"/>
    <w:rsid w:val="27B702D4"/>
    <w:rsid w:val="27BB1A8B"/>
    <w:rsid w:val="27CC365A"/>
    <w:rsid w:val="27D05536"/>
    <w:rsid w:val="27DC212D"/>
    <w:rsid w:val="27F07987"/>
    <w:rsid w:val="27FB0D99"/>
    <w:rsid w:val="28013F40"/>
    <w:rsid w:val="28021134"/>
    <w:rsid w:val="282D0B55"/>
    <w:rsid w:val="28304227"/>
    <w:rsid w:val="28357004"/>
    <w:rsid w:val="28443D9B"/>
    <w:rsid w:val="284B2E0F"/>
    <w:rsid w:val="284B7454"/>
    <w:rsid w:val="28593D41"/>
    <w:rsid w:val="28597E6B"/>
    <w:rsid w:val="285F00E2"/>
    <w:rsid w:val="285F5E0D"/>
    <w:rsid w:val="286345FC"/>
    <w:rsid w:val="28685E58"/>
    <w:rsid w:val="287265EE"/>
    <w:rsid w:val="287A2453"/>
    <w:rsid w:val="288876B9"/>
    <w:rsid w:val="289628AF"/>
    <w:rsid w:val="2898640F"/>
    <w:rsid w:val="289B1FE8"/>
    <w:rsid w:val="289E3886"/>
    <w:rsid w:val="28B718B9"/>
    <w:rsid w:val="28C01A4F"/>
    <w:rsid w:val="28C36E49"/>
    <w:rsid w:val="28C72DDD"/>
    <w:rsid w:val="28D23530"/>
    <w:rsid w:val="28DA09B1"/>
    <w:rsid w:val="28E64C29"/>
    <w:rsid w:val="28EE67D0"/>
    <w:rsid w:val="28F62ACB"/>
    <w:rsid w:val="28FE2577"/>
    <w:rsid w:val="28FF44D5"/>
    <w:rsid w:val="290F6CBE"/>
    <w:rsid w:val="29143B49"/>
    <w:rsid w:val="291C1880"/>
    <w:rsid w:val="291E41F2"/>
    <w:rsid w:val="2920604A"/>
    <w:rsid w:val="292638AF"/>
    <w:rsid w:val="292E7440"/>
    <w:rsid w:val="292F44DF"/>
    <w:rsid w:val="29310257"/>
    <w:rsid w:val="29454C43"/>
    <w:rsid w:val="29491A44"/>
    <w:rsid w:val="294C32E2"/>
    <w:rsid w:val="294F134B"/>
    <w:rsid w:val="2953641F"/>
    <w:rsid w:val="295C30F4"/>
    <w:rsid w:val="295E5451"/>
    <w:rsid w:val="2960467D"/>
    <w:rsid w:val="296175BB"/>
    <w:rsid w:val="296226FC"/>
    <w:rsid w:val="296576F6"/>
    <w:rsid w:val="296C128F"/>
    <w:rsid w:val="29714AF7"/>
    <w:rsid w:val="2976035F"/>
    <w:rsid w:val="29763EBB"/>
    <w:rsid w:val="29826D04"/>
    <w:rsid w:val="29984B41"/>
    <w:rsid w:val="29A461D7"/>
    <w:rsid w:val="29BC08C0"/>
    <w:rsid w:val="29C25353"/>
    <w:rsid w:val="29CE1F49"/>
    <w:rsid w:val="29D12B6C"/>
    <w:rsid w:val="29DD4803"/>
    <w:rsid w:val="29E7300B"/>
    <w:rsid w:val="29F319B0"/>
    <w:rsid w:val="29F3375E"/>
    <w:rsid w:val="29FECB2D"/>
    <w:rsid w:val="2A094141"/>
    <w:rsid w:val="2A0C1188"/>
    <w:rsid w:val="2A280AB9"/>
    <w:rsid w:val="2A2953D2"/>
    <w:rsid w:val="2A2D713F"/>
    <w:rsid w:val="2A3D0E90"/>
    <w:rsid w:val="2A401840"/>
    <w:rsid w:val="2A450056"/>
    <w:rsid w:val="2A4C79F4"/>
    <w:rsid w:val="2A4F6F0B"/>
    <w:rsid w:val="2A6874CB"/>
    <w:rsid w:val="2A7D7238"/>
    <w:rsid w:val="2A8E2558"/>
    <w:rsid w:val="2AA14EC0"/>
    <w:rsid w:val="2AA421ED"/>
    <w:rsid w:val="2AA448E2"/>
    <w:rsid w:val="2AA8279A"/>
    <w:rsid w:val="2AB4113F"/>
    <w:rsid w:val="2AB81F55"/>
    <w:rsid w:val="2ABD3010"/>
    <w:rsid w:val="2AC5334C"/>
    <w:rsid w:val="2ACB6489"/>
    <w:rsid w:val="2AD510B6"/>
    <w:rsid w:val="2ADA0B26"/>
    <w:rsid w:val="2ADF135E"/>
    <w:rsid w:val="2AEF71FD"/>
    <w:rsid w:val="2AF170AC"/>
    <w:rsid w:val="2AF91248"/>
    <w:rsid w:val="2B1D22CA"/>
    <w:rsid w:val="2B24565F"/>
    <w:rsid w:val="2B286C3A"/>
    <w:rsid w:val="2B5B2EB7"/>
    <w:rsid w:val="2B681F2A"/>
    <w:rsid w:val="2B7B67CD"/>
    <w:rsid w:val="2B9C5046"/>
    <w:rsid w:val="2BA3287C"/>
    <w:rsid w:val="2BAA42F0"/>
    <w:rsid w:val="2BAB5D27"/>
    <w:rsid w:val="2BAD3E89"/>
    <w:rsid w:val="2BBD47D8"/>
    <w:rsid w:val="2BC37160"/>
    <w:rsid w:val="2BC52E85"/>
    <w:rsid w:val="2BD32CF3"/>
    <w:rsid w:val="2BD3B6F7"/>
    <w:rsid w:val="2BD82C0B"/>
    <w:rsid w:val="2BE02C40"/>
    <w:rsid w:val="2BE27F2E"/>
    <w:rsid w:val="2BE83F94"/>
    <w:rsid w:val="2BEC4909"/>
    <w:rsid w:val="2BEF9FF4"/>
    <w:rsid w:val="2BF62A4D"/>
    <w:rsid w:val="2BFA7026"/>
    <w:rsid w:val="2BFB2D9E"/>
    <w:rsid w:val="2C2E3173"/>
    <w:rsid w:val="2C2E4602"/>
    <w:rsid w:val="2C427990"/>
    <w:rsid w:val="2C640943"/>
    <w:rsid w:val="2C666469"/>
    <w:rsid w:val="2C732E72"/>
    <w:rsid w:val="2C752B50"/>
    <w:rsid w:val="2C757690"/>
    <w:rsid w:val="2C7F577D"/>
    <w:rsid w:val="2C8A6617"/>
    <w:rsid w:val="2C8C296E"/>
    <w:rsid w:val="2C8C39F6"/>
    <w:rsid w:val="2C8C7AC2"/>
    <w:rsid w:val="2C8D59A4"/>
    <w:rsid w:val="2C8D5A6F"/>
    <w:rsid w:val="2C8F5C76"/>
    <w:rsid w:val="2C934D84"/>
    <w:rsid w:val="2CA174A1"/>
    <w:rsid w:val="2CA70830"/>
    <w:rsid w:val="2CA73E7B"/>
    <w:rsid w:val="2CAB186B"/>
    <w:rsid w:val="2CBD0053"/>
    <w:rsid w:val="2CDB7143"/>
    <w:rsid w:val="2CE33F5E"/>
    <w:rsid w:val="2CE66AF9"/>
    <w:rsid w:val="2CEB00D0"/>
    <w:rsid w:val="2CEB6BD6"/>
    <w:rsid w:val="2CF77A09"/>
    <w:rsid w:val="2D005136"/>
    <w:rsid w:val="2D185780"/>
    <w:rsid w:val="2D1C7470"/>
    <w:rsid w:val="2D22321C"/>
    <w:rsid w:val="2D5034E4"/>
    <w:rsid w:val="2D55028C"/>
    <w:rsid w:val="2D5B50F8"/>
    <w:rsid w:val="2D5E088C"/>
    <w:rsid w:val="2D657C06"/>
    <w:rsid w:val="2D7002CF"/>
    <w:rsid w:val="2D89141D"/>
    <w:rsid w:val="2D8A7365"/>
    <w:rsid w:val="2D940DB4"/>
    <w:rsid w:val="2D943ACC"/>
    <w:rsid w:val="2D945258"/>
    <w:rsid w:val="2D9A2E53"/>
    <w:rsid w:val="2DA2068E"/>
    <w:rsid w:val="2DAF5BEE"/>
    <w:rsid w:val="2DB00085"/>
    <w:rsid w:val="2DB27D05"/>
    <w:rsid w:val="2DC7118A"/>
    <w:rsid w:val="2DCB7498"/>
    <w:rsid w:val="2DD136C7"/>
    <w:rsid w:val="2DE64CDC"/>
    <w:rsid w:val="2DE81100"/>
    <w:rsid w:val="2DE93905"/>
    <w:rsid w:val="2DF70DD6"/>
    <w:rsid w:val="2E093082"/>
    <w:rsid w:val="2E0A23FE"/>
    <w:rsid w:val="2E0C7164"/>
    <w:rsid w:val="2E24482E"/>
    <w:rsid w:val="2E262354"/>
    <w:rsid w:val="2E2807CD"/>
    <w:rsid w:val="2E2D79DA"/>
    <w:rsid w:val="2E327FBD"/>
    <w:rsid w:val="2E3F536B"/>
    <w:rsid w:val="2E530C6F"/>
    <w:rsid w:val="2E5F4634"/>
    <w:rsid w:val="2E66321B"/>
    <w:rsid w:val="2E8A7442"/>
    <w:rsid w:val="2E9321C3"/>
    <w:rsid w:val="2E932876"/>
    <w:rsid w:val="2E954DE4"/>
    <w:rsid w:val="2E9E5921"/>
    <w:rsid w:val="2EA07A0D"/>
    <w:rsid w:val="2EBC49C5"/>
    <w:rsid w:val="2EC60449"/>
    <w:rsid w:val="2ECC1AD7"/>
    <w:rsid w:val="2EED69CE"/>
    <w:rsid w:val="2EF90CAE"/>
    <w:rsid w:val="2F012479"/>
    <w:rsid w:val="2F177ABC"/>
    <w:rsid w:val="2F2111E1"/>
    <w:rsid w:val="2F263DF2"/>
    <w:rsid w:val="2F2F5238"/>
    <w:rsid w:val="2F35178D"/>
    <w:rsid w:val="2F35554E"/>
    <w:rsid w:val="2F3B5E89"/>
    <w:rsid w:val="2F3E547B"/>
    <w:rsid w:val="2F5F3244"/>
    <w:rsid w:val="2F6649D2"/>
    <w:rsid w:val="2F6905DE"/>
    <w:rsid w:val="2F6D3845"/>
    <w:rsid w:val="2F6D3FB3"/>
    <w:rsid w:val="2F6F3887"/>
    <w:rsid w:val="2FA52BB1"/>
    <w:rsid w:val="2FBB4D1E"/>
    <w:rsid w:val="2FC51CEF"/>
    <w:rsid w:val="2FC647D1"/>
    <w:rsid w:val="2FCC6F2B"/>
    <w:rsid w:val="2FCF4325"/>
    <w:rsid w:val="2FD302BA"/>
    <w:rsid w:val="2FEC09B7"/>
    <w:rsid w:val="2FEC3129"/>
    <w:rsid w:val="2FFF226D"/>
    <w:rsid w:val="30062758"/>
    <w:rsid w:val="3008511A"/>
    <w:rsid w:val="30146D95"/>
    <w:rsid w:val="301A18FB"/>
    <w:rsid w:val="302A2034"/>
    <w:rsid w:val="302D729E"/>
    <w:rsid w:val="30393E95"/>
    <w:rsid w:val="303D1BD7"/>
    <w:rsid w:val="303D4E30"/>
    <w:rsid w:val="304732FA"/>
    <w:rsid w:val="3049057C"/>
    <w:rsid w:val="30534F57"/>
    <w:rsid w:val="30630D12"/>
    <w:rsid w:val="306F78B6"/>
    <w:rsid w:val="307355F9"/>
    <w:rsid w:val="307902EB"/>
    <w:rsid w:val="308B0B94"/>
    <w:rsid w:val="308B3CC1"/>
    <w:rsid w:val="308C66BA"/>
    <w:rsid w:val="309410C2"/>
    <w:rsid w:val="30C145B6"/>
    <w:rsid w:val="30D64574"/>
    <w:rsid w:val="30F06C49"/>
    <w:rsid w:val="30FD3114"/>
    <w:rsid w:val="30FF0C3A"/>
    <w:rsid w:val="31083F93"/>
    <w:rsid w:val="3119131B"/>
    <w:rsid w:val="31231E81"/>
    <w:rsid w:val="31295CB7"/>
    <w:rsid w:val="31557E7B"/>
    <w:rsid w:val="315947EF"/>
    <w:rsid w:val="315E3BB3"/>
    <w:rsid w:val="31614591"/>
    <w:rsid w:val="3166515D"/>
    <w:rsid w:val="316E36F8"/>
    <w:rsid w:val="317B29B7"/>
    <w:rsid w:val="317C6AB5"/>
    <w:rsid w:val="318254C8"/>
    <w:rsid w:val="31973569"/>
    <w:rsid w:val="31AD68E8"/>
    <w:rsid w:val="31B54A1D"/>
    <w:rsid w:val="31BB2756"/>
    <w:rsid w:val="31C77DA4"/>
    <w:rsid w:val="31E3249B"/>
    <w:rsid w:val="31F2254D"/>
    <w:rsid w:val="32194741"/>
    <w:rsid w:val="322A7F39"/>
    <w:rsid w:val="32313624"/>
    <w:rsid w:val="32484BE3"/>
    <w:rsid w:val="324B6EA3"/>
    <w:rsid w:val="32625D76"/>
    <w:rsid w:val="328947D0"/>
    <w:rsid w:val="32A16C40"/>
    <w:rsid w:val="32B36180"/>
    <w:rsid w:val="32BF68D3"/>
    <w:rsid w:val="32D260EE"/>
    <w:rsid w:val="32E4633A"/>
    <w:rsid w:val="32E55E94"/>
    <w:rsid w:val="32E91BA2"/>
    <w:rsid w:val="3304078A"/>
    <w:rsid w:val="330864CC"/>
    <w:rsid w:val="330A6248"/>
    <w:rsid w:val="33162E27"/>
    <w:rsid w:val="331E076C"/>
    <w:rsid w:val="33242BDA"/>
    <w:rsid w:val="332C1E5A"/>
    <w:rsid w:val="333A52F3"/>
    <w:rsid w:val="333F0CA1"/>
    <w:rsid w:val="33525999"/>
    <w:rsid w:val="335401CB"/>
    <w:rsid w:val="335B173A"/>
    <w:rsid w:val="335E301B"/>
    <w:rsid w:val="3361798A"/>
    <w:rsid w:val="336A2CE3"/>
    <w:rsid w:val="336B3F72"/>
    <w:rsid w:val="3380750C"/>
    <w:rsid w:val="33880521"/>
    <w:rsid w:val="338A589D"/>
    <w:rsid w:val="33B77665"/>
    <w:rsid w:val="33BD156F"/>
    <w:rsid w:val="33DE547F"/>
    <w:rsid w:val="33E31B49"/>
    <w:rsid w:val="33F94067"/>
    <w:rsid w:val="34047EEA"/>
    <w:rsid w:val="341D591F"/>
    <w:rsid w:val="3439693A"/>
    <w:rsid w:val="345B3646"/>
    <w:rsid w:val="34616D72"/>
    <w:rsid w:val="34617B4E"/>
    <w:rsid w:val="34685271"/>
    <w:rsid w:val="347C5147"/>
    <w:rsid w:val="34891525"/>
    <w:rsid w:val="348943B3"/>
    <w:rsid w:val="34897199"/>
    <w:rsid w:val="3491604D"/>
    <w:rsid w:val="34A2025B"/>
    <w:rsid w:val="34A57D4B"/>
    <w:rsid w:val="34AF4725"/>
    <w:rsid w:val="34B30D65"/>
    <w:rsid w:val="34BD32E6"/>
    <w:rsid w:val="34BD6E42"/>
    <w:rsid w:val="34E0409E"/>
    <w:rsid w:val="34E8541B"/>
    <w:rsid w:val="34EB675E"/>
    <w:rsid w:val="34F5482E"/>
    <w:rsid w:val="350121BB"/>
    <w:rsid w:val="3502519D"/>
    <w:rsid w:val="35092088"/>
    <w:rsid w:val="351153E0"/>
    <w:rsid w:val="351F4AE5"/>
    <w:rsid w:val="3529097C"/>
    <w:rsid w:val="35573FE6"/>
    <w:rsid w:val="355874C2"/>
    <w:rsid w:val="355D1C4A"/>
    <w:rsid w:val="355F5CE3"/>
    <w:rsid w:val="356B715E"/>
    <w:rsid w:val="35753BC1"/>
    <w:rsid w:val="35773495"/>
    <w:rsid w:val="35776A4B"/>
    <w:rsid w:val="35797829"/>
    <w:rsid w:val="357E2A76"/>
    <w:rsid w:val="35833459"/>
    <w:rsid w:val="35C36441"/>
    <w:rsid w:val="35C56367"/>
    <w:rsid w:val="35D10F79"/>
    <w:rsid w:val="35E037F3"/>
    <w:rsid w:val="36101453"/>
    <w:rsid w:val="3611559E"/>
    <w:rsid w:val="36154A5C"/>
    <w:rsid w:val="361A22B1"/>
    <w:rsid w:val="362A49AB"/>
    <w:rsid w:val="36350CFE"/>
    <w:rsid w:val="36383AB1"/>
    <w:rsid w:val="36484E32"/>
    <w:rsid w:val="3653763E"/>
    <w:rsid w:val="365F76A0"/>
    <w:rsid w:val="3662106F"/>
    <w:rsid w:val="366D142F"/>
    <w:rsid w:val="36797630"/>
    <w:rsid w:val="3682337C"/>
    <w:rsid w:val="36832FFC"/>
    <w:rsid w:val="3684230E"/>
    <w:rsid w:val="36947F2D"/>
    <w:rsid w:val="36A71B58"/>
    <w:rsid w:val="36AD1F82"/>
    <w:rsid w:val="36AE76C3"/>
    <w:rsid w:val="36C50230"/>
    <w:rsid w:val="36C87C79"/>
    <w:rsid w:val="36CF614F"/>
    <w:rsid w:val="36D14E27"/>
    <w:rsid w:val="36D44917"/>
    <w:rsid w:val="36E3431A"/>
    <w:rsid w:val="36E67048"/>
    <w:rsid w:val="36EC3BA6"/>
    <w:rsid w:val="36EE7FE5"/>
    <w:rsid w:val="36F37389"/>
    <w:rsid w:val="36F823B4"/>
    <w:rsid w:val="36FC5F0D"/>
    <w:rsid w:val="370522D0"/>
    <w:rsid w:val="37117919"/>
    <w:rsid w:val="37321ECA"/>
    <w:rsid w:val="37353608"/>
    <w:rsid w:val="373C4EF5"/>
    <w:rsid w:val="3757089C"/>
    <w:rsid w:val="376723B4"/>
    <w:rsid w:val="3772660A"/>
    <w:rsid w:val="37753A04"/>
    <w:rsid w:val="377C1015"/>
    <w:rsid w:val="378E2D18"/>
    <w:rsid w:val="37975E0E"/>
    <w:rsid w:val="379C71E3"/>
    <w:rsid w:val="37B02C8E"/>
    <w:rsid w:val="37BF387F"/>
    <w:rsid w:val="37C135CE"/>
    <w:rsid w:val="37C25F06"/>
    <w:rsid w:val="37CBA793"/>
    <w:rsid w:val="37D3697D"/>
    <w:rsid w:val="37DAB02E"/>
    <w:rsid w:val="380D25CC"/>
    <w:rsid w:val="381D57F8"/>
    <w:rsid w:val="38212FB5"/>
    <w:rsid w:val="3845787B"/>
    <w:rsid w:val="384F4DE8"/>
    <w:rsid w:val="385E4E8B"/>
    <w:rsid w:val="386630BA"/>
    <w:rsid w:val="38712827"/>
    <w:rsid w:val="38767A34"/>
    <w:rsid w:val="388A17EE"/>
    <w:rsid w:val="389B749B"/>
    <w:rsid w:val="389FF46E"/>
    <w:rsid w:val="38A5656B"/>
    <w:rsid w:val="38AA3B82"/>
    <w:rsid w:val="38AC7189"/>
    <w:rsid w:val="38CA4224"/>
    <w:rsid w:val="38EC5F48"/>
    <w:rsid w:val="38F02E97"/>
    <w:rsid w:val="38F378FD"/>
    <w:rsid w:val="392840E5"/>
    <w:rsid w:val="39331DC9"/>
    <w:rsid w:val="39453E84"/>
    <w:rsid w:val="39685895"/>
    <w:rsid w:val="39706EC7"/>
    <w:rsid w:val="39754E92"/>
    <w:rsid w:val="397877DC"/>
    <w:rsid w:val="398E7860"/>
    <w:rsid w:val="39965EB4"/>
    <w:rsid w:val="39A62C24"/>
    <w:rsid w:val="39B06F76"/>
    <w:rsid w:val="39BC1DBE"/>
    <w:rsid w:val="39C93789"/>
    <w:rsid w:val="39CA140B"/>
    <w:rsid w:val="39CE36A6"/>
    <w:rsid w:val="39D0586A"/>
    <w:rsid w:val="39DC012E"/>
    <w:rsid w:val="39DF3CFF"/>
    <w:rsid w:val="39E65C0C"/>
    <w:rsid w:val="39EC3D26"/>
    <w:rsid w:val="39F71729"/>
    <w:rsid w:val="3A0E0140"/>
    <w:rsid w:val="3A2556F1"/>
    <w:rsid w:val="3A2940F7"/>
    <w:rsid w:val="3A2F07E2"/>
    <w:rsid w:val="3A3B6521"/>
    <w:rsid w:val="3A3E6C77"/>
    <w:rsid w:val="3A476E3F"/>
    <w:rsid w:val="3A5E2E76"/>
    <w:rsid w:val="3A692962"/>
    <w:rsid w:val="3A6A03E3"/>
    <w:rsid w:val="3A6C69FA"/>
    <w:rsid w:val="3A6D30B9"/>
    <w:rsid w:val="3A800389"/>
    <w:rsid w:val="3AB42A96"/>
    <w:rsid w:val="3AB461F9"/>
    <w:rsid w:val="3AC058DE"/>
    <w:rsid w:val="3AC151B3"/>
    <w:rsid w:val="3ADB5AE0"/>
    <w:rsid w:val="3ADFCA62"/>
    <w:rsid w:val="3AE61687"/>
    <w:rsid w:val="3AF1423A"/>
    <w:rsid w:val="3AFC60C5"/>
    <w:rsid w:val="3AFD560B"/>
    <w:rsid w:val="3AFF85A4"/>
    <w:rsid w:val="3B007A89"/>
    <w:rsid w:val="3B153C1B"/>
    <w:rsid w:val="3B161D2C"/>
    <w:rsid w:val="3B181801"/>
    <w:rsid w:val="3B2C04A1"/>
    <w:rsid w:val="3B4F0A10"/>
    <w:rsid w:val="3B5F186F"/>
    <w:rsid w:val="3B72107E"/>
    <w:rsid w:val="3B751B9A"/>
    <w:rsid w:val="3B7D4F03"/>
    <w:rsid w:val="3B800BCA"/>
    <w:rsid w:val="3B844B5E"/>
    <w:rsid w:val="3B9D25DA"/>
    <w:rsid w:val="3BA43D7B"/>
    <w:rsid w:val="3BA57995"/>
    <w:rsid w:val="3BB27103"/>
    <w:rsid w:val="3BB70A8F"/>
    <w:rsid w:val="3BBD1F8F"/>
    <w:rsid w:val="3BBF03C8"/>
    <w:rsid w:val="3BBF0D15"/>
    <w:rsid w:val="3BE77715"/>
    <w:rsid w:val="3BE93138"/>
    <w:rsid w:val="3BF30449"/>
    <w:rsid w:val="3BFFD437"/>
    <w:rsid w:val="3C027200"/>
    <w:rsid w:val="3C0E4427"/>
    <w:rsid w:val="3C137C90"/>
    <w:rsid w:val="3C186CE7"/>
    <w:rsid w:val="3C23638E"/>
    <w:rsid w:val="3C2564BB"/>
    <w:rsid w:val="3C444E5F"/>
    <w:rsid w:val="3C4F1AD5"/>
    <w:rsid w:val="3C5A065F"/>
    <w:rsid w:val="3C6C46B1"/>
    <w:rsid w:val="3C730BA6"/>
    <w:rsid w:val="3C934856"/>
    <w:rsid w:val="3C943EBE"/>
    <w:rsid w:val="3C985175"/>
    <w:rsid w:val="3C9938DB"/>
    <w:rsid w:val="3CA23159"/>
    <w:rsid w:val="3CA54D8C"/>
    <w:rsid w:val="3CAA4150"/>
    <w:rsid w:val="3CBC0706"/>
    <w:rsid w:val="3CBC5519"/>
    <w:rsid w:val="3CBE5270"/>
    <w:rsid w:val="3CC75677"/>
    <w:rsid w:val="3CCD7E3F"/>
    <w:rsid w:val="3CDF336B"/>
    <w:rsid w:val="3CE138EA"/>
    <w:rsid w:val="3CEB6EE5"/>
    <w:rsid w:val="3CFE65DA"/>
    <w:rsid w:val="3D0777F5"/>
    <w:rsid w:val="3D0B54B4"/>
    <w:rsid w:val="3D157871"/>
    <w:rsid w:val="3D165B6C"/>
    <w:rsid w:val="3D1837B0"/>
    <w:rsid w:val="3D1C479C"/>
    <w:rsid w:val="3D2C1009"/>
    <w:rsid w:val="3D51281E"/>
    <w:rsid w:val="3D58666B"/>
    <w:rsid w:val="3D8C258A"/>
    <w:rsid w:val="3D8E0E7E"/>
    <w:rsid w:val="3DA212CB"/>
    <w:rsid w:val="3DA848D0"/>
    <w:rsid w:val="3DAB5EF3"/>
    <w:rsid w:val="3DB77436"/>
    <w:rsid w:val="3DB80AEF"/>
    <w:rsid w:val="3DBD6A27"/>
    <w:rsid w:val="3DBE102C"/>
    <w:rsid w:val="3DBF3C2B"/>
    <w:rsid w:val="3DBF59D9"/>
    <w:rsid w:val="3DCA114A"/>
    <w:rsid w:val="3DDD2303"/>
    <w:rsid w:val="3DE11DF4"/>
    <w:rsid w:val="3DED7156"/>
    <w:rsid w:val="3DFEF923"/>
    <w:rsid w:val="3E012496"/>
    <w:rsid w:val="3E155B2B"/>
    <w:rsid w:val="3E1B0B74"/>
    <w:rsid w:val="3E2326FD"/>
    <w:rsid w:val="3E500D27"/>
    <w:rsid w:val="3E573E64"/>
    <w:rsid w:val="3E5E3444"/>
    <w:rsid w:val="3E625A65"/>
    <w:rsid w:val="3E667CEF"/>
    <w:rsid w:val="3E815385"/>
    <w:rsid w:val="3EBD1734"/>
    <w:rsid w:val="3ECD1E84"/>
    <w:rsid w:val="3ED5122D"/>
    <w:rsid w:val="3EDE4585"/>
    <w:rsid w:val="3EEDE7EA"/>
    <w:rsid w:val="3EFB6EE5"/>
    <w:rsid w:val="3EFD5C5B"/>
    <w:rsid w:val="3F0C10F2"/>
    <w:rsid w:val="3F1B346D"/>
    <w:rsid w:val="3F34383F"/>
    <w:rsid w:val="3F35299D"/>
    <w:rsid w:val="3F375A43"/>
    <w:rsid w:val="3F3E3F33"/>
    <w:rsid w:val="3F3E414F"/>
    <w:rsid w:val="3F4C6CE8"/>
    <w:rsid w:val="3F6B5DF6"/>
    <w:rsid w:val="3F9B1E8D"/>
    <w:rsid w:val="3FA7C900"/>
    <w:rsid w:val="3FAA26B9"/>
    <w:rsid w:val="3FBC21D1"/>
    <w:rsid w:val="3FBC5086"/>
    <w:rsid w:val="3FC4377B"/>
    <w:rsid w:val="3FD01066"/>
    <w:rsid w:val="3FD262CD"/>
    <w:rsid w:val="3FD7784A"/>
    <w:rsid w:val="3FE330B5"/>
    <w:rsid w:val="3FEB35C0"/>
    <w:rsid w:val="3FEC0DF0"/>
    <w:rsid w:val="3FF7A595"/>
    <w:rsid w:val="400D3523"/>
    <w:rsid w:val="40154124"/>
    <w:rsid w:val="40155D85"/>
    <w:rsid w:val="403E7765"/>
    <w:rsid w:val="403F2E01"/>
    <w:rsid w:val="404E1D8E"/>
    <w:rsid w:val="405D772B"/>
    <w:rsid w:val="40612FAD"/>
    <w:rsid w:val="4067472F"/>
    <w:rsid w:val="406C47B6"/>
    <w:rsid w:val="40777C73"/>
    <w:rsid w:val="408F05F9"/>
    <w:rsid w:val="40971BFD"/>
    <w:rsid w:val="409D19C0"/>
    <w:rsid w:val="40AB35A7"/>
    <w:rsid w:val="40C41559"/>
    <w:rsid w:val="40C477AB"/>
    <w:rsid w:val="40C55758"/>
    <w:rsid w:val="40C854ED"/>
    <w:rsid w:val="40D1477E"/>
    <w:rsid w:val="40E32281"/>
    <w:rsid w:val="40EB2F89"/>
    <w:rsid w:val="40F41E3E"/>
    <w:rsid w:val="40FA4F7A"/>
    <w:rsid w:val="410326AB"/>
    <w:rsid w:val="410F4ECA"/>
    <w:rsid w:val="41173179"/>
    <w:rsid w:val="41270465"/>
    <w:rsid w:val="41282D76"/>
    <w:rsid w:val="412C5A7C"/>
    <w:rsid w:val="41317E02"/>
    <w:rsid w:val="413E755D"/>
    <w:rsid w:val="414C7ECC"/>
    <w:rsid w:val="415B010F"/>
    <w:rsid w:val="41652D3C"/>
    <w:rsid w:val="4172566A"/>
    <w:rsid w:val="417340EF"/>
    <w:rsid w:val="41757AC5"/>
    <w:rsid w:val="417666DA"/>
    <w:rsid w:val="41782A6F"/>
    <w:rsid w:val="41790595"/>
    <w:rsid w:val="418B5019"/>
    <w:rsid w:val="418E2292"/>
    <w:rsid w:val="419173FA"/>
    <w:rsid w:val="41996BCA"/>
    <w:rsid w:val="41A307D0"/>
    <w:rsid w:val="41A67DC1"/>
    <w:rsid w:val="41B25AE9"/>
    <w:rsid w:val="41B33AA7"/>
    <w:rsid w:val="41C15467"/>
    <w:rsid w:val="41C9127A"/>
    <w:rsid w:val="41CF27E3"/>
    <w:rsid w:val="41EA14E3"/>
    <w:rsid w:val="41F46E9B"/>
    <w:rsid w:val="41F630F4"/>
    <w:rsid w:val="41FE2B02"/>
    <w:rsid w:val="420036C0"/>
    <w:rsid w:val="420C2FE8"/>
    <w:rsid w:val="42257E7B"/>
    <w:rsid w:val="42417305"/>
    <w:rsid w:val="425101B5"/>
    <w:rsid w:val="42522ED7"/>
    <w:rsid w:val="426B0E65"/>
    <w:rsid w:val="42754064"/>
    <w:rsid w:val="42764C16"/>
    <w:rsid w:val="427D6FDA"/>
    <w:rsid w:val="4280461B"/>
    <w:rsid w:val="42926FD8"/>
    <w:rsid w:val="429A4C67"/>
    <w:rsid w:val="429E30E1"/>
    <w:rsid w:val="42A47894"/>
    <w:rsid w:val="42B94406"/>
    <w:rsid w:val="42BE0A19"/>
    <w:rsid w:val="42C13892"/>
    <w:rsid w:val="42C43A92"/>
    <w:rsid w:val="42CE6929"/>
    <w:rsid w:val="42D21EFB"/>
    <w:rsid w:val="42D77C69"/>
    <w:rsid w:val="42E17B48"/>
    <w:rsid w:val="42FB58D7"/>
    <w:rsid w:val="42FC5F75"/>
    <w:rsid w:val="430C076F"/>
    <w:rsid w:val="43100A85"/>
    <w:rsid w:val="431A7B56"/>
    <w:rsid w:val="432B22BE"/>
    <w:rsid w:val="43400476"/>
    <w:rsid w:val="43496273"/>
    <w:rsid w:val="434C71F8"/>
    <w:rsid w:val="435C3C0F"/>
    <w:rsid w:val="43670FED"/>
    <w:rsid w:val="436D6E4A"/>
    <w:rsid w:val="43712FD9"/>
    <w:rsid w:val="4374652E"/>
    <w:rsid w:val="43792ACE"/>
    <w:rsid w:val="437C436D"/>
    <w:rsid w:val="437F53E2"/>
    <w:rsid w:val="438326D4"/>
    <w:rsid w:val="43844BB1"/>
    <w:rsid w:val="43880F63"/>
    <w:rsid w:val="43904469"/>
    <w:rsid w:val="439B63CA"/>
    <w:rsid w:val="43A648B3"/>
    <w:rsid w:val="43A7763B"/>
    <w:rsid w:val="43B3461E"/>
    <w:rsid w:val="43BC7C56"/>
    <w:rsid w:val="43BD0C0D"/>
    <w:rsid w:val="43BD7B26"/>
    <w:rsid w:val="43C60137"/>
    <w:rsid w:val="43DE0B83"/>
    <w:rsid w:val="43E30C19"/>
    <w:rsid w:val="43EC7073"/>
    <w:rsid w:val="441725E3"/>
    <w:rsid w:val="44272BFC"/>
    <w:rsid w:val="442A5B77"/>
    <w:rsid w:val="443408D6"/>
    <w:rsid w:val="444B6199"/>
    <w:rsid w:val="444E7AB7"/>
    <w:rsid w:val="44577840"/>
    <w:rsid w:val="445D3521"/>
    <w:rsid w:val="446C2633"/>
    <w:rsid w:val="44713757"/>
    <w:rsid w:val="449C1A8B"/>
    <w:rsid w:val="44A27E03"/>
    <w:rsid w:val="44B06ABF"/>
    <w:rsid w:val="44B71B00"/>
    <w:rsid w:val="44B71CCD"/>
    <w:rsid w:val="44C22253"/>
    <w:rsid w:val="44E87F0C"/>
    <w:rsid w:val="44F86EB3"/>
    <w:rsid w:val="4504211C"/>
    <w:rsid w:val="450660A4"/>
    <w:rsid w:val="450703F9"/>
    <w:rsid w:val="450D13D7"/>
    <w:rsid w:val="45240818"/>
    <w:rsid w:val="452F4E0F"/>
    <w:rsid w:val="4539571E"/>
    <w:rsid w:val="453E7B2C"/>
    <w:rsid w:val="4541586E"/>
    <w:rsid w:val="454571B5"/>
    <w:rsid w:val="454B5681"/>
    <w:rsid w:val="456057F0"/>
    <w:rsid w:val="456B6447"/>
    <w:rsid w:val="45725A27"/>
    <w:rsid w:val="45900EB2"/>
    <w:rsid w:val="45941E41"/>
    <w:rsid w:val="459E2E6D"/>
    <w:rsid w:val="45AD56DD"/>
    <w:rsid w:val="45B81ACE"/>
    <w:rsid w:val="45D250DD"/>
    <w:rsid w:val="45E81B1A"/>
    <w:rsid w:val="46004DE1"/>
    <w:rsid w:val="4607616F"/>
    <w:rsid w:val="460F1CFA"/>
    <w:rsid w:val="461C4F8A"/>
    <w:rsid w:val="462417D4"/>
    <w:rsid w:val="462705C0"/>
    <w:rsid w:val="46276812"/>
    <w:rsid w:val="462C207A"/>
    <w:rsid w:val="462F1F9E"/>
    <w:rsid w:val="462F28A6"/>
    <w:rsid w:val="46372502"/>
    <w:rsid w:val="463902F3"/>
    <w:rsid w:val="464B2E28"/>
    <w:rsid w:val="46511AE0"/>
    <w:rsid w:val="465D0485"/>
    <w:rsid w:val="46674451"/>
    <w:rsid w:val="46691693"/>
    <w:rsid w:val="466C473A"/>
    <w:rsid w:val="46812CEE"/>
    <w:rsid w:val="46815494"/>
    <w:rsid w:val="468B50CB"/>
    <w:rsid w:val="46900D39"/>
    <w:rsid w:val="46A8541D"/>
    <w:rsid w:val="46AC31BB"/>
    <w:rsid w:val="46AC58E1"/>
    <w:rsid w:val="46BE4A66"/>
    <w:rsid w:val="46D324F5"/>
    <w:rsid w:val="46D52711"/>
    <w:rsid w:val="46F506BE"/>
    <w:rsid w:val="47084895"/>
    <w:rsid w:val="470D43A0"/>
    <w:rsid w:val="471E7C15"/>
    <w:rsid w:val="472B40E0"/>
    <w:rsid w:val="472C6BA0"/>
    <w:rsid w:val="473C62ED"/>
    <w:rsid w:val="474156B1"/>
    <w:rsid w:val="47452391"/>
    <w:rsid w:val="474C0B72"/>
    <w:rsid w:val="474C7708"/>
    <w:rsid w:val="474D5970"/>
    <w:rsid w:val="474D70AB"/>
    <w:rsid w:val="47585719"/>
    <w:rsid w:val="476230F6"/>
    <w:rsid w:val="47855EE6"/>
    <w:rsid w:val="478A02DF"/>
    <w:rsid w:val="478A7651"/>
    <w:rsid w:val="479003E6"/>
    <w:rsid w:val="47961EA1"/>
    <w:rsid w:val="47B265AF"/>
    <w:rsid w:val="47B66BBB"/>
    <w:rsid w:val="47BA1F3A"/>
    <w:rsid w:val="47BE6D02"/>
    <w:rsid w:val="47CA56A6"/>
    <w:rsid w:val="47CA5FCD"/>
    <w:rsid w:val="47DCBFD9"/>
    <w:rsid w:val="47F170D7"/>
    <w:rsid w:val="47F84D54"/>
    <w:rsid w:val="47FB1D04"/>
    <w:rsid w:val="48054938"/>
    <w:rsid w:val="483B47F6"/>
    <w:rsid w:val="483D056E"/>
    <w:rsid w:val="4849243F"/>
    <w:rsid w:val="48511148"/>
    <w:rsid w:val="48575D8F"/>
    <w:rsid w:val="485C23E5"/>
    <w:rsid w:val="48847286"/>
    <w:rsid w:val="48A57EC2"/>
    <w:rsid w:val="48D1106A"/>
    <w:rsid w:val="48F30C2D"/>
    <w:rsid w:val="48F81847"/>
    <w:rsid w:val="48FE44E8"/>
    <w:rsid w:val="49090450"/>
    <w:rsid w:val="49120B4D"/>
    <w:rsid w:val="491B7CFD"/>
    <w:rsid w:val="491D3EFC"/>
    <w:rsid w:val="492A6C99"/>
    <w:rsid w:val="49301F00"/>
    <w:rsid w:val="49325BF9"/>
    <w:rsid w:val="493A36B0"/>
    <w:rsid w:val="494D127A"/>
    <w:rsid w:val="495404A0"/>
    <w:rsid w:val="495D254A"/>
    <w:rsid w:val="4961028C"/>
    <w:rsid w:val="49623FA0"/>
    <w:rsid w:val="4962540C"/>
    <w:rsid w:val="496B4C67"/>
    <w:rsid w:val="49721445"/>
    <w:rsid w:val="49730F71"/>
    <w:rsid w:val="49934192"/>
    <w:rsid w:val="499B244F"/>
    <w:rsid w:val="499C7517"/>
    <w:rsid w:val="49A34A69"/>
    <w:rsid w:val="49AD34D2"/>
    <w:rsid w:val="49AF724A"/>
    <w:rsid w:val="49B91E77"/>
    <w:rsid w:val="49C5081B"/>
    <w:rsid w:val="49DB5E2A"/>
    <w:rsid w:val="49ED225A"/>
    <w:rsid w:val="49ED7D72"/>
    <w:rsid w:val="4A030B7A"/>
    <w:rsid w:val="4A05330E"/>
    <w:rsid w:val="4A062BE2"/>
    <w:rsid w:val="4A0A0924"/>
    <w:rsid w:val="4A224BB4"/>
    <w:rsid w:val="4A282701"/>
    <w:rsid w:val="4A38595B"/>
    <w:rsid w:val="4A3B2811"/>
    <w:rsid w:val="4A413C1A"/>
    <w:rsid w:val="4A464097"/>
    <w:rsid w:val="4A484FA8"/>
    <w:rsid w:val="4A4A492E"/>
    <w:rsid w:val="4A6C0C97"/>
    <w:rsid w:val="4A6F152E"/>
    <w:rsid w:val="4A722EFC"/>
    <w:rsid w:val="4A835FE1"/>
    <w:rsid w:val="4A946440"/>
    <w:rsid w:val="4AB60164"/>
    <w:rsid w:val="4ABD7744"/>
    <w:rsid w:val="4ABF27F8"/>
    <w:rsid w:val="4AC91639"/>
    <w:rsid w:val="4ACA585D"/>
    <w:rsid w:val="4ADE3D60"/>
    <w:rsid w:val="4AF3182D"/>
    <w:rsid w:val="4AF45F45"/>
    <w:rsid w:val="4AFD42D0"/>
    <w:rsid w:val="4AFE09EB"/>
    <w:rsid w:val="4B3443C5"/>
    <w:rsid w:val="4B35552D"/>
    <w:rsid w:val="4B3A647F"/>
    <w:rsid w:val="4B3D6AD7"/>
    <w:rsid w:val="4B4B43B9"/>
    <w:rsid w:val="4B5300A9"/>
    <w:rsid w:val="4B560527"/>
    <w:rsid w:val="4B683CC5"/>
    <w:rsid w:val="4B6F7BBE"/>
    <w:rsid w:val="4B771FE9"/>
    <w:rsid w:val="4B7B6E43"/>
    <w:rsid w:val="4B7B72D3"/>
    <w:rsid w:val="4B835429"/>
    <w:rsid w:val="4B865D88"/>
    <w:rsid w:val="4B8A38F7"/>
    <w:rsid w:val="4B8D4B24"/>
    <w:rsid w:val="4BAB34B4"/>
    <w:rsid w:val="4BB328F5"/>
    <w:rsid w:val="4BBD5522"/>
    <w:rsid w:val="4BC23E1F"/>
    <w:rsid w:val="4BF56648"/>
    <w:rsid w:val="4BF62C83"/>
    <w:rsid w:val="4BFB5105"/>
    <w:rsid w:val="4C06606A"/>
    <w:rsid w:val="4C0F2964"/>
    <w:rsid w:val="4C2D6F06"/>
    <w:rsid w:val="4C2F6420"/>
    <w:rsid w:val="4C39104D"/>
    <w:rsid w:val="4C4340CA"/>
    <w:rsid w:val="4C4A5008"/>
    <w:rsid w:val="4C5D4F3B"/>
    <w:rsid w:val="4C625D28"/>
    <w:rsid w:val="4C672115"/>
    <w:rsid w:val="4C72630D"/>
    <w:rsid w:val="4C7A7005"/>
    <w:rsid w:val="4C8F3727"/>
    <w:rsid w:val="4CA23096"/>
    <w:rsid w:val="4CBA3D8D"/>
    <w:rsid w:val="4CDC0105"/>
    <w:rsid w:val="4CEA67EB"/>
    <w:rsid w:val="4CF431C6"/>
    <w:rsid w:val="4CFD207A"/>
    <w:rsid w:val="4D0549EA"/>
    <w:rsid w:val="4D0F3346"/>
    <w:rsid w:val="4D1C5AB2"/>
    <w:rsid w:val="4D227D33"/>
    <w:rsid w:val="4D2650A5"/>
    <w:rsid w:val="4D2910C1"/>
    <w:rsid w:val="4D3D3408"/>
    <w:rsid w:val="4D40640B"/>
    <w:rsid w:val="4D4B1161"/>
    <w:rsid w:val="4D5D1D8D"/>
    <w:rsid w:val="4D714FBA"/>
    <w:rsid w:val="4D894906"/>
    <w:rsid w:val="4DA90454"/>
    <w:rsid w:val="4DB76A0C"/>
    <w:rsid w:val="4DBB7BDF"/>
    <w:rsid w:val="4DCE5735"/>
    <w:rsid w:val="4DDE32FC"/>
    <w:rsid w:val="4DF06D15"/>
    <w:rsid w:val="4DF47921"/>
    <w:rsid w:val="4E093724"/>
    <w:rsid w:val="4E1D7C90"/>
    <w:rsid w:val="4E2C69CB"/>
    <w:rsid w:val="4E421357"/>
    <w:rsid w:val="4E550E94"/>
    <w:rsid w:val="4E6A0438"/>
    <w:rsid w:val="4E6B144B"/>
    <w:rsid w:val="4E77E092"/>
    <w:rsid w:val="4E782796"/>
    <w:rsid w:val="4E87063D"/>
    <w:rsid w:val="4E8D0E69"/>
    <w:rsid w:val="4E9B5FEF"/>
    <w:rsid w:val="4EB138B2"/>
    <w:rsid w:val="4EBC2861"/>
    <w:rsid w:val="4ED02686"/>
    <w:rsid w:val="4EDD2163"/>
    <w:rsid w:val="4EDE5EDB"/>
    <w:rsid w:val="4EDE7AF4"/>
    <w:rsid w:val="4EE236C1"/>
    <w:rsid w:val="4EF042CF"/>
    <w:rsid w:val="4F064A25"/>
    <w:rsid w:val="4F2B3172"/>
    <w:rsid w:val="4F2D30F6"/>
    <w:rsid w:val="4F427227"/>
    <w:rsid w:val="4F46299B"/>
    <w:rsid w:val="4F4643E5"/>
    <w:rsid w:val="4F5148FF"/>
    <w:rsid w:val="4F534BF8"/>
    <w:rsid w:val="4F622668"/>
    <w:rsid w:val="4F6457CE"/>
    <w:rsid w:val="4F675ED1"/>
    <w:rsid w:val="4F795FE4"/>
    <w:rsid w:val="4F840972"/>
    <w:rsid w:val="4F8E7901"/>
    <w:rsid w:val="4F9C201E"/>
    <w:rsid w:val="4F9E49DF"/>
    <w:rsid w:val="4FA90297"/>
    <w:rsid w:val="4FBA486C"/>
    <w:rsid w:val="4FBB2B4B"/>
    <w:rsid w:val="4FBB59B1"/>
    <w:rsid w:val="4FC9131F"/>
    <w:rsid w:val="4FCE7CFE"/>
    <w:rsid w:val="4FD535CD"/>
    <w:rsid w:val="4FEE03A0"/>
    <w:rsid w:val="4FF33DB8"/>
    <w:rsid w:val="4FFA3C05"/>
    <w:rsid w:val="4FFF4364"/>
    <w:rsid w:val="50102776"/>
    <w:rsid w:val="501A73E7"/>
    <w:rsid w:val="50224539"/>
    <w:rsid w:val="503E0E60"/>
    <w:rsid w:val="506846AB"/>
    <w:rsid w:val="506A0C4E"/>
    <w:rsid w:val="50854DD4"/>
    <w:rsid w:val="50874A7C"/>
    <w:rsid w:val="50C652F5"/>
    <w:rsid w:val="50C7131D"/>
    <w:rsid w:val="50EA0B67"/>
    <w:rsid w:val="50F677DC"/>
    <w:rsid w:val="5100482F"/>
    <w:rsid w:val="510B2768"/>
    <w:rsid w:val="51125B2C"/>
    <w:rsid w:val="51266A0B"/>
    <w:rsid w:val="5135337B"/>
    <w:rsid w:val="514D36EF"/>
    <w:rsid w:val="515A0699"/>
    <w:rsid w:val="515D3EA6"/>
    <w:rsid w:val="51640797"/>
    <w:rsid w:val="518003AC"/>
    <w:rsid w:val="519C5D51"/>
    <w:rsid w:val="51A33CE8"/>
    <w:rsid w:val="51C03691"/>
    <w:rsid w:val="51C153E2"/>
    <w:rsid w:val="51C615D4"/>
    <w:rsid w:val="51C70EA9"/>
    <w:rsid w:val="51E01D9D"/>
    <w:rsid w:val="51E90E1F"/>
    <w:rsid w:val="51EB3EF3"/>
    <w:rsid w:val="51F06651"/>
    <w:rsid w:val="51F26D95"/>
    <w:rsid w:val="51F55A16"/>
    <w:rsid w:val="51FFCDCC"/>
    <w:rsid w:val="520774F7"/>
    <w:rsid w:val="521340EE"/>
    <w:rsid w:val="52141834"/>
    <w:rsid w:val="52143C38"/>
    <w:rsid w:val="52416EAD"/>
    <w:rsid w:val="52684B42"/>
    <w:rsid w:val="5277216A"/>
    <w:rsid w:val="52794B98"/>
    <w:rsid w:val="52794D53"/>
    <w:rsid w:val="528C52D0"/>
    <w:rsid w:val="52911BE2"/>
    <w:rsid w:val="52940E89"/>
    <w:rsid w:val="52970655"/>
    <w:rsid w:val="529A6C2D"/>
    <w:rsid w:val="52A42F98"/>
    <w:rsid w:val="52A64626"/>
    <w:rsid w:val="52A823D1"/>
    <w:rsid w:val="52A9540C"/>
    <w:rsid w:val="52AA68B0"/>
    <w:rsid w:val="52B15FA1"/>
    <w:rsid w:val="52BF2FD2"/>
    <w:rsid w:val="52CA29FF"/>
    <w:rsid w:val="52D518F2"/>
    <w:rsid w:val="52DB4C0C"/>
    <w:rsid w:val="52EF06B7"/>
    <w:rsid w:val="530214BD"/>
    <w:rsid w:val="530A44A8"/>
    <w:rsid w:val="530A729F"/>
    <w:rsid w:val="53117559"/>
    <w:rsid w:val="531667E8"/>
    <w:rsid w:val="532042F0"/>
    <w:rsid w:val="532226FC"/>
    <w:rsid w:val="53284FF9"/>
    <w:rsid w:val="53332C9A"/>
    <w:rsid w:val="53364538"/>
    <w:rsid w:val="53487DC7"/>
    <w:rsid w:val="535B25F1"/>
    <w:rsid w:val="53626FF0"/>
    <w:rsid w:val="537E3F97"/>
    <w:rsid w:val="53873325"/>
    <w:rsid w:val="538E2D91"/>
    <w:rsid w:val="538E6122"/>
    <w:rsid w:val="53960911"/>
    <w:rsid w:val="53BD4028"/>
    <w:rsid w:val="53C62104"/>
    <w:rsid w:val="53C953AC"/>
    <w:rsid w:val="53D7279A"/>
    <w:rsid w:val="53DD0E57"/>
    <w:rsid w:val="53DE3845"/>
    <w:rsid w:val="53E30A57"/>
    <w:rsid w:val="53E378B1"/>
    <w:rsid w:val="53E5595E"/>
    <w:rsid w:val="5411465D"/>
    <w:rsid w:val="541859EC"/>
    <w:rsid w:val="54293DDC"/>
    <w:rsid w:val="544650E6"/>
    <w:rsid w:val="54606BAB"/>
    <w:rsid w:val="54613524"/>
    <w:rsid w:val="54622097"/>
    <w:rsid w:val="54972DB4"/>
    <w:rsid w:val="54B0031A"/>
    <w:rsid w:val="54C855A5"/>
    <w:rsid w:val="54CC316F"/>
    <w:rsid w:val="54F255E8"/>
    <w:rsid w:val="54FC257C"/>
    <w:rsid w:val="55145A25"/>
    <w:rsid w:val="55185AE9"/>
    <w:rsid w:val="5521421B"/>
    <w:rsid w:val="55236C5A"/>
    <w:rsid w:val="552A7BC8"/>
    <w:rsid w:val="552B174F"/>
    <w:rsid w:val="553928B2"/>
    <w:rsid w:val="553D1BAE"/>
    <w:rsid w:val="554747DA"/>
    <w:rsid w:val="55747599"/>
    <w:rsid w:val="558A6D31"/>
    <w:rsid w:val="558E6174"/>
    <w:rsid w:val="558F1CDD"/>
    <w:rsid w:val="559473F7"/>
    <w:rsid w:val="559B2D78"/>
    <w:rsid w:val="55AB2954"/>
    <w:rsid w:val="55B77B50"/>
    <w:rsid w:val="55CD4E53"/>
    <w:rsid w:val="55D930CB"/>
    <w:rsid w:val="55E21233"/>
    <w:rsid w:val="55E83C40"/>
    <w:rsid w:val="55E94DB3"/>
    <w:rsid w:val="560508F2"/>
    <w:rsid w:val="56126841"/>
    <w:rsid w:val="5613290E"/>
    <w:rsid w:val="561641AD"/>
    <w:rsid w:val="561A119E"/>
    <w:rsid w:val="562700ED"/>
    <w:rsid w:val="56350AD7"/>
    <w:rsid w:val="563C1E65"/>
    <w:rsid w:val="563D2C96"/>
    <w:rsid w:val="5645661B"/>
    <w:rsid w:val="56497F8F"/>
    <w:rsid w:val="564C7BCE"/>
    <w:rsid w:val="566916A7"/>
    <w:rsid w:val="566E2B23"/>
    <w:rsid w:val="567974EA"/>
    <w:rsid w:val="56811F6E"/>
    <w:rsid w:val="56822DB0"/>
    <w:rsid w:val="569752EE"/>
    <w:rsid w:val="56AA353D"/>
    <w:rsid w:val="56B1232A"/>
    <w:rsid w:val="56B85264"/>
    <w:rsid w:val="56B91708"/>
    <w:rsid w:val="56BA1915"/>
    <w:rsid w:val="56E718CB"/>
    <w:rsid w:val="56F53441"/>
    <w:rsid w:val="56FB01C6"/>
    <w:rsid w:val="56FB3ACE"/>
    <w:rsid w:val="56FB636C"/>
    <w:rsid w:val="57046FEE"/>
    <w:rsid w:val="570D1A54"/>
    <w:rsid w:val="570D55B0"/>
    <w:rsid w:val="571903F8"/>
    <w:rsid w:val="571F4620"/>
    <w:rsid w:val="57324227"/>
    <w:rsid w:val="573B2E2C"/>
    <w:rsid w:val="57430C9F"/>
    <w:rsid w:val="57480FB9"/>
    <w:rsid w:val="574B1413"/>
    <w:rsid w:val="575542A3"/>
    <w:rsid w:val="57746489"/>
    <w:rsid w:val="57865EAF"/>
    <w:rsid w:val="57AB0B61"/>
    <w:rsid w:val="57B22824"/>
    <w:rsid w:val="57B70ED6"/>
    <w:rsid w:val="57BB5F54"/>
    <w:rsid w:val="57C1754D"/>
    <w:rsid w:val="57CD4E9A"/>
    <w:rsid w:val="57D66BD7"/>
    <w:rsid w:val="57E52AC4"/>
    <w:rsid w:val="57E72B2B"/>
    <w:rsid w:val="57EBE2E7"/>
    <w:rsid w:val="57ED4E4E"/>
    <w:rsid w:val="57FDC4AC"/>
    <w:rsid w:val="580413D5"/>
    <w:rsid w:val="581100F7"/>
    <w:rsid w:val="581110D0"/>
    <w:rsid w:val="58113D88"/>
    <w:rsid w:val="581F6921"/>
    <w:rsid w:val="582726A1"/>
    <w:rsid w:val="58366D88"/>
    <w:rsid w:val="58373A19"/>
    <w:rsid w:val="58425BDC"/>
    <w:rsid w:val="585844FD"/>
    <w:rsid w:val="58607961"/>
    <w:rsid w:val="586236D9"/>
    <w:rsid w:val="58637462"/>
    <w:rsid w:val="58675193"/>
    <w:rsid w:val="586B6A32"/>
    <w:rsid w:val="58737694"/>
    <w:rsid w:val="587D6136"/>
    <w:rsid w:val="5886561A"/>
    <w:rsid w:val="589828F8"/>
    <w:rsid w:val="589B23B9"/>
    <w:rsid w:val="589F7750"/>
    <w:rsid w:val="58AB6E2E"/>
    <w:rsid w:val="58AE4F0C"/>
    <w:rsid w:val="58BB0AF1"/>
    <w:rsid w:val="58BF0B2C"/>
    <w:rsid w:val="58C63C68"/>
    <w:rsid w:val="58CD4FF7"/>
    <w:rsid w:val="58DA7055"/>
    <w:rsid w:val="58DF26D3"/>
    <w:rsid w:val="58F133F6"/>
    <w:rsid w:val="590803FF"/>
    <w:rsid w:val="591043AD"/>
    <w:rsid w:val="592738D0"/>
    <w:rsid w:val="592D018B"/>
    <w:rsid w:val="592D3F5B"/>
    <w:rsid w:val="59376217"/>
    <w:rsid w:val="593B4656"/>
    <w:rsid w:val="59413634"/>
    <w:rsid w:val="59540ED2"/>
    <w:rsid w:val="595A2602"/>
    <w:rsid w:val="595C6329"/>
    <w:rsid w:val="596646BA"/>
    <w:rsid w:val="596A0A97"/>
    <w:rsid w:val="596D67DA"/>
    <w:rsid w:val="598900F2"/>
    <w:rsid w:val="598A2FB9"/>
    <w:rsid w:val="598D2358"/>
    <w:rsid w:val="598D660A"/>
    <w:rsid w:val="5999137D"/>
    <w:rsid w:val="59A3044D"/>
    <w:rsid w:val="59AC3666"/>
    <w:rsid w:val="59BB6ACB"/>
    <w:rsid w:val="59BD150F"/>
    <w:rsid w:val="59BD5424"/>
    <w:rsid w:val="59CE4859"/>
    <w:rsid w:val="59E00D5A"/>
    <w:rsid w:val="59E441CB"/>
    <w:rsid w:val="59E4498D"/>
    <w:rsid w:val="59F477A1"/>
    <w:rsid w:val="59F667CF"/>
    <w:rsid w:val="5A0013FC"/>
    <w:rsid w:val="5A012DE0"/>
    <w:rsid w:val="5A471F20"/>
    <w:rsid w:val="5A6951F3"/>
    <w:rsid w:val="5A6E615F"/>
    <w:rsid w:val="5A743572"/>
    <w:rsid w:val="5A7F0572"/>
    <w:rsid w:val="5A81583C"/>
    <w:rsid w:val="5A92474A"/>
    <w:rsid w:val="5A937721"/>
    <w:rsid w:val="5A95297A"/>
    <w:rsid w:val="5A9C726A"/>
    <w:rsid w:val="5AAF1BD8"/>
    <w:rsid w:val="5AB37E18"/>
    <w:rsid w:val="5AB47961"/>
    <w:rsid w:val="5AB53F94"/>
    <w:rsid w:val="5AB6401B"/>
    <w:rsid w:val="5ABBF1A1"/>
    <w:rsid w:val="5AC31391"/>
    <w:rsid w:val="5AC91A52"/>
    <w:rsid w:val="5ACB7C5C"/>
    <w:rsid w:val="5AD65A53"/>
    <w:rsid w:val="5B207A09"/>
    <w:rsid w:val="5B321A89"/>
    <w:rsid w:val="5B4669BF"/>
    <w:rsid w:val="5B647768"/>
    <w:rsid w:val="5B672793"/>
    <w:rsid w:val="5B775D29"/>
    <w:rsid w:val="5B8049BB"/>
    <w:rsid w:val="5B834CDD"/>
    <w:rsid w:val="5B8844C5"/>
    <w:rsid w:val="5B9104C7"/>
    <w:rsid w:val="5B9C58DF"/>
    <w:rsid w:val="5BB10BFF"/>
    <w:rsid w:val="5BCE595A"/>
    <w:rsid w:val="5BE424D0"/>
    <w:rsid w:val="5BFA3A1D"/>
    <w:rsid w:val="5BFC0EC3"/>
    <w:rsid w:val="5BFC7B76"/>
    <w:rsid w:val="5BFD2097"/>
    <w:rsid w:val="5C0B3A25"/>
    <w:rsid w:val="5C0B7FA6"/>
    <w:rsid w:val="5C0C4088"/>
    <w:rsid w:val="5C1C1EF4"/>
    <w:rsid w:val="5C473BC6"/>
    <w:rsid w:val="5C58107B"/>
    <w:rsid w:val="5C5F7C1B"/>
    <w:rsid w:val="5C695FAC"/>
    <w:rsid w:val="5C753FBD"/>
    <w:rsid w:val="5C7779C1"/>
    <w:rsid w:val="5C843676"/>
    <w:rsid w:val="5C853E3A"/>
    <w:rsid w:val="5C8B3F62"/>
    <w:rsid w:val="5CAC636E"/>
    <w:rsid w:val="5CB32755"/>
    <w:rsid w:val="5CC225CF"/>
    <w:rsid w:val="5CD526CC"/>
    <w:rsid w:val="5CDB122E"/>
    <w:rsid w:val="5CE84AF5"/>
    <w:rsid w:val="5CEF30A4"/>
    <w:rsid w:val="5CF2303A"/>
    <w:rsid w:val="5CF7D198"/>
    <w:rsid w:val="5CFF599B"/>
    <w:rsid w:val="5D096819"/>
    <w:rsid w:val="5D1442B5"/>
    <w:rsid w:val="5D1551BE"/>
    <w:rsid w:val="5D186A5C"/>
    <w:rsid w:val="5D1A6C78"/>
    <w:rsid w:val="5D1B334C"/>
    <w:rsid w:val="5D3E72E5"/>
    <w:rsid w:val="5D5C131E"/>
    <w:rsid w:val="5D5C2DED"/>
    <w:rsid w:val="5D5F468B"/>
    <w:rsid w:val="5D682AB8"/>
    <w:rsid w:val="5D771E4D"/>
    <w:rsid w:val="5D8F5D8E"/>
    <w:rsid w:val="5D99089C"/>
    <w:rsid w:val="5D9A2DAA"/>
    <w:rsid w:val="5D9C768D"/>
    <w:rsid w:val="5D9E6F62"/>
    <w:rsid w:val="5DA36C6E"/>
    <w:rsid w:val="5DAD53F7"/>
    <w:rsid w:val="5DB744C7"/>
    <w:rsid w:val="5DC02F4A"/>
    <w:rsid w:val="5DC0346B"/>
    <w:rsid w:val="5DC529E5"/>
    <w:rsid w:val="5DC664B8"/>
    <w:rsid w:val="5DC75EE8"/>
    <w:rsid w:val="5DD661F4"/>
    <w:rsid w:val="5DD67130"/>
    <w:rsid w:val="5DDD2180"/>
    <w:rsid w:val="5DEC4171"/>
    <w:rsid w:val="5DF70D68"/>
    <w:rsid w:val="5DF7C180"/>
    <w:rsid w:val="5DF94139"/>
    <w:rsid w:val="5DFC52C9"/>
    <w:rsid w:val="5E1E66DC"/>
    <w:rsid w:val="5E221BD5"/>
    <w:rsid w:val="5E2D6537"/>
    <w:rsid w:val="5E2E29DB"/>
    <w:rsid w:val="5E306A3A"/>
    <w:rsid w:val="5E452D58"/>
    <w:rsid w:val="5E5864AA"/>
    <w:rsid w:val="5E59732C"/>
    <w:rsid w:val="5E5B095A"/>
    <w:rsid w:val="5E715C84"/>
    <w:rsid w:val="5E826883"/>
    <w:rsid w:val="5E850121"/>
    <w:rsid w:val="5EB522EE"/>
    <w:rsid w:val="5EC739C5"/>
    <w:rsid w:val="5ED10EA6"/>
    <w:rsid w:val="5ED209CD"/>
    <w:rsid w:val="5ED54C05"/>
    <w:rsid w:val="5ED846F5"/>
    <w:rsid w:val="5ED8FA33"/>
    <w:rsid w:val="5EDC71B1"/>
    <w:rsid w:val="5EE017FC"/>
    <w:rsid w:val="5EE07C1E"/>
    <w:rsid w:val="5EE62ABD"/>
    <w:rsid w:val="5EEB267A"/>
    <w:rsid w:val="5EED3BE6"/>
    <w:rsid w:val="5EF01A3F"/>
    <w:rsid w:val="5EF71CA1"/>
    <w:rsid w:val="5EFE6EBE"/>
    <w:rsid w:val="5F155949"/>
    <w:rsid w:val="5F2008E0"/>
    <w:rsid w:val="5F245540"/>
    <w:rsid w:val="5F325697"/>
    <w:rsid w:val="5F342B25"/>
    <w:rsid w:val="5F3C23F5"/>
    <w:rsid w:val="5F451BDC"/>
    <w:rsid w:val="5F492A07"/>
    <w:rsid w:val="5F57386C"/>
    <w:rsid w:val="5F593A88"/>
    <w:rsid w:val="5F6146EB"/>
    <w:rsid w:val="5F69359F"/>
    <w:rsid w:val="5F6D531F"/>
    <w:rsid w:val="5F6F58FD"/>
    <w:rsid w:val="5F7C2BB5"/>
    <w:rsid w:val="5F884F97"/>
    <w:rsid w:val="5F942D12"/>
    <w:rsid w:val="5FA679F2"/>
    <w:rsid w:val="5FAD16DE"/>
    <w:rsid w:val="5FB3B9C0"/>
    <w:rsid w:val="5FB94456"/>
    <w:rsid w:val="5FCF78A6"/>
    <w:rsid w:val="5FEF0D71"/>
    <w:rsid w:val="5FF217E7"/>
    <w:rsid w:val="5FF41C19"/>
    <w:rsid w:val="5FFADE85"/>
    <w:rsid w:val="6005776C"/>
    <w:rsid w:val="60085BAD"/>
    <w:rsid w:val="600A2251"/>
    <w:rsid w:val="600E33F2"/>
    <w:rsid w:val="60123C37"/>
    <w:rsid w:val="60145C01"/>
    <w:rsid w:val="6028345A"/>
    <w:rsid w:val="60515592"/>
    <w:rsid w:val="60563808"/>
    <w:rsid w:val="60597B77"/>
    <w:rsid w:val="605D3104"/>
    <w:rsid w:val="60696991"/>
    <w:rsid w:val="607B1FFF"/>
    <w:rsid w:val="6082700E"/>
    <w:rsid w:val="608D2EF1"/>
    <w:rsid w:val="60964868"/>
    <w:rsid w:val="60A80388"/>
    <w:rsid w:val="60B50B3A"/>
    <w:rsid w:val="60D72960"/>
    <w:rsid w:val="60D952D5"/>
    <w:rsid w:val="60DF346F"/>
    <w:rsid w:val="60FD0768"/>
    <w:rsid w:val="60FF63B9"/>
    <w:rsid w:val="610F0097"/>
    <w:rsid w:val="61146955"/>
    <w:rsid w:val="6115578D"/>
    <w:rsid w:val="611565D4"/>
    <w:rsid w:val="612400C6"/>
    <w:rsid w:val="612B3F75"/>
    <w:rsid w:val="612C6EDE"/>
    <w:rsid w:val="61314591"/>
    <w:rsid w:val="613910EC"/>
    <w:rsid w:val="613950E4"/>
    <w:rsid w:val="613B4FD5"/>
    <w:rsid w:val="6142679E"/>
    <w:rsid w:val="6146048F"/>
    <w:rsid w:val="61467F99"/>
    <w:rsid w:val="61493688"/>
    <w:rsid w:val="61494F32"/>
    <w:rsid w:val="61583478"/>
    <w:rsid w:val="615F3AC8"/>
    <w:rsid w:val="6170230E"/>
    <w:rsid w:val="61774699"/>
    <w:rsid w:val="617D45E1"/>
    <w:rsid w:val="618446C0"/>
    <w:rsid w:val="6189356F"/>
    <w:rsid w:val="61947E33"/>
    <w:rsid w:val="6197562B"/>
    <w:rsid w:val="61AB2C9A"/>
    <w:rsid w:val="61B054B5"/>
    <w:rsid w:val="61B26D7B"/>
    <w:rsid w:val="61B418DA"/>
    <w:rsid w:val="61C45A82"/>
    <w:rsid w:val="61E33ADD"/>
    <w:rsid w:val="61ED2EB6"/>
    <w:rsid w:val="61FD5F33"/>
    <w:rsid w:val="6200468F"/>
    <w:rsid w:val="62015D11"/>
    <w:rsid w:val="62065A1D"/>
    <w:rsid w:val="620C1039"/>
    <w:rsid w:val="620D6DAC"/>
    <w:rsid w:val="620E6768"/>
    <w:rsid w:val="621644C8"/>
    <w:rsid w:val="621C0D9D"/>
    <w:rsid w:val="62274AEC"/>
    <w:rsid w:val="622B25A0"/>
    <w:rsid w:val="6234649E"/>
    <w:rsid w:val="626671FB"/>
    <w:rsid w:val="62782477"/>
    <w:rsid w:val="628726BA"/>
    <w:rsid w:val="629B036B"/>
    <w:rsid w:val="629D6B81"/>
    <w:rsid w:val="62AB3DE8"/>
    <w:rsid w:val="62AE40EB"/>
    <w:rsid w:val="62B6765B"/>
    <w:rsid w:val="62BF00A6"/>
    <w:rsid w:val="62C31218"/>
    <w:rsid w:val="62C352DB"/>
    <w:rsid w:val="62C52A98"/>
    <w:rsid w:val="62D27BAF"/>
    <w:rsid w:val="62D810DC"/>
    <w:rsid w:val="62E17EBC"/>
    <w:rsid w:val="62E20816"/>
    <w:rsid w:val="62ED169C"/>
    <w:rsid w:val="62F439EF"/>
    <w:rsid w:val="62FB09B2"/>
    <w:rsid w:val="630737FB"/>
    <w:rsid w:val="630E2DDB"/>
    <w:rsid w:val="63147CC6"/>
    <w:rsid w:val="63222F8D"/>
    <w:rsid w:val="633345F0"/>
    <w:rsid w:val="634560D1"/>
    <w:rsid w:val="63521E02"/>
    <w:rsid w:val="63527F7F"/>
    <w:rsid w:val="6372336A"/>
    <w:rsid w:val="63754C08"/>
    <w:rsid w:val="637F305B"/>
    <w:rsid w:val="63844E4C"/>
    <w:rsid w:val="638C7AC1"/>
    <w:rsid w:val="63A94039"/>
    <w:rsid w:val="63AA62D2"/>
    <w:rsid w:val="63AE6FC2"/>
    <w:rsid w:val="63B03E93"/>
    <w:rsid w:val="63B75221"/>
    <w:rsid w:val="63BE035D"/>
    <w:rsid w:val="63BF40D6"/>
    <w:rsid w:val="63CB6D0D"/>
    <w:rsid w:val="63D538F9"/>
    <w:rsid w:val="63FB1D4C"/>
    <w:rsid w:val="63FF34BA"/>
    <w:rsid w:val="64124205"/>
    <w:rsid w:val="64175433"/>
    <w:rsid w:val="643248A8"/>
    <w:rsid w:val="644B741C"/>
    <w:rsid w:val="64542A70"/>
    <w:rsid w:val="64682077"/>
    <w:rsid w:val="646856C7"/>
    <w:rsid w:val="647C4368"/>
    <w:rsid w:val="6489157D"/>
    <w:rsid w:val="648C1742"/>
    <w:rsid w:val="648C407F"/>
    <w:rsid w:val="6491713D"/>
    <w:rsid w:val="64926A0F"/>
    <w:rsid w:val="6494614A"/>
    <w:rsid w:val="64B24A2D"/>
    <w:rsid w:val="64BB44F2"/>
    <w:rsid w:val="64DD4813"/>
    <w:rsid w:val="64E714D4"/>
    <w:rsid w:val="64FB0BCF"/>
    <w:rsid w:val="64FB2EEB"/>
    <w:rsid w:val="6502071E"/>
    <w:rsid w:val="650A312E"/>
    <w:rsid w:val="65202952"/>
    <w:rsid w:val="652341F0"/>
    <w:rsid w:val="652F3AEB"/>
    <w:rsid w:val="65397C94"/>
    <w:rsid w:val="653C0F22"/>
    <w:rsid w:val="654A79CF"/>
    <w:rsid w:val="656071F2"/>
    <w:rsid w:val="657213FC"/>
    <w:rsid w:val="6582241F"/>
    <w:rsid w:val="65842EE1"/>
    <w:rsid w:val="658E1FB1"/>
    <w:rsid w:val="6593000B"/>
    <w:rsid w:val="65932E68"/>
    <w:rsid w:val="659672F3"/>
    <w:rsid w:val="659C2241"/>
    <w:rsid w:val="659F41BF"/>
    <w:rsid w:val="65C06F7D"/>
    <w:rsid w:val="65C20C5B"/>
    <w:rsid w:val="65D06126"/>
    <w:rsid w:val="65DC0F6F"/>
    <w:rsid w:val="65DF2BFC"/>
    <w:rsid w:val="65F63BD4"/>
    <w:rsid w:val="65FD6DE2"/>
    <w:rsid w:val="66035366"/>
    <w:rsid w:val="662F5033"/>
    <w:rsid w:val="663E3834"/>
    <w:rsid w:val="66652D12"/>
    <w:rsid w:val="666C7289"/>
    <w:rsid w:val="66794A10"/>
    <w:rsid w:val="667C005C"/>
    <w:rsid w:val="668313EA"/>
    <w:rsid w:val="668A4527"/>
    <w:rsid w:val="668C53CC"/>
    <w:rsid w:val="668E77A2"/>
    <w:rsid w:val="668F1B3D"/>
    <w:rsid w:val="6694184A"/>
    <w:rsid w:val="669915CD"/>
    <w:rsid w:val="66C258A6"/>
    <w:rsid w:val="66C742ED"/>
    <w:rsid w:val="66C924BF"/>
    <w:rsid w:val="66D460EA"/>
    <w:rsid w:val="66D659BE"/>
    <w:rsid w:val="66E32558"/>
    <w:rsid w:val="66EB2242"/>
    <w:rsid w:val="66F03ECC"/>
    <w:rsid w:val="66F81DD8"/>
    <w:rsid w:val="66F9109C"/>
    <w:rsid w:val="670544F5"/>
    <w:rsid w:val="671148B6"/>
    <w:rsid w:val="672229B1"/>
    <w:rsid w:val="67433417"/>
    <w:rsid w:val="675325B5"/>
    <w:rsid w:val="67764666"/>
    <w:rsid w:val="67766E93"/>
    <w:rsid w:val="677D570E"/>
    <w:rsid w:val="67852861"/>
    <w:rsid w:val="67852F40"/>
    <w:rsid w:val="678A67A9"/>
    <w:rsid w:val="678F3DBF"/>
    <w:rsid w:val="67966BAB"/>
    <w:rsid w:val="67982C74"/>
    <w:rsid w:val="67AE2497"/>
    <w:rsid w:val="67BF5192"/>
    <w:rsid w:val="67D839B8"/>
    <w:rsid w:val="67DD3A75"/>
    <w:rsid w:val="67EE0E11"/>
    <w:rsid w:val="67FB3025"/>
    <w:rsid w:val="67FF2460"/>
    <w:rsid w:val="680633D8"/>
    <w:rsid w:val="68213F2C"/>
    <w:rsid w:val="683358A3"/>
    <w:rsid w:val="68352BB8"/>
    <w:rsid w:val="683C5EF0"/>
    <w:rsid w:val="68424A89"/>
    <w:rsid w:val="684A6664"/>
    <w:rsid w:val="687916F5"/>
    <w:rsid w:val="6884144A"/>
    <w:rsid w:val="688430E9"/>
    <w:rsid w:val="68CB6A7F"/>
    <w:rsid w:val="68D979E8"/>
    <w:rsid w:val="68E1201D"/>
    <w:rsid w:val="68EB3277"/>
    <w:rsid w:val="68F465CF"/>
    <w:rsid w:val="68F91E38"/>
    <w:rsid w:val="69125E40"/>
    <w:rsid w:val="69126A56"/>
    <w:rsid w:val="69140A20"/>
    <w:rsid w:val="691A6179"/>
    <w:rsid w:val="69220889"/>
    <w:rsid w:val="692D249D"/>
    <w:rsid w:val="69342E70"/>
    <w:rsid w:val="693B5FAC"/>
    <w:rsid w:val="694F2481"/>
    <w:rsid w:val="69684D49"/>
    <w:rsid w:val="6993095C"/>
    <w:rsid w:val="699F478D"/>
    <w:rsid w:val="69A3793F"/>
    <w:rsid w:val="69B875FD"/>
    <w:rsid w:val="69BE2739"/>
    <w:rsid w:val="69D07728"/>
    <w:rsid w:val="69D16911"/>
    <w:rsid w:val="69D70B81"/>
    <w:rsid w:val="69DD25FE"/>
    <w:rsid w:val="69DF8BBC"/>
    <w:rsid w:val="69E6327D"/>
    <w:rsid w:val="69EB5D53"/>
    <w:rsid w:val="69F55085"/>
    <w:rsid w:val="6A075683"/>
    <w:rsid w:val="6A110E0D"/>
    <w:rsid w:val="6A1D1DA5"/>
    <w:rsid w:val="6A292A7E"/>
    <w:rsid w:val="6A2C1D99"/>
    <w:rsid w:val="6A3C13E7"/>
    <w:rsid w:val="6A3D3FA6"/>
    <w:rsid w:val="6A420778"/>
    <w:rsid w:val="6A47646D"/>
    <w:rsid w:val="6A5269FC"/>
    <w:rsid w:val="6A570BC4"/>
    <w:rsid w:val="6A5E63F6"/>
    <w:rsid w:val="6A6025EA"/>
    <w:rsid w:val="6A6D6639"/>
    <w:rsid w:val="6A7B295E"/>
    <w:rsid w:val="6A7C4ACE"/>
    <w:rsid w:val="6A7E0B45"/>
    <w:rsid w:val="6A8205DB"/>
    <w:rsid w:val="6A8628A7"/>
    <w:rsid w:val="6A8E035E"/>
    <w:rsid w:val="6A907919"/>
    <w:rsid w:val="6A9C7BD0"/>
    <w:rsid w:val="6A9F5461"/>
    <w:rsid w:val="6AAA6F57"/>
    <w:rsid w:val="6AB46016"/>
    <w:rsid w:val="6AB57FE0"/>
    <w:rsid w:val="6AB9187F"/>
    <w:rsid w:val="6ABF73B0"/>
    <w:rsid w:val="6ADF7055"/>
    <w:rsid w:val="6ADF78E5"/>
    <w:rsid w:val="6AEA5C76"/>
    <w:rsid w:val="6AFE019A"/>
    <w:rsid w:val="6B013226"/>
    <w:rsid w:val="6B016D82"/>
    <w:rsid w:val="6B074369"/>
    <w:rsid w:val="6B08757A"/>
    <w:rsid w:val="6B0C1E5D"/>
    <w:rsid w:val="6B122D3D"/>
    <w:rsid w:val="6B1E7934"/>
    <w:rsid w:val="6B214918"/>
    <w:rsid w:val="6B304B7D"/>
    <w:rsid w:val="6B3F5F2E"/>
    <w:rsid w:val="6B4D1FC7"/>
    <w:rsid w:val="6B51309C"/>
    <w:rsid w:val="6B5664C0"/>
    <w:rsid w:val="6B5670CE"/>
    <w:rsid w:val="6B570828"/>
    <w:rsid w:val="6B576F98"/>
    <w:rsid w:val="6B594E10"/>
    <w:rsid w:val="6B632C4F"/>
    <w:rsid w:val="6B6A2B79"/>
    <w:rsid w:val="6B72788C"/>
    <w:rsid w:val="6B7632DB"/>
    <w:rsid w:val="6B7E5C45"/>
    <w:rsid w:val="6BAB58C4"/>
    <w:rsid w:val="6BBA580B"/>
    <w:rsid w:val="6BC35959"/>
    <w:rsid w:val="6BD149A6"/>
    <w:rsid w:val="6BD865EE"/>
    <w:rsid w:val="6BE566A3"/>
    <w:rsid w:val="6BEC5C84"/>
    <w:rsid w:val="6C177AE5"/>
    <w:rsid w:val="6C2032A3"/>
    <w:rsid w:val="6C313697"/>
    <w:rsid w:val="6C44064E"/>
    <w:rsid w:val="6C4564AB"/>
    <w:rsid w:val="6C4A4E26"/>
    <w:rsid w:val="6C500A40"/>
    <w:rsid w:val="6C6F12F5"/>
    <w:rsid w:val="6C6F5952"/>
    <w:rsid w:val="6C7E1AB4"/>
    <w:rsid w:val="6C804427"/>
    <w:rsid w:val="6C8163CC"/>
    <w:rsid w:val="6C825460"/>
    <w:rsid w:val="6C847C6A"/>
    <w:rsid w:val="6C8B724B"/>
    <w:rsid w:val="6C9218CF"/>
    <w:rsid w:val="6CB5251A"/>
    <w:rsid w:val="6CBE317C"/>
    <w:rsid w:val="6CD26A57"/>
    <w:rsid w:val="6CD7423E"/>
    <w:rsid w:val="6CDFA48C"/>
    <w:rsid w:val="6D027BF5"/>
    <w:rsid w:val="6D21195D"/>
    <w:rsid w:val="6D2531FB"/>
    <w:rsid w:val="6D305B30"/>
    <w:rsid w:val="6D5E670D"/>
    <w:rsid w:val="6D785A21"/>
    <w:rsid w:val="6D806BB4"/>
    <w:rsid w:val="6D8F0170"/>
    <w:rsid w:val="6DB1358D"/>
    <w:rsid w:val="6DB94532"/>
    <w:rsid w:val="6DBB1A92"/>
    <w:rsid w:val="6DBF4D63"/>
    <w:rsid w:val="6DCC7B1B"/>
    <w:rsid w:val="6DCF0C24"/>
    <w:rsid w:val="6DD411F6"/>
    <w:rsid w:val="6DE9006C"/>
    <w:rsid w:val="6DEF7ECF"/>
    <w:rsid w:val="6DF37074"/>
    <w:rsid w:val="6DF44974"/>
    <w:rsid w:val="6DF87AF7"/>
    <w:rsid w:val="6DFC283C"/>
    <w:rsid w:val="6E0D41E6"/>
    <w:rsid w:val="6E241705"/>
    <w:rsid w:val="6E2D7665"/>
    <w:rsid w:val="6E3851B0"/>
    <w:rsid w:val="6E426C72"/>
    <w:rsid w:val="6E517128"/>
    <w:rsid w:val="6E5B6FA5"/>
    <w:rsid w:val="6E600263"/>
    <w:rsid w:val="6E655DB3"/>
    <w:rsid w:val="6E7219BF"/>
    <w:rsid w:val="6E867CCA"/>
    <w:rsid w:val="6E9A5523"/>
    <w:rsid w:val="6EA2262A"/>
    <w:rsid w:val="6EA345F6"/>
    <w:rsid w:val="6EA946A3"/>
    <w:rsid w:val="6EC8494C"/>
    <w:rsid w:val="6EC90923"/>
    <w:rsid w:val="6ECC3352"/>
    <w:rsid w:val="6ED01E57"/>
    <w:rsid w:val="6ED722D3"/>
    <w:rsid w:val="6ED749C9"/>
    <w:rsid w:val="6EDE9A74"/>
    <w:rsid w:val="6EE1CB8C"/>
    <w:rsid w:val="6F0357BE"/>
    <w:rsid w:val="6F0671CF"/>
    <w:rsid w:val="6F170F7C"/>
    <w:rsid w:val="6F305A77"/>
    <w:rsid w:val="6F32398A"/>
    <w:rsid w:val="6F381606"/>
    <w:rsid w:val="6F3B1812"/>
    <w:rsid w:val="6F3D238D"/>
    <w:rsid w:val="6F3F2B8B"/>
    <w:rsid w:val="6F4A141A"/>
    <w:rsid w:val="6F4B2D80"/>
    <w:rsid w:val="6F631DB9"/>
    <w:rsid w:val="6F724DFC"/>
    <w:rsid w:val="6F787BC2"/>
    <w:rsid w:val="6F842F0F"/>
    <w:rsid w:val="6F894313"/>
    <w:rsid w:val="6F8E4016"/>
    <w:rsid w:val="6F9D14AD"/>
    <w:rsid w:val="6FA04649"/>
    <w:rsid w:val="6FAA2DDF"/>
    <w:rsid w:val="6FAB29C1"/>
    <w:rsid w:val="6FAC3760"/>
    <w:rsid w:val="6FCC091D"/>
    <w:rsid w:val="6FD84F6E"/>
    <w:rsid w:val="6FE64452"/>
    <w:rsid w:val="6FEEBA3B"/>
    <w:rsid w:val="6FFA29AE"/>
    <w:rsid w:val="6FFB46E7"/>
    <w:rsid w:val="70015F5E"/>
    <w:rsid w:val="700215D2"/>
    <w:rsid w:val="7005520B"/>
    <w:rsid w:val="70057314"/>
    <w:rsid w:val="700903F5"/>
    <w:rsid w:val="701A6E6B"/>
    <w:rsid w:val="701B2694"/>
    <w:rsid w:val="701D01BA"/>
    <w:rsid w:val="703A6FBE"/>
    <w:rsid w:val="70435343"/>
    <w:rsid w:val="70497201"/>
    <w:rsid w:val="705A7660"/>
    <w:rsid w:val="70894A62"/>
    <w:rsid w:val="70950A39"/>
    <w:rsid w:val="70A46B93"/>
    <w:rsid w:val="70B825D8"/>
    <w:rsid w:val="70BA1C79"/>
    <w:rsid w:val="70C745CA"/>
    <w:rsid w:val="70D770AA"/>
    <w:rsid w:val="70DF73A3"/>
    <w:rsid w:val="70ED2282"/>
    <w:rsid w:val="70EE7DA8"/>
    <w:rsid w:val="70F01D72"/>
    <w:rsid w:val="70F133F4"/>
    <w:rsid w:val="70F60A7E"/>
    <w:rsid w:val="70F759CD"/>
    <w:rsid w:val="70FA71EB"/>
    <w:rsid w:val="71040FAA"/>
    <w:rsid w:val="71092E34"/>
    <w:rsid w:val="71101EEA"/>
    <w:rsid w:val="71216584"/>
    <w:rsid w:val="71245578"/>
    <w:rsid w:val="7141684A"/>
    <w:rsid w:val="71461992"/>
    <w:rsid w:val="71467BE4"/>
    <w:rsid w:val="714A76D4"/>
    <w:rsid w:val="714F1C15"/>
    <w:rsid w:val="71555A66"/>
    <w:rsid w:val="71593474"/>
    <w:rsid w:val="716360A0"/>
    <w:rsid w:val="7191088F"/>
    <w:rsid w:val="71915DBC"/>
    <w:rsid w:val="71A57FAE"/>
    <w:rsid w:val="71B25C57"/>
    <w:rsid w:val="71BD6397"/>
    <w:rsid w:val="71C42383"/>
    <w:rsid w:val="71DB032D"/>
    <w:rsid w:val="71E2790D"/>
    <w:rsid w:val="71ED32C2"/>
    <w:rsid w:val="71FC1682"/>
    <w:rsid w:val="720278A5"/>
    <w:rsid w:val="72127AC6"/>
    <w:rsid w:val="72151E4E"/>
    <w:rsid w:val="72217117"/>
    <w:rsid w:val="72290EB1"/>
    <w:rsid w:val="72323CC5"/>
    <w:rsid w:val="72370ABC"/>
    <w:rsid w:val="724A54B2"/>
    <w:rsid w:val="724F0D1A"/>
    <w:rsid w:val="726141B3"/>
    <w:rsid w:val="728576B2"/>
    <w:rsid w:val="728958BA"/>
    <w:rsid w:val="729A2439"/>
    <w:rsid w:val="729C036D"/>
    <w:rsid w:val="729D55E2"/>
    <w:rsid w:val="72A93F87"/>
    <w:rsid w:val="72B03302"/>
    <w:rsid w:val="72B559CB"/>
    <w:rsid w:val="72B96B82"/>
    <w:rsid w:val="72C15ACA"/>
    <w:rsid w:val="72CA214F"/>
    <w:rsid w:val="72D60AF4"/>
    <w:rsid w:val="72E87A3B"/>
    <w:rsid w:val="72EA1BDD"/>
    <w:rsid w:val="72EF1CD4"/>
    <w:rsid w:val="72FB9949"/>
    <w:rsid w:val="730E64E0"/>
    <w:rsid w:val="731F249B"/>
    <w:rsid w:val="732A5BB6"/>
    <w:rsid w:val="73353292"/>
    <w:rsid w:val="73373C88"/>
    <w:rsid w:val="733F2B3D"/>
    <w:rsid w:val="73407A78"/>
    <w:rsid w:val="73410663"/>
    <w:rsid w:val="73503331"/>
    <w:rsid w:val="735F0AE9"/>
    <w:rsid w:val="736D0EC9"/>
    <w:rsid w:val="73736B6A"/>
    <w:rsid w:val="737605AD"/>
    <w:rsid w:val="73760918"/>
    <w:rsid w:val="73844AB9"/>
    <w:rsid w:val="738739C2"/>
    <w:rsid w:val="73886292"/>
    <w:rsid w:val="738E2DDF"/>
    <w:rsid w:val="73903399"/>
    <w:rsid w:val="73B02BDC"/>
    <w:rsid w:val="73B70925"/>
    <w:rsid w:val="73B9644B"/>
    <w:rsid w:val="73BE3A62"/>
    <w:rsid w:val="73C05A2C"/>
    <w:rsid w:val="73D6524F"/>
    <w:rsid w:val="73DC4D25"/>
    <w:rsid w:val="73DE5EB2"/>
    <w:rsid w:val="73E11809"/>
    <w:rsid w:val="73EF6D31"/>
    <w:rsid w:val="73F2766C"/>
    <w:rsid w:val="73F41B79"/>
    <w:rsid w:val="74034BE4"/>
    <w:rsid w:val="740F250F"/>
    <w:rsid w:val="742873A2"/>
    <w:rsid w:val="74373814"/>
    <w:rsid w:val="74484054"/>
    <w:rsid w:val="74532889"/>
    <w:rsid w:val="745D327B"/>
    <w:rsid w:val="7468238A"/>
    <w:rsid w:val="746C5BA2"/>
    <w:rsid w:val="747F75FE"/>
    <w:rsid w:val="74806F69"/>
    <w:rsid w:val="748828A2"/>
    <w:rsid w:val="748A0340"/>
    <w:rsid w:val="74AD4BB8"/>
    <w:rsid w:val="74B15375"/>
    <w:rsid w:val="74C31A8D"/>
    <w:rsid w:val="74CC21AE"/>
    <w:rsid w:val="74D86105"/>
    <w:rsid w:val="74DF4B7F"/>
    <w:rsid w:val="74E00AC3"/>
    <w:rsid w:val="74E76FE8"/>
    <w:rsid w:val="74F41F6D"/>
    <w:rsid w:val="74F66346"/>
    <w:rsid w:val="74F66908"/>
    <w:rsid w:val="75063912"/>
    <w:rsid w:val="751F6635"/>
    <w:rsid w:val="75260CDF"/>
    <w:rsid w:val="75324707"/>
    <w:rsid w:val="755A5A0C"/>
    <w:rsid w:val="75680129"/>
    <w:rsid w:val="7571641E"/>
    <w:rsid w:val="75932CCC"/>
    <w:rsid w:val="759407F3"/>
    <w:rsid w:val="75992E04"/>
    <w:rsid w:val="75997D91"/>
    <w:rsid w:val="75A1188D"/>
    <w:rsid w:val="75A629FF"/>
    <w:rsid w:val="75CF09D8"/>
    <w:rsid w:val="75D22E1E"/>
    <w:rsid w:val="75D27C98"/>
    <w:rsid w:val="75D62912"/>
    <w:rsid w:val="75DD3AF6"/>
    <w:rsid w:val="75ED062E"/>
    <w:rsid w:val="75EE5078"/>
    <w:rsid w:val="75F633AA"/>
    <w:rsid w:val="76004806"/>
    <w:rsid w:val="76054E3F"/>
    <w:rsid w:val="762D1373"/>
    <w:rsid w:val="765863F0"/>
    <w:rsid w:val="765B2A0F"/>
    <w:rsid w:val="765E2A5C"/>
    <w:rsid w:val="76632346"/>
    <w:rsid w:val="76676633"/>
    <w:rsid w:val="76776A45"/>
    <w:rsid w:val="767F74F6"/>
    <w:rsid w:val="76827C0C"/>
    <w:rsid w:val="76852F5D"/>
    <w:rsid w:val="7692064E"/>
    <w:rsid w:val="76962A74"/>
    <w:rsid w:val="769659B8"/>
    <w:rsid w:val="769D2054"/>
    <w:rsid w:val="76A63631"/>
    <w:rsid w:val="76D8308D"/>
    <w:rsid w:val="76DF0815"/>
    <w:rsid w:val="76E60FC7"/>
    <w:rsid w:val="771C4DF6"/>
    <w:rsid w:val="771F408C"/>
    <w:rsid w:val="772946AE"/>
    <w:rsid w:val="772A140E"/>
    <w:rsid w:val="772A7781"/>
    <w:rsid w:val="7732323E"/>
    <w:rsid w:val="77336515"/>
    <w:rsid w:val="7746169E"/>
    <w:rsid w:val="774E26AD"/>
    <w:rsid w:val="7750356B"/>
    <w:rsid w:val="77582A5D"/>
    <w:rsid w:val="77601FCA"/>
    <w:rsid w:val="77685065"/>
    <w:rsid w:val="776A7140"/>
    <w:rsid w:val="776B4DA6"/>
    <w:rsid w:val="777032C5"/>
    <w:rsid w:val="777459B8"/>
    <w:rsid w:val="777728A5"/>
    <w:rsid w:val="777E28EC"/>
    <w:rsid w:val="7781259C"/>
    <w:rsid w:val="77903967"/>
    <w:rsid w:val="779416A9"/>
    <w:rsid w:val="779BEB0D"/>
    <w:rsid w:val="77AE8367"/>
    <w:rsid w:val="77B07FB0"/>
    <w:rsid w:val="77BF084B"/>
    <w:rsid w:val="77D942B0"/>
    <w:rsid w:val="77DA325D"/>
    <w:rsid w:val="77DB2043"/>
    <w:rsid w:val="77E403FA"/>
    <w:rsid w:val="77F45D13"/>
    <w:rsid w:val="77F708D3"/>
    <w:rsid w:val="77FF0AE5"/>
    <w:rsid w:val="77FF1415"/>
    <w:rsid w:val="77FF6BC3"/>
    <w:rsid w:val="78054D74"/>
    <w:rsid w:val="780D49A0"/>
    <w:rsid w:val="78197298"/>
    <w:rsid w:val="78197E01"/>
    <w:rsid w:val="782A5B6A"/>
    <w:rsid w:val="782D1944"/>
    <w:rsid w:val="78347769"/>
    <w:rsid w:val="784A1D68"/>
    <w:rsid w:val="78552B48"/>
    <w:rsid w:val="78564BB1"/>
    <w:rsid w:val="78570929"/>
    <w:rsid w:val="785A693D"/>
    <w:rsid w:val="78872356"/>
    <w:rsid w:val="788A2AAC"/>
    <w:rsid w:val="789C1DEF"/>
    <w:rsid w:val="789D1A6F"/>
    <w:rsid w:val="78A96831"/>
    <w:rsid w:val="78AF778B"/>
    <w:rsid w:val="78B9332A"/>
    <w:rsid w:val="78BD7DA6"/>
    <w:rsid w:val="78C3642C"/>
    <w:rsid w:val="78C728B3"/>
    <w:rsid w:val="78DE6954"/>
    <w:rsid w:val="78E35D19"/>
    <w:rsid w:val="78F65A4C"/>
    <w:rsid w:val="78FA6777"/>
    <w:rsid w:val="78FF4906"/>
    <w:rsid w:val="79037565"/>
    <w:rsid w:val="790517EC"/>
    <w:rsid w:val="793931F6"/>
    <w:rsid w:val="7952089D"/>
    <w:rsid w:val="796E37A3"/>
    <w:rsid w:val="79722D4C"/>
    <w:rsid w:val="797F5A41"/>
    <w:rsid w:val="798415CC"/>
    <w:rsid w:val="7984419F"/>
    <w:rsid w:val="798474FC"/>
    <w:rsid w:val="79884E43"/>
    <w:rsid w:val="798A3C76"/>
    <w:rsid w:val="799D7818"/>
    <w:rsid w:val="79AC1C2C"/>
    <w:rsid w:val="79BF019A"/>
    <w:rsid w:val="79BF22E2"/>
    <w:rsid w:val="79D33FDF"/>
    <w:rsid w:val="79DD176A"/>
    <w:rsid w:val="79E93803"/>
    <w:rsid w:val="79F72FA5"/>
    <w:rsid w:val="7A0105C4"/>
    <w:rsid w:val="7A0D09CC"/>
    <w:rsid w:val="7A1E525A"/>
    <w:rsid w:val="7A205476"/>
    <w:rsid w:val="7A2A5352"/>
    <w:rsid w:val="7A2F52E5"/>
    <w:rsid w:val="7A397C1E"/>
    <w:rsid w:val="7A4E0EA4"/>
    <w:rsid w:val="7A5505A5"/>
    <w:rsid w:val="7A6E0611"/>
    <w:rsid w:val="7A6ED2FF"/>
    <w:rsid w:val="7A8A7EA5"/>
    <w:rsid w:val="7A994CB0"/>
    <w:rsid w:val="7A9A6032"/>
    <w:rsid w:val="7A9B3AB3"/>
    <w:rsid w:val="7AB14320"/>
    <w:rsid w:val="7AB57EE0"/>
    <w:rsid w:val="7AB91551"/>
    <w:rsid w:val="7ABE4C8F"/>
    <w:rsid w:val="7ADA6237"/>
    <w:rsid w:val="7ADFF646"/>
    <w:rsid w:val="7AE846B8"/>
    <w:rsid w:val="7AEB01BC"/>
    <w:rsid w:val="7AEE20C5"/>
    <w:rsid w:val="7AEF50E9"/>
    <w:rsid w:val="7AF91823"/>
    <w:rsid w:val="7AFA35D1"/>
    <w:rsid w:val="7AFB4DD2"/>
    <w:rsid w:val="7B2F10B9"/>
    <w:rsid w:val="7B36CE72"/>
    <w:rsid w:val="7B3B0A60"/>
    <w:rsid w:val="7B407452"/>
    <w:rsid w:val="7B4425F5"/>
    <w:rsid w:val="7B533629"/>
    <w:rsid w:val="7B5876F0"/>
    <w:rsid w:val="7B60474F"/>
    <w:rsid w:val="7B66414C"/>
    <w:rsid w:val="7B7E3C7E"/>
    <w:rsid w:val="7B83215E"/>
    <w:rsid w:val="7B8A301C"/>
    <w:rsid w:val="7B8B2DC3"/>
    <w:rsid w:val="7B92225E"/>
    <w:rsid w:val="7B95754E"/>
    <w:rsid w:val="7B96595C"/>
    <w:rsid w:val="7B9C68D7"/>
    <w:rsid w:val="7BA961EF"/>
    <w:rsid w:val="7BAF4282"/>
    <w:rsid w:val="7BB132E8"/>
    <w:rsid w:val="7BB74902"/>
    <w:rsid w:val="7BBF0CBF"/>
    <w:rsid w:val="7BBFD69E"/>
    <w:rsid w:val="7BCA404B"/>
    <w:rsid w:val="7BD10B6C"/>
    <w:rsid w:val="7BDC8878"/>
    <w:rsid w:val="7BDD4F83"/>
    <w:rsid w:val="7BE7251B"/>
    <w:rsid w:val="7BE741D9"/>
    <w:rsid w:val="7BE95E75"/>
    <w:rsid w:val="7BF7D6CF"/>
    <w:rsid w:val="7BFF1B6B"/>
    <w:rsid w:val="7C0C1239"/>
    <w:rsid w:val="7C141575"/>
    <w:rsid w:val="7C1820F4"/>
    <w:rsid w:val="7C274045"/>
    <w:rsid w:val="7C2C5863"/>
    <w:rsid w:val="7C311138"/>
    <w:rsid w:val="7C3E7E36"/>
    <w:rsid w:val="7C3F770A"/>
    <w:rsid w:val="7C4C347A"/>
    <w:rsid w:val="7C8F68E3"/>
    <w:rsid w:val="7C9D51B9"/>
    <w:rsid w:val="7CAD001B"/>
    <w:rsid w:val="7CAD77CE"/>
    <w:rsid w:val="7CBE6428"/>
    <w:rsid w:val="7CC0123A"/>
    <w:rsid w:val="7CC13B48"/>
    <w:rsid w:val="7CC66ACE"/>
    <w:rsid w:val="7CDD40B5"/>
    <w:rsid w:val="7D08162E"/>
    <w:rsid w:val="7D085908"/>
    <w:rsid w:val="7D1B0177"/>
    <w:rsid w:val="7D211600"/>
    <w:rsid w:val="7D2D6364"/>
    <w:rsid w:val="7D2E3382"/>
    <w:rsid w:val="7D2E4BB5"/>
    <w:rsid w:val="7D306C0B"/>
    <w:rsid w:val="7D380D29"/>
    <w:rsid w:val="7D3DB515"/>
    <w:rsid w:val="7D42533E"/>
    <w:rsid w:val="7D470F6C"/>
    <w:rsid w:val="7D4C0330"/>
    <w:rsid w:val="7D4D5E56"/>
    <w:rsid w:val="7D580A83"/>
    <w:rsid w:val="7D5C4792"/>
    <w:rsid w:val="7D5D1E52"/>
    <w:rsid w:val="7D6C7EFD"/>
    <w:rsid w:val="7D7157DB"/>
    <w:rsid w:val="7D77D827"/>
    <w:rsid w:val="7D796E4B"/>
    <w:rsid w:val="7D7C3B6C"/>
    <w:rsid w:val="7D817139"/>
    <w:rsid w:val="7D86298E"/>
    <w:rsid w:val="7D883202"/>
    <w:rsid w:val="7D88770C"/>
    <w:rsid w:val="7D9E518D"/>
    <w:rsid w:val="7DA24598"/>
    <w:rsid w:val="7DAB0C26"/>
    <w:rsid w:val="7DAF266D"/>
    <w:rsid w:val="7DB12889"/>
    <w:rsid w:val="7DB83C18"/>
    <w:rsid w:val="7DC120E2"/>
    <w:rsid w:val="7DCB03AB"/>
    <w:rsid w:val="7DCB55E6"/>
    <w:rsid w:val="7DD91EE3"/>
    <w:rsid w:val="7DDB0897"/>
    <w:rsid w:val="7DDFA93A"/>
    <w:rsid w:val="7DF3AE2B"/>
    <w:rsid w:val="7DF54524"/>
    <w:rsid w:val="7DF741B8"/>
    <w:rsid w:val="7DF7FFBC"/>
    <w:rsid w:val="7DFFE7E3"/>
    <w:rsid w:val="7E1C41A7"/>
    <w:rsid w:val="7E2968C4"/>
    <w:rsid w:val="7E372D8F"/>
    <w:rsid w:val="7E3C44D5"/>
    <w:rsid w:val="7E3C61A8"/>
    <w:rsid w:val="7E4932C0"/>
    <w:rsid w:val="7E534B48"/>
    <w:rsid w:val="7E552DFD"/>
    <w:rsid w:val="7E7CD4BA"/>
    <w:rsid w:val="7E8F7C56"/>
    <w:rsid w:val="7E941F8F"/>
    <w:rsid w:val="7E9B30BA"/>
    <w:rsid w:val="7E9F7330"/>
    <w:rsid w:val="7EA35071"/>
    <w:rsid w:val="7EAD04E3"/>
    <w:rsid w:val="7EB43882"/>
    <w:rsid w:val="7EB554BC"/>
    <w:rsid w:val="7EBF6B9B"/>
    <w:rsid w:val="7EBF7D71"/>
    <w:rsid w:val="7ECD2214"/>
    <w:rsid w:val="7ED83E28"/>
    <w:rsid w:val="7ED93E46"/>
    <w:rsid w:val="7EE6DDDD"/>
    <w:rsid w:val="7EEC634C"/>
    <w:rsid w:val="7EEF6036"/>
    <w:rsid w:val="7EF96296"/>
    <w:rsid w:val="7EFB1813"/>
    <w:rsid w:val="7EFF6971"/>
    <w:rsid w:val="7EFFC606"/>
    <w:rsid w:val="7F0D0A7F"/>
    <w:rsid w:val="7F214EAB"/>
    <w:rsid w:val="7F2350C1"/>
    <w:rsid w:val="7F390D88"/>
    <w:rsid w:val="7F3DB291"/>
    <w:rsid w:val="7F420866"/>
    <w:rsid w:val="7F4622E2"/>
    <w:rsid w:val="7F4FFE6B"/>
    <w:rsid w:val="7F555267"/>
    <w:rsid w:val="7F5B5D7F"/>
    <w:rsid w:val="7F5C05D3"/>
    <w:rsid w:val="7F6712B7"/>
    <w:rsid w:val="7F792268"/>
    <w:rsid w:val="7F7C4936"/>
    <w:rsid w:val="7F7E679B"/>
    <w:rsid w:val="7F870749"/>
    <w:rsid w:val="7F953436"/>
    <w:rsid w:val="7FA86ACB"/>
    <w:rsid w:val="7FA8704C"/>
    <w:rsid w:val="7FAF1620"/>
    <w:rsid w:val="7FB16474"/>
    <w:rsid w:val="7FB70572"/>
    <w:rsid w:val="7FBDAA4A"/>
    <w:rsid w:val="7FBF38DE"/>
    <w:rsid w:val="7FC6249F"/>
    <w:rsid w:val="7FCE869C"/>
    <w:rsid w:val="7FDE847C"/>
    <w:rsid w:val="7FDFE7C7"/>
    <w:rsid w:val="7FE403C1"/>
    <w:rsid w:val="7FE621A5"/>
    <w:rsid w:val="7FEDC984"/>
    <w:rsid w:val="7FEE2133"/>
    <w:rsid w:val="7FF75B56"/>
    <w:rsid w:val="7FFDCE2B"/>
    <w:rsid w:val="7FFEFC1A"/>
    <w:rsid w:val="7FFF0AD7"/>
    <w:rsid w:val="7FFF16A1"/>
    <w:rsid w:val="87FBBE7F"/>
    <w:rsid w:val="8BD75841"/>
    <w:rsid w:val="9B9BF75D"/>
    <w:rsid w:val="9BDEC686"/>
    <w:rsid w:val="9DAEB9F6"/>
    <w:rsid w:val="9DF43BD3"/>
    <w:rsid w:val="A7F76335"/>
    <w:rsid w:val="AECDB9FB"/>
    <w:rsid w:val="AFF6E2AD"/>
    <w:rsid w:val="AFFF952A"/>
    <w:rsid w:val="B2B78690"/>
    <w:rsid w:val="B3E35281"/>
    <w:rsid w:val="B5EB3384"/>
    <w:rsid w:val="B78C2F88"/>
    <w:rsid w:val="B78FB824"/>
    <w:rsid w:val="BAF71CBB"/>
    <w:rsid w:val="BBDFF064"/>
    <w:rsid w:val="BBFFBEFD"/>
    <w:rsid w:val="BC7BFBFA"/>
    <w:rsid w:val="BEFBC1FC"/>
    <w:rsid w:val="BF39A6B6"/>
    <w:rsid w:val="BF92FEFC"/>
    <w:rsid w:val="BFD85754"/>
    <w:rsid w:val="BFDBACD3"/>
    <w:rsid w:val="BFDE88A3"/>
    <w:rsid w:val="BFE7BE01"/>
    <w:rsid w:val="BFEF7C73"/>
    <w:rsid w:val="BFF665CA"/>
    <w:rsid w:val="BFFA9421"/>
    <w:rsid w:val="BFFDE3C0"/>
    <w:rsid w:val="BFFF3A28"/>
    <w:rsid w:val="C7FAB05A"/>
    <w:rsid w:val="C9688C59"/>
    <w:rsid w:val="CCDF24DB"/>
    <w:rsid w:val="CCFD7F59"/>
    <w:rsid w:val="CDFB6914"/>
    <w:rsid w:val="CEF6C102"/>
    <w:rsid w:val="CFF1D51B"/>
    <w:rsid w:val="D23B7D56"/>
    <w:rsid w:val="D6A70CEC"/>
    <w:rsid w:val="D75C2978"/>
    <w:rsid w:val="D97F7EB7"/>
    <w:rsid w:val="D9F3A1E4"/>
    <w:rsid w:val="DBA7F18A"/>
    <w:rsid w:val="DBFC4F9F"/>
    <w:rsid w:val="DBFF8E56"/>
    <w:rsid w:val="DDC99CE7"/>
    <w:rsid w:val="DDCF72B8"/>
    <w:rsid w:val="DDF3F865"/>
    <w:rsid w:val="DDF588FD"/>
    <w:rsid w:val="DF772607"/>
    <w:rsid w:val="DF7FD690"/>
    <w:rsid w:val="DFB7FA9B"/>
    <w:rsid w:val="DFD34956"/>
    <w:rsid w:val="DFDD827D"/>
    <w:rsid w:val="DFEF45BB"/>
    <w:rsid w:val="DFFA7666"/>
    <w:rsid w:val="DFFF1CC5"/>
    <w:rsid w:val="E0C77D68"/>
    <w:rsid w:val="E3B30B08"/>
    <w:rsid w:val="E3F75F4C"/>
    <w:rsid w:val="E687CE29"/>
    <w:rsid w:val="E7E9B4CA"/>
    <w:rsid w:val="E7FF8931"/>
    <w:rsid w:val="E9EE10A5"/>
    <w:rsid w:val="EAFDFFE9"/>
    <w:rsid w:val="EBDFE1A5"/>
    <w:rsid w:val="ED3FE23B"/>
    <w:rsid w:val="ED4FEABE"/>
    <w:rsid w:val="ED7F8ECD"/>
    <w:rsid w:val="EDF735E9"/>
    <w:rsid w:val="EE8B76E6"/>
    <w:rsid w:val="EEADA7AD"/>
    <w:rsid w:val="EEBFC77A"/>
    <w:rsid w:val="EEEC5B2D"/>
    <w:rsid w:val="EF17FA28"/>
    <w:rsid w:val="EF2F3B2B"/>
    <w:rsid w:val="EFDDACFF"/>
    <w:rsid w:val="EFDF5541"/>
    <w:rsid w:val="EFEF15B3"/>
    <w:rsid w:val="EFF9BD23"/>
    <w:rsid w:val="F1B6F055"/>
    <w:rsid w:val="F3E9D7EF"/>
    <w:rsid w:val="F3EB492A"/>
    <w:rsid w:val="F58D90D3"/>
    <w:rsid w:val="F5B6530A"/>
    <w:rsid w:val="F6221D96"/>
    <w:rsid w:val="F6FF4E97"/>
    <w:rsid w:val="F73A2D37"/>
    <w:rsid w:val="F7532A31"/>
    <w:rsid w:val="F7BF27E5"/>
    <w:rsid w:val="F7D5E261"/>
    <w:rsid w:val="F7EF2892"/>
    <w:rsid w:val="F7F5374B"/>
    <w:rsid w:val="F9BF591D"/>
    <w:rsid w:val="F9EFE436"/>
    <w:rsid w:val="FAA92BAA"/>
    <w:rsid w:val="FAFFC23B"/>
    <w:rsid w:val="FB0FC635"/>
    <w:rsid w:val="FB3F7E72"/>
    <w:rsid w:val="FB7BD4A9"/>
    <w:rsid w:val="FBBF7B5E"/>
    <w:rsid w:val="FBDD673C"/>
    <w:rsid w:val="FBEF0DA5"/>
    <w:rsid w:val="FBF1FBF0"/>
    <w:rsid w:val="FBFBD7EF"/>
    <w:rsid w:val="FBFDD74A"/>
    <w:rsid w:val="FCBFEBFB"/>
    <w:rsid w:val="FCDFF5D1"/>
    <w:rsid w:val="FD7E70FD"/>
    <w:rsid w:val="FDA7CB2C"/>
    <w:rsid w:val="FDAFF9CF"/>
    <w:rsid w:val="FDBF1C12"/>
    <w:rsid w:val="FDC5C4AE"/>
    <w:rsid w:val="FDCB67F8"/>
    <w:rsid w:val="FDDF3F19"/>
    <w:rsid w:val="FDF3095D"/>
    <w:rsid w:val="FDF33E76"/>
    <w:rsid w:val="FE3FD8C6"/>
    <w:rsid w:val="FE4F6239"/>
    <w:rsid w:val="FE5F315D"/>
    <w:rsid w:val="FEBF6665"/>
    <w:rsid w:val="FECF2D87"/>
    <w:rsid w:val="FEDC3475"/>
    <w:rsid w:val="FEEFDCBB"/>
    <w:rsid w:val="FEEFFAD5"/>
    <w:rsid w:val="FF3122CE"/>
    <w:rsid w:val="FF3A1413"/>
    <w:rsid w:val="FF3F3E35"/>
    <w:rsid w:val="FF5FC792"/>
    <w:rsid w:val="FF6F8CC8"/>
    <w:rsid w:val="FFBD13B1"/>
    <w:rsid w:val="FFBEBF4B"/>
    <w:rsid w:val="FFBFA64C"/>
    <w:rsid w:val="FFD621DA"/>
    <w:rsid w:val="FFE772E6"/>
    <w:rsid w:val="FFE90452"/>
    <w:rsid w:val="FFF73AEE"/>
    <w:rsid w:val="FFFE1F89"/>
    <w:rsid w:val="FFFF9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9"/>
    <w:qFormat/>
    <w:uiPriority w:val="0"/>
    <w:pPr>
      <w:keepNext/>
      <w:keepLines/>
      <w:spacing w:line="576" w:lineRule="auto"/>
      <w:outlineLvl w:val="0"/>
    </w:pPr>
    <w:rPr>
      <w:b/>
      <w:bCs/>
      <w:kern w:val="44"/>
      <w:sz w:val="44"/>
      <w:szCs w:val="44"/>
    </w:rPr>
  </w:style>
  <w:style w:type="paragraph" w:styleId="4">
    <w:name w:val="heading 2"/>
    <w:basedOn w:val="1"/>
    <w:next w:val="1"/>
    <w:link w:val="65"/>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line="480" w:lineRule="auto"/>
      <w:jc w:val="left"/>
      <w:outlineLvl w:val="2"/>
    </w:pPr>
    <w:rPr>
      <w:rFonts w:eastAsia="新宋体"/>
      <w:bCs/>
      <w:kern w:val="0"/>
      <w:sz w:val="30"/>
      <w:szCs w:val="32"/>
    </w:rPr>
  </w:style>
  <w:style w:type="paragraph" w:styleId="6">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line="376" w:lineRule="auto"/>
      <w:outlineLvl w:val="4"/>
    </w:pPr>
    <w:rPr>
      <w:b/>
      <w:bCs/>
      <w:sz w:val="28"/>
      <w:szCs w:val="28"/>
    </w:rPr>
  </w:style>
  <w:style w:type="paragraph" w:styleId="8">
    <w:name w:val="heading 6"/>
    <w:basedOn w:val="1"/>
    <w:next w:val="1"/>
    <w:qFormat/>
    <w:uiPriority w:val="0"/>
    <w:pPr>
      <w:keepNext/>
      <w:keepLines/>
      <w:spacing w:line="320" w:lineRule="auto"/>
      <w:outlineLvl w:val="5"/>
    </w:pPr>
    <w:rPr>
      <w:rFonts w:ascii="Arial" w:hAnsi="Arial" w:eastAsia="黑体"/>
      <w:b/>
      <w:bCs/>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20" w:firstLineChars="200"/>
    </w:pPr>
    <w:rPr>
      <w:kern w:val="0"/>
      <w:sz w:val="20"/>
    </w:rPr>
  </w:style>
  <w:style w:type="paragraph" w:styleId="9">
    <w:name w:val="toc 7"/>
    <w:basedOn w:val="1"/>
    <w:next w:val="1"/>
    <w:qFormat/>
    <w:uiPriority w:val="0"/>
    <w:pPr>
      <w:ind w:left="2520" w:leftChars="1200"/>
    </w:pPr>
  </w:style>
  <w:style w:type="paragraph" w:styleId="10">
    <w:name w:val="Normal Indent"/>
    <w:basedOn w:val="1"/>
    <w:next w:val="1"/>
    <w:link w:val="58"/>
    <w:qFormat/>
    <w:uiPriority w:val="0"/>
    <w:pPr>
      <w:ind w:firstLine="420"/>
    </w:pPr>
    <w:rPr>
      <w:snapToGrid w:val="0"/>
      <w:kern w:val="0"/>
      <w:sz w:val="28"/>
      <w:szCs w:val="20"/>
    </w:rPr>
  </w:style>
  <w:style w:type="paragraph" w:styleId="11">
    <w:name w:val="caption"/>
    <w:basedOn w:val="1"/>
    <w:next w:val="1"/>
    <w:qFormat/>
    <w:uiPriority w:val="0"/>
    <w:pPr>
      <w:ind w:firstLine="0" w:firstLineChars="0"/>
    </w:pPr>
    <w:rPr>
      <w:rFonts w:eastAsia="黑体"/>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spacing w:before="120"/>
    </w:pPr>
    <w:rPr>
      <w:rFonts w:ascii="Arial" w:hAnsi="Arial"/>
    </w:rPr>
  </w:style>
  <w:style w:type="paragraph" w:styleId="14">
    <w:name w:val="annotation text"/>
    <w:basedOn w:val="1"/>
    <w:semiHidden/>
    <w:qFormat/>
    <w:uiPriority w:val="0"/>
    <w:pPr>
      <w:jc w:val="left"/>
    </w:pPr>
  </w:style>
  <w:style w:type="paragraph" w:styleId="15">
    <w:name w:val="List Bullet 3"/>
    <w:basedOn w:val="1"/>
    <w:qFormat/>
    <w:uiPriority w:val="0"/>
    <w:pPr>
      <w:numPr>
        <w:ilvl w:val="0"/>
        <w:numId w:val="1"/>
      </w:numPr>
      <w:ind w:left="0" w:firstLine="0" w:firstLineChars="0"/>
    </w:pPr>
    <w:rPr>
      <w:rFonts w:eastAsia="仿宋"/>
      <w:sz w:val="28"/>
      <w:szCs w:val="20"/>
    </w:rPr>
  </w:style>
  <w:style w:type="paragraph" w:styleId="16">
    <w:name w:val="Body Text"/>
    <w:basedOn w:val="1"/>
    <w:next w:val="17"/>
    <w:qFormat/>
    <w:uiPriority w:val="0"/>
    <w:pPr>
      <w:jc w:val="center"/>
    </w:pPr>
    <w:rPr>
      <w:spacing w:val="-20"/>
      <w:szCs w:val="20"/>
    </w:rPr>
  </w:style>
  <w:style w:type="paragraph" w:customStyle="1" w:styleId="17">
    <w:name w:val="Default"/>
    <w:next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大标题"/>
    <w:basedOn w:val="1"/>
    <w:next w:val="19"/>
    <w:qFormat/>
    <w:uiPriority w:val="0"/>
    <w:pPr>
      <w:jc w:val="center"/>
    </w:pPr>
    <w:rPr>
      <w:rFonts w:ascii="Arial" w:hAnsi="Arial"/>
      <w:b/>
      <w:sz w:val="28"/>
    </w:rPr>
  </w:style>
  <w:style w:type="paragraph" w:styleId="19">
    <w:name w:val="Body Text First Indent 2"/>
    <w:basedOn w:val="20"/>
    <w:next w:val="1"/>
    <w:qFormat/>
    <w:uiPriority w:val="0"/>
    <w:pPr>
      <w:spacing w:after="120"/>
      <w:ind w:left="420" w:leftChars="200" w:firstLine="420"/>
    </w:pPr>
    <w:rPr>
      <w:sz w:val="21"/>
      <w:szCs w:val="20"/>
    </w:rPr>
  </w:style>
  <w:style w:type="paragraph" w:styleId="20">
    <w:name w:val="Body Text Indent"/>
    <w:basedOn w:val="1"/>
    <w:next w:val="17"/>
    <w:qFormat/>
    <w:uiPriority w:val="0"/>
    <w:pPr>
      <w:spacing w:line="400" w:lineRule="exact"/>
      <w:ind w:firstLine="480"/>
    </w:pPr>
  </w:style>
  <w:style w:type="paragraph" w:styleId="21">
    <w:name w:val="List 2"/>
    <w:basedOn w:val="1"/>
    <w:qFormat/>
    <w:uiPriority w:val="0"/>
    <w:pPr>
      <w:ind w:firstLine="0" w:firstLineChars="0"/>
      <w:contextualSpacing/>
      <w:jc w:val="center"/>
    </w:pPr>
    <w:rPr>
      <w:sz w:val="18"/>
      <w:lang w:eastAsia="en-US"/>
    </w:rPr>
  </w:style>
  <w:style w:type="paragraph" w:styleId="22">
    <w:name w:val="toc 5"/>
    <w:basedOn w:val="1"/>
    <w:next w:val="1"/>
    <w:qFormat/>
    <w:uiPriority w:val="0"/>
    <w:pPr>
      <w:ind w:left="1680" w:leftChars="800"/>
    </w:pPr>
  </w:style>
  <w:style w:type="paragraph" w:styleId="23">
    <w:name w:val="toc 3"/>
    <w:basedOn w:val="1"/>
    <w:next w:val="1"/>
    <w:qFormat/>
    <w:uiPriority w:val="0"/>
    <w:pPr>
      <w:tabs>
        <w:tab w:val="right" w:leader="dot" w:pos="8834"/>
      </w:tabs>
      <w:spacing w:line="440" w:lineRule="exact"/>
      <w:jc w:val="left"/>
    </w:pPr>
    <w:rPr>
      <w:rFonts w:eastAsia="新宋体"/>
      <w:sz w:val="28"/>
    </w:rPr>
  </w:style>
  <w:style w:type="paragraph" w:styleId="24">
    <w:name w:val="Plain Text"/>
    <w:basedOn w:val="1"/>
    <w:link w:val="62"/>
    <w:qFormat/>
    <w:uiPriority w:val="0"/>
    <w:rPr>
      <w:rFonts w:ascii="宋体" w:hAnsi="Courier New" w:eastAsia="仿宋"/>
      <w:sz w:val="28"/>
      <w:szCs w:val="20"/>
    </w:rPr>
  </w:style>
  <w:style w:type="paragraph" w:styleId="25">
    <w:name w:val="toc 8"/>
    <w:basedOn w:val="1"/>
    <w:next w:val="1"/>
    <w:qFormat/>
    <w:uiPriority w:val="0"/>
    <w:pPr>
      <w:ind w:left="2940" w:leftChars="1400"/>
    </w:pPr>
  </w:style>
  <w:style w:type="paragraph" w:styleId="26">
    <w:name w:val="Date"/>
    <w:basedOn w:val="1"/>
    <w:next w:val="1"/>
    <w:qFormat/>
    <w:uiPriority w:val="0"/>
    <w:pPr>
      <w:ind w:left="100" w:leftChars="2500"/>
    </w:pPr>
    <w:rPr>
      <w:sz w:val="28"/>
    </w:rPr>
  </w:style>
  <w:style w:type="paragraph" w:styleId="27">
    <w:name w:val="Body Text Indent 2"/>
    <w:basedOn w:val="1"/>
    <w:qFormat/>
    <w:uiPriority w:val="0"/>
    <w:pPr>
      <w:spacing w:line="400" w:lineRule="exact"/>
      <w:ind w:firstLine="640"/>
    </w:pPr>
    <w:rPr>
      <w:sz w:val="32"/>
    </w:rPr>
  </w:style>
  <w:style w:type="paragraph" w:styleId="28">
    <w:name w:val="Balloon Text"/>
    <w:basedOn w:val="1"/>
    <w:qFormat/>
    <w:uiPriority w:val="0"/>
    <w:rPr>
      <w:sz w:val="18"/>
      <w:szCs w:val="18"/>
    </w:rPr>
  </w:style>
  <w:style w:type="paragraph" w:styleId="29">
    <w:name w:val="footer"/>
    <w:basedOn w:val="1"/>
    <w:link w:val="63"/>
    <w:qFormat/>
    <w:uiPriority w:val="0"/>
    <w:pPr>
      <w:tabs>
        <w:tab w:val="center" w:pos="4153"/>
        <w:tab w:val="right" w:pos="8306"/>
      </w:tabs>
      <w:snapToGrid w:val="0"/>
      <w:jc w:val="left"/>
    </w:pPr>
    <w:rPr>
      <w:kern w:val="0"/>
      <w:sz w:val="18"/>
      <w:szCs w:val="18"/>
    </w:rPr>
  </w:style>
  <w:style w:type="paragraph" w:styleId="30">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0"/>
    <w:pPr>
      <w:tabs>
        <w:tab w:val="right" w:leader="dot" w:pos="8834"/>
      </w:tabs>
      <w:spacing w:line="440" w:lineRule="exact"/>
      <w:ind w:firstLine="0" w:firstLineChars="0"/>
      <w:jc w:val="left"/>
    </w:pPr>
    <w:rPr>
      <w:rFonts w:eastAsia="新宋体"/>
      <w:sz w:val="28"/>
    </w:rPr>
  </w:style>
  <w:style w:type="paragraph" w:styleId="32">
    <w:name w:val="toc 4"/>
    <w:basedOn w:val="1"/>
    <w:next w:val="1"/>
    <w:qFormat/>
    <w:uiPriority w:val="0"/>
    <w:pPr>
      <w:ind w:left="1260" w:leftChars="600"/>
    </w:pPr>
  </w:style>
  <w:style w:type="paragraph" w:styleId="33">
    <w:name w:val="index heading"/>
    <w:basedOn w:val="1"/>
    <w:next w:val="34"/>
    <w:qFormat/>
    <w:uiPriority w:val="99"/>
  </w:style>
  <w:style w:type="paragraph" w:styleId="34">
    <w:name w:val="index 1"/>
    <w:basedOn w:val="1"/>
    <w:next w:val="1"/>
    <w:semiHidden/>
    <w:qFormat/>
    <w:uiPriority w:val="99"/>
  </w:style>
  <w:style w:type="paragraph" w:styleId="35">
    <w:name w:val="List"/>
    <w:basedOn w:val="1"/>
    <w:qFormat/>
    <w:uiPriority w:val="0"/>
    <w:pPr>
      <w:spacing w:beforeLines="100" w:line="360" w:lineRule="auto"/>
      <w:jc w:val="center"/>
    </w:pPr>
    <w:rPr>
      <w:rFonts w:ascii="宋体" w:hAnsi="宋体"/>
      <w:b/>
      <w:sz w:val="28"/>
    </w:rPr>
  </w:style>
  <w:style w:type="paragraph" w:styleId="36">
    <w:name w:val="footnote text"/>
    <w:basedOn w:val="1"/>
    <w:qFormat/>
    <w:uiPriority w:val="0"/>
    <w:pPr>
      <w:snapToGrid w:val="0"/>
      <w:jc w:val="left"/>
    </w:pPr>
    <w:rPr>
      <w:sz w:val="18"/>
    </w:rPr>
  </w:style>
  <w:style w:type="paragraph" w:styleId="37">
    <w:name w:val="toc 6"/>
    <w:basedOn w:val="1"/>
    <w:next w:val="1"/>
    <w:qFormat/>
    <w:uiPriority w:val="0"/>
    <w:pPr>
      <w:ind w:left="2100" w:leftChars="1000"/>
    </w:pPr>
  </w:style>
  <w:style w:type="paragraph" w:styleId="38">
    <w:name w:val="Body Text Indent 3"/>
    <w:basedOn w:val="1"/>
    <w:qFormat/>
    <w:uiPriority w:val="0"/>
    <w:pPr>
      <w:ind w:firstLine="640"/>
    </w:pPr>
    <w:rPr>
      <w:rFonts w:ascii="仿宋" w:eastAsia="仿宋"/>
      <w:color w:val="FFFF99"/>
      <w:sz w:val="32"/>
    </w:rPr>
  </w:style>
  <w:style w:type="paragraph" w:styleId="39">
    <w:name w:val="index 7"/>
    <w:basedOn w:val="1"/>
    <w:next w:val="1"/>
    <w:qFormat/>
    <w:uiPriority w:val="0"/>
    <w:pPr>
      <w:ind w:left="2520"/>
    </w:pPr>
    <w:rPr>
      <w:szCs w:val="22"/>
    </w:rPr>
  </w:style>
  <w:style w:type="paragraph" w:styleId="40">
    <w:name w:val="toc 2"/>
    <w:basedOn w:val="1"/>
    <w:next w:val="1"/>
    <w:qFormat/>
    <w:uiPriority w:val="0"/>
    <w:pPr>
      <w:spacing w:line="440" w:lineRule="exact"/>
      <w:ind w:firstLine="100" w:firstLineChars="100"/>
      <w:jc w:val="left"/>
    </w:pPr>
    <w:rPr>
      <w:rFonts w:eastAsia="新宋体"/>
      <w:sz w:val="28"/>
    </w:rPr>
  </w:style>
  <w:style w:type="paragraph" w:styleId="41">
    <w:name w:val="toc 9"/>
    <w:basedOn w:val="1"/>
    <w:next w:val="1"/>
    <w:qFormat/>
    <w:uiPriority w:val="0"/>
    <w:pPr>
      <w:ind w:left="3360" w:leftChars="1600"/>
    </w:pPr>
  </w:style>
  <w:style w:type="paragraph" w:styleId="4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3">
    <w:name w:val="Normal (Web)"/>
    <w:basedOn w:val="1"/>
    <w:qFormat/>
    <w:uiPriority w:val="99"/>
    <w:pPr>
      <w:widowControl/>
      <w:spacing w:beforeAutospacing="1" w:afterAutospacing="1"/>
      <w:ind w:firstLine="0" w:firstLineChars="0"/>
      <w:jc w:val="left"/>
    </w:pPr>
    <w:rPr>
      <w:kern w:val="0"/>
    </w:rPr>
  </w:style>
  <w:style w:type="paragraph" w:styleId="44">
    <w:name w:val="Title"/>
    <w:basedOn w:val="1"/>
    <w:next w:val="1"/>
    <w:qFormat/>
    <w:uiPriority w:val="0"/>
    <w:pPr>
      <w:spacing w:before="240" w:after="60"/>
      <w:jc w:val="center"/>
      <w:outlineLvl w:val="0"/>
    </w:pPr>
    <w:rPr>
      <w:rFonts w:ascii="Cambria" w:hAnsi="Cambria"/>
      <w:b/>
      <w:bCs/>
      <w:sz w:val="32"/>
      <w:szCs w:val="32"/>
    </w:rPr>
  </w:style>
  <w:style w:type="paragraph" w:styleId="45">
    <w:name w:val="annotation subject"/>
    <w:basedOn w:val="14"/>
    <w:next w:val="14"/>
    <w:semiHidden/>
    <w:qFormat/>
    <w:uiPriority w:val="0"/>
    <w:rPr>
      <w:b/>
      <w:bCs/>
    </w:rPr>
  </w:style>
  <w:style w:type="paragraph" w:styleId="46">
    <w:name w:val="Body Text First Indent"/>
    <w:basedOn w:val="16"/>
    <w:qFormat/>
    <w:uiPriority w:val="0"/>
    <w:pPr>
      <w:widowControl/>
      <w:ind w:firstLine="420"/>
      <w:jc w:val="left"/>
    </w:pPr>
    <w:rPr>
      <w:kern w:val="0"/>
      <w:sz w:val="2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20"/>
    <w:rPr>
      <w:i/>
      <w:iCs/>
    </w:rPr>
  </w:style>
  <w:style w:type="character" w:styleId="54">
    <w:name w:val="Hyperlink"/>
    <w:basedOn w:val="49"/>
    <w:qFormat/>
    <w:uiPriority w:val="0"/>
    <w:rPr>
      <w:color w:val="0000FF"/>
      <w:u w:val="single"/>
    </w:rPr>
  </w:style>
  <w:style w:type="character" w:styleId="55">
    <w:name w:val="HTML Code"/>
    <w:basedOn w:val="49"/>
    <w:qFormat/>
    <w:uiPriority w:val="0"/>
    <w:rPr>
      <w:rFonts w:ascii="Courier New" w:hAnsi="Courier New"/>
      <w:sz w:val="20"/>
    </w:rPr>
  </w:style>
  <w:style w:type="character" w:styleId="56">
    <w:name w:val="annotation reference"/>
    <w:semiHidden/>
    <w:qFormat/>
    <w:uiPriority w:val="0"/>
    <w:rPr>
      <w:sz w:val="21"/>
      <w:szCs w:val="21"/>
    </w:rPr>
  </w:style>
  <w:style w:type="character" w:customStyle="1" w:styleId="57">
    <w:name w:val="标题 1 Char"/>
    <w:link w:val="3"/>
    <w:qFormat/>
    <w:uiPriority w:val="0"/>
    <w:rPr>
      <w:b/>
      <w:bCs/>
      <w:kern w:val="44"/>
      <w:sz w:val="44"/>
      <w:szCs w:val="44"/>
    </w:rPr>
  </w:style>
  <w:style w:type="character" w:customStyle="1" w:styleId="58">
    <w:name w:val="正文缩进 Char"/>
    <w:link w:val="10"/>
    <w:qFormat/>
    <w:uiPriority w:val="0"/>
    <w:rPr>
      <w:snapToGrid w:val="0"/>
      <w:sz w:val="28"/>
    </w:rPr>
  </w:style>
  <w:style w:type="character" w:customStyle="1" w:styleId="59">
    <w:name w:val="标题 1 Char1"/>
    <w:link w:val="3"/>
    <w:qFormat/>
    <w:uiPriority w:val="0"/>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lang w:val="en-US" w:eastAsia="zh-CN" w:bidi="ar-SA"/>
    </w:rPr>
  </w:style>
  <w:style w:type="character" w:customStyle="1" w:styleId="61">
    <w:name w:val="标题 3 Char1"/>
    <w:basedOn w:val="49"/>
    <w:link w:val="5"/>
    <w:qFormat/>
    <w:uiPriority w:val="0"/>
    <w:rPr>
      <w:rFonts w:eastAsia="新宋体"/>
      <w:bCs/>
      <w:sz w:val="30"/>
      <w:szCs w:val="32"/>
    </w:rPr>
  </w:style>
  <w:style w:type="character" w:customStyle="1" w:styleId="62">
    <w:name w:val="纯文本 Char1"/>
    <w:link w:val="24"/>
    <w:qFormat/>
    <w:uiPriority w:val="0"/>
    <w:rPr>
      <w:rFonts w:ascii="宋体" w:hAnsi="Courier New" w:eastAsia="仿宋"/>
      <w:kern w:val="2"/>
      <w:sz w:val="28"/>
      <w:lang w:val="en-US" w:eastAsia="zh-CN" w:bidi="ar-SA"/>
    </w:rPr>
  </w:style>
  <w:style w:type="character" w:customStyle="1" w:styleId="63">
    <w:name w:val="页脚 Char"/>
    <w:link w:val="29"/>
    <w:qFormat/>
    <w:uiPriority w:val="0"/>
    <w:rPr>
      <w:sz w:val="18"/>
      <w:szCs w:val="18"/>
    </w:rPr>
  </w:style>
  <w:style w:type="character" w:customStyle="1" w:styleId="64">
    <w:name w:val="页眉 Char"/>
    <w:link w:val="30"/>
    <w:qFormat/>
    <w:uiPriority w:val="0"/>
    <w:rPr>
      <w:sz w:val="18"/>
      <w:szCs w:val="18"/>
    </w:rPr>
  </w:style>
  <w:style w:type="character" w:customStyle="1" w:styleId="65">
    <w:name w:val="标题 2 Char"/>
    <w:link w:val="4"/>
    <w:qFormat/>
    <w:uiPriority w:val="0"/>
    <w:rPr>
      <w:rFonts w:ascii="Cambria" w:hAnsi="Cambria"/>
      <w:b/>
      <w:bCs/>
      <w:i/>
      <w:iCs/>
      <w:sz w:val="28"/>
      <w:szCs w:val="28"/>
      <w:lang w:bidi="ar-SA"/>
    </w:rPr>
  </w:style>
  <w:style w:type="paragraph" w:customStyle="1" w:styleId="6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表格文字"/>
    <w:basedOn w:val="1"/>
    <w:qFormat/>
    <w:uiPriority w:val="0"/>
    <w:pPr>
      <w:jc w:val="left"/>
    </w:pPr>
    <w:rPr>
      <w:bCs/>
      <w:spacing w:val="10"/>
      <w:kern w:val="0"/>
      <w:szCs w:val="20"/>
    </w:rPr>
  </w:style>
  <w:style w:type="character" w:customStyle="1" w:styleId="68">
    <w:name w:val="font51"/>
    <w:basedOn w:val="49"/>
    <w:qFormat/>
    <w:uiPriority w:val="0"/>
    <w:rPr>
      <w:rFonts w:hint="eastAsia" w:ascii="宋体" w:hAnsi="宋体" w:eastAsia="宋体" w:cs="宋体"/>
      <w:color w:val="000000"/>
      <w:sz w:val="20"/>
      <w:szCs w:val="20"/>
      <w:u w:val="none"/>
      <w:vertAlign w:val="superscript"/>
    </w:rPr>
  </w:style>
  <w:style w:type="character" w:customStyle="1" w:styleId="69">
    <w:name w:val="15"/>
    <w:basedOn w:val="49"/>
    <w:qFormat/>
    <w:uiPriority w:val="0"/>
    <w:rPr>
      <w:rFonts w:hint="eastAsia" w:ascii="宋体" w:hAnsi="宋体" w:eastAsia="宋体" w:cs="宋体"/>
      <w:b/>
      <w:color w:val="000000"/>
      <w:sz w:val="20"/>
      <w:szCs w:val="20"/>
    </w:rPr>
  </w:style>
  <w:style w:type="character" w:customStyle="1" w:styleId="70">
    <w:name w:val="font71"/>
    <w:basedOn w:val="49"/>
    <w:qFormat/>
    <w:uiPriority w:val="0"/>
    <w:rPr>
      <w:rFonts w:hint="default" w:ascii="Times New Roman" w:hAnsi="Times New Roman" w:cs="Times New Roman"/>
      <w:color w:val="000000"/>
      <w:sz w:val="20"/>
      <w:szCs w:val="20"/>
      <w:u w:val="none"/>
    </w:rPr>
  </w:style>
  <w:style w:type="character" w:customStyle="1" w:styleId="71">
    <w:name w:val="font21"/>
    <w:basedOn w:val="49"/>
    <w:qFormat/>
    <w:uiPriority w:val="0"/>
    <w:rPr>
      <w:rFonts w:hint="eastAsia" w:ascii="宋体" w:hAnsi="宋体" w:eastAsia="宋体" w:cs="宋体"/>
      <w:color w:val="000000"/>
      <w:sz w:val="21"/>
      <w:szCs w:val="21"/>
      <w:u w:val="none"/>
    </w:rPr>
  </w:style>
  <w:style w:type="character" w:customStyle="1" w:styleId="72">
    <w:name w:val="表头 Char"/>
    <w:link w:val="73"/>
    <w:qFormat/>
    <w:uiPriority w:val="0"/>
    <w:rPr>
      <w:rFonts w:eastAsia="新宋体" w:cs="新宋体"/>
      <w:spacing w:val="24"/>
      <w:szCs w:val="28"/>
    </w:rPr>
  </w:style>
  <w:style w:type="paragraph" w:customStyle="1" w:styleId="73">
    <w:name w:val="表头"/>
    <w:basedOn w:val="1"/>
    <w:link w:val="72"/>
    <w:qFormat/>
    <w:uiPriority w:val="0"/>
    <w:pPr>
      <w:ind w:firstLine="0" w:firstLineChars="0"/>
      <w:jc w:val="center"/>
    </w:pPr>
    <w:rPr>
      <w:rFonts w:eastAsia="新宋体"/>
      <w:spacing w:val="24"/>
      <w:kern w:val="0"/>
      <w:sz w:val="20"/>
      <w:szCs w:val="28"/>
    </w:rPr>
  </w:style>
  <w:style w:type="character" w:customStyle="1" w:styleId="74">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75">
    <w:name w:val="font01"/>
    <w:basedOn w:val="49"/>
    <w:qFormat/>
    <w:uiPriority w:val="0"/>
    <w:rPr>
      <w:rFonts w:hint="eastAsia" w:ascii="宋体" w:hAnsi="宋体" w:eastAsia="宋体" w:cs="宋体"/>
      <w:color w:val="000000"/>
      <w:sz w:val="24"/>
      <w:szCs w:val="24"/>
      <w:u w:val="none"/>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font11"/>
    <w:basedOn w:val="49"/>
    <w:qFormat/>
    <w:uiPriority w:val="0"/>
    <w:rPr>
      <w:rFonts w:hint="default" w:ascii="Times New Roman" w:hAnsi="Times New Roman" w:cs="Times New Roman"/>
      <w:color w:val="000000"/>
      <w:sz w:val="21"/>
      <w:szCs w:val="21"/>
      <w:u w:val="none"/>
    </w:rPr>
  </w:style>
  <w:style w:type="character" w:customStyle="1" w:styleId="78">
    <w:name w:val="font111"/>
    <w:qFormat/>
    <w:uiPriority w:val="0"/>
    <w:rPr>
      <w:rFonts w:hint="eastAsia" w:ascii="宋体" w:hAnsi="宋体" w:eastAsia="宋体" w:cs="宋体"/>
      <w:b/>
      <w:color w:val="000000"/>
      <w:sz w:val="20"/>
      <w:szCs w:val="20"/>
      <w:u w:val="none"/>
      <w:vertAlign w:val="subscript"/>
    </w:rPr>
  </w:style>
  <w:style w:type="character" w:customStyle="1" w:styleId="79">
    <w:name w:val="二级标题 Char"/>
    <w:link w:val="80"/>
    <w:qFormat/>
    <w:uiPriority w:val="0"/>
    <w:rPr>
      <w:rFonts w:ascii="Arial" w:hAnsi="Arial" w:eastAsia="宋体" w:cs="宋体"/>
      <w:b/>
      <w:bCs/>
      <w:kern w:val="2"/>
      <w:sz w:val="24"/>
      <w:szCs w:val="32"/>
      <w:lang w:val="en-US" w:eastAsia="zh-CN" w:bidi="ar-SA"/>
    </w:rPr>
  </w:style>
  <w:style w:type="paragraph" w:customStyle="1" w:styleId="80">
    <w:name w:val="二级标题"/>
    <w:basedOn w:val="4"/>
    <w:next w:val="1"/>
    <w:link w:val="79"/>
    <w:qFormat/>
    <w:uiPriority w:val="0"/>
    <w:pPr>
      <w:jc w:val="left"/>
    </w:pPr>
    <w:rPr>
      <w:rFonts w:eastAsia="宋体" w:cs="宋体"/>
      <w:sz w:val="24"/>
    </w:rPr>
  </w:style>
  <w:style w:type="character" w:customStyle="1" w:styleId="81">
    <w:name w:val="纯文本 Char"/>
    <w:qFormat/>
    <w:uiPriority w:val="0"/>
    <w:rPr>
      <w:rFonts w:ascii="宋体" w:hAnsi="Courier New" w:eastAsia="仿宋"/>
      <w:sz w:val="28"/>
    </w:rPr>
  </w:style>
  <w:style w:type="character" w:customStyle="1" w:styleId="82">
    <w:name w:val="font41"/>
    <w:qFormat/>
    <w:uiPriority w:val="0"/>
    <w:rPr>
      <w:rFonts w:hint="eastAsia" w:ascii="宋体" w:hAnsi="宋体" w:eastAsia="宋体" w:cs="宋体"/>
      <w:color w:val="000000"/>
      <w:sz w:val="16"/>
      <w:szCs w:val="16"/>
      <w:u w:val="none"/>
      <w:vertAlign w:val="superscript"/>
    </w:rPr>
  </w:style>
  <w:style w:type="character" w:customStyle="1" w:styleId="83">
    <w:name w:val="Char Char1"/>
    <w:qFormat/>
    <w:uiPriority w:val="0"/>
    <w:rPr>
      <w:sz w:val="18"/>
      <w:szCs w:val="18"/>
    </w:rPr>
  </w:style>
  <w:style w:type="character" w:customStyle="1" w:styleId="84">
    <w:name w:val="三级标题 Char"/>
    <w:link w:val="85"/>
    <w:qFormat/>
    <w:uiPriority w:val="0"/>
    <w:rPr>
      <w:rFonts w:ascii="宋体" w:hAnsi="Courier New" w:eastAsia="新宋体"/>
      <w:bCs/>
      <w:kern w:val="2"/>
      <w:sz w:val="24"/>
      <w:szCs w:val="32"/>
      <w:lang w:val="en-US" w:eastAsia="zh-CN" w:bidi="ar-SA"/>
    </w:rPr>
  </w:style>
  <w:style w:type="paragraph" w:customStyle="1" w:styleId="85">
    <w:name w:val="三级标题"/>
    <w:basedOn w:val="5"/>
    <w:link w:val="84"/>
    <w:qFormat/>
    <w:uiPriority w:val="0"/>
    <w:pPr>
      <w:spacing w:line="413" w:lineRule="auto"/>
    </w:pPr>
    <w:rPr>
      <w:rFonts w:ascii="宋体" w:hAnsi="Courier New"/>
      <w:kern w:val="2"/>
      <w:sz w:val="24"/>
    </w:rPr>
  </w:style>
  <w:style w:type="character" w:customStyle="1" w:styleId="86">
    <w:name w:val="font31"/>
    <w:basedOn w:val="49"/>
    <w:qFormat/>
    <w:uiPriority w:val="0"/>
    <w:rPr>
      <w:rFonts w:hint="eastAsia" w:ascii="宋体" w:hAnsi="宋体" w:eastAsia="宋体" w:cs="宋体"/>
      <w:color w:val="000000"/>
      <w:sz w:val="20"/>
      <w:szCs w:val="20"/>
      <w:u w:val="none"/>
    </w:rPr>
  </w:style>
  <w:style w:type="character" w:customStyle="1" w:styleId="87">
    <w:name w:val="font81"/>
    <w:qFormat/>
    <w:uiPriority w:val="0"/>
    <w:rPr>
      <w:rFonts w:hint="eastAsia" w:ascii="宋体" w:hAnsi="宋体" w:eastAsia="宋体" w:cs="宋体"/>
      <w:b/>
      <w:color w:val="000000"/>
      <w:sz w:val="20"/>
      <w:szCs w:val="20"/>
      <w:u w:val="none"/>
    </w:rPr>
  </w:style>
  <w:style w:type="character" w:customStyle="1" w:styleId="88">
    <w:name w:val="文本文字 Char"/>
    <w:link w:val="89"/>
    <w:qFormat/>
    <w:uiPriority w:val="0"/>
    <w:rPr>
      <w:rFonts w:ascii="宋体" w:hAnsi="Courier New" w:eastAsia="新宋体" w:cs="Courier New"/>
      <w:kern w:val="2"/>
      <w:sz w:val="22"/>
      <w:szCs w:val="21"/>
      <w:lang w:val="en-US" w:eastAsia="zh-CN" w:bidi="ar-SA"/>
    </w:rPr>
  </w:style>
  <w:style w:type="paragraph" w:customStyle="1" w:styleId="89">
    <w:name w:val="文本文字"/>
    <w:basedOn w:val="24"/>
    <w:link w:val="88"/>
    <w:qFormat/>
    <w:uiPriority w:val="0"/>
    <w:pPr>
      <w:spacing w:line="360" w:lineRule="auto"/>
      <w:jc w:val="left"/>
    </w:pPr>
    <w:rPr>
      <w:rFonts w:eastAsia="新宋体" w:cs="Courier New"/>
      <w:sz w:val="22"/>
      <w:szCs w:val="21"/>
    </w:rPr>
  </w:style>
  <w:style w:type="character" w:customStyle="1" w:styleId="90">
    <w:name w:val="标题 3 Char"/>
    <w:qFormat/>
    <w:uiPriority w:val="0"/>
    <w:rPr>
      <w:rFonts w:eastAsia="新宋体"/>
      <w:bCs/>
      <w:sz w:val="30"/>
      <w:szCs w:val="32"/>
    </w:rPr>
  </w:style>
  <w:style w:type="character" w:customStyle="1" w:styleId="91">
    <w:name w:val="正文式样 Char"/>
    <w:link w:val="92"/>
    <w:qFormat/>
    <w:uiPriority w:val="0"/>
    <w:rPr>
      <w:rFonts w:ascii="宋体" w:hAnsi="宋体" w:eastAsia="新宋体"/>
      <w:kern w:val="2"/>
      <w:sz w:val="22"/>
      <w:szCs w:val="22"/>
      <w:lang w:val="en-US" w:eastAsia="zh-CN" w:bidi="ar-SA"/>
    </w:rPr>
  </w:style>
  <w:style w:type="paragraph" w:customStyle="1" w:styleId="92">
    <w:name w:val="正文式样"/>
    <w:basedOn w:val="24"/>
    <w:link w:val="91"/>
    <w:qFormat/>
    <w:uiPriority w:val="0"/>
    <w:pPr>
      <w:spacing w:line="360" w:lineRule="auto"/>
      <w:ind w:firstLine="440"/>
      <w:jc w:val="left"/>
    </w:pPr>
    <w:rPr>
      <w:rFonts w:hAnsi="宋体" w:eastAsia="新宋体"/>
      <w:sz w:val="22"/>
      <w:szCs w:val="22"/>
    </w:rPr>
  </w:style>
  <w:style w:type="character" w:customStyle="1" w:styleId="93">
    <w:name w:val="一级标题 Char"/>
    <w:link w:val="94"/>
    <w:qFormat/>
    <w:uiPriority w:val="0"/>
    <w:rPr>
      <w:rFonts w:hAnsi="黑体" w:eastAsia="黑体" w:cs="宋体"/>
      <w:b/>
      <w:bCs/>
      <w:kern w:val="44"/>
      <w:sz w:val="28"/>
      <w:szCs w:val="44"/>
      <w:lang w:val="en-US" w:eastAsia="zh-CN" w:bidi="ar-SA"/>
    </w:rPr>
  </w:style>
  <w:style w:type="paragraph" w:customStyle="1" w:styleId="94">
    <w:name w:val="一级标题"/>
    <w:basedOn w:val="3"/>
    <w:link w:val="93"/>
    <w:qFormat/>
    <w:uiPriority w:val="0"/>
    <w:pPr>
      <w:spacing w:line="480" w:lineRule="auto"/>
      <w:jc w:val="center"/>
    </w:pPr>
    <w:rPr>
      <w:rFonts w:hAnsi="黑体" w:eastAsia="黑体" w:cs="宋体"/>
      <w:sz w:val="28"/>
    </w:rPr>
  </w:style>
  <w:style w:type="paragraph" w:customStyle="1" w:styleId="95">
    <w:name w:val="样式 (符号) 宋体 小五 居中 行距: 单倍行距"/>
    <w:basedOn w:val="1"/>
    <w:qFormat/>
    <w:uiPriority w:val="0"/>
    <w:pPr>
      <w:jc w:val="center"/>
    </w:pPr>
    <w:rPr>
      <w:rFonts w:ascii="宋体" w:hAnsi="宋体" w:cs="宋体"/>
      <w:sz w:val="28"/>
      <w:szCs w:val="20"/>
    </w:rPr>
  </w:style>
  <w:style w:type="paragraph" w:customStyle="1" w:styleId="96">
    <w:name w:val="样式1"/>
    <w:basedOn w:val="13"/>
    <w:next w:val="6"/>
    <w:qFormat/>
    <w:uiPriority w:val="0"/>
    <w:pPr>
      <w:spacing w:line="360" w:lineRule="auto"/>
      <w:ind w:firstLine="560"/>
    </w:pPr>
    <w:rPr>
      <w:rFonts w:ascii="宋体" w:hAnsi="宋体"/>
      <w:sz w:val="28"/>
      <w:szCs w:val="28"/>
    </w:rPr>
  </w:style>
  <w:style w:type="paragraph" w:customStyle="1" w:styleId="97">
    <w:name w:val="样式"/>
    <w:basedOn w:val="1"/>
    <w:next w:val="24"/>
    <w:qFormat/>
    <w:uiPriority w:val="0"/>
    <w:pPr>
      <w:jc w:val="center"/>
    </w:pPr>
    <w:rPr>
      <w:rFonts w:ascii="宋体" w:hAnsi="宋体"/>
      <w:color w:val="FF0000"/>
    </w:rPr>
  </w:style>
  <w:style w:type="paragraph" w:customStyle="1" w:styleId="98">
    <w:name w:val="Char1"/>
    <w:basedOn w:val="1"/>
    <w:qFormat/>
    <w:uiPriority w:val="0"/>
    <w:pPr>
      <w:snapToGrid w:val="0"/>
      <w:spacing w:line="360" w:lineRule="auto"/>
    </w:pPr>
    <w:rPr>
      <w:rFonts w:eastAsia="仿宋"/>
    </w:rPr>
  </w:style>
  <w:style w:type="paragraph" w:customStyle="1" w:styleId="99">
    <w:name w:val="列表段落1"/>
    <w:basedOn w:val="1"/>
    <w:qFormat/>
    <w:uiPriority w:val="34"/>
    <w:pPr>
      <w:ind w:firstLine="420"/>
    </w:pPr>
  </w:style>
  <w:style w:type="paragraph" w:customStyle="1" w:styleId="100">
    <w:name w:val="样式 首行缩进:  2 字符1"/>
    <w:basedOn w:val="1"/>
    <w:qFormat/>
    <w:uiPriority w:val="0"/>
    <w:pPr>
      <w:adjustRightInd w:val="0"/>
      <w:snapToGrid w:val="0"/>
      <w:spacing w:line="360" w:lineRule="auto"/>
      <w:ind w:firstLine="480"/>
    </w:pPr>
    <w:rPr>
      <w:rFonts w:cs="宋体"/>
    </w:rPr>
  </w:style>
  <w:style w:type="paragraph" w:customStyle="1" w:styleId="101">
    <w:name w:val="样式 小四 行距: 固定值 27 磅"/>
    <w:basedOn w:val="1"/>
    <w:qFormat/>
    <w:uiPriority w:val="0"/>
    <w:pPr>
      <w:spacing w:line="540" w:lineRule="exact"/>
      <w:ind w:firstLine="480"/>
    </w:pPr>
    <w:rPr>
      <w:rFonts w:ascii="宋体" w:cs="宋体"/>
      <w:snapToGrid w:val="0"/>
      <w:szCs w:val="20"/>
    </w:rPr>
  </w:style>
  <w:style w:type="paragraph" w:customStyle="1" w:styleId="102">
    <w:name w:val="xl2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0"/>
      <w:szCs w:val="20"/>
    </w:rPr>
  </w:style>
  <w:style w:type="paragraph" w:customStyle="1" w:styleId="103">
    <w:name w:val="Char"/>
    <w:basedOn w:val="1"/>
    <w:qFormat/>
    <w:uiPriority w:val="0"/>
    <w:pPr>
      <w:adjustRightInd w:val="0"/>
      <w:spacing w:line="360" w:lineRule="atLeast"/>
      <w:textAlignment w:val="baseline"/>
    </w:pPr>
    <w:rPr>
      <w:rFonts w:ascii="Tahoma" w:hAnsi="Tahoma"/>
      <w:szCs w:val="20"/>
    </w:rPr>
  </w:style>
  <w:style w:type="paragraph" w:customStyle="1" w:styleId="104">
    <w:name w:val="font8"/>
    <w:basedOn w:val="1"/>
    <w:qFormat/>
    <w:uiPriority w:val="0"/>
    <w:pPr>
      <w:widowControl/>
      <w:spacing w:beforeAutospacing="1" w:afterAutospacing="1"/>
      <w:jc w:val="left"/>
    </w:pPr>
    <w:rPr>
      <w:kern w:val="0"/>
    </w:rPr>
  </w:style>
  <w:style w:type="paragraph" w:customStyle="1" w:styleId="105">
    <w:name w:val="正文 + 首行缩进:  2 字符 + 首行缩进:  2 字符"/>
    <w:basedOn w:val="1"/>
    <w:qFormat/>
    <w:uiPriority w:val="0"/>
    <w:pPr>
      <w:spacing w:line="500" w:lineRule="exact"/>
      <w:ind w:firstLine="560"/>
    </w:pPr>
    <w:rPr>
      <w:rFonts w:ascii="宋体" w:hAnsi="宋体" w:cs="宋体"/>
      <w:sz w:val="28"/>
    </w:rPr>
  </w:style>
  <w:style w:type="paragraph" w:customStyle="1" w:styleId="106">
    <w:name w:val="font0"/>
    <w:basedOn w:val="1"/>
    <w:qFormat/>
    <w:uiPriority w:val="0"/>
    <w:pPr>
      <w:widowControl/>
      <w:spacing w:beforeAutospacing="1" w:afterAutospacing="1"/>
      <w:jc w:val="left"/>
    </w:pPr>
    <w:rPr>
      <w:rFonts w:hint="eastAsia" w:ascii="宋体" w:hAnsi="宋体" w:cs="宋体"/>
      <w:kern w:val="0"/>
    </w:rPr>
  </w:style>
  <w:style w:type="paragraph" w:customStyle="1" w:styleId="107">
    <w:name w:val="Char Char Char Char Char Char Char"/>
    <w:basedOn w:val="1"/>
    <w:semiHidden/>
    <w:qFormat/>
    <w:uiPriority w:val="0"/>
    <w:pPr>
      <w:ind w:firstLine="0" w:firstLineChars="0"/>
    </w:pPr>
    <w:rPr>
      <w:rFonts w:ascii="Tahoma" w:hAnsi="Tahoma"/>
      <w:b/>
      <w:szCs w:val="20"/>
    </w:rPr>
  </w:style>
  <w:style w:type="paragraph" w:customStyle="1" w:styleId="108">
    <w:name w:val="样式 样式 正文文本 + 首行缩进:  2 字符 + 首行缩进:  2 字符"/>
    <w:basedOn w:val="1"/>
    <w:qFormat/>
    <w:uiPriority w:val="0"/>
    <w:pPr>
      <w:adjustRightInd w:val="0"/>
      <w:snapToGrid w:val="0"/>
      <w:spacing w:line="336" w:lineRule="auto"/>
      <w:ind w:firstLine="560"/>
    </w:pPr>
    <w:rPr>
      <w:rFonts w:cs="宋体"/>
      <w:sz w:val="28"/>
      <w:szCs w:val="20"/>
    </w:rPr>
  </w:style>
  <w:style w:type="paragraph" w:customStyle="1" w:styleId="109">
    <w:name w:val="font5"/>
    <w:basedOn w:val="1"/>
    <w:qFormat/>
    <w:uiPriority w:val="0"/>
    <w:pPr>
      <w:widowControl/>
      <w:spacing w:beforeAutospacing="1" w:afterAutospacing="1"/>
      <w:jc w:val="left"/>
    </w:pPr>
    <w:rPr>
      <w:rFonts w:hint="eastAsia" w:ascii="宋体" w:hAnsi="宋体" w:cs="宋体"/>
      <w:kern w:val="0"/>
      <w:sz w:val="18"/>
      <w:szCs w:val="18"/>
    </w:rPr>
  </w:style>
  <w:style w:type="paragraph" w:customStyle="1" w:styleId="110">
    <w:name w:val="表格"/>
    <w:basedOn w:val="1"/>
    <w:qFormat/>
    <w:uiPriority w:val="0"/>
    <w:pPr>
      <w:spacing w:line="360" w:lineRule="auto"/>
      <w:ind w:firstLine="0" w:firstLineChars="0"/>
      <w:jc w:val="left"/>
    </w:pPr>
    <w:rPr>
      <w:rFonts w:eastAsia="新宋体" w:cs="新宋体"/>
      <w:spacing w:val="24"/>
      <w:sz w:val="21"/>
      <w:szCs w:val="21"/>
    </w:rPr>
  </w:style>
  <w:style w:type="paragraph" w:styleId="111">
    <w:name w:val="List Paragraph"/>
    <w:basedOn w:val="1"/>
    <w:qFormat/>
    <w:uiPriority w:val="34"/>
    <w:pPr>
      <w:ind w:firstLine="420"/>
    </w:pPr>
  </w:style>
  <w:style w:type="paragraph" w:customStyle="1" w:styleId="112">
    <w:name w:val="列出段落1"/>
    <w:basedOn w:val="1"/>
    <w:qFormat/>
    <w:uiPriority w:val="99"/>
    <w:pPr>
      <w:ind w:firstLine="420"/>
    </w:pPr>
  </w:style>
  <w:style w:type="paragraph" w:customStyle="1" w:styleId="113">
    <w:name w:val="_Style 5"/>
    <w:basedOn w:val="1"/>
    <w:qFormat/>
    <w:uiPriority w:val="0"/>
    <w:pPr>
      <w:tabs>
        <w:tab w:val="left" w:pos="360"/>
      </w:tabs>
      <w:ind w:firstLine="420" w:firstLineChars="150"/>
    </w:pPr>
  </w:style>
  <w:style w:type="paragraph" w:customStyle="1" w:styleId="114">
    <w:name w:val="样式 样式2 + 首行缩进:  2 字符"/>
    <w:basedOn w:val="1"/>
    <w:qFormat/>
    <w:uiPriority w:val="0"/>
    <w:pPr>
      <w:spacing w:line="500" w:lineRule="exact"/>
    </w:pPr>
    <w:rPr>
      <w:rFonts w:ascii="宋体" w:cs="宋体"/>
      <w:szCs w:val="20"/>
    </w:rPr>
  </w:style>
  <w:style w:type="paragraph" w:customStyle="1" w:styleId="115">
    <w:name w:val="正文文字123"/>
    <w:basedOn w:val="1"/>
    <w:qFormat/>
    <w:uiPriority w:val="0"/>
    <w:pPr>
      <w:spacing w:line="440" w:lineRule="exact"/>
    </w:pPr>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rPr>
  </w:style>
  <w:style w:type="paragraph" w:customStyle="1" w:styleId="118">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19">
    <w:name w:val="日期1"/>
    <w:basedOn w:val="1"/>
    <w:next w:val="1"/>
    <w:qFormat/>
    <w:uiPriority w:val="0"/>
    <w:pPr>
      <w:adjustRightInd w:val="0"/>
      <w:textAlignment w:val="baseline"/>
    </w:pPr>
    <w:rPr>
      <w:rFonts w:ascii="宋体"/>
      <w:kern w:val="0"/>
      <w:szCs w:val="20"/>
    </w:rPr>
  </w:style>
  <w:style w:type="paragraph" w:customStyle="1" w:styleId="120">
    <w:name w:val="font7"/>
    <w:basedOn w:val="1"/>
    <w:qFormat/>
    <w:uiPriority w:val="0"/>
    <w:pPr>
      <w:widowControl/>
      <w:spacing w:beforeAutospacing="1" w:afterAutospacing="1"/>
      <w:jc w:val="left"/>
    </w:pPr>
    <w:rPr>
      <w:kern w:val="0"/>
    </w:rPr>
  </w:style>
  <w:style w:type="paragraph" w:customStyle="1" w:styleId="121">
    <w:name w:val="font1"/>
    <w:basedOn w:val="1"/>
    <w:qFormat/>
    <w:uiPriority w:val="0"/>
    <w:pPr>
      <w:widowControl/>
      <w:spacing w:beforeAutospacing="1" w:afterAutospacing="1"/>
      <w:ind w:firstLine="0" w:firstLineChars="0"/>
      <w:jc w:val="left"/>
    </w:pPr>
    <w:rPr>
      <w:rFonts w:hint="eastAsia" w:ascii="宋体" w:hAnsi="宋体" w:cs="宋体"/>
      <w:kern w:val="0"/>
    </w:rPr>
  </w:style>
  <w:style w:type="paragraph" w:customStyle="1" w:styleId="122">
    <w:name w:val="font6"/>
    <w:basedOn w:val="1"/>
    <w:qFormat/>
    <w:uiPriority w:val="0"/>
    <w:pPr>
      <w:widowControl/>
      <w:spacing w:beforeAutospacing="1" w:afterAutospacing="1"/>
      <w:jc w:val="left"/>
    </w:pPr>
    <w:rPr>
      <w:rFonts w:hint="eastAsia" w:ascii="宋体" w:hAnsi="宋体" w:cs="宋体"/>
      <w:kern w:val="0"/>
    </w:rPr>
  </w:style>
  <w:style w:type="paragraph" w:customStyle="1" w:styleId="123">
    <w:name w:val="正文样式2"/>
    <w:basedOn w:val="1"/>
    <w:qFormat/>
    <w:uiPriority w:val="0"/>
    <w:pPr>
      <w:spacing w:line="560" w:lineRule="exact"/>
      <w:ind w:firstLine="601"/>
    </w:pPr>
    <w:rPr>
      <w:sz w:val="28"/>
      <w:szCs w:val="20"/>
    </w:rPr>
  </w:style>
  <w:style w:type="paragraph" w:customStyle="1" w:styleId="124">
    <w:name w:val="表头1"/>
    <w:basedOn w:val="1"/>
    <w:next w:val="1"/>
    <w:qFormat/>
    <w:uiPriority w:val="0"/>
    <w:pPr>
      <w:widowControl/>
      <w:spacing w:line="520" w:lineRule="exact"/>
      <w:jc w:val="center"/>
    </w:pPr>
    <w:rPr>
      <w:b/>
      <w:szCs w:val="20"/>
    </w:rPr>
  </w:style>
  <w:style w:type="paragraph" w:customStyle="1" w:styleId="125">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bCs w:val="0"/>
      <w:sz w:val="28"/>
      <w:szCs w:val="20"/>
    </w:rPr>
  </w:style>
  <w:style w:type="paragraph" w:customStyle="1" w:styleId="126">
    <w:name w:val="样式 正文文本 + 首行缩进:  2 字符 段后: 0 磅 行距: 固定值 28 磅"/>
    <w:basedOn w:val="16"/>
    <w:next w:val="19"/>
    <w:qFormat/>
    <w:uiPriority w:val="0"/>
    <w:pPr>
      <w:widowControl/>
      <w:adjustRightInd w:val="0"/>
      <w:snapToGrid w:val="0"/>
      <w:spacing w:line="560" w:lineRule="exact"/>
      <w:jc w:val="left"/>
      <w:textAlignment w:val="center"/>
    </w:pPr>
    <w:rPr>
      <w:rFonts w:ascii="宋体" w:hAnsi="宋体" w:cs="宋体"/>
    </w:rPr>
  </w:style>
  <w:style w:type="paragraph" w:customStyle="1" w:styleId="127">
    <w:name w:val="子标题"/>
    <w:basedOn w:val="1"/>
    <w:qFormat/>
    <w:uiPriority w:val="0"/>
    <w:pPr>
      <w:spacing w:line="360" w:lineRule="auto"/>
      <w:jc w:val="center"/>
    </w:pPr>
    <w:rPr>
      <w:rFonts w:eastAsia="新宋体"/>
      <w:sz w:val="28"/>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rPr>
  </w:style>
  <w:style w:type="paragraph" w:customStyle="1" w:styleId="129">
    <w:name w:val="样式 样式 首行缩进:  2 字符 + 首行缩进:  2 字符"/>
    <w:basedOn w:val="1"/>
    <w:qFormat/>
    <w:uiPriority w:val="0"/>
    <w:pPr>
      <w:tabs>
        <w:tab w:val="left" w:pos="3731"/>
      </w:tabs>
      <w:autoSpaceDE w:val="0"/>
      <w:autoSpaceDN w:val="0"/>
      <w:adjustRightInd w:val="0"/>
      <w:snapToGrid w:val="0"/>
      <w:spacing w:line="360" w:lineRule="auto"/>
      <w:ind w:firstLine="560"/>
      <w:jc w:val="left"/>
    </w:pPr>
    <w:rPr>
      <w:rFonts w:ascii="Arial" w:hAnsi="Arial" w:cs="宋体"/>
      <w:kern w:val="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ind w:firstLine="0" w:firstLineChars="0"/>
      <w:jc w:val="center"/>
    </w:pPr>
    <w:rPr>
      <w:rFonts w:ascii="宋体" w:hAnsi="宋体"/>
      <w:kern w:val="0"/>
    </w:rPr>
  </w:style>
  <w:style w:type="paragraph" w:customStyle="1" w:styleId="131">
    <w:name w:val="Char2"/>
    <w:basedOn w:val="1"/>
    <w:qFormat/>
    <w:uiPriority w:val="0"/>
    <w:pPr>
      <w:adjustRightInd w:val="0"/>
      <w:spacing w:line="360" w:lineRule="atLeast"/>
      <w:textAlignment w:val="baseline"/>
    </w:pPr>
    <w:rPr>
      <w:rFonts w:ascii="Tahoma" w:hAnsi="Tahoma"/>
      <w:b/>
    </w:rPr>
  </w:style>
  <w:style w:type="paragraph" w:customStyle="1" w:styleId="132">
    <w:name w:val="List Paragraph1"/>
    <w:basedOn w:val="1"/>
    <w:qFormat/>
    <w:uiPriority w:val="99"/>
    <w:pPr>
      <w:ind w:firstLine="420"/>
    </w:pPr>
  </w:style>
  <w:style w:type="table" w:customStyle="1" w:styleId="133">
    <w:name w:val="Table Normal"/>
    <w:unhideWhenUsed/>
    <w:qFormat/>
    <w:uiPriority w:val="0"/>
    <w:tblPr>
      <w:tblCellMar>
        <w:top w:w="0" w:type="dxa"/>
        <w:left w:w="0" w:type="dxa"/>
        <w:bottom w:w="0" w:type="dxa"/>
        <w:right w:w="0" w:type="dxa"/>
      </w:tblCellMar>
    </w:tblPr>
  </w:style>
  <w:style w:type="paragraph" w:customStyle="1" w:styleId="134">
    <w:name w:val="图"/>
    <w:basedOn w:val="1"/>
    <w:qFormat/>
    <w:uiPriority w:val="99"/>
    <w:pPr>
      <w:keepNext/>
      <w:adjustRightInd w:val="0"/>
      <w:snapToGrid w:val="0"/>
      <w:spacing w:before="60" w:after="60" w:line="300" w:lineRule="auto"/>
      <w:jc w:val="center"/>
    </w:pPr>
    <w:rPr>
      <w:spacing w:val="20"/>
    </w:rPr>
  </w:style>
  <w:style w:type="paragraph" w:customStyle="1" w:styleId="135">
    <w:name w:val="题注5"/>
    <w:basedOn w:val="1"/>
    <w:next w:val="11"/>
    <w:qFormat/>
    <w:uiPriority w:val="99"/>
    <w:pPr>
      <w:jc w:val="center"/>
    </w:pPr>
    <w:rPr>
      <w:b/>
      <w:color w:val="000000"/>
      <w:szCs w:val="21"/>
    </w:rPr>
  </w:style>
  <w:style w:type="character" w:customStyle="1" w:styleId="136">
    <w:name w:val="font151"/>
    <w:basedOn w:val="49"/>
    <w:qFormat/>
    <w:uiPriority w:val="0"/>
    <w:rPr>
      <w:rFonts w:hint="eastAsia" w:ascii="仿宋" w:hAnsi="仿宋" w:eastAsia="仿宋" w:cs="仿宋"/>
      <w:color w:val="FF0000"/>
      <w:sz w:val="20"/>
      <w:szCs w:val="20"/>
      <w:u w:val="none"/>
    </w:rPr>
  </w:style>
  <w:style w:type="character" w:customStyle="1" w:styleId="137">
    <w:name w:val="font161"/>
    <w:basedOn w:val="49"/>
    <w:qFormat/>
    <w:uiPriority w:val="0"/>
    <w:rPr>
      <w:b/>
      <w:bCs/>
      <w:sz w:val="32"/>
      <w:szCs w:val="32"/>
    </w:rPr>
  </w:style>
  <w:style w:type="paragraph" w:customStyle="1" w:styleId="138">
    <w:name w:val="文本正文"/>
    <w:basedOn w:val="1"/>
    <w:qFormat/>
    <w:uiPriority w:val="0"/>
    <w:pPr>
      <w:spacing w:afterLines="50"/>
      <w:jc w:val="left"/>
    </w:pPr>
    <w:rPr>
      <w:rFonts w:ascii="Calibri" w:hAnsi="Calibri"/>
      <w:szCs w:val="22"/>
      <w:lang w:bidi="en-US"/>
    </w:rPr>
  </w:style>
  <w:style w:type="paragraph" w:customStyle="1" w:styleId="139">
    <w:name w:val="正文缩进1"/>
    <w:basedOn w:val="1"/>
    <w:qFormat/>
    <w:uiPriority w:val="0"/>
    <w:pPr>
      <w:autoSpaceDE w:val="0"/>
      <w:autoSpaceDN w:val="0"/>
      <w:adjustRightInd w:val="0"/>
      <w:ind w:firstLine="420"/>
    </w:pPr>
    <w:rPr>
      <w:rFonts w:ascii="宋体" w:hAnsi="Calibri"/>
      <w:szCs w:val="22"/>
    </w:rPr>
  </w:style>
  <w:style w:type="paragraph" w:customStyle="1" w:styleId="140">
    <w:name w:val="纯文本1"/>
    <w:basedOn w:val="1"/>
    <w:qFormat/>
    <w:uiPriority w:val="0"/>
    <w:rPr>
      <w:rFonts w:ascii="宋体" w:hAnsi="Courier New"/>
      <w:szCs w:val="22"/>
    </w:rPr>
  </w:style>
  <w:style w:type="paragraph" w:customStyle="1" w:styleId="141">
    <w:name w:val="目录"/>
    <w:basedOn w:val="1"/>
    <w:qFormat/>
    <w:uiPriority w:val="0"/>
    <w:pPr>
      <w:spacing w:line="540" w:lineRule="exact"/>
      <w:ind w:left="53" w:firstLine="560"/>
    </w:pPr>
    <w:rPr>
      <w:rFonts w:eastAsia="仿宋"/>
      <w:sz w:val="28"/>
      <w:szCs w:val="28"/>
    </w:rPr>
  </w:style>
  <w:style w:type="paragraph" w:customStyle="1" w:styleId="142">
    <w:name w:val="p0"/>
    <w:basedOn w:val="1"/>
    <w:qFormat/>
    <w:uiPriority w:val="0"/>
    <w:pPr>
      <w:widowControl/>
      <w:jc w:val="left"/>
    </w:pPr>
    <w:rPr>
      <w:kern w:val="0"/>
      <w:szCs w:val="21"/>
    </w:rPr>
  </w:style>
  <w:style w:type="paragraph" w:customStyle="1" w:styleId="143">
    <w:name w:val="样式 样式 正文缩进正文（首行缩进两字）正文2 + 首行缩进:  2 字符 + 首行缩进:  2 字符"/>
    <w:basedOn w:val="1"/>
    <w:qFormat/>
    <w:uiPriority w:val="39"/>
    <w:pPr>
      <w:spacing w:line="324" w:lineRule="auto"/>
      <w:ind w:firstLine="600"/>
    </w:pPr>
    <w:rPr>
      <w:rFonts w:hAnsi="宋体" w:cs="宋体"/>
      <w:sz w:val="28"/>
      <w:szCs w:val="20"/>
    </w:rPr>
  </w:style>
  <w:style w:type="paragraph" w:customStyle="1" w:styleId="144">
    <w:name w:val="表格文字2"/>
    <w:basedOn w:val="145"/>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45">
    <w:name w:val="正文1"/>
    <w:basedOn w:val="1"/>
    <w:qFormat/>
    <w:uiPriority w:val="0"/>
    <w:pPr>
      <w:spacing w:after="120" w:line="360" w:lineRule="auto"/>
      <w:ind w:firstLine="425"/>
    </w:pPr>
    <w:rPr>
      <w:rFonts w:ascii="Arial" w:hAnsi="Arial"/>
      <w:spacing w:val="8"/>
      <w:szCs w:val="20"/>
    </w:rPr>
  </w:style>
  <w:style w:type="paragraph" w:customStyle="1" w:styleId="146">
    <w:name w:val="5）标书正文 首行缩进2字符"/>
    <w:qFormat/>
    <w:uiPriority w:val="0"/>
    <w:pPr>
      <w:spacing w:line="520" w:lineRule="exact"/>
      <w:ind w:firstLine="560" w:firstLineChars="200"/>
    </w:pPr>
    <w:rPr>
      <w:rFonts w:ascii="宋体" w:hAnsi="宋体" w:eastAsia="仿宋" w:cs="宋体"/>
      <w:sz w:val="28"/>
      <w:szCs w:val="24"/>
      <w:lang w:val="en-US" w:eastAsia="zh-CN" w:bidi="ar-SA"/>
    </w:rPr>
  </w:style>
  <w:style w:type="character" w:customStyle="1" w:styleId="147">
    <w:name w:val="bookmark-item"/>
    <w:qFormat/>
    <w:uiPriority w:val="0"/>
  </w:style>
  <w:style w:type="paragraph" w:customStyle="1" w:styleId="148">
    <w:name w:val="Normal_1"/>
    <w:unhideWhenUsed/>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49">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50">
    <w:name w:val="Normal_1_0"/>
    <w:unhideWhenUsed/>
    <w:qFormat/>
    <w:uiPriority w:val="0"/>
    <w:pPr>
      <w:widowControl w:val="0"/>
      <w:jc w:val="both"/>
    </w:pPr>
    <w:rPr>
      <w:rFonts w:ascii="Calibri" w:hAnsi="Calibri" w:eastAsia="Times New Roman" w:cs="Times New Roman"/>
      <w:kern w:val="2"/>
      <w:sz w:val="21"/>
      <w:szCs w:val="22"/>
      <w:lang w:val="en-US" w:eastAsia="zh-CN" w:bidi="ar-SA"/>
    </w:rPr>
  </w:style>
  <w:style w:type="character" w:customStyle="1" w:styleId="151">
    <w:name w:val="font141"/>
    <w:basedOn w:val="49"/>
    <w:qFormat/>
    <w:uiPriority w:val="0"/>
    <w:rPr>
      <w:rFonts w:ascii="Arial" w:hAnsi="Arial" w:cs="Arial"/>
      <w:color w:val="000000"/>
      <w:sz w:val="18"/>
      <w:szCs w:val="18"/>
      <w:u w:val="none"/>
    </w:rPr>
  </w:style>
  <w:style w:type="paragraph" w:customStyle="1" w:styleId="152">
    <w:name w:val="标书正文"/>
    <w:basedOn w:val="1"/>
    <w:qFormat/>
    <w:uiPriority w:val="0"/>
    <w:pPr>
      <w:spacing w:line="560" w:lineRule="exact"/>
      <w:ind w:firstLine="723"/>
      <w:jc w:val="center"/>
    </w:pPr>
    <w:rPr>
      <w:rFonts w:ascii="仿宋_GB2312" w:eastAsia="仿宋_GB2312"/>
      <w:b/>
      <w:sz w:val="36"/>
    </w:rPr>
  </w:style>
  <w:style w:type="paragraph" w:customStyle="1" w:styleId="153">
    <w:name w:val="Table Paragraph"/>
    <w:basedOn w:val="1"/>
    <w:unhideWhenUsed/>
    <w:qFormat/>
    <w:uiPriority w:val="1"/>
    <w:pPr>
      <w:ind w:firstLine="0"/>
    </w:pPr>
    <w:rPr>
      <w:rFonts w:hint="eastAsia"/>
    </w:rPr>
  </w:style>
  <w:style w:type="paragraph" w:customStyle="1" w:styleId="154">
    <w:name w:val="_Style 2"/>
    <w:basedOn w:val="3"/>
    <w:next w:val="1"/>
    <w:qFormat/>
    <w:uiPriority w:val="39"/>
    <w:pPr>
      <w:spacing w:before="480" w:line="276" w:lineRule="auto"/>
      <w:outlineLvl w:val="9"/>
    </w:pPr>
    <w:rPr>
      <w:rFonts w:ascii="仿宋" w:hAnsi="仿宋" w:eastAsia="仿宋"/>
      <w:color w:val="000000"/>
      <w:kern w:val="0"/>
      <w:sz w:val="32"/>
      <w:szCs w:val="32"/>
    </w:rPr>
  </w:style>
  <w:style w:type="paragraph" w:customStyle="1" w:styleId="15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Normal_0"/>
    <w:qFormat/>
    <w:uiPriority w:val="0"/>
    <w:rPr>
      <w:rFonts w:ascii="Times New Roman" w:hAnsi="Times New Roman" w:eastAsia="Times New Roman" w:cs="Times New Roman"/>
      <w:sz w:val="24"/>
      <w:szCs w:val="24"/>
      <w:lang w:val="en-US" w:eastAsia="zh-CN" w:bidi="ar-SA"/>
    </w:rPr>
  </w:style>
  <w:style w:type="paragraph" w:customStyle="1" w:styleId="157">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9">
    <w:name w:val="标题 3_0_0"/>
    <w:basedOn w:val="160"/>
    <w:link w:val="161"/>
    <w:qFormat/>
    <w:uiPriority w:val="0"/>
    <w:pPr>
      <w:autoSpaceDE w:val="0"/>
      <w:autoSpaceDN w:val="0"/>
      <w:adjustRightInd w:val="0"/>
      <w:spacing w:line="500" w:lineRule="exact"/>
      <w:jc w:val="center"/>
      <w:outlineLvl w:val="2"/>
    </w:pPr>
    <w:rPr>
      <w:rFonts w:ascii="宋体" w:hAnsi="宋体"/>
      <w:b/>
      <w:szCs w:val="28"/>
    </w:rPr>
  </w:style>
  <w:style w:type="paragraph" w:customStyle="1" w:styleId="160">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61">
    <w:name w:val="标题 3 Char_0_0"/>
    <w:link w:val="159"/>
    <w:qFormat/>
    <w:uiPriority w:val="0"/>
    <w:rPr>
      <w:rFonts w:ascii="宋体" w:hAnsi="宋体" w:eastAsia="宋体"/>
      <w:b/>
      <w:szCs w:val="28"/>
    </w:rPr>
  </w:style>
  <w:style w:type="paragraph" w:customStyle="1" w:styleId="162">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3">
    <w:name w:val="样式 仿宋"/>
    <w:qFormat/>
    <w:uiPriority w:val="0"/>
    <w:rPr>
      <w:rFonts w:ascii="仿宋" w:hAnsi="仿宋" w:eastAsia="仿宋"/>
      <w:kern w:val="1"/>
    </w:rPr>
  </w:style>
  <w:style w:type="paragraph" w:customStyle="1" w:styleId="164">
    <w:name w:val="Normal_11"/>
    <w:qFormat/>
    <w:uiPriority w:val="0"/>
    <w:rPr>
      <w:rFonts w:ascii="黑体" w:hAnsi="黑体" w:eastAsia="黑体" w:cs="Times New Roman"/>
      <w:b/>
      <w:sz w:val="32"/>
      <w:szCs w:val="24"/>
      <w:lang w:val="en-US" w:eastAsia="zh-CN" w:bidi="ar-SA"/>
    </w:rPr>
  </w:style>
  <w:style w:type="paragraph" w:customStyle="1" w:styleId="165">
    <w:name w:val="日期_1"/>
    <w:basedOn w:val="166"/>
    <w:next w:val="166"/>
    <w:qFormat/>
    <w:uiPriority w:val="0"/>
    <w:pPr>
      <w:ind w:left="100" w:leftChars="2500"/>
    </w:pPr>
    <w:rPr>
      <w:rFonts w:ascii="Times New Roman" w:hAnsi="Times New Roman"/>
      <w:szCs w:val="24"/>
    </w:rPr>
  </w:style>
  <w:style w:type="paragraph" w:customStyle="1" w:styleId="16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168">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lang w:val="en-US" w:eastAsia="zh-CN" w:bidi="ar-SA"/>
    </w:rPr>
  </w:style>
  <w:style w:type="paragraph" w:customStyle="1" w:styleId="16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110</Pages>
  <Words>54462</Words>
  <Characters>59417</Characters>
  <Lines>412</Lines>
  <Paragraphs>116</Paragraphs>
  <TotalTime>29</TotalTime>
  <ScaleCrop>false</ScaleCrop>
  <LinksUpToDate>false</LinksUpToDate>
  <CharactersWithSpaces>60963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2026-02-12T05:10:00Z</dcterms:created>
  <dc:creator>aa</dc:creator>
  <cp:lastModifiedBy>user</cp:lastModifiedBy>
  <cp:lastPrinted>2025-10-18T18:49:00Z</cp:lastPrinted>
  <dcterms:modified xsi:type="dcterms:W3CDTF">2026-04-08T12:57:24Z</dcterms:modified>
  <dc:title>新疆塔里木河流域近期综合治理和田河流域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62AB3E0BA12E48AE920BA87CF6ED2DE9</vt:lpwstr>
  </property>
  <property fmtid="{D5CDD505-2E9C-101B-9397-08002B2CF9AE}" pid="4" name="KSOTemplateDocerSaveRecord">
    <vt:lpwstr>eyJoZGlkIjoiNTgxMjJlYzQ0ZjBhZjVkYjBhZDg2MTFiYWM0MTIxODkiLCJ1c2VySWQiOiIzNzA5MDU4NTcifQ==</vt:lpwstr>
  </property>
</Properties>
</file>